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621" w:lineRule="exact" w:before="0"/>
        <w:ind w:left="0" w:right="12" w:firstLine="0"/>
        <w:jc w:val="center"/>
        <w:rPr>
          <w:rFonts w:ascii="宋体" w:hAnsi="宋体" w:cs="宋体" w:eastAsia="宋体" w:hint="default"/>
          <w:sz w:val="52"/>
          <w:szCs w:val="52"/>
        </w:rPr>
      </w:pPr>
      <w:r>
        <w:rPr>
          <w:rFonts w:ascii="宋体" w:hAnsi="宋体" w:cs="宋体" w:eastAsia="宋体" w:hint="default"/>
          <w:sz w:val="52"/>
          <w:szCs w:val="52"/>
        </w:rPr>
        <w:t>上海海隆软件股份有限公司</w:t>
      </w:r>
    </w:p>
    <w:p>
      <w:pPr>
        <w:spacing w:before="255"/>
        <w:ind w:left="0" w:right="12" w:firstLine="0"/>
        <w:jc w:val="center"/>
        <w:rPr>
          <w:rFonts w:ascii="宋体" w:hAnsi="宋体" w:cs="宋体" w:eastAsia="宋体" w:hint="default"/>
          <w:sz w:val="52"/>
          <w:szCs w:val="52"/>
        </w:rPr>
      </w:pPr>
      <w:r>
        <w:rPr>
          <w:rFonts w:ascii="宋体"/>
          <w:sz w:val="52"/>
        </w:rPr>
        <w:t>SHANGHAI HYRON SOFTWARE</w:t>
      </w:r>
      <w:r>
        <w:rPr>
          <w:rFonts w:ascii="宋体"/>
          <w:spacing w:val="-30"/>
          <w:sz w:val="52"/>
        </w:rPr>
        <w:t> </w:t>
      </w:r>
      <w:r>
        <w:rPr>
          <w:rFonts w:ascii="宋体"/>
          <w:sz w:val="52"/>
        </w:rPr>
        <w:t>Co.,LTD.</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line="1173" w:lineRule="exact"/>
        <w:ind w:left="2019"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2893110" cy="74542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893110" cy="745426"/>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11"/>
        <w:rPr>
          <w:rFonts w:ascii="宋体" w:hAnsi="宋体" w:cs="宋体" w:eastAsia="宋体" w:hint="default"/>
          <w:sz w:val="10"/>
          <w:szCs w:val="10"/>
        </w:rPr>
      </w:pPr>
    </w:p>
    <w:p>
      <w:pPr>
        <w:spacing w:line="621" w:lineRule="exact" w:before="0"/>
        <w:ind w:left="0" w:right="13" w:firstLine="0"/>
        <w:jc w:val="center"/>
        <w:rPr>
          <w:rFonts w:ascii="宋体" w:hAnsi="宋体" w:cs="宋体" w:eastAsia="宋体" w:hint="default"/>
          <w:sz w:val="52"/>
          <w:szCs w:val="52"/>
        </w:rPr>
      </w:pPr>
      <w:r>
        <w:rPr>
          <w:rFonts w:ascii="宋体" w:hAnsi="宋体" w:cs="宋体" w:eastAsia="宋体" w:hint="default"/>
          <w:sz w:val="52"/>
          <w:szCs w:val="52"/>
        </w:rPr>
        <w:t>股票代码：002195</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8"/>
        <w:rPr>
          <w:rFonts w:ascii="宋体" w:hAnsi="宋体" w:cs="宋体" w:eastAsia="宋体" w:hint="default"/>
          <w:sz w:val="58"/>
          <w:szCs w:val="58"/>
        </w:rPr>
      </w:pPr>
    </w:p>
    <w:p>
      <w:pPr>
        <w:spacing w:before="0"/>
        <w:ind w:left="0" w:right="11" w:firstLine="0"/>
        <w:jc w:val="center"/>
        <w:rPr>
          <w:rFonts w:ascii="宋体" w:hAnsi="宋体" w:cs="宋体" w:eastAsia="宋体" w:hint="default"/>
          <w:sz w:val="52"/>
          <w:szCs w:val="52"/>
        </w:rPr>
      </w:pPr>
      <w:r>
        <w:rPr>
          <w:rFonts w:ascii="宋体" w:hAnsi="宋体" w:cs="宋体" w:eastAsia="宋体" w:hint="default"/>
          <w:sz w:val="52"/>
          <w:szCs w:val="52"/>
        </w:rPr>
        <w:t>二○一○年年度报告</w:t>
      </w: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line="240" w:lineRule="auto" w:before="0"/>
        <w:rPr>
          <w:rFonts w:ascii="宋体" w:hAnsi="宋体" w:cs="宋体" w:eastAsia="宋体" w:hint="default"/>
          <w:sz w:val="52"/>
          <w:szCs w:val="52"/>
        </w:rPr>
      </w:pPr>
    </w:p>
    <w:p>
      <w:pPr>
        <w:spacing w:before="403"/>
        <w:ind w:left="0" w:right="15" w:firstLine="0"/>
        <w:jc w:val="center"/>
        <w:rPr>
          <w:rFonts w:ascii="宋体" w:hAnsi="宋体" w:cs="宋体" w:eastAsia="宋体" w:hint="default"/>
          <w:sz w:val="32"/>
          <w:szCs w:val="32"/>
        </w:rPr>
      </w:pPr>
      <w:r>
        <w:rPr>
          <w:rFonts w:ascii="宋体" w:hAnsi="宋体" w:cs="宋体" w:eastAsia="宋体" w:hint="default"/>
          <w:sz w:val="32"/>
          <w:szCs w:val="32"/>
        </w:rPr>
        <w:t>二Ο一一年四月</w:t>
      </w:r>
    </w:p>
    <w:p>
      <w:pPr>
        <w:spacing w:after="0"/>
        <w:jc w:val="center"/>
        <w:rPr>
          <w:rFonts w:ascii="宋体" w:hAnsi="宋体" w:cs="宋体" w:eastAsia="宋体" w:hint="default"/>
          <w:sz w:val="32"/>
          <w:szCs w:val="32"/>
        </w:rPr>
        <w:sectPr>
          <w:headerReference w:type="default" r:id="rId5"/>
          <w:footerReference w:type="default" r:id="rId6"/>
          <w:type w:val="continuous"/>
          <w:pgSz w:w="11900" w:h="16840"/>
          <w:pgMar w:header="874" w:footer="983" w:top="1040" w:bottom="1180" w:left="1660" w:right="1640"/>
          <w:pgNumType w:start="1"/>
        </w:sectPr>
      </w:pPr>
    </w:p>
    <w:p>
      <w:pPr>
        <w:spacing w:line="240" w:lineRule="auto" w:before="6"/>
        <w:rPr>
          <w:rFonts w:ascii="宋体" w:hAnsi="宋体" w:cs="宋体" w:eastAsia="宋体" w:hint="default"/>
          <w:sz w:val="28"/>
          <w:szCs w:val="28"/>
        </w:rPr>
      </w:pPr>
    </w:p>
    <w:p>
      <w:pPr>
        <w:spacing w:before="0"/>
        <w:ind w:left="0" w:right="123" w:firstLine="0"/>
        <w:jc w:val="center"/>
        <w:rPr>
          <w:rFonts w:ascii="宋体" w:hAnsi="宋体" w:cs="宋体" w:eastAsia="宋体" w:hint="default"/>
          <w:sz w:val="32"/>
          <w:szCs w:val="32"/>
        </w:rPr>
      </w:pPr>
      <w:r>
        <w:rPr>
          <w:rFonts w:ascii="宋体" w:hAnsi="宋体" w:cs="宋体" w:eastAsia="宋体" w:hint="default"/>
          <w:b/>
          <w:bCs/>
          <w:sz w:val="32"/>
          <w:szCs w:val="32"/>
        </w:rPr>
        <w:t>重要提示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22"/>
          <w:szCs w:val="22"/>
        </w:rPr>
      </w:pPr>
    </w:p>
    <w:p>
      <w:pPr>
        <w:pStyle w:val="BodyText"/>
        <w:spacing w:line="357" w:lineRule="auto" w:before="0"/>
        <w:ind w:right="151" w:firstLine="480"/>
        <w:jc w:val="both"/>
      </w:pPr>
      <w:r>
        <w:rPr>
          <w:spacing w:val="-3"/>
        </w:rPr>
        <w:t>本公司董事会、监事会及董事、监事、高级管理人员保证本报告所载资料不</w:t>
      </w:r>
      <w:r>
        <w:rPr/>
        <w:t> </w:t>
      </w:r>
      <w:r>
        <w:rPr>
          <w:spacing w:val="-3"/>
        </w:rPr>
        <w:t>存在任何虚假记载、误导性陈述或重大遗漏，并对其内容的真实性、准确性和完</w:t>
      </w:r>
      <w:r>
        <w:rPr>
          <w:spacing w:val="-111"/>
        </w:rPr>
        <w:t> </w:t>
      </w:r>
      <w:r>
        <w:rPr>
          <w:spacing w:val="-111"/>
        </w:rPr>
      </w:r>
      <w:r>
        <w:rPr/>
        <w:t>整性承担个别及连带责任。</w:t>
      </w:r>
    </w:p>
    <w:p>
      <w:pPr>
        <w:pStyle w:val="BodyText"/>
        <w:spacing w:line="357" w:lineRule="auto"/>
        <w:ind w:right="155" w:firstLine="480"/>
        <w:jc w:val="both"/>
      </w:pPr>
      <w:r>
        <w:rPr>
          <w:spacing w:val="-3"/>
        </w:rPr>
        <w:t>没有董事、监事、高级管理人员对本报告内容的真实性、准确性、完整性无</w:t>
      </w:r>
      <w:r>
        <w:rPr/>
        <w:t> 法保证或存在异议。</w:t>
      </w:r>
    </w:p>
    <w:p>
      <w:pPr>
        <w:pStyle w:val="BodyText"/>
        <w:spacing w:line="357" w:lineRule="auto"/>
        <w:ind w:right="151" w:firstLine="480"/>
        <w:jc w:val="both"/>
      </w:pPr>
      <w:r>
        <w:rPr>
          <w:spacing w:val="-3"/>
        </w:rPr>
        <w:t>本年度报告已经过本公司第四届董事会第六次会议审议通过。全体董事均出</w:t>
      </w:r>
      <w:r>
        <w:rPr/>
        <w:t> 席会议并表决。</w:t>
      </w:r>
    </w:p>
    <w:p>
      <w:pPr>
        <w:pStyle w:val="BodyText"/>
        <w:spacing w:line="357" w:lineRule="auto"/>
        <w:ind w:right="149" w:firstLine="480"/>
        <w:jc w:val="both"/>
      </w:pPr>
      <w:r>
        <w:rPr>
          <w:spacing w:val="3"/>
        </w:rPr>
        <w:t>上海众华沪银会计师事务所有限公司为本公司出具了标准无保留意见的审</w:t>
      </w:r>
      <w:r>
        <w:rPr/>
        <w:t> 计报告。</w:t>
      </w:r>
    </w:p>
    <w:p>
      <w:pPr>
        <w:pStyle w:val="BodyText"/>
        <w:spacing w:line="357" w:lineRule="auto"/>
        <w:ind w:right="151" w:firstLine="480"/>
        <w:jc w:val="both"/>
      </w:pPr>
      <w:r>
        <w:rPr>
          <w:spacing w:val="-3"/>
        </w:rPr>
        <w:t>公司负责人董事长包叔平先生、主管会计工作负责人包叔平先生及会计机构</w:t>
      </w:r>
      <w:r>
        <w:rPr/>
        <w:t> </w:t>
      </w:r>
      <w:r>
        <w:rPr>
          <w:spacing w:val="-3"/>
        </w:rPr>
        <w:t>负责人（会计主管人员）董樑先生声明：保证本年度报告中财务报告的真实、完</w:t>
      </w:r>
      <w:r>
        <w:rPr>
          <w:spacing w:val="-111"/>
        </w:rPr>
        <w:t> </w:t>
      </w:r>
      <w:r>
        <w:rPr>
          <w:spacing w:val="-111"/>
        </w:rPr>
      </w:r>
      <w:r>
        <w:rPr/>
        <w:t>整。</w:t>
      </w:r>
    </w:p>
    <w:p>
      <w:pPr>
        <w:spacing w:after="0" w:line="357" w:lineRule="auto"/>
        <w:jc w:val="both"/>
        <w:sectPr>
          <w:pgSz w:w="11900" w:h="16840"/>
          <w:pgMar w:header="874" w:footer="983" w:top="1100" w:bottom="118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806" w:val="left" w:leader="none"/>
        </w:tabs>
        <w:spacing w:before="0"/>
        <w:ind w:left="0" w:right="11"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sdt>
      <w:sdtPr>
        <w:docPartObj>
          <w:docPartGallery w:val="Table of Contents"/>
          <w:docPartUnique/>
        </w:docPartObj>
      </w:sdtPr>
      <w:sdtEndPr/>
      <w:sdtContent>
        <w:p>
          <w:pPr>
            <w:pStyle w:val="TOC1"/>
            <w:tabs>
              <w:tab w:pos="1104" w:val="left" w:leader="none"/>
              <w:tab w:pos="8434" w:val="right" w:leader="dot"/>
            </w:tabs>
            <w:spacing w:line="240" w:lineRule="auto" w:before="264"/>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Calibri" w:hAnsi="Calibri" w:cs="Calibri" w:eastAsia="Calibri" w:hint="default"/>
              </w:rPr>
              <w:tab/>
              <w:t>4</w:t>
            </w:r>
            <w:r>
              <w:rPr>
                <w:rFonts w:ascii="Calibri" w:hAnsi="Calibri" w:cs="Calibri" w:eastAsia="Calibri" w:hint="default"/>
                <w:b w:val="0"/>
                <w:bCs w:val="0"/>
              </w:rPr>
            </w:r>
          </w:hyperlink>
        </w:p>
        <w:p>
          <w:pPr>
            <w:pStyle w:val="TOC1"/>
            <w:tabs>
              <w:tab w:pos="1104" w:val="left" w:leader="none"/>
              <w:tab w:pos="8434" w:val="right" w:leader="dot"/>
            </w:tabs>
            <w:spacing w:line="240" w:lineRule="auto"/>
            <w:ind w:right="0"/>
            <w:jc w:val="left"/>
            <w:rPr>
              <w:rFonts w:ascii="Calibri" w:hAnsi="Calibri" w:cs="Calibri" w:eastAsia="Calibri" w:hint="default"/>
              <w:b w:val="0"/>
              <w:bCs w:val="0"/>
            </w:rPr>
          </w:pPr>
          <w:hyperlink w:history="true" w:anchor="_TOC_250009">
            <w:r>
              <w:rPr>
                <w:w w:val="95"/>
              </w:rPr>
              <w:t>第二节</w:t>
              <w:tab/>
            </w:r>
            <w:r>
              <w:rPr/>
              <w:t>会计数据和业务数据摘要</w:t>
            </w:r>
            <w:r>
              <w:rPr>
                <w:rFonts w:ascii="Calibri" w:hAnsi="Calibri" w:cs="Calibri" w:eastAsia="Calibri" w:hint="default"/>
              </w:rPr>
              <w:tab/>
              <w:t>6</w:t>
            </w:r>
            <w:r>
              <w:rPr>
                <w:rFonts w:ascii="Calibri" w:hAnsi="Calibri" w:cs="Calibri" w:eastAsia="Calibri" w:hint="default"/>
                <w:b w:val="0"/>
                <w:bCs w:val="0"/>
              </w:rPr>
            </w:r>
          </w:hyperlink>
        </w:p>
        <w:p>
          <w:pPr>
            <w:pStyle w:val="TOC1"/>
            <w:tabs>
              <w:tab w:pos="1104" w:val="left" w:leader="none"/>
              <w:tab w:pos="8434" w:val="right" w:leader="dot"/>
            </w:tabs>
            <w:spacing w:line="240" w:lineRule="auto"/>
            <w:ind w:right="0"/>
            <w:jc w:val="left"/>
            <w:rPr>
              <w:rFonts w:ascii="Calibri" w:hAnsi="Calibri" w:cs="Calibri" w:eastAsia="Calibri" w:hint="default"/>
              <w:b w:val="0"/>
              <w:bCs w:val="0"/>
            </w:rPr>
          </w:pPr>
          <w:hyperlink w:history="true" w:anchor="_TOC_250008">
            <w:r>
              <w:rPr>
                <w:w w:val="95"/>
              </w:rPr>
              <w:t>第三节</w:t>
              <w:tab/>
            </w:r>
            <w:r>
              <w:rPr/>
              <w:t>股本变动及股东情况</w:t>
            </w:r>
            <w:r>
              <w:rPr>
                <w:rFonts w:ascii="Calibri" w:hAnsi="Calibri" w:cs="Calibri" w:eastAsia="Calibri" w:hint="default"/>
              </w:rPr>
              <w:tab/>
              <w:t>8</w:t>
            </w:r>
            <w:r>
              <w:rPr>
                <w:rFonts w:ascii="Calibri" w:hAnsi="Calibri" w:cs="Calibri" w:eastAsia="Calibri" w:hint="default"/>
                <w:b w:val="0"/>
                <w:bCs w:val="0"/>
              </w:rPr>
            </w:r>
          </w:hyperlink>
        </w:p>
        <w:p>
          <w:pPr>
            <w:pStyle w:val="TOC1"/>
            <w:tabs>
              <w:tab w:pos="1104" w:val="left" w:leader="none"/>
              <w:tab w:pos="8437" w:val="right" w:leader="dot"/>
            </w:tabs>
            <w:spacing w:line="240" w:lineRule="auto"/>
            <w:ind w:right="0"/>
            <w:jc w:val="left"/>
            <w:rPr>
              <w:rFonts w:ascii="Calibri" w:hAnsi="Calibri" w:cs="Calibri" w:eastAsia="Calibri" w:hint="default"/>
              <w:b w:val="0"/>
              <w:bCs w:val="0"/>
            </w:rPr>
          </w:pPr>
          <w:hyperlink w:history="true" w:anchor="_TOC_250007">
            <w:r>
              <w:rPr>
                <w:w w:val="95"/>
              </w:rPr>
              <w:t>第四节</w:t>
              <w:tab/>
            </w:r>
            <w:r>
              <w:rPr/>
              <w:t>董事、监事、高级管理人员和员工情况</w:t>
            </w:r>
            <w:r>
              <w:rPr>
                <w:rFonts w:ascii="Calibri" w:hAnsi="Calibri" w:cs="Calibri" w:eastAsia="Calibri" w:hint="default"/>
              </w:rPr>
              <w:tab/>
              <w:t>15</w:t>
            </w:r>
            <w:r>
              <w:rPr>
                <w:rFonts w:ascii="Calibri" w:hAnsi="Calibri" w:cs="Calibri" w:eastAsia="Calibri" w:hint="default"/>
                <w:b w:val="0"/>
                <w:bCs w:val="0"/>
              </w:rPr>
            </w:r>
          </w:hyperlink>
        </w:p>
        <w:p>
          <w:pPr>
            <w:pStyle w:val="TOC1"/>
            <w:tabs>
              <w:tab w:pos="1104" w:val="left" w:leader="none"/>
              <w:tab w:pos="8436" w:val="right" w:leader="dot"/>
            </w:tabs>
            <w:spacing w:line="240" w:lineRule="auto"/>
            <w:ind w:right="0"/>
            <w:jc w:val="left"/>
            <w:rPr>
              <w:rFonts w:ascii="Calibri" w:hAnsi="Calibri" w:cs="Calibri" w:eastAsia="Calibri" w:hint="default"/>
              <w:b w:val="0"/>
              <w:bCs w:val="0"/>
            </w:rPr>
          </w:pPr>
          <w:hyperlink w:history="true" w:anchor="_TOC_250006">
            <w:r>
              <w:rPr>
                <w:w w:val="95"/>
              </w:rPr>
              <w:t>第五节</w:t>
              <w:tab/>
            </w:r>
            <w:r>
              <w:rPr/>
              <w:t>公司治理结构</w:t>
            </w:r>
            <w:r>
              <w:rPr>
                <w:rFonts w:ascii="Calibri" w:hAnsi="Calibri" w:cs="Calibri" w:eastAsia="Calibri" w:hint="default"/>
              </w:rPr>
              <w:tab/>
              <w:t>21</w:t>
            </w:r>
            <w:r>
              <w:rPr>
                <w:rFonts w:ascii="Calibri" w:hAnsi="Calibri" w:cs="Calibri" w:eastAsia="Calibri" w:hint="default"/>
                <w:b w:val="0"/>
                <w:bCs w:val="0"/>
              </w:rPr>
            </w:r>
          </w:hyperlink>
        </w:p>
        <w:p>
          <w:pPr>
            <w:pStyle w:val="TOC1"/>
            <w:tabs>
              <w:tab w:pos="1104" w:val="left" w:leader="none"/>
              <w:tab w:pos="8436" w:val="right" w:leader="dot"/>
            </w:tabs>
            <w:spacing w:line="240" w:lineRule="auto"/>
            <w:ind w:right="0"/>
            <w:jc w:val="left"/>
            <w:rPr>
              <w:rFonts w:ascii="Calibri" w:hAnsi="Calibri" w:cs="Calibri" w:eastAsia="Calibri" w:hint="default"/>
              <w:b w:val="0"/>
              <w:bCs w:val="0"/>
            </w:rPr>
          </w:pPr>
          <w:hyperlink w:history="true" w:anchor="_TOC_250005">
            <w:r>
              <w:rPr>
                <w:w w:val="95"/>
              </w:rPr>
              <w:t>第六节</w:t>
              <w:tab/>
            </w:r>
            <w:r>
              <w:rPr/>
              <w:t>股东大会情况介绍</w:t>
            </w:r>
            <w:r>
              <w:rPr>
                <w:rFonts w:ascii="Calibri" w:hAnsi="Calibri" w:cs="Calibri" w:eastAsia="Calibri" w:hint="default"/>
              </w:rPr>
              <w:tab/>
              <w:t>33</w:t>
            </w:r>
            <w:r>
              <w:rPr>
                <w:rFonts w:ascii="Calibri" w:hAnsi="Calibri" w:cs="Calibri" w:eastAsia="Calibri" w:hint="default"/>
                <w:b w:val="0"/>
                <w:bCs w:val="0"/>
              </w:rPr>
            </w:r>
          </w:hyperlink>
        </w:p>
        <w:p>
          <w:pPr>
            <w:pStyle w:val="TOC1"/>
            <w:tabs>
              <w:tab w:pos="1104" w:val="left" w:leader="none"/>
              <w:tab w:pos="8436" w:val="right" w:leader="dot"/>
            </w:tabs>
            <w:spacing w:line="240" w:lineRule="auto"/>
            <w:ind w:right="0"/>
            <w:jc w:val="left"/>
            <w:rPr>
              <w:rFonts w:ascii="Calibri" w:hAnsi="Calibri" w:cs="Calibri" w:eastAsia="Calibri" w:hint="default"/>
              <w:b w:val="0"/>
              <w:bCs w:val="0"/>
            </w:rPr>
          </w:pPr>
          <w:hyperlink w:history="true" w:anchor="_TOC_250004">
            <w:r>
              <w:rPr>
                <w:w w:val="95"/>
              </w:rPr>
              <w:t>第七节</w:t>
              <w:tab/>
            </w:r>
            <w:r>
              <w:rPr/>
              <w:t>董事会报告</w:t>
            </w:r>
            <w:r>
              <w:rPr>
                <w:rFonts w:ascii="Calibri" w:hAnsi="Calibri" w:cs="Calibri" w:eastAsia="Calibri" w:hint="default"/>
              </w:rPr>
              <w:tab/>
              <w:t>35</w:t>
            </w:r>
            <w:r>
              <w:rPr>
                <w:rFonts w:ascii="Calibri" w:hAnsi="Calibri" w:cs="Calibri" w:eastAsia="Calibri" w:hint="default"/>
                <w:b w:val="0"/>
                <w:bCs w:val="0"/>
              </w:rPr>
            </w:r>
          </w:hyperlink>
        </w:p>
        <w:p>
          <w:pPr>
            <w:pStyle w:val="TOC1"/>
            <w:tabs>
              <w:tab w:pos="1104" w:val="left" w:leader="none"/>
              <w:tab w:pos="8433" w:val="right" w:leader="dot"/>
            </w:tabs>
            <w:spacing w:line="240" w:lineRule="auto"/>
            <w:ind w:right="0"/>
            <w:jc w:val="left"/>
            <w:rPr>
              <w:rFonts w:ascii="Calibri" w:hAnsi="Calibri" w:cs="Calibri" w:eastAsia="Calibri" w:hint="default"/>
              <w:b w:val="0"/>
              <w:bCs w:val="0"/>
            </w:rPr>
          </w:pPr>
          <w:hyperlink w:history="true" w:anchor="_TOC_250003">
            <w:r>
              <w:rPr>
                <w:w w:val="95"/>
              </w:rPr>
              <w:t>第八节</w:t>
              <w:tab/>
            </w:r>
            <w:r>
              <w:rPr/>
              <w:t>监事会报告</w:t>
            </w:r>
            <w:r>
              <w:rPr>
                <w:rFonts w:ascii="Calibri" w:hAnsi="Calibri" w:cs="Calibri" w:eastAsia="Calibri" w:hint="default"/>
              </w:rPr>
              <w:tab/>
              <w:t>61</w:t>
            </w:r>
            <w:r>
              <w:rPr>
                <w:rFonts w:ascii="Calibri" w:hAnsi="Calibri" w:cs="Calibri" w:eastAsia="Calibri" w:hint="default"/>
                <w:b w:val="0"/>
                <w:bCs w:val="0"/>
              </w:rPr>
            </w:r>
          </w:hyperlink>
        </w:p>
        <w:p>
          <w:pPr>
            <w:pStyle w:val="TOC1"/>
            <w:tabs>
              <w:tab w:pos="1104" w:val="left" w:leader="none"/>
              <w:tab w:pos="8436" w:val="right" w:leader="dot"/>
            </w:tabs>
            <w:spacing w:line="240" w:lineRule="auto"/>
            <w:ind w:right="0"/>
            <w:jc w:val="left"/>
            <w:rPr>
              <w:rFonts w:ascii="Calibri" w:hAnsi="Calibri" w:cs="Calibri" w:eastAsia="Calibri" w:hint="default"/>
              <w:b w:val="0"/>
              <w:bCs w:val="0"/>
            </w:rPr>
          </w:pPr>
          <w:hyperlink w:history="true" w:anchor="_TOC_250002">
            <w:r>
              <w:rPr>
                <w:w w:val="95"/>
              </w:rPr>
              <w:t>第九节</w:t>
              <w:tab/>
            </w:r>
            <w:r>
              <w:rPr/>
              <w:t>重要事项</w:t>
            </w:r>
            <w:r>
              <w:rPr>
                <w:rFonts w:ascii="Calibri" w:hAnsi="Calibri" w:cs="Calibri" w:eastAsia="Calibri" w:hint="default"/>
              </w:rPr>
              <w:tab/>
              <w:t>64</w:t>
            </w:r>
            <w:r>
              <w:rPr>
                <w:rFonts w:ascii="Calibri" w:hAnsi="Calibri" w:cs="Calibri" w:eastAsia="Calibri" w:hint="default"/>
                <w:b w:val="0"/>
                <w:bCs w:val="0"/>
              </w:rPr>
            </w:r>
          </w:hyperlink>
        </w:p>
        <w:p>
          <w:pPr>
            <w:pStyle w:val="TOC1"/>
            <w:tabs>
              <w:tab w:pos="1104" w:val="left" w:leader="none"/>
              <w:tab w:pos="8436" w:val="right" w:leader="dot"/>
            </w:tabs>
            <w:spacing w:line="240" w:lineRule="auto"/>
            <w:ind w:right="0"/>
            <w:jc w:val="left"/>
            <w:rPr>
              <w:rFonts w:ascii="Calibri" w:hAnsi="Calibri" w:cs="Calibri" w:eastAsia="Calibri" w:hint="default"/>
              <w:b w:val="0"/>
              <w:bCs w:val="0"/>
            </w:rPr>
          </w:pPr>
          <w:hyperlink w:history="true" w:anchor="_TOC_250001">
            <w:r>
              <w:rPr>
                <w:w w:val="95"/>
              </w:rPr>
              <w:t>第十节</w:t>
              <w:tab/>
            </w:r>
            <w:r>
              <w:rPr/>
              <w:t>财务报告</w:t>
            </w:r>
            <w:r>
              <w:rPr>
                <w:rFonts w:ascii="Calibri" w:hAnsi="Calibri" w:cs="Calibri" w:eastAsia="Calibri" w:hint="default"/>
              </w:rPr>
              <w:tab/>
              <w:t>69</w:t>
            </w:r>
            <w:r>
              <w:rPr>
                <w:rFonts w:ascii="Calibri" w:hAnsi="Calibri" w:cs="Calibri" w:eastAsia="Calibri" w:hint="default"/>
                <w:b w:val="0"/>
                <w:bCs w:val="0"/>
              </w:rPr>
            </w:r>
          </w:hyperlink>
        </w:p>
        <w:p>
          <w:pPr>
            <w:pStyle w:val="TOC1"/>
            <w:tabs>
              <w:tab w:pos="1344" w:val="left" w:leader="none"/>
              <w:tab w:pos="8436" w:val="right" w:leader="dot"/>
            </w:tabs>
            <w:spacing w:line="240" w:lineRule="auto"/>
            <w:ind w:right="0"/>
            <w:jc w:val="left"/>
            <w:rPr>
              <w:rFonts w:ascii="Calibri" w:hAnsi="Calibri" w:cs="Calibri" w:eastAsia="Calibri" w:hint="default"/>
              <w:b w:val="0"/>
              <w:bCs w:val="0"/>
            </w:rPr>
          </w:pPr>
          <w:hyperlink w:history="true" w:anchor="_TOC_250000">
            <w:r>
              <w:rPr/>
              <w:t>第十一节</w:t>
              <w:tab/>
              <w:t>备查文件目录</w:t>
            </w:r>
            <w:r>
              <w:rPr>
                <w:rFonts w:ascii="Calibri" w:hAnsi="Calibri" w:cs="Calibri" w:eastAsia="Calibri" w:hint="default"/>
              </w:rPr>
              <w:tab/>
              <w:t>131</w:t>
            </w:r>
            <w:r>
              <w:rPr>
                <w:rFonts w:ascii="Calibri" w:hAnsi="Calibri" w:cs="Calibri" w:eastAsia="Calibri" w:hint="default"/>
                <w:b w:val="0"/>
                <w:bCs w:val="0"/>
              </w:rPr>
            </w:r>
          </w:hyperlink>
        </w:p>
        <w:p>
          <w:pPr/>
          <w:r>
            <w:fldChar w:fldCharType="end"/>
          </w:r>
        </w:p>
      </w:sdtContent>
    </w:sdt>
    <w:p>
      <w:pPr>
        <w:spacing w:after="0"/>
        <w:sectPr>
          <w:pgSz w:w="11900" w:h="16840"/>
          <w:pgMar w:header="874" w:footer="983" w:top="1100" w:bottom="1180" w:left="1660" w:right="1640"/>
        </w:sectPr>
      </w:pPr>
    </w:p>
    <w:p>
      <w:pPr>
        <w:spacing w:line="240" w:lineRule="auto" w:before="6"/>
        <w:rPr>
          <w:rFonts w:ascii="Calibri" w:hAnsi="Calibri" w:cs="Calibri" w:eastAsia="Calibri" w:hint="default"/>
          <w:b/>
          <w:bCs/>
          <w:sz w:val="30"/>
          <w:szCs w:val="30"/>
        </w:rPr>
      </w:pPr>
    </w:p>
    <w:p>
      <w:pPr>
        <w:pStyle w:val="Heading1"/>
        <w:tabs>
          <w:tab w:pos="3651" w:val="left" w:leader="none"/>
        </w:tabs>
        <w:spacing w:line="240" w:lineRule="auto"/>
        <w:ind w:left="2364" w:right="1860"/>
        <w:jc w:val="left"/>
        <w:rPr>
          <w:b w:val="0"/>
          <w:bCs w:val="0"/>
        </w:rPr>
      </w:pPr>
      <w:bookmarkStart w:name="_TOC_250010" w:id="1"/>
      <w:r>
        <w:rPr>
          <w:w w:val="95"/>
        </w:rPr>
        <w:t>第一节</w:t>
        <w:tab/>
      </w:r>
      <w:r>
        <w:rPr/>
        <w:t>公司基本情况简介</w:t>
      </w:r>
      <w:bookmarkEnd w:id="1"/>
      <w:r>
        <w:rPr>
          <w:b w:val="0"/>
          <w:bCs w:val="0"/>
        </w:rPr>
      </w:r>
    </w:p>
    <w:p>
      <w:pPr>
        <w:spacing w:line="240" w:lineRule="auto" w:before="0"/>
        <w:rPr>
          <w:rFonts w:ascii="宋体" w:hAnsi="宋体" w:cs="宋体" w:eastAsia="宋体" w:hint="default"/>
          <w:b/>
          <w:bCs/>
          <w:sz w:val="32"/>
          <w:szCs w:val="32"/>
        </w:rPr>
      </w:pPr>
    </w:p>
    <w:p>
      <w:pPr>
        <w:spacing w:line="357" w:lineRule="auto" w:before="242"/>
        <w:ind w:left="620" w:right="1860" w:hanging="480"/>
        <w:jc w:val="left"/>
        <w:rPr>
          <w:rFonts w:ascii="宋体" w:hAnsi="宋体" w:cs="宋体" w:eastAsia="宋体" w:hint="default"/>
          <w:sz w:val="24"/>
          <w:szCs w:val="24"/>
        </w:rPr>
      </w:pPr>
      <w:r>
        <w:rPr>
          <w:rFonts w:ascii="宋体" w:hAnsi="宋体" w:cs="宋体" w:eastAsia="宋体" w:hint="default"/>
          <w:b/>
          <w:bCs/>
          <w:sz w:val="24"/>
          <w:szCs w:val="24"/>
        </w:rPr>
        <w:t>一、公司法定中文名称：上海海隆软件股份有限公司</w:t>
      </w:r>
      <w:r>
        <w:rPr>
          <w:rFonts w:ascii="宋体" w:hAnsi="宋体" w:cs="宋体" w:eastAsia="宋体" w:hint="default"/>
          <w:b/>
          <w:bCs/>
          <w:w w:val="99"/>
          <w:sz w:val="24"/>
          <w:szCs w:val="24"/>
        </w:rPr>
        <w:t> </w:t>
      </w:r>
      <w:r>
        <w:rPr>
          <w:rFonts w:ascii="宋体" w:hAnsi="宋体" w:cs="宋体" w:eastAsia="宋体" w:hint="default"/>
          <w:sz w:val="24"/>
          <w:szCs w:val="24"/>
        </w:rPr>
        <w:t>公司法定英文名称：SHANGHAI HYRON SOFTWARE Co., LTD.</w:t>
      </w:r>
    </w:p>
    <w:p>
      <w:pPr>
        <w:pStyle w:val="BodyText"/>
        <w:spacing w:line="357" w:lineRule="auto"/>
        <w:ind w:left="620" w:right="5340"/>
        <w:jc w:val="left"/>
      </w:pPr>
      <w:r>
        <w:rPr/>
        <w:t>中文名称简称：海隆软件 英文名称简称：HYRON</w:t>
      </w:r>
    </w:p>
    <w:p>
      <w:pPr>
        <w:spacing w:line="240" w:lineRule="auto" w:before="0"/>
        <w:rPr>
          <w:rFonts w:ascii="宋体" w:hAnsi="宋体" w:cs="宋体" w:eastAsia="宋体" w:hint="default"/>
          <w:sz w:val="24"/>
          <w:szCs w:val="24"/>
        </w:rPr>
      </w:pPr>
    </w:p>
    <w:p>
      <w:pPr>
        <w:pStyle w:val="Heading3"/>
        <w:spacing w:line="715" w:lineRule="auto" w:before="190"/>
        <w:ind w:right="5340"/>
        <w:jc w:val="left"/>
        <w:rPr>
          <w:b w:val="0"/>
          <w:bCs w:val="0"/>
        </w:rPr>
      </w:pPr>
      <w:r>
        <w:rPr/>
        <w:pict>
          <v:shape style="position:absolute;margin-left:89.760002pt;margin-top:77.765625pt;width:418.95pt;height:112.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3403"/>
                    <w:gridCol w:w="3401"/>
                  </w:tblGrid>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340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张</w:t>
                          <w:tab/>
                          <w:t>今</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上海市宜山路</w:t>
                        </w:r>
                        <w:r>
                          <w:rPr>
                            <w:rFonts w:ascii="宋体" w:hAnsi="宋体" w:cs="宋体" w:eastAsia="宋体" w:hint="default"/>
                            <w:spacing w:val="-61"/>
                            <w:sz w:val="21"/>
                            <w:szCs w:val="21"/>
                          </w:rPr>
                          <w:t> </w:t>
                        </w:r>
                        <w:r>
                          <w:rPr>
                            <w:rFonts w:ascii="宋体" w:hAnsi="宋体" w:cs="宋体" w:eastAsia="宋体" w:hint="default"/>
                            <w:sz w:val="21"/>
                            <w:szCs w:val="21"/>
                          </w:rPr>
                          <w:t>700</w:t>
                        </w:r>
                        <w:r>
                          <w:rPr>
                            <w:rFonts w:ascii="宋体" w:hAnsi="宋体" w:cs="宋体" w:eastAsia="宋体" w:hint="default"/>
                            <w:spacing w:val="-62"/>
                            <w:sz w:val="21"/>
                            <w:szCs w:val="21"/>
                          </w:rPr>
                          <w:t> </w:t>
                        </w:r>
                        <w:r>
                          <w:rPr>
                            <w:rFonts w:ascii="宋体" w:hAnsi="宋体" w:cs="宋体" w:eastAsia="宋体" w:hint="default"/>
                            <w:sz w:val="21"/>
                            <w:szCs w:val="21"/>
                          </w:rPr>
                          <w:t>号普天信息产业园</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楼</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上海市宜山路</w:t>
                        </w:r>
                        <w:r>
                          <w:rPr>
                            <w:rFonts w:ascii="宋体" w:hAnsi="宋体" w:cs="宋体" w:eastAsia="宋体" w:hint="default"/>
                            <w:spacing w:val="-61"/>
                            <w:sz w:val="21"/>
                            <w:szCs w:val="21"/>
                          </w:rPr>
                          <w:t> </w:t>
                        </w:r>
                        <w:r>
                          <w:rPr>
                            <w:rFonts w:ascii="宋体" w:hAnsi="宋体" w:cs="宋体" w:eastAsia="宋体" w:hint="default"/>
                            <w:sz w:val="21"/>
                            <w:szCs w:val="21"/>
                          </w:rPr>
                          <w:t>700</w:t>
                        </w:r>
                        <w:r>
                          <w:rPr>
                            <w:rFonts w:ascii="宋体" w:hAnsi="宋体" w:cs="宋体" w:eastAsia="宋体" w:hint="default"/>
                            <w:spacing w:val="-62"/>
                            <w:sz w:val="21"/>
                            <w:szCs w:val="21"/>
                          </w:rPr>
                          <w:t> </w:t>
                        </w:r>
                        <w:r>
                          <w:rPr>
                            <w:rFonts w:ascii="宋体" w:hAnsi="宋体" w:cs="宋体" w:eastAsia="宋体" w:hint="default"/>
                            <w:sz w:val="21"/>
                            <w:szCs w:val="21"/>
                          </w:rPr>
                          <w:t>号普天信息产业园</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楼</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021-6468-9626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center"/>
                          <w:rPr>
                            <w:rFonts w:ascii="宋体" w:hAnsi="宋体" w:cs="宋体" w:eastAsia="宋体" w:hint="default"/>
                            <w:sz w:val="21"/>
                            <w:szCs w:val="21"/>
                          </w:rPr>
                        </w:pPr>
                        <w:r>
                          <w:rPr>
                            <w:rFonts w:ascii="宋体"/>
                            <w:sz w:val="21"/>
                          </w:rPr>
                          <w:t>021-6468-9626</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sz w:val="21"/>
                          </w:rPr>
                          <w:t>021-6468-9489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center"/>
                          <w:rPr>
                            <w:rFonts w:ascii="宋体" w:hAnsi="宋体" w:cs="宋体" w:eastAsia="宋体" w:hint="default"/>
                            <w:sz w:val="21"/>
                            <w:szCs w:val="21"/>
                          </w:rPr>
                        </w:pPr>
                        <w:r>
                          <w:rPr>
                            <w:rFonts w:ascii="宋体"/>
                            <w:sz w:val="21"/>
                          </w:rPr>
                          <w:t>021-6468-9489</w:t>
                        </w:r>
                      </w:p>
                    </w:tc>
                  </w:tr>
                  <w:tr>
                    <w:trPr>
                      <w:trHeight w:val="321" w:hRule="exact"/>
                    </w:trPr>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zhengquan AT hyron DOT</w:t>
                        </w:r>
                        <w:r>
                          <w:rPr>
                            <w:rFonts w:ascii="宋体"/>
                            <w:spacing w:val="-4"/>
                            <w:sz w:val="21"/>
                          </w:rPr>
                          <w:t> </w:t>
                        </w:r>
                        <w:r>
                          <w:rPr>
                            <w:rFonts w:ascii="宋体"/>
                            <w:sz w:val="21"/>
                          </w:rPr>
                          <w:t>com</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center"/>
                          <w:rPr>
                            <w:rFonts w:ascii="宋体" w:hAnsi="宋体" w:cs="宋体" w:eastAsia="宋体" w:hint="default"/>
                            <w:sz w:val="21"/>
                            <w:szCs w:val="21"/>
                          </w:rPr>
                        </w:pPr>
                        <w:r>
                          <w:rPr>
                            <w:rFonts w:ascii="宋体"/>
                            <w:sz w:val="21"/>
                          </w:rPr>
                          <w:t>zhengquan AT hyron DOT</w:t>
                        </w:r>
                        <w:r>
                          <w:rPr>
                            <w:rFonts w:ascii="宋体"/>
                            <w:spacing w:val="-4"/>
                            <w:sz w:val="21"/>
                          </w:rPr>
                          <w:t> </w:t>
                        </w:r>
                        <w:r>
                          <w:rPr>
                            <w:rFonts w:ascii="宋体"/>
                            <w:sz w:val="21"/>
                          </w:rPr>
                          <w:t>com</w:t>
                        </w:r>
                      </w:p>
                    </w:tc>
                  </w:tr>
                </w:tbl>
                <w:p>
                  <w:pPr/>
                </w:p>
              </w:txbxContent>
            </v:textbox>
            <w10:wrap type="none"/>
          </v:shape>
        </w:pict>
      </w:r>
      <w:r>
        <w:rPr>
          <w:w w:val="95"/>
        </w:rPr>
        <w:t>二、公司法定代表人：包叔平</w:t>
      </w:r>
      <w:r>
        <w:rPr>
          <w:spacing w:val="39"/>
          <w:w w:val="95"/>
        </w:rPr>
        <w:t> </w:t>
      </w:r>
      <w:r>
        <w:rPr>
          <w:spacing w:val="39"/>
          <w:w w:val="95"/>
        </w:rPr>
      </w:r>
      <w:r>
        <w:rPr/>
        <w:t>三、公司联系人及联系方式</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line="357" w:lineRule="auto" w:before="26"/>
        <w:ind w:left="620" w:right="1140" w:hanging="480"/>
        <w:jc w:val="left"/>
        <w:rPr>
          <w:rFonts w:ascii="宋体" w:hAnsi="宋体" w:cs="宋体" w:eastAsia="宋体" w:hint="default"/>
          <w:sz w:val="24"/>
          <w:szCs w:val="24"/>
        </w:rPr>
      </w:pPr>
      <w:r>
        <w:rPr>
          <w:rFonts w:ascii="宋体" w:hAnsi="宋体" w:cs="宋体" w:eastAsia="宋体" w:hint="default"/>
          <w:b/>
          <w:bCs/>
          <w:sz w:val="24"/>
          <w:szCs w:val="24"/>
        </w:rPr>
        <w:t>四、公司注册地址：上海市天钥桥路</w:t>
      </w:r>
      <w:r>
        <w:rPr>
          <w:rFonts w:ascii="宋体" w:hAnsi="宋体" w:cs="宋体" w:eastAsia="宋体" w:hint="default"/>
          <w:b/>
          <w:bCs/>
          <w:spacing w:val="-60"/>
          <w:sz w:val="24"/>
          <w:szCs w:val="24"/>
        </w:rPr>
        <w:t> </w:t>
      </w:r>
      <w:r>
        <w:rPr>
          <w:rFonts w:ascii="宋体" w:hAnsi="宋体" w:cs="宋体" w:eastAsia="宋体" w:hint="default"/>
          <w:b/>
          <w:bCs/>
          <w:sz w:val="24"/>
          <w:szCs w:val="24"/>
        </w:rPr>
        <w:t>1</w:t>
      </w:r>
      <w:r>
        <w:rPr>
          <w:rFonts w:ascii="宋体" w:hAnsi="宋体" w:cs="宋体" w:eastAsia="宋体" w:hint="default"/>
          <w:b/>
          <w:bCs/>
          <w:spacing w:val="-62"/>
          <w:sz w:val="24"/>
          <w:szCs w:val="24"/>
        </w:rPr>
        <w:t> </w:t>
      </w:r>
      <w:r>
        <w:rPr>
          <w:rFonts w:ascii="宋体" w:hAnsi="宋体" w:cs="宋体" w:eastAsia="宋体" w:hint="default"/>
          <w:b/>
          <w:bCs/>
          <w:sz w:val="24"/>
          <w:szCs w:val="24"/>
        </w:rPr>
        <w:t>号煤科大厦</w:t>
      </w:r>
      <w:r>
        <w:rPr>
          <w:rFonts w:ascii="宋体" w:hAnsi="宋体" w:cs="宋体" w:eastAsia="宋体" w:hint="default"/>
          <w:b/>
          <w:bCs/>
          <w:spacing w:val="-62"/>
          <w:sz w:val="24"/>
          <w:szCs w:val="24"/>
        </w:rPr>
        <w:t> </w:t>
      </w:r>
      <w:r>
        <w:rPr>
          <w:rFonts w:ascii="宋体" w:hAnsi="宋体" w:cs="宋体" w:eastAsia="宋体" w:hint="default"/>
          <w:b/>
          <w:bCs/>
          <w:sz w:val="24"/>
          <w:szCs w:val="24"/>
        </w:rPr>
        <w:t>14F</w:t>
      </w:r>
      <w:r>
        <w:rPr>
          <w:rFonts w:ascii="宋体" w:hAnsi="宋体" w:cs="宋体" w:eastAsia="宋体" w:hint="default"/>
          <w:b/>
          <w:bCs/>
          <w:w w:val="99"/>
          <w:sz w:val="24"/>
          <w:szCs w:val="24"/>
        </w:rPr>
        <w:t> </w:t>
      </w:r>
      <w:r>
        <w:rPr>
          <w:rFonts w:ascii="宋体" w:hAnsi="宋体" w:cs="宋体" w:eastAsia="宋体" w:hint="default"/>
          <w:sz w:val="24"/>
          <w:szCs w:val="24"/>
        </w:rPr>
        <w:t>公司办公地址：上海市宜山路</w:t>
      </w:r>
      <w:r>
        <w:rPr>
          <w:rFonts w:ascii="宋体" w:hAnsi="宋体" w:cs="宋体" w:eastAsia="宋体" w:hint="default"/>
          <w:spacing w:val="-60"/>
          <w:sz w:val="24"/>
          <w:szCs w:val="24"/>
        </w:rPr>
        <w:t> </w:t>
      </w:r>
      <w:r>
        <w:rPr>
          <w:rFonts w:ascii="宋体" w:hAnsi="宋体" w:cs="宋体" w:eastAsia="宋体" w:hint="default"/>
          <w:sz w:val="24"/>
          <w:szCs w:val="24"/>
        </w:rPr>
        <w:t>700</w:t>
      </w:r>
      <w:r>
        <w:rPr>
          <w:rFonts w:ascii="宋体" w:hAnsi="宋体" w:cs="宋体" w:eastAsia="宋体" w:hint="default"/>
          <w:spacing w:val="-60"/>
          <w:sz w:val="24"/>
          <w:szCs w:val="24"/>
        </w:rPr>
        <w:t> </w:t>
      </w:r>
      <w:r>
        <w:rPr>
          <w:rFonts w:ascii="宋体" w:hAnsi="宋体" w:cs="宋体" w:eastAsia="宋体" w:hint="default"/>
          <w:sz w:val="24"/>
          <w:szCs w:val="24"/>
        </w:rPr>
        <w:t>号普天信息产业园</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号楼</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楼</w:t>
      </w:r>
      <w:r>
        <w:rPr>
          <w:rFonts w:ascii="宋体" w:hAnsi="宋体" w:cs="宋体" w:eastAsia="宋体" w:hint="default"/>
          <w:sz w:val="24"/>
          <w:szCs w:val="24"/>
        </w:rPr>
        <w:t> 邮政编码：200233</w:t>
      </w:r>
    </w:p>
    <w:p>
      <w:pPr>
        <w:pStyle w:val="BodyText"/>
        <w:spacing w:line="357" w:lineRule="auto"/>
        <w:ind w:left="620" w:right="3540"/>
        <w:jc w:val="left"/>
      </w:pPr>
      <w:r>
        <w:rPr/>
        <w:t>国际互联网网址：</w:t>
      </w:r>
      <w:r>
        <w:rPr>
          <w:color w:val="0000FF"/>
        </w:rPr>
      </w:r>
      <w:hyperlink r:id="rId8">
        <w:r>
          <w:rPr>
            <w:color w:val="0000FF"/>
            <w:u w:val="single" w:color="0000FF"/>
          </w:rPr>
          <w:t>http://www.hyron.com/</w:t>
        </w:r>
        <w:r>
          <w:rPr>
            <w:color w:val="0000FF"/>
          </w:rPr>
        </w:r>
      </w:hyperlink>
      <w:r>
        <w:rPr>
          <w:color w:val="0000FF"/>
        </w:rPr>
        <w:t> </w:t>
      </w:r>
      <w:r>
        <w:rPr/>
        <w:t>电子信箱：</w:t>
      </w:r>
      <w:r>
        <w:rPr>
          <w:color w:val="0000FF"/>
        </w:rPr>
      </w:r>
      <w:r>
        <w:rPr>
          <w:color w:val="0000FF"/>
          <w:u w:val="single" w:color="0000FF"/>
        </w:rPr>
        <w:t>zhengquan AT hyron DOT com</w:t>
      </w:r>
      <w:r>
        <w:rPr>
          <w:color w:val="0000FF"/>
        </w:rPr>
      </w:r>
      <w:r>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57" w:lineRule="auto" w:before="26"/>
        <w:ind w:left="620" w:right="1140" w:hanging="480"/>
        <w:jc w:val="left"/>
        <w:rPr>
          <w:rFonts w:ascii="宋体" w:hAnsi="宋体" w:cs="宋体" w:eastAsia="宋体" w:hint="default"/>
          <w:sz w:val="24"/>
          <w:szCs w:val="24"/>
        </w:rPr>
      </w:pPr>
      <w:r>
        <w:rPr>
          <w:rFonts w:ascii="宋体" w:hAnsi="宋体" w:cs="宋体" w:eastAsia="宋体" w:hint="default"/>
          <w:b/>
          <w:bCs/>
          <w:spacing w:val="-6"/>
          <w:w w:val="99"/>
          <w:sz w:val="24"/>
          <w:szCs w:val="24"/>
        </w:rPr>
        <w:t>五、公司指定信息披露报纸：《中国证券报》</w:t>
      </w:r>
      <w:r>
        <w:rPr>
          <w:rFonts w:ascii="宋体" w:hAnsi="宋体" w:cs="宋体" w:eastAsia="宋体" w:hint="default"/>
          <w:b/>
          <w:bCs/>
          <w:spacing w:val="-105"/>
          <w:w w:val="99"/>
          <w:sz w:val="24"/>
          <w:szCs w:val="24"/>
        </w:rPr>
        <w:t> </w:t>
      </w:r>
      <w:r>
        <w:rPr>
          <w:rFonts w:ascii="宋体" w:hAnsi="宋体" w:cs="宋体" w:eastAsia="宋体" w:hint="default"/>
          <w:b/>
          <w:bCs/>
          <w:spacing w:val="-105"/>
          <w:w w:val="99"/>
          <w:sz w:val="24"/>
          <w:szCs w:val="24"/>
        </w:rPr>
      </w:r>
      <w:hyperlink r:id="rId9">
        <w:r>
          <w:rPr>
            <w:rFonts w:ascii="宋体" w:hAnsi="宋体" w:cs="宋体" w:eastAsia="宋体" w:hint="default"/>
            <w:sz w:val="24"/>
            <w:szCs w:val="24"/>
          </w:rPr>
          <w:t>登载年度报告的中国证监会指定网站的网址：www.cninfo.com.cn</w:t>
        </w:r>
      </w:hyperlink>
      <w:r>
        <w:rPr>
          <w:rFonts w:ascii="宋体" w:hAnsi="宋体" w:cs="宋体" w:eastAsia="宋体" w:hint="default"/>
          <w:sz w:val="24"/>
          <w:szCs w:val="24"/>
        </w:rPr>
        <w:t> 公司年度报告备置地点：公司董事会办公室</w:t>
      </w:r>
    </w:p>
    <w:p>
      <w:pPr>
        <w:spacing w:line="240" w:lineRule="auto" w:before="0"/>
        <w:rPr>
          <w:rFonts w:ascii="宋体" w:hAnsi="宋体" w:cs="宋体" w:eastAsia="宋体" w:hint="default"/>
          <w:sz w:val="24"/>
          <w:szCs w:val="24"/>
        </w:rPr>
      </w:pPr>
    </w:p>
    <w:p>
      <w:pPr>
        <w:spacing w:line="357" w:lineRule="auto" w:before="190"/>
        <w:ind w:left="620" w:right="3882" w:hanging="480"/>
        <w:jc w:val="left"/>
        <w:rPr>
          <w:rFonts w:ascii="宋体" w:hAnsi="宋体" w:cs="宋体" w:eastAsia="宋体" w:hint="default"/>
          <w:sz w:val="24"/>
          <w:szCs w:val="24"/>
        </w:rPr>
      </w:pPr>
      <w:r>
        <w:rPr>
          <w:rFonts w:ascii="宋体" w:hAnsi="宋体" w:cs="宋体" w:eastAsia="宋体" w:hint="default"/>
          <w:b/>
          <w:bCs/>
          <w:sz w:val="24"/>
          <w:szCs w:val="24"/>
        </w:rPr>
        <w:t>六、公司股票上市交易所：深圳证券交易所</w:t>
      </w:r>
      <w:r>
        <w:rPr>
          <w:rFonts w:ascii="宋体" w:hAnsi="宋体" w:cs="宋体" w:eastAsia="宋体" w:hint="default"/>
          <w:b/>
          <w:bCs/>
          <w:w w:val="99"/>
          <w:sz w:val="24"/>
          <w:szCs w:val="24"/>
        </w:rPr>
        <w:t> </w:t>
      </w:r>
      <w:r>
        <w:rPr>
          <w:rFonts w:ascii="宋体" w:hAnsi="宋体" w:cs="宋体" w:eastAsia="宋体" w:hint="default"/>
          <w:sz w:val="24"/>
          <w:szCs w:val="24"/>
        </w:rPr>
        <w:t>股票简称：海隆软件</w:t>
      </w:r>
    </w:p>
    <w:p>
      <w:pPr>
        <w:pStyle w:val="BodyText"/>
        <w:spacing w:line="240" w:lineRule="auto"/>
        <w:ind w:left="620" w:right="1860"/>
        <w:jc w:val="left"/>
      </w:pPr>
      <w:r>
        <w:rPr/>
        <w:t>股票代码：002195</w:t>
      </w:r>
    </w:p>
    <w:p>
      <w:pPr>
        <w:spacing w:after="0" w:line="240" w:lineRule="auto"/>
        <w:jc w:val="left"/>
        <w:sectPr>
          <w:pgSz w:w="11900" w:h="16840"/>
          <w:pgMar w:header="874" w:footer="983" w:top="1100" w:bottom="1180" w:left="1660" w:right="1620"/>
        </w:sectPr>
      </w:pPr>
    </w:p>
    <w:p>
      <w:pPr>
        <w:spacing w:line="240" w:lineRule="auto" w:before="7"/>
        <w:rPr>
          <w:rFonts w:ascii="宋体" w:hAnsi="宋体" w:cs="宋体" w:eastAsia="宋体" w:hint="default"/>
          <w:sz w:val="25"/>
          <w:szCs w:val="25"/>
        </w:rPr>
      </w:pPr>
    </w:p>
    <w:p>
      <w:pPr>
        <w:spacing w:line="357" w:lineRule="auto" w:before="26"/>
        <w:ind w:left="644" w:right="2476" w:hanging="504"/>
        <w:jc w:val="left"/>
        <w:rPr>
          <w:rFonts w:ascii="宋体" w:hAnsi="宋体" w:cs="宋体" w:eastAsia="宋体" w:hint="default"/>
          <w:sz w:val="24"/>
          <w:szCs w:val="24"/>
        </w:rPr>
      </w:pPr>
      <w:r>
        <w:rPr>
          <w:rFonts w:ascii="宋体" w:hAnsi="宋体" w:cs="宋体" w:eastAsia="宋体" w:hint="default"/>
          <w:b/>
          <w:bCs/>
          <w:sz w:val="24"/>
          <w:szCs w:val="24"/>
        </w:rPr>
        <w:t>七、其他有关资料：</w:t>
      </w:r>
      <w:r>
        <w:rPr>
          <w:rFonts w:ascii="宋体" w:hAnsi="宋体" w:cs="宋体" w:eastAsia="宋体" w:hint="default"/>
          <w:b/>
          <w:bCs/>
          <w:w w:val="99"/>
          <w:sz w:val="24"/>
          <w:szCs w:val="24"/>
        </w:rPr>
        <w:t> </w:t>
      </w:r>
      <w:r>
        <w:rPr>
          <w:rFonts w:ascii="宋体" w:hAnsi="宋体" w:cs="宋体" w:eastAsia="宋体" w:hint="default"/>
          <w:sz w:val="24"/>
          <w:szCs w:val="24"/>
        </w:rPr>
        <w:t>股份有限公司首次注册登记日期：2001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BodyText"/>
        <w:spacing w:line="357" w:lineRule="auto"/>
        <w:ind w:left="644" w:right="376"/>
        <w:jc w:val="left"/>
      </w:pPr>
      <w:r>
        <w:rPr/>
        <w:t>公司最近一次变更登记日期：2008</w:t>
      </w:r>
      <w:r>
        <w:rPr>
          <w:spacing w:val="-60"/>
        </w:rPr>
        <w:t> </w:t>
      </w:r>
      <w:r>
        <w:rPr/>
        <w:t>年</w:t>
      </w:r>
      <w:r>
        <w:rPr>
          <w:spacing w:val="-60"/>
        </w:rPr>
        <w:t> </w:t>
      </w:r>
      <w:r>
        <w:rPr/>
        <w:t>10</w:t>
      </w:r>
      <w:r>
        <w:rPr>
          <w:spacing w:val="-60"/>
        </w:rPr>
        <w:t> </w:t>
      </w:r>
      <w:r>
        <w:rPr/>
        <w:t>月</w:t>
      </w:r>
      <w:r>
        <w:rPr>
          <w:spacing w:val="-60"/>
        </w:rPr>
        <w:t> </w:t>
      </w:r>
      <w:r>
        <w:rPr/>
        <w:t>22</w:t>
      </w:r>
      <w:r>
        <w:rPr>
          <w:spacing w:val="-60"/>
        </w:rPr>
        <w:t> </w:t>
      </w:r>
      <w:r>
        <w:rPr/>
        <w:t>日（公司公告</w:t>
      </w:r>
      <w:r>
        <w:rPr>
          <w:spacing w:val="-60"/>
        </w:rPr>
        <w:t> </w:t>
      </w:r>
      <w:r>
        <w:rPr/>
        <w:t>2008-031）</w:t>
      </w:r>
      <w:r>
        <w:rPr/>
        <w:t> 注册登记地点：上海市工商行政管理局 企业法人营业执照注册号：310000000003153 税务登记号码：310104607203699</w:t>
      </w:r>
    </w:p>
    <w:p>
      <w:pPr>
        <w:pStyle w:val="BodyText"/>
        <w:spacing w:line="357" w:lineRule="auto"/>
        <w:ind w:left="644" w:right="1096"/>
        <w:jc w:val="left"/>
      </w:pPr>
      <w:r>
        <w:rPr/>
        <w:t>组织机构代码：60720369-9 公司聘请的会计师事务所：上海众华沪银会计师事务所有限公司 会计师事务所的办公地址：上海市延安东路</w:t>
      </w:r>
      <w:r>
        <w:rPr>
          <w:spacing w:val="-60"/>
        </w:rPr>
        <w:t> </w:t>
      </w:r>
      <w:r>
        <w:rPr/>
        <w:t>550</w:t>
      </w:r>
      <w:r>
        <w:rPr>
          <w:spacing w:val="-60"/>
        </w:rPr>
        <w:t> </w:t>
      </w:r>
      <w:r>
        <w:rPr/>
        <w:t>号海洋大厦</w:t>
      </w:r>
      <w:r>
        <w:rPr>
          <w:spacing w:val="-60"/>
        </w:rPr>
        <w:t> </w:t>
      </w:r>
      <w:r>
        <w:rPr/>
        <w:t>12</w:t>
      </w:r>
      <w:r>
        <w:rPr>
          <w:spacing w:val="-60"/>
        </w:rPr>
        <w:t> </w:t>
      </w:r>
      <w:r>
        <w:rPr/>
        <w:t>楼</w:t>
      </w:r>
    </w:p>
    <w:p>
      <w:pPr>
        <w:spacing w:after="0" w:line="357" w:lineRule="auto"/>
        <w:jc w:val="left"/>
        <w:sectPr>
          <w:pgSz w:w="11900" w:h="16840"/>
          <w:pgMar w:header="874" w:footer="983" w:top="1100" w:bottom="1180" w:left="1660" w:right="1640"/>
        </w:sectPr>
      </w:pPr>
    </w:p>
    <w:p>
      <w:pPr>
        <w:spacing w:line="240" w:lineRule="auto" w:before="8"/>
        <w:rPr>
          <w:rFonts w:ascii="宋体" w:hAnsi="宋体" w:cs="宋体" w:eastAsia="宋体" w:hint="default"/>
          <w:sz w:val="3"/>
          <w:szCs w:val="3"/>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433.7pt;height:.75pt;mso-position-horizontal-relative:char;mso-position-vertical-relative:line" coordorigin="0,0" coordsize="8674,15">
            <v:group style="position:absolute;left:7;top:7;width:8660;height:2" coordorigin="7,7" coordsize="8660,2">
              <v:shape style="position:absolute;left:7;top:7;width:8660;height:2" coordorigin="7,7" coordsize="8660,0" path="m7,7l8666,7e" filled="false" stroked="true" strokeweight=".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7"/>
          <w:szCs w:val="27"/>
        </w:rPr>
      </w:pPr>
    </w:p>
    <w:p>
      <w:pPr>
        <w:pStyle w:val="Heading1"/>
        <w:tabs>
          <w:tab w:pos="3437" w:val="left" w:leader="none"/>
        </w:tabs>
        <w:spacing w:line="240" w:lineRule="auto"/>
        <w:ind w:left="2151" w:right="0"/>
        <w:jc w:val="left"/>
        <w:rPr>
          <w:b w:val="0"/>
          <w:bCs w:val="0"/>
        </w:rPr>
      </w:pPr>
      <w:bookmarkStart w:name="_TOC_250009" w:id="2"/>
      <w:r>
        <w:rPr>
          <w:w w:val="95"/>
        </w:rPr>
        <w:t>第二节</w:t>
        <w:tab/>
      </w:r>
      <w:r>
        <w:rPr/>
        <w:t>会计数据和业务数据摘要</w:t>
      </w:r>
      <w:bookmarkEnd w:id="2"/>
      <w:r>
        <w:rPr>
          <w:b w:val="0"/>
          <w:bCs w:val="0"/>
        </w:rPr>
      </w:r>
    </w:p>
    <w:p>
      <w:pPr>
        <w:pStyle w:val="Heading3"/>
        <w:spacing w:line="240" w:lineRule="auto" w:before="193"/>
        <w:ind w:left="260" w:right="0"/>
        <w:jc w:val="left"/>
        <w:rPr>
          <w:b w:val="0"/>
          <w:bCs w:val="0"/>
        </w:rPr>
      </w:pPr>
      <w:r>
        <w:rPr/>
        <w:t>一、主要财务数据</w:t>
      </w:r>
      <w:r>
        <w:rPr>
          <w:b w:val="0"/>
          <w:bCs w:val="0"/>
        </w:rPr>
      </w:r>
    </w:p>
    <w:p>
      <w:pPr>
        <w:pStyle w:val="Heading3"/>
        <w:spacing w:line="240" w:lineRule="auto" w:before="154"/>
        <w:ind w:left="260" w:right="0"/>
        <w:jc w:val="left"/>
        <w:rPr>
          <w:b w:val="0"/>
          <w:bCs w:val="0"/>
        </w:rPr>
      </w:pPr>
      <w:r>
        <w:rPr/>
        <w:t>（一）公司本年度主要利润指标</w:t>
      </w:r>
      <w:r>
        <w:rPr>
          <w:b w:val="0"/>
          <w:bCs w:val="0"/>
        </w:rPr>
      </w:r>
    </w:p>
    <w:p>
      <w:pPr>
        <w:spacing w:line="240" w:lineRule="auto" w:before="12"/>
        <w:rPr>
          <w:rFonts w:ascii="宋体" w:hAnsi="宋体" w:cs="宋体" w:eastAsia="宋体" w:hint="default"/>
          <w:b/>
          <w:bCs/>
          <w:sz w:val="10"/>
          <w:szCs w:val="10"/>
        </w:rPr>
      </w:pPr>
    </w:p>
    <w:p>
      <w:pPr>
        <w:spacing w:before="36"/>
        <w:ind w:left="0" w:right="134"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389" w:type="dxa"/>
        <w:tblLayout w:type="fixed"/>
        <w:tblCellMar>
          <w:top w:w="0" w:type="dxa"/>
          <w:left w:w="0" w:type="dxa"/>
          <w:bottom w:w="0" w:type="dxa"/>
          <w:right w:w="0" w:type="dxa"/>
        </w:tblCellMar>
        <w:tblLook w:val="01E0"/>
      </w:tblPr>
      <w:tblGrid>
        <w:gridCol w:w="5117"/>
        <w:gridCol w:w="3216"/>
      </w:tblGrid>
      <w:tr>
        <w:trPr>
          <w:trHeight w:val="322" w:hRule="exact"/>
        </w:trPr>
        <w:tc>
          <w:tcPr>
            <w:tcW w:w="5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63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年度金额（元）</w:t>
            </w:r>
          </w:p>
        </w:tc>
      </w:tr>
      <w:tr>
        <w:trPr>
          <w:trHeight w:val="322" w:hRule="exact"/>
        </w:trPr>
        <w:tc>
          <w:tcPr>
            <w:tcW w:w="5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pacing w:val="-1"/>
                <w:sz w:val="21"/>
              </w:rPr>
              <w:t>44,813,549.38</w:t>
            </w:r>
          </w:p>
        </w:tc>
      </w:tr>
      <w:tr>
        <w:trPr>
          <w:trHeight w:val="323" w:hRule="exact"/>
        </w:trPr>
        <w:tc>
          <w:tcPr>
            <w:tcW w:w="5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53,926,503.80</w:t>
            </w:r>
          </w:p>
        </w:tc>
      </w:tr>
      <w:tr>
        <w:trPr>
          <w:trHeight w:val="323" w:hRule="exact"/>
        </w:trPr>
        <w:tc>
          <w:tcPr>
            <w:tcW w:w="5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47,345,959.79</w:t>
            </w:r>
          </w:p>
        </w:tc>
      </w:tr>
      <w:tr>
        <w:trPr>
          <w:trHeight w:val="322" w:hRule="exact"/>
        </w:trPr>
        <w:tc>
          <w:tcPr>
            <w:tcW w:w="5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45,202,806.42</w:t>
            </w:r>
          </w:p>
        </w:tc>
      </w:tr>
      <w:tr>
        <w:trPr>
          <w:trHeight w:val="322" w:hRule="exact"/>
        </w:trPr>
        <w:tc>
          <w:tcPr>
            <w:tcW w:w="5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37,418,074.50</w:t>
            </w:r>
          </w:p>
        </w:tc>
      </w:tr>
      <w:tr>
        <w:trPr>
          <w:trHeight w:val="415" w:hRule="exact"/>
        </w:trPr>
        <w:tc>
          <w:tcPr>
            <w:tcW w:w="5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42,890,745.78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260" w:right="0"/>
        <w:jc w:val="left"/>
        <w:rPr>
          <w:b w:val="0"/>
          <w:bCs w:val="0"/>
        </w:rPr>
      </w:pPr>
      <w:r>
        <w:rPr/>
        <w:t>（二）扣除非经常性损益及金额</w:t>
      </w:r>
      <w:r>
        <w:rPr>
          <w:b w:val="0"/>
          <w:bCs w:val="0"/>
        </w:rPr>
      </w:r>
    </w:p>
    <w:p>
      <w:pPr>
        <w:spacing w:line="240" w:lineRule="auto" w:before="12"/>
        <w:rPr>
          <w:rFonts w:ascii="宋体" w:hAnsi="宋体" w:cs="宋体" w:eastAsia="宋体" w:hint="default"/>
          <w:b/>
          <w:bCs/>
          <w:sz w:val="10"/>
          <w:szCs w:val="10"/>
        </w:rPr>
      </w:pPr>
    </w:p>
    <w:p>
      <w:pPr>
        <w:spacing w:before="36"/>
        <w:ind w:left="0" w:right="134"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255" w:type="dxa"/>
        <w:tblLayout w:type="fixed"/>
        <w:tblCellMar>
          <w:top w:w="0" w:type="dxa"/>
          <w:left w:w="0" w:type="dxa"/>
          <w:bottom w:w="0" w:type="dxa"/>
          <w:right w:w="0" w:type="dxa"/>
        </w:tblCellMar>
        <w:tblLook w:val="01E0"/>
      </w:tblPr>
      <w:tblGrid>
        <w:gridCol w:w="5102"/>
        <w:gridCol w:w="1702"/>
        <w:gridCol w:w="1560"/>
      </w:tblGrid>
      <w:tr>
        <w:trPr>
          <w:trHeight w:val="321" w:hRule="exact"/>
        </w:trPr>
        <w:tc>
          <w:tcPr>
            <w:tcW w:w="51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2"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-47,352.73</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1"/>
                <w:sz w:val="21"/>
                <w:szCs w:val="21"/>
              </w:rPr>
              <w:t>计入当期损益的政府补助，但与公司正常经营业务密切</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相关，符合国家政策规定、按照一定标准定额或定量持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续享受的政府补助除外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9,386,179.00</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-225,871.85</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-331,980.13</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-996,242.37</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51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7,784,731.92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260" w:right="0"/>
        <w:jc w:val="left"/>
        <w:rPr>
          <w:b w:val="0"/>
          <w:bCs w:val="0"/>
        </w:rPr>
      </w:pPr>
      <w:r>
        <w:rPr/>
        <w:t>二、截至报告期末前三年主要会计数据及财务指标</w:t>
      </w:r>
      <w:r>
        <w:rPr>
          <w:b w:val="0"/>
          <w:bCs w:val="0"/>
        </w:rPr>
      </w:r>
    </w:p>
    <w:p>
      <w:pPr>
        <w:pStyle w:val="Heading3"/>
        <w:spacing w:line="240" w:lineRule="auto" w:before="154"/>
        <w:ind w:left="260" w:right="0"/>
        <w:jc w:val="left"/>
        <w:rPr>
          <w:b w:val="0"/>
          <w:bCs w:val="0"/>
        </w:rPr>
      </w:pPr>
      <w:r>
        <w:rPr/>
        <w:t>（一）主要会计数据</w:t>
      </w:r>
      <w:r>
        <w:rPr>
          <w:b w:val="0"/>
          <w:bCs w:val="0"/>
        </w:rPr>
      </w:r>
    </w:p>
    <w:p>
      <w:pPr>
        <w:spacing w:line="240" w:lineRule="auto" w:before="12"/>
        <w:rPr>
          <w:rFonts w:ascii="宋体" w:hAnsi="宋体" w:cs="宋体" w:eastAsia="宋体" w:hint="default"/>
          <w:b/>
          <w:bCs/>
          <w:sz w:val="10"/>
          <w:szCs w:val="10"/>
        </w:rPr>
      </w:pPr>
    </w:p>
    <w:p>
      <w:pPr>
        <w:spacing w:before="36"/>
        <w:ind w:left="0" w:right="134"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2"/>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746"/>
        <w:gridCol w:w="1582"/>
        <w:gridCol w:w="1538"/>
        <w:gridCol w:w="1332"/>
        <w:gridCol w:w="1524"/>
      </w:tblGrid>
      <w:tr>
        <w:trPr>
          <w:trHeight w:val="162" w:hRule="exact"/>
        </w:trPr>
        <w:tc>
          <w:tcPr>
            <w:tcW w:w="2746" w:type="dxa"/>
            <w:tcBorders>
              <w:top w:val="single" w:sz="4" w:space="0" w:color="000000"/>
              <w:left w:val="single" w:sz="4" w:space="0" w:color="000000"/>
              <w:bottom w:val="nil" w:sz="6" w:space="0" w:color="auto"/>
              <w:right w:val="single" w:sz="4" w:space="0" w:color="000000"/>
            </w:tcBorders>
            <w:shd w:val="clear" w:color="auto" w:fill="DBDBDB"/>
          </w:tcPr>
          <w:p>
            <w:pPr/>
          </w:p>
        </w:tc>
        <w:tc>
          <w:tcPr>
            <w:tcW w:w="1582"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4"/>
              <w:ind w:left="44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3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4"/>
              <w:ind w:left="4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32" w:type="dxa"/>
            <w:vMerge w:val="restart"/>
            <w:tcBorders>
              <w:top w:val="single" w:sz="4" w:space="0" w:color="000000"/>
              <w:left w:val="single" w:sz="4" w:space="0" w:color="000000"/>
              <w:right w:val="single" w:sz="4" w:space="0" w:color="000000"/>
            </w:tcBorders>
            <w:shd w:val="clear" w:color="auto" w:fill="DBDBDB"/>
          </w:tcPr>
          <w:p>
            <w:pPr>
              <w:pStyle w:val="TableParagraph"/>
              <w:spacing w:line="273" w:lineRule="auto"/>
              <w:ind w:left="240" w:right="28" w:hanging="209"/>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5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4"/>
              <w:ind w:left="41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12" w:hRule="exact"/>
        </w:trPr>
        <w:tc>
          <w:tcPr>
            <w:tcW w:w="2746" w:type="dxa"/>
            <w:tcBorders>
              <w:top w:val="nil" w:sz="6" w:space="0" w:color="auto"/>
              <w:left w:val="single" w:sz="4" w:space="0" w:color="000000"/>
              <w:bottom w:val="nil" w:sz="6" w:space="0" w:color="auto"/>
              <w:right w:val="single" w:sz="4" w:space="0" w:color="000000"/>
            </w:tcBorders>
            <w:shd w:val="clear" w:color="auto" w:fill="DBDBDB"/>
          </w:tcPr>
          <w:p>
            <w:pPr/>
          </w:p>
        </w:tc>
        <w:tc>
          <w:tcPr>
            <w:tcW w:w="1582" w:type="dxa"/>
            <w:vMerge/>
            <w:tcBorders>
              <w:left w:val="single" w:sz="4" w:space="0" w:color="000000"/>
              <w:right w:val="single" w:sz="4" w:space="0" w:color="000000"/>
            </w:tcBorders>
            <w:shd w:val="clear" w:color="auto" w:fill="DBDBDB"/>
          </w:tcPr>
          <w:p>
            <w:pPr/>
          </w:p>
        </w:tc>
        <w:tc>
          <w:tcPr>
            <w:tcW w:w="1538" w:type="dxa"/>
            <w:vMerge/>
            <w:tcBorders>
              <w:left w:val="single" w:sz="4" w:space="0" w:color="000000"/>
              <w:right w:val="single" w:sz="4" w:space="0" w:color="000000"/>
            </w:tcBorders>
            <w:shd w:val="clear" w:color="auto" w:fill="DBDBDB"/>
          </w:tcPr>
          <w:p>
            <w:pPr/>
          </w:p>
        </w:tc>
        <w:tc>
          <w:tcPr>
            <w:tcW w:w="1332" w:type="dxa"/>
            <w:vMerge/>
            <w:tcBorders>
              <w:left w:val="single" w:sz="4" w:space="0" w:color="000000"/>
              <w:right w:val="single" w:sz="4" w:space="0" w:color="000000"/>
            </w:tcBorders>
            <w:shd w:val="clear" w:color="auto" w:fill="DBDBDB"/>
          </w:tcPr>
          <w:p>
            <w:pPr/>
          </w:p>
        </w:tc>
        <w:tc>
          <w:tcPr>
            <w:tcW w:w="1524" w:type="dxa"/>
            <w:vMerge/>
            <w:tcBorders>
              <w:left w:val="single" w:sz="4" w:space="0" w:color="000000"/>
              <w:right w:val="single" w:sz="4" w:space="0" w:color="000000"/>
            </w:tcBorders>
            <w:shd w:val="clear" w:color="auto" w:fill="DBDBDB"/>
          </w:tcPr>
          <w:p>
            <w:pPr/>
          </w:p>
        </w:tc>
      </w:tr>
      <w:tr>
        <w:trPr>
          <w:trHeight w:val="161" w:hRule="exact"/>
        </w:trPr>
        <w:tc>
          <w:tcPr>
            <w:tcW w:w="2746" w:type="dxa"/>
            <w:tcBorders>
              <w:top w:val="nil" w:sz="6" w:space="0" w:color="auto"/>
              <w:left w:val="single" w:sz="4" w:space="0" w:color="000000"/>
              <w:bottom w:val="single" w:sz="4" w:space="0" w:color="000000"/>
              <w:right w:val="single" w:sz="4" w:space="0" w:color="000000"/>
            </w:tcBorders>
            <w:shd w:val="clear" w:color="auto" w:fill="DBDBDB"/>
          </w:tcPr>
          <w:p>
            <w:pPr/>
          </w:p>
        </w:tc>
        <w:tc>
          <w:tcPr>
            <w:tcW w:w="1582" w:type="dxa"/>
            <w:vMerge/>
            <w:tcBorders>
              <w:left w:val="single" w:sz="4" w:space="0" w:color="000000"/>
              <w:bottom w:val="single" w:sz="4" w:space="0" w:color="000000"/>
              <w:right w:val="single" w:sz="4" w:space="0" w:color="000000"/>
            </w:tcBorders>
            <w:shd w:val="clear" w:color="auto" w:fill="DBDBDB"/>
          </w:tcPr>
          <w:p>
            <w:pPr/>
          </w:p>
        </w:tc>
        <w:tc>
          <w:tcPr>
            <w:tcW w:w="1538" w:type="dxa"/>
            <w:vMerge/>
            <w:tcBorders>
              <w:left w:val="single" w:sz="4" w:space="0" w:color="000000"/>
              <w:bottom w:val="single" w:sz="4" w:space="0" w:color="000000"/>
              <w:right w:val="single" w:sz="4" w:space="0" w:color="000000"/>
            </w:tcBorders>
            <w:shd w:val="clear" w:color="auto" w:fill="DBDBDB"/>
          </w:tcPr>
          <w:p>
            <w:pPr/>
          </w:p>
        </w:tc>
        <w:tc>
          <w:tcPr>
            <w:tcW w:w="1332" w:type="dxa"/>
            <w:vMerge/>
            <w:tcBorders>
              <w:left w:val="single" w:sz="4" w:space="0" w:color="000000"/>
              <w:bottom w:val="single" w:sz="4" w:space="0" w:color="000000"/>
              <w:right w:val="single" w:sz="4" w:space="0" w:color="000000"/>
            </w:tcBorders>
            <w:shd w:val="clear" w:color="auto" w:fill="DBDBDB"/>
          </w:tcPr>
          <w:p>
            <w:pPr/>
          </w:p>
        </w:tc>
        <w:tc>
          <w:tcPr>
            <w:tcW w:w="1524" w:type="dxa"/>
            <w:vMerge/>
            <w:tcBorders>
              <w:left w:val="single" w:sz="4" w:space="0" w:color="000000"/>
              <w:bottom w:val="single" w:sz="4" w:space="0" w:color="000000"/>
              <w:right w:val="single" w:sz="4" w:space="0" w:color="000000"/>
            </w:tcBorders>
            <w:shd w:val="clear" w:color="auto" w:fill="DBDBDB"/>
          </w:tcPr>
          <w:p>
            <w:pPr/>
          </w:p>
        </w:tc>
      </w:tr>
      <w:tr>
        <w:trPr>
          <w:trHeight w:val="322"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spacing w:val="-1"/>
                <w:sz w:val="21"/>
              </w:rPr>
              <w:t>294,250,120.89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 w:right="0"/>
              <w:jc w:val="center"/>
              <w:rPr>
                <w:rFonts w:ascii="宋体" w:hAnsi="宋体" w:cs="宋体" w:eastAsia="宋体" w:hint="default"/>
                <w:sz w:val="21"/>
                <w:szCs w:val="21"/>
              </w:rPr>
            </w:pPr>
            <w:r>
              <w:rPr>
                <w:rFonts w:ascii="宋体"/>
                <w:sz w:val="21"/>
              </w:rPr>
              <w:t>192,961,837.63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52.49%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spacing w:val="-1"/>
                <w:sz w:val="21"/>
              </w:rPr>
              <w:t>175,960,944.25</w:t>
            </w:r>
          </w:p>
        </w:tc>
      </w:tr>
      <w:tr>
        <w:trPr>
          <w:trHeight w:val="322"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spacing w:val="-1"/>
                <w:sz w:val="21"/>
              </w:rPr>
              <w:t>53,926,503.80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1" w:right="0"/>
              <w:jc w:val="center"/>
              <w:rPr>
                <w:rFonts w:ascii="宋体" w:hAnsi="宋体" w:cs="宋体" w:eastAsia="宋体" w:hint="default"/>
                <w:sz w:val="21"/>
                <w:szCs w:val="21"/>
              </w:rPr>
            </w:pPr>
            <w:r>
              <w:rPr>
                <w:rFonts w:ascii="宋体"/>
                <w:sz w:val="21"/>
              </w:rPr>
              <w:t>23,437,064.73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130.09%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spacing w:val="-1"/>
                <w:sz w:val="21"/>
              </w:rPr>
              <w:t>33,022,364.20</w:t>
            </w:r>
          </w:p>
        </w:tc>
      </w:tr>
      <w:tr>
        <w:trPr>
          <w:trHeight w:val="634"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945" w:right="106" w:hanging="84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润（元）</w:t>
            </w:r>
          </w:p>
        </w:tc>
        <w:tc>
          <w:tcPr>
            <w:tcW w:w="158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45,202,806.42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1" w:right="0"/>
              <w:jc w:val="center"/>
              <w:rPr>
                <w:rFonts w:ascii="宋体" w:hAnsi="宋体" w:cs="宋体" w:eastAsia="宋体" w:hint="default"/>
                <w:sz w:val="21"/>
                <w:szCs w:val="21"/>
              </w:rPr>
            </w:pPr>
            <w:r>
              <w:rPr>
                <w:rFonts w:ascii="宋体"/>
                <w:sz w:val="21"/>
              </w:rPr>
              <w:t>20,274,036.09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122.96%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29,160,099.99</w:t>
            </w:r>
          </w:p>
        </w:tc>
      </w:tr>
      <w:tr>
        <w:trPr>
          <w:trHeight w:val="634"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 w:right="-20" w:firstLine="84"/>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r>
              <w:rPr>
                <w:rFonts w:ascii="宋体" w:hAnsi="宋体" w:cs="宋体" w:eastAsia="宋体" w:hint="default"/>
                <w:w w:val="100"/>
                <w:sz w:val="21"/>
                <w:szCs w:val="21"/>
              </w:rPr>
              <w:t> </w:t>
            </w:r>
            <w:r>
              <w:rPr>
                <w:rFonts w:ascii="宋体" w:hAnsi="宋体" w:cs="宋体" w:eastAsia="宋体" w:hint="default"/>
                <w:spacing w:val="-2"/>
                <w:sz w:val="21"/>
                <w:szCs w:val="21"/>
              </w:rPr>
              <w:t>非经常性损益的净利润（元）</w:t>
            </w:r>
          </w:p>
        </w:tc>
        <w:tc>
          <w:tcPr>
            <w:tcW w:w="158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37,418,074.50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1" w:right="0"/>
              <w:jc w:val="center"/>
              <w:rPr>
                <w:rFonts w:ascii="宋体" w:hAnsi="宋体" w:cs="宋体" w:eastAsia="宋体" w:hint="default"/>
                <w:sz w:val="21"/>
                <w:szCs w:val="21"/>
              </w:rPr>
            </w:pPr>
            <w:r>
              <w:rPr>
                <w:rFonts w:ascii="宋体"/>
                <w:sz w:val="21"/>
              </w:rPr>
              <w:t>14,463,187.89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158.71%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23,978,214.00</w:t>
            </w:r>
          </w:p>
        </w:tc>
      </w:tr>
      <w:tr>
        <w:trPr>
          <w:trHeight w:val="636"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945" w:right="106" w:hanging="84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额（元）</w:t>
            </w:r>
          </w:p>
        </w:tc>
        <w:tc>
          <w:tcPr>
            <w:tcW w:w="158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42,890,745.78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1" w:right="0"/>
              <w:jc w:val="center"/>
              <w:rPr>
                <w:rFonts w:ascii="宋体" w:hAnsi="宋体" w:cs="宋体" w:eastAsia="宋体" w:hint="default"/>
                <w:sz w:val="21"/>
                <w:szCs w:val="21"/>
              </w:rPr>
            </w:pPr>
            <w:r>
              <w:rPr>
                <w:rFonts w:ascii="宋体"/>
                <w:sz w:val="21"/>
              </w:rPr>
              <w:t>25,446,412.28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68.55%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37,413,497.28</w:t>
            </w:r>
          </w:p>
        </w:tc>
      </w:tr>
    </w:tbl>
    <w:p>
      <w:pPr>
        <w:spacing w:after="0" w:line="240" w:lineRule="auto"/>
        <w:jc w:val="right"/>
        <w:rPr>
          <w:rFonts w:ascii="宋体" w:hAnsi="宋体" w:cs="宋体" w:eastAsia="宋体" w:hint="default"/>
          <w:sz w:val="21"/>
          <w:szCs w:val="21"/>
        </w:rPr>
        <w:sectPr>
          <w:pgSz w:w="11900" w:h="16840"/>
          <w:pgMar w:header="874" w:footer="983" w:top="1040" w:bottom="1180" w:left="1540" w:right="1360"/>
        </w:sectPr>
      </w:pPr>
    </w:p>
    <w:p>
      <w:pPr>
        <w:spacing w:line="240" w:lineRule="auto" w:before="3"/>
        <w:rPr>
          <w:rFonts w:ascii="宋体" w:hAnsi="宋体" w:cs="宋体" w:eastAsia="宋体" w:hint="default"/>
          <w:sz w:val="29"/>
          <w:szCs w:val="29"/>
        </w:rPr>
      </w:pPr>
    </w:p>
    <w:tbl>
      <w:tblPr>
        <w:tblW w:w="0" w:type="auto"/>
        <w:jc w:val="left"/>
        <w:tblInd w:w="233" w:type="dxa"/>
        <w:tblLayout w:type="fixed"/>
        <w:tblCellMar>
          <w:top w:w="0" w:type="dxa"/>
          <w:left w:w="0" w:type="dxa"/>
          <w:bottom w:w="0" w:type="dxa"/>
          <w:right w:w="0" w:type="dxa"/>
        </w:tblCellMar>
        <w:tblLook w:val="01E0"/>
      </w:tblPr>
      <w:tblGrid>
        <w:gridCol w:w="2746"/>
        <w:gridCol w:w="1582"/>
        <w:gridCol w:w="1538"/>
        <w:gridCol w:w="1332"/>
        <w:gridCol w:w="1524"/>
      </w:tblGrid>
      <w:tr>
        <w:trPr>
          <w:trHeight w:val="161" w:hRule="exact"/>
        </w:trPr>
        <w:tc>
          <w:tcPr>
            <w:tcW w:w="2746" w:type="dxa"/>
            <w:tcBorders>
              <w:top w:val="single" w:sz="4" w:space="0" w:color="000000"/>
              <w:left w:val="single" w:sz="4" w:space="0" w:color="000000"/>
              <w:bottom w:val="nil" w:sz="6" w:space="0" w:color="auto"/>
              <w:right w:val="single" w:sz="4" w:space="0" w:color="000000"/>
            </w:tcBorders>
            <w:shd w:val="clear" w:color="auto" w:fill="DBDBDB"/>
          </w:tcPr>
          <w:p>
            <w:pPr/>
          </w:p>
        </w:tc>
        <w:tc>
          <w:tcPr>
            <w:tcW w:w="1582"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53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31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332" w:type="dxa"/>
            <w:vMerge w:val="restart"/>
            <w:tcBorders>
              <w:top w:val="single" w:sz="4" w:space="0" w:color="000000"/>
              <w:left w:val="single" w:sz="4" w:space="0" w:color="000000"/>
              <w:right w:val="single" w:sz="4" w:space="0" w:color="000000"/>
            </w:tcBorders>
            <w:shd w:val="clear" w:color="auto" w:fill="DBDBDB"/>
          </w:tcPr>
          <w:p>
            <w:pPr>
              <w:pStyle w:val="TableParagraph"/>
              <w:spacing w:line="273" w:lineRule="auto"/>
              <w:ind w:left="31" w:right="28"/>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524"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30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312" w:hRule="exact"/>
        </w:trPr>
        <w:tc>
          <w:tcPr>
            <w:tcW w:w="2746" w:type="dxa"/>
            <w:tcBorders>
              <w:top w:val="nil" w:sz="6" w:space="0" w:color="auto"/>
              <w:left w:val="single" w:sz="4" w:space="0" w:color="000000"/>
              <w:bottom w:val="nil" w:sz="6" w:space="0" w:color="auto"/>
              <w:right w:val="single" w:sz="4" w:space="0" w:color="000000"/>
            </w:tcBorders>
            <w:shd w:val="clear" w:color="auto" w:fill="DBDBDB"/>
          </w:tcPr>
          <w:p>
            <w:pPr/>
          </w:p>
        </w:tc>
        <w:tc>
          <w:tcPr>
            <w:tcW w:w="1582" w:type="dxa"/>
            <w:vMerge/>
            <w:tcBorders>
              <w:left w:val="single" w:sz="4" w:space="0" w:color="000000"/>
              <w:right w:val="single" w:sz="4" w:space="0" w:color="000000"/>
            </w:tcBorders>
            <w:shd w:val="clear" w:color="auto" w:fill="DBDBDB"/>
          </w:tcPr>
          <w:p>
            <w:pPr/>
          </w:p>
        </w:tc>
        <w:tc>
          <w:tcPr>
            <w:tcW w:w="1538" w:type="dxa"/>
            <w:vMerge/>
            <w:tcBorders>
              <w:left w:val="single" w:sz="4" w:space="0" w:color="000000"/>
              <w:right w:val="single" w:sz="4" w:space="0" w:color="000000"/>
            </w:tcBorders>
            <w:shd w:val="clear" w:color="auto" w:fill="DBDBDB"/>
          </w:tcPr>
          <w:p>
            <w:pPr/>
          </w:p>
        </w:tc>
        <w:tc>
          <w:tcPr>
            <w:tcW w:w="1332" w:type="dxa"/>
            <w:vMerge/>
            <w:tcBorders>
              <w:left w:val="single" w:sz="4" w:space="0" w:color="000000"/>
              <w:right w:val="single" w:sz="4" w:space="0" w:color="000000"/>
            </w:tcBorders>
            <w:shd w:val="clear" w:color="auto" w:fill="DBDBDB"/>
          </w:tcPr>
          <w:p>
            <w:pPr/>
          </w:p>
        </w:tc>
        <w:tc>
          <w:tcPr>
            <w:tcW w:w="1524" w:type="dxa"/>
            <w:vMerge/>
            <w:tcBorders>
              <w:left w:val="single" w:sz="4" w:space="0" w:color="000000"/>
              <w:right w:val="single" w:sz="4" w:space="0" w:color="000000"/>
            </w:tcBorders>
            <w:shd w:val="clear" w:color="auto" w:fill="DBDBDB"/>
          </w:tcPr>
          <w:p>
            <w:pPr/>
          </w:p>
        </w:tc>
      </w:tr>
      <w:tr>
        <w:trPr>
          <w:trHeight w:val="161" w:hRule="exact"/>
        </w:trPr>
        <w:tc>
          <w:tcPr>
            <w:tcW w:w="2746" w:type="dxa"/>
            <w:tcBorders>
              <w:top w:val="nil" w:sz="6" w:space="0" w:color="auto"/>
              <w:left w:val="single" w:sz="4" w:space="0" w:color="000000"/>
              <w:bottom w:val="single" w:sz="4" w:space="0" w:color="000000"/>
              <w:right w:val="single" w:sz="4" w:space="0" w:color="000000"/>
            </w:tcBorders>
            <w:shd w:val="clear" w:color="auto" w:fill="DBDBDB"/>
          </w:tcPr>
          <w:p>
            <w:pPr/>
          </w:p>
        </w:tc>
        <w:tc>
          <w:tcPr>
            <w:tcW w:w="1582" w:type="dxa"/>
            <w:vMerge/>
            <w:tcBorders>
              <w:left w:val="single" w:sz="4" w:space="0" w:color="000000"/>
              <w:bottom w:val="single" w:sz="4" w:space="0" w:color="000000"/>
              <w:right w:val="single" w:sz="4" w:space="0" w:color="000000"/>
            </w:tcBorders>
            <w:shd w:val="clear" w:color="auto" w:fill="DBDBDB"/>
          </w:tcPr>
          <w:p>
            <w:pPr/>
          </w:p>
        </w:tc>
        <w:tc>
          <w:tcPr>
            <w:tcW w:w="1538" w:type="dxa"/>
            <w:vMerge/>
            <w:tcBorders>
              <w:left w:val="single" w:sz="4" w:space="0" w:color="000000"/>
              <w:bottom w:val="single" w:sz="4" w:space="0" w:color="000000"/>
              <w:right w:val="single" w:sz="4" w:space="0" w:color="000000"/>
            </w:tcBorders>
            <w:shd w:val="clear" w:color="auto" w:fill="DBDBDB"/>
          </w:tcPr>
          <w:p>
            <w:pPr/>
          </w:p>
        </w:tc>
        <w:tc>
          <w:tcPr>
            <w:tcW w:w="1332" w:type="dxa"/>
            <w:vMerge/>
            <w:tcBorders>
              <w:left w:val="single" w:sz="4" w:space="0" w:color="000000"/>
              <w:bottom w:val="single" w:sz="4" w:space="0" w:color="000000"/>
              <w:right w:val="single" w:sz="4" w:space="0" w:color="000000"/>
            </w:tcBorders>
            <w:shd w:val="clear" w:color="auto" w:fill="DBDBDB"/>
          </w:tcPr>
          <w:p>
            <w:pPr/>
          </w:p>
        </w:tc>
        <w:tc>
          <w:tcPr>
            <w:tcW w:w="1524" w:type="dxa"/>
            <w:vMerge/>
            <w:tcBorders>
              <w:left w:val="single" w:sz="4" w:space="0" w:color="000000"/>
              <w:bottom w:val="single" w:sz="4" w:space="0" w:color="000000"/>
              <w:right w:val="single" w:sz="4" w:space="0" w:color="000000"/>
            </w:tcBorders>
            <w:shd w:val="clear" w:color="auto" w:fill="DBDBDB"/>
          </w:tcPr>
          <w:p>
            <w:pPr/>
          </w:p>
        </w:tc>
      </w:tr>
      <w:tr>
        <w:trPr>
          <w:trHeight w:val="322"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总资产（元）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spacing w:val="-1"/>
                <w:sz w:val="21"/>
              </w:rPr>
              <w:t>358,889,318.01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 w:right="0"/>
              <w:jc w:val="center"/>
              <w:rPr>
                <w:rFonts w:ascii="宋体" w:hAnsi="宋体" w:cs="宋体" w:eastAsia="宋体" w:hint="default"/>
                <w:sz w:val="21"/>
                <w:szCs w:val="21"/>
              </w:rPr>
            </w:pPr>
            <w:r>
              <w:rPr>
                <w:rFonts w:ascii="宋体"/>
                <w:sz w:val="21"/>
              </w:rPr>
              <w:t>314,805,245.41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14.00%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spacing w:val="-1"/>
                <w:sz w:val="21"/>
              </w:rPr>
              <w:t>290,778,588.32</w:t>
            </w:r>
          </w:p>
        </w:tc>
      </w:tr>
      <w:tr>
        <w:trPr>
          <w:trHeight w:val="634"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736" w:right="106" w:hanging="63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者权益（元）</w:t>
            </w:r>
          </w:p>
        </w:tc>
        <w:tc>
          <w:tcPr>
            <w:tcW w:w="1582" w:type="dxa"/>
            <w:tcBorders>
              <w:top w:val="single" w:sz="4" w:space="0" w:color="000000"/>
              <w:left w:val="single" w:sz="10" w:space="0" w:color="DBDBDB"/>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305,786,338.42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5" w:right="0"/>
              <w:jc w:val="center"/>
              <w:rPr>
                <w:rFonts w:ascii="宋体" w:hAnsi="宋体" w:cs="宋体" w:eastAsia="宋体" w:hint="default"/>
                <w:sz w:val="21"/>
                <w:szCs w:val="21"/>
              </w:rPr>
            </w:pPr>
            <w:r>
              <w:rPr>
                <w:rFonts w:ascii="宋体"/>
                <w:sz w:val="21"/>
              </w:rPr>
              <w:t>267,686,166.01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14.23%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
              <w:jc w:val="right"/>
              <w:rPr>
                <w:rFonts w:ascii="宋体" w:hAnsi="宋体" w:cs="宋体" w:eastAsia="宋体" w:hint="default"/>
                <w:sz w:val="21"/>
                <w:szCs w:val="21"/>
              </w:rPr>
            </w:pPr>
            <w:r>
              <w:rPr>
                <w:rFonts w:ascii="宋体"/>
                <w:spacing w:val="-1"/>
                <w:sz w:val="21"/>
              </w:rPr>
              <w:t>254,946,994.42</w:t>
            </w:r>
          </w:p>
        </w:tc>
      </w:tr>
      <w:tr>
        <w:trPr>
          <w:trHeight w:val="324" w:hRule="exact"/>
        </w:trPr>
        <w:tc>
          <w:tcPr>
            <w:tcW w:w="27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股本（股）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1"/>
                <w:szCs w:val="21"/>
              </w:rPr>
            </w:pPr>
            <w:r>
              <w:rPr>
                <w:rFonts w:ascii="宋体"/>
                <w:spacing w:val="-1"/>
                <w:sz w:val="21"/>
              </w:rPr>
              <w:t>74,620,000.00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21" w:right="0"/>
              <w:jc w:val="center"/>
              <w:rPr>
                <w:rFonts w:ascii="宋体" w:hAnsi="宋体" w:cs="宋体" w:eastAsia="宋体" w:hint="default"/>
                <w:sz w:val="21"/>
                <w:szCs w:val="21"/>
              </w:rPr>
            </w:pPr>
            <w:r>
              <w:rPr>
                <w:rFonts w:ascii="宋体"/>
                <w:sz w:val="21"/>
              </w:rPr>
              <w:t>74,620,000.00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8"/>
              <w:jc w:val="right"/>
              <w:rPr>
                <w:rFonts w:ascii="宋体" w:hAnsi="宋体" w:cs="宋体" w:eastAsia="宋体" w:hint="default"/>
                <w:sz w:val="21"/>
                <w:szCs w:val="21"/>
              </w:rPr>
            </w:pPr>
            <w:r>
              <w:rPr>
                <w:rFonts w:ascii="宋体"/>
                <w:spacing w:val="-1"/>
                <w:sz w:val="21"/>
              </w:rPr>
              <w:t>74,620,000.00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380" w:right="4904"/>
        <w:jc w:val="left"/>
        <w:rPr>
          <w:b w:val="0"/>
          <w:bCs w:val="0"/>
        </w:rPr>
      </w:pPr>
      <w:r>
        <w:rPr/>
        <w:t>（二）主要财务指标</w:t>
      </w:r>
      <w:r>
        <w:rPr>
          <w:b w:val="0"/>
          <w:bCs w:val="0"/>
        </w:rPr>
      </w:r>
    </w:p>
    <w:p>
      <w:pPr>
        <w:spacing w:line="240" w:lineRule="auto" w:before="12"/>
        <w:rPr>
          <w:rFonts w:ascii="宋体" w:hAnsi="宋体" w:cs="宋体" w:eastAsia="宋体" w:hint="default"/>
          <w:b/>
          <w:bCs/>
          <w:sz w:val="10"/>
          <w:szCs w:val="10"/>
        </w:rPr>
      </w:pPr>
    </w:p>
    <w:p>
      <w:pPr>
        <w:spacing w:before="36"/>
        <w:ind w:left="0" w:right="374"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233" w:type="dxa"/>
        <w:tblLayout w:type="fixed"/>
        <w:tblCellMar>
          <w:top w:w="0" w:type="dxa"/>
          <w:left w:w="0" w:type="dxa"/>
          <w:bottom w:w="0" w:type="dxa"/>
          <w:right w:w="0" w:type="dxa"/>
        </w:tblCellMar>
        <w:tblLook w:val="01E0"/>
      </w:tblPr>
      <w:tblGrid>
        <w:gridCol w:w="2837"/>
        <w:gridCol w:w="1416"/>
        <w:gridCol w:w="1418"/>
        <w:gridCol w:w="1416"/>
        <w:gridCol w:w="1418"/>
      </w:tblGrid>
      <w:tr>
        <w:trPr>
          <w:trHeight w:val="161" w:hRule="exact"/>
        </w:trPr>
        <w:tc>
          <w:tcPr>
            <w:tcW w:w="2837" w:type="dxa"/>
            <w:tcBorders>
              <w:top w:val="single" w:sz="4" w:space="0" w:color="000000"/>
              <w:left w:val="single" w:sz="4" w:space="0" w:color="000000"/>
              <w:bottom w:val="nil" w:sz="6" w:space="0" w:color="auto"/>
              <w:right w:val="single" w:sz="4" w:space="0" w:color="000000"/>
            </w:tcBorders>
            <w:shd w:val="clear" w:color="auto" w:fill="DBDBDB"/>
          </w:tcPr>
          <w:p>
            <w:pPr/>
          </w:p>
        </w:tc>
        <w:tc>
          <w:tcPr>
            <w:tcW w:w="141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36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36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16" w:type="dxa"/>
            <w:vMerge w:val="restart"/>
            <w:tcBorders>
              <w:top w:val="single" w:sz="4" w:space="0" w:color="000000"/>
              <w:left w:val="single" w:sz="4" w:space="0" w:color="000000"/>
              <w:right w:val="single" w:sz="4" w:space="0" w:color="000000"/>
            </w:tcBorders>
            <w:shd w:val="clear" w:color="auto" w:fill="DBDBDB"/>
          </w:tcPr>
          <w:p>
            <w:pPr>
              <w:pStyle w:val="TableParagraph"/>
              <w:spacing w:line="273" w:lineRule="auto"/>
              <w:ind w:left="175" w:right="175"/>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p>
        </w:tc>
        <w:tc>
          <w:tcPr>
            <w:tcW w:w="141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36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BDBDB"/>
          </w:tcPr>
          <w:p>
            <w:pPr/>
          </w:p>
        </w:tc>
        <w:tc>
          <w:tcPr>
            <w:tcW w:w="1416" w:type="dxa"/>
            <w:vMerge/>
            <w:tcBorders>
              <w:left w:val="single" w:sz="4" w:space="0" w:color="000000"/>
              <w:right w:val="single" w:sz="4" w:space="0" w:color="000000"/>
            </w:tcBorders>
            <w:shd w:val="clear" w:color="auto" w:fill="DBDBDB"/>
          </w:tcPr>
          <w:p>
            <w:pPr/>
          </w:p>
        </w:tc>
        <w:tc>
          <w:tcPr>
            <w:tcW w:w="1418" w:type="dxa"/>
            <w:vMerge/>
            <w:tcBorders>
              <w:left w:val="single" w:sz="4" w:space="0" w:color="000000"/>
              <w:right w:val="single" w:sz="4" w:space="0" w:color="000000"/>
            </w:tcBorders>
            <w:shd w:val="clear" w:color="auto" w:fill="DBDBDB"/>
          </w:tcPr>
          <w:p>
            <w:pPr/>
          </w:p>
        </w:tc>
        <w:tc>
          <w:tcPr>
            <w:tcW w:w="1416" w:type="dxa"/>
            <w:vMerge/>
            <w:tcBorders>
              <w:left w:val="single" w:sz="4" w:space="0" w:color="000000"/>
              <w:right w:val="single" w:sz="4" w:space="0" w:color="000000"/>
            </w:tcBorders>
            <w:shd w:val="clear" w:color="auto" w:fill="DBDBDB"/>
          </w:tcPr>
          <w:p>
            <w:pPr/>
          </w:p>
        </w:tc>
        <w:tc>
          <w:tcPr>
            <w:tcW w:w="1418" w:type="dxa"/>
            <w:vMerge/>
            <w:tcBorders>
              <w:left w:val="single" w:sz="4" w:space="0" w:color="000000"/>
              <w:right w:val="single" w:sz="4" w:space="0" w:color="000000"/>
            </w:tcBorders>
            <w:shd w:val="clear" w:color="auto" w:fill="DBDBDB"/>
          </w:tcPr>
          <w:p>
            <w:pPr/>
          </w:p>
        </w:tc>
      </w:tr>
      <w:tr>
        <w:trPr>
          <w:trHeight w:val="161" w:hRule="exact"/>
        </w:trPr>
        <w:tc>
          <w:tcPr>
            <w:tcW w:w="2837" w:type="dxa"/>
            <w:tcBorders>
              <w:top w:val="nil" w:sz="6" w:space="0" w:color="auto"/>
              <w:left w:val="single" w:sz="4" w:space="0" w:color="000000"/>
              <w:bottom w:val="single" w:sz="4" w:space="0" w:color="000000"/>
              <w:right w:val="single" w:sz="4" w:space="0" w:color="000000"/>
            </w:tcBorders>
            <w:shd w:val="clear" w:color="auto" w:fill="DBDBDB"/>
          </w:tcPr>
          <w:p>
            <w:pPr/>
          </w:p>
        </w:tc>
        <w:tc>
          <w:tcPr>
            <w:tcW w:w="1416" w:type="dxa"/>
            <w:vMerge/>
            <w:tcBorders>
              <w:left w:val="single" w:sz="4" w:space="0" w:color="000000"/>
              <w:bottom w:val="single" w:sz="4" w:space="0" w:color="000000"/>
              <w:right w:val="single" w:sz="4" w:space="0" w:color="000000"/>
            </w:tcBorders>
            <w:shd w:val="clear" w:color="auto" w:fill="DBDBDB"/>
          </w:tcPr>
          <w:p>
            <w:pPr/>
          </w:p>
        </w:tc>
        <w:tc>
          <w:tcPr>
            <w:tcW w:w="1418" w:type="dxa"/>
            <w:vMerge/>
            <w:tcBorders>
              <w:left w:val="single" w:sz="4" w:space="0" w:color="000000"/>
              <w:bottom w:val="single" w:sz="4" w:space="0" w:color="000000"/>
              <w:right w:val="single" w:sz="4" w:space="0" w:color="000000"/>
            </w:tcBorders>
            <w:shd w:val="clear" w:color="auto" w:fill="DBDBDB"/>
          </w:tcPr>
          <w:p>
            <w:pPr/>
          </w:p>
        </w:tc>
        <w:tc>
          <w:tcPr>
            <w:tcW w:w="1416" w:type="dxa"/>
            <w:vMerge/>
            <w:tcBorders>
              <w:left w:val="single" w:sz="4" w:space="0" w:color="000000"/>
              <w:bottom w:val="single" w:sz="4" w:space="0" w:color="000000"/>
              <w:right w:val="single" w:sz="4" w:space="0" w:color="000000"/>
            </w:tcBorders>
            <w:shd w:val="clear" w:color="auto" w:fill="DBDBDB"/>
          </w:tcPr>
          <w:p>
            <w:pPr/>
          </w:p>
        </w:tc>
        <w:tc>
          <w:tcPr>
            <w:tcW w:w="1418" w:type="dxa"/>
            <w:vMerge/>
            <w:tcBorders>
              <w:left w:val="single" w:sz="4" w:space="0" w:color="000000"/>
              <w:bottom w:val="single" w:sz="4" w:space="0" w:color="000000"/>
              <w:right w:val="single" w:sz="4" w:space="0" w:color="000000"/>
            </w:tcBorders>
            <w:shd w:val="clear" w:color="auto" w:fill="DBDBDB"/>
          </w:tcPr>
          <w:p>
            <w:pP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125.93%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0.39</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125.93%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0.39</w:t>
            </w:r>
          </w:p>
        </w:tc>
      </w:tr>
      <w:tr>
        <w:trPr>
          <w:trHeight w:val="634" w:hRule="exact"/>
        </w:trPr>
        <w:tc>
          <w:tcPr>
            <w:tcW w:w="28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 w:right="7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16"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0.5014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0.1938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158.72%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0.32</w:t>
            </w:r>
          </w:p>
        </w:tc>
      </w:tr>
      <w:tr>
        <w:trPr>
          <w:trHeight w:val="324" w:hRule="exact"/>
        </w:trPr>
        <w:tc>
          <w:tcPr>
            <w:tcW w:w="28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15.81%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7.78%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8.03%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12.00%</w:t>
            </w:r>
          </w:p>
        </w:tc>
      </w:tr>
      <w:tr>
        <w:trPr>
          <w:trHeight w:val="634" w:hRule="exact"/>
        </w:trPr>
        <w:tc>
          <w:tcPr>
            <w:tcW w:w="28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 w:right="7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6"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13.09%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5.55%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7.54%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9.86%</w:t>
            </w:r>
          </w:p>
        </w:tc>
      </w:tr>
      <w:tr>
        <w:trPr>
          <w:trHeight w:val="634" w:hRule="exact"/>
        </w:trPr>
        <w:tc>
          <w:tcPr>
            <w:tcW w:w="28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 w:right="70"/>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16"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0.5748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0.3410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68.56%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0.50</w:t>
            </w:r>
          </w:p>
        </w:tc>
      </w:tr>
      <w:tr>
        <w:trPr>
          <w:trHeight w:val="161" w:hRule="exact"/>
        </w:trPr>
        <w:tc>
          <w:tcPr>
            <w:tcW w:w="2837" w:type="dxa"/>
            <w:tcBorders>
              <w:top w:val="single" w:sz="4" w:space="0" w:color="000000"/>
              <w:left w:val="single" w:sz="4" w:space="0" w:color="000000"/>
              <w:bottom w:val="nil" w:sz="6" w:space="0" w:color="auto"/>
              <w:right w:val="single" w:sz="4" w:space="0" w:color="000000"/>
            </w:tcBorders>
            <w:shd w:val="clear" w:color="auto" w:fill="DBDBDB"/>
          </w:tcPr>
          <w:p>
            <w:pPr/>
          </w:p>
        </w:tc>
        <w:tc>
          <w:tcPr>
            <w:tcW w:w="1416"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25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1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25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416" w:type="dxa"/>
            <w:vMerge w:val="restart"/>
            <w:tcBorders>
              <w:top w:val="single" w:sz="4" w:space="0" w:color="000000"/>
              <w:left w:val="single" w:sz="4" w:space="0" w:color="000000"/>
              <w:right w:val="single" w:sz="4" w:space="0" w:color="000000"/>
            </w:tcBorders>
            <w:shd w:val="clear" w:color="auto" w:fill="DBDBDB"/>
          </w:tcPr>
          <w:p>
            <w:pPr>
              <w:pStyle w:val="TableParagraph"/>
              <w:spacing w:line="273" w:lineRule="auto"/>
              <w:ind w:left="71" w:right="70"/>
              <w:jc w:val="left"/>
              <w:rPr>
                <w:rFonts w:ascii="宋体" w:hAnsi="宋体" w:cs="宋体" w:eastAsia="宋体"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p>
        </w:tc>
        <w:tc>
          <w:tcPr>
            <w:tcW w:w="141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25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312" w:hRule="exact"/>
        </w:trPr>
        <w:tc>
          <w:tcPr>
            <w:tcW w:w="2837" w:type="dxa"/>
            <w:tcBorders>
              <w:top w:val="nil" w:sz="6" w:space="0" w:color="auto"/>
              <w:left w:val="single" w:sz="4" w:space="0" w:color="000000"/>
              <w:bottom w:val="nil" w:sz="6" w:space="0" w:color="auto"/>
              <w:right w:val="single" w:sz="4" w:space="0" w:color="000000"/>
            </w:tcBorders>
            <w:shd w:val="clear" w:color="auto" w:fill="DBDBDB"/>
          </w:tcPr>
          <w:p>
            <w:pPr/>
          </w:p>
        </w:tc>
        <w:tc>
          <w:tcPr>
            <w:tcW w:w="1416" w:type="dxa"/>
            <w:vMerge/>
            <w:tcBorders>
              <w:left w:val="single" w:sz="4" w:space="0" w:color="000000"/>
              <w:right w:val="single" w:sz="4" w:space="0" w:color="000000"/>
            </w:tcBorders>
            <w:shd w:val="clear" w:color="auto" w:fill="DBDBDB"/>
          </w:tcPr>
          <w:p>
            <w:pPr/>
          </w:p>
        </w:tc>
        <w:tc>
          <w:tcPr>
            <w:tcW w:w="1418" w:type="dxa"/>
            <w:vMerge/>
            <w:tcBorders>
              <w:left w:val="single" w:sz="4" w:space="0" w:color="000000"/>
              <w:right w:val="single" w:sz="4" w:space="0" w:color="000000"/>
            </w:tcBorders>
            <w:shd w:val="clear" w:color="auto" w:fill="DBDBDB"/>
          </w:tcPr>
          <w:p>
            <w:pPr/>
          </w:p>
        </w:tc>
        <w:tc>
          <w:tcPr>
            <w:tcW w:w="1416" w:type="dxa"/>
            <w:vMerge/>
            <w:tcBorders>
              <w:left w:val="single" w:sz="4" w:space="0" w:color="000000"/>
              <w:right w:val="single" w:sz="4" w:space="0" w:color="000000"/>
            </w:tcBorders>
            <w:shd w:val="clear" w:color="auto" w:fill="DBDBDB"/>
          </w:tcPr>
          <w:p>
            <w:pPr/>
          </w:p>
        </w:tc>
        <w:tc>
          <w:tcPr>
            <w:tcW w:w="1418" w:type="dxa"/>
            <w:vMerge/>
            <w:tcBorders>
              <w:left w:val="single" w:sz="4" w:space="0" w:color="000000"/>
              <w:right w:val="single" w:sz="4" w:space="0" w:color="000000"/>
            </w:tcBorders>
            <w:shd w:val="clear" w:color="auto" w:fill="DBDBDB"/>
          </w:tcPr>
          <w:p>
            <w:pPr/>
          </w:p>
        </w:tc>
      </w:tr>
      <w:tr>
        <w:trPr>
          <w:trHeight w:val="161" w:hRule="exact"/>
        </w:trPr>
        <w:tc>
          <w:tcPr>
            <w:tcW w:w="2837" w:type="dxa"/>
            <w:tcBorders>
              <w:top w:val="nil" w:sz="6" w:space="0" w:color="auto"/>
              <w:left w:val="single" w:sz="4" w:space="0" w:color="000000"/>
              <w:bottom w:val="single" w:sz="4" w:space="0" w:color="000000"/>
              <w:right w:val="single" w:sz="4" w:space="0" w:color="000000"/>
            </w:tcBorders>
            <w:shd w:val="clear" w:color="auto" w:fill="DBDBDB"/>
          </w:tcPr>
          <w:p>
            <w:pPr/>
          </w:p>
        </w:tc>
        <w:tc>
          <w:tcPr>
            <w:tcW w:w="1416" w:type="dxa"/>
            <w:vMerge/>
            <w:tcBorders>
              <w:left w:val="single" w:sz="4" w:space="0" w:color="000000"/>
              <w:bottom w:val="single" w:sz="4" w:space="0" w:color="000000"/>
              <w:right w:val="single" w:sz="4" w:space="0" w:color="000000"/>
            </w:tcBorders>
            <w:shd w:val="clear" w:color="auto" w:fill="DBDBDB"/>
          </w:tcPr>
          <w:p>
            <w:pPr/>
          </w:p>
        </w:tc>
        <w:tc>
          <w:tcPr>
            <w:tcW w:w="1418" w:type="dxa"/>
            <w:vMerge/>
            <w:tcBorders>
              <w:left w:val="single" w:sz="4" w:space="0" w:color="000000"/>
              <w:bottom w:val="single" w:sz="4" w:space="0" w:color="000000"/>
              <w:right w:val="single" w:sz="4" w:space="0" w:color="000000"/>
            </w:tcBorders>
            <w:shd w:val="clear" w:color="auto" w:fill="DBDBDB"/>
          </w:tcPr>
          <w:p>
            <w:pPr/>
          </w:p>
        </w:tc>
        <w:tc>
          <w:tcPr>
            <w:tcW w:w="1416" w:type="dxa"/>
            <w:vMerge/>
            <w:tcBorders>
              <w:left w:val="single" w:sz="4" w:space="0" w:color="000000"/>
              <w:bottom w:val="single" w:sz="4" w:space="0" w:color="000000"/>
              <w:right w:val="single" w:sz="4" w:space="0" w:color="000000"/>
            </w:tcBorders>
            <w:shd w:val="clear" w:color="auto" w:fill="DBDBDB"/>
          </w:tcPr>
          <w:p>
            <w:pPr/>
          </w:p>
        </w:tc>
        <w:tc>
          <w:tcPr>
            <w:tcW w:w="1418" w:type="dxa"/>
            <w:vMerge/>
            <w:tcBorders>
              <w:left w:val="single" w:sz="4" w:space="0" w:color="000000"/>
              <w:bottom w:val="single" w:sz="4" w:space="0" w:color="000000"/>
              <w:right w:val="single" w:sz="4" w:space="0" w:color="000000"/>
            </w:tcBorders>
            <w:shd w:val="clear" w:color="auto" w:fill="DBDBDB"/>
          </w:tcPr>
          <w:p>
            <w:pPr/>
          </w:p>
        </w:tc>
      </w:tr>
      <w:tr>
        <w:trPr>
          <w:trHeight w:val="634" w:hRule="exact"/>
        </w:trPr>
        <w:tc>
          <w:tcPr>
            <w:tcW w:w="28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 w:right="7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16"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z w:val="21"/>
              </w:rPr>
              <w:t>4.10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3.59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14.21%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3.42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380" w:right="4904"/>
        <w:jc w:val="left"/>
        <w:rPr>
          <w:b w:val="0"/>
          <w:bCs w:val="0"/>
        </w:rPr>
      </w:pPr>
      <w:r>
        <w:rPr/>
        <w:t>（三）利润表附表</w:t>
      </w:r>
      <w:r>
        <w:rPr>
          <w:b w:val="0"/>
          <w:bCs w:val="0"/>
        </w:rPr>
      </w:r>
    </w:p>
    <w:p>
      <w:pPr>
        <w:pStyle w:val="BodyText"/>
        <w:spacing w:line="357" w:lineRule="auto" w:before="154"/>
        <w:ind w:left="156" w:right="375" w:firstLine="472"/>
        <w:jc w:val="both"/>
      </w:pPr>
      <w:r>
        <w:rPr>
          <w:spacing w:val="-5"/>
        </w:rPr>
        <w:t>按照中国证监会《公开发行证券的公司信息披露编报规则第</w:t>
      </w:r>
      <w:r>
        <w:rPr/>
        <w:t> 9</w:t>
      </w:r>
      <w:r>
        <w:rPr>
          <w:spacing w:val="-39"/>
        </w:rPr>
        <w:t> </w:t>
      </w:r>
      <w:r>
        <w:rPr/>
        <w:t>号——净资产收益</w:t>
      </w:r>
      <w:r>
        <w:rPr/>
        <w:t> 率和每股收益的计算及披露》（2010</w:t>
      </w:r>
      <w:r>
        <w:rPr>
          <w:spacing w:val="50"/>
        </w:rPr>
        <w:t> </w:t>
      </w:r>
      <w:r>
        <w:rPr/>
        <w:t>年修订）的要求计算的净资产收益率及每股收</w:t>
      </w:r>
      <w:r>
        <w:rPr>
          <w:spacing w:val="-115"/>
        </w:rPr>
        <w:t> </w:t>
      </w:r>
      <w:r>
        <w:rPr>
          <w:spacing w:val="-115"/>
        </w:rPr>
      </w:r>
      <w:r>
        <w:rPr/>
        <w:t>益。</w:t>
      </w:r>
    </w:p>
    <w:tbl>
      <w:tblPr>
        <w:tblW w:w="0" w:type="auto"/>
        <w:jc w:val="left"/>
        <w:tblInd w:w="116" w:type="dxa"/>
        <w:tblLayout w:type="fixed"/>
        <w:tblCellMar>
          <w:top w:w="0" w:type="dxa"/>
          <w:left w:w="0" w:type="dxa"/>
          <w:bottom w:w="0" w:type="dxa"/>
          <w:right w:w="0" w:type="dxa"/>
        </w:tblCellMar>
        <w:tblLook w:val="01E0"/>
      </w:tblPr>
      <w:tblGrid>
        <w:gridCol w:w="1963"/>
        <w:gridCol w:w="1639"/>
        <w:gridCol w:w="895"/>
        <w:gridCol w:w="883"/>
        <w:gridCol w:w="1582"/>
        <w:gridCol w:w="958"/>
        <w:gridCol w:w="1200"/>
      </w:tblGrid>
      <w:tr>
        <w:trPr>
          <w:trHeight w:val="318" w:hRule="exact"/>
        </w:trPr>
        <w:tc>
          <w:tcPr>
            <w:tcW w:w="196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3417"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739"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27" w:hRule="exact"/>
        </w:trPr>
        <w:tc>
          <w:tcPr>
            <w:tcW w:w="1963" w:type="dxa"/>
            <w:vMerge/>
            <w:tcBorders>
              <w:left w:val="single" w:sz="4" w:space="0" w:color="000000"/>
              <w:right w:val="single" w:sz="4" w:space="0" w:color="000000"/>
            </w:tcBorders>
            <w:shd w:val="clear" w:color="auto" w:fill="DDDDDD"/>
          </w:tcPr>
          <w:p>
            <w:pPr/>
          </w:p>
        </w:tc>
        <w:tc>
          <w:tcPr>
            <w:tcW w:w="1639"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ind w:left="237" w:right="180" w:hanging="53"/>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177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7" w:lineRule="exact"/>
              <w:ind w:left="463"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1582"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ind w:left="208" w:right="151" w:hanging="53"/>
              <w:jc w:val="left"/>
              <w:rPr>
                <w:rFonts w:ascii="宋体" w:hAnsi="宋体" w:cs="宋体" w:eastAsia="宋体" w:hint="default"/>
                <w:sz w:val="21"/>
                <w:szCs w:val="21"/>
              </w:rPr>
            </w:pPr>
            <w:r>
              <w:rPr>
                <w:rFonts w:ascii="宋体" w:hAnsi="宋体" w:cs="宋体" w:eastAsia="宋体" w:hint="default"/>
                <w:sz w:val="21"/>
                <w:szCs w:val="21"/>
              </w:rPr>
              <w:t>加权平均净资</w:t>
            </w:r>
            <w:r>
              <w:rPr>
                <w:rFonts w:ascii="宋体" w:hAnsi="宋体" w:cs="宋体" w:eastAsia="宋体" w:hint="default"/>
                <w:w w:val="100"/>
                <w:sz w:val="21"/>
                <w:szCs w:val="21"/>
              </w:rPr>
              <w:t> </w:t>
            </w:r>
            <w:r>
              <w:rPr>
                <w:rFonts w:ascii="宋体" w:hAnsi="宋体" w:cs="宋体" w:eastAsia="宋体" w:hint="default"/>
                <w:sz w:val="21"/>
                <w:szCs w:val="21"/>
              </w:rPr>
              <w:t>产收益率(%)</w:t>
            </w:r>
          </w:p>
        </w:tc>
        <w:tc>
          <w:tcPr>
            <w:tcW w:w="215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7" w:lineRule="exact"/>
              <w:ind w:left="652" w:right="0"/>
              <w:jc w:val="left"/>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2" w:hRule="exact"/>
        </w:trPr>
        <w:tc>
          <w:tcPr>
            <w:tcW w:w="1963" w:type="dxa"/>
            <w:vMerge/>
            <w:tcBorders>
              <w:left w:val="single" w:sz="4" w:space="0" w:color="000000"/>
              <w:bottom w:val="single" w:sz="4" w:space="0" w:color="000000"/>
              <w:right w:val="single" w:sz="4" w:space="0" w:color="000000"/>
            </w:tcBorders>
            <w:shd w:val="clear" w:color="auto" w:fill="DDDDDD"/>
          </w:tcPr>
          <w:p>
            <w:pPr/>
          </w:p>
        </w:tc>
        <w:tc>
          <w:tcPr>
            <w:tcW w:w="1639" w:type="dxa"/>
            <w:vMerge/>
            <w:tcBorders>
              <w:left w:val="single" w:sz="4" w:space="0" w:color="000000"/>
              <w:bottom w:val="single" w:sz="4" w:space="0" w:color="000000"/>
              <w:right w:val="single" w:sz="4" w:space="0" w:color="000000"/>
            </w:tcBorders>
            <w:shd w:val="clear" w:color="auto" w:fill="DDDDDD"/>
          </w:tcPr>
          <w:p>
            <w:pPr/>
          </w:p>
        </w:tc>
        <w:tc>
          <w:tcPr>
            <w:tcW w:w="8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228"/>
              <w:jc w:val="right"/>
              <w:rPr>
                <w:rFonts w:ascii="宋体" w:hAnsi="宋体" w:cs="宋体" w:eastAsia="宋体" w:hint="default"/>
                <w:sz w:val="21"/>
                <w:szCs w:val="21"/>
              </w:rPr>
            </w:pPr>
            <w:r>
              <w:rPr>
                <w:rFonts w:ascii="宋体" w:hAnsi="宋体" w:cs="宋体" w:eastAsia="宋体" w:hint="default"/>
                <w:sz w:val="21"/>
                <w:szCs w:val="21"/>
              </w:rPr>
              <w:t>基本</w:t>
            </w:r>
          </w:p>
        </w:tc>
        <w:tc>
          <w:tcPr>
            <w:tcW w:w="8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稀释</w:t>
            </w:r>
          </w:p>
        </w:tc>
        <w:tc>
          <w:tcPr>
            <w:tcW w:w="1582" w:type="dxa"/>
            <w:vMerge/>
            <w:tcBorders>
              <w:left w:val="single" w:sz="4" w:space="0" w:color="000000"/>
              <w:bottom w:val="single" w:sz="4" w:space="0" w:color="000000"/>
              <w:right w:val="single" w:sz="4" w:space="0" w:color="000000"/>
            </w:tcBorders>
            <w:shd w:val="clear" w:color="auto" w:fill="DDDDDD"/>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259"/>
              <w:jc w:val="right"/>
              <w:rPr>
                <w:rFonts w:ascii="宋体" w:hAnsi="宋体" w:cs="宋体" w:eastAsia="宋体" w:hint="default"/>
                <w:sz w:val="21"/>
                <w:szCs w:val="21"/>
              </w:rPr>
            </w:pPr>
            <w:r>
              <w:rPr>
                <w:rFonts w:ascii="宋体" w:hAnsi="宋体" w:cs="宋体" w:eastAsia="宋体" w:hint="default"/>
                <w:sz w:val="21"/>
                <w:szCs w:val="21"/>
              </w:rPr>
              <w:t>基本</w:t>
            </w:r>
          </w:p>
        </w:tc>
        <w:tc>
          <w:tcPr>
            <w:tcW w:w="12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稀释</w:t>
            </w:r>
          </w:p>
        </w:tc>
      </w:tr>
      <w:tr>
        <w:trPr>
          <w:trHeight w:val="634" w:hRule="exact"/>
        </w:trPr>
        <w:tc>
          <w:tcPr>
            <w:tcW w:w="19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z w:val="21"/>
                <w:szCs w:val="21"/>
              </w:rPr>
              <w:t>归属于公司普通股</w:t>
            </w:r>
            <w:r>
              <w:rPr>
                <w:rFonts w:ascii="宋体" w:hAnsi="宋体" w:cs="宋体" w:eastAsia="宋体" w:hint="default"/>
                <w:w w:val="100"/>
                <w:sz w:val="21"/>
                <w:szCs w:val="21"/>
              </w:rPr>
              <w:t> </w:t>
            </w:r>
            <w:r>
              <w:rPr>
                <w:rFonts w:ascii="宋体" w:hAnsi="宋体" w:cs="宋体" w:eastAsia="宋体" w:hint="default"/>
                <w:sz w:val="21"/>
                <w:szCs w:val="21"/>
              </w:rPr>
              <w:t>股东的净利润</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15.81%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9"/>
              <w:jc w:val="right"/>
              <w:rPr>
                <w:rFonts w:ascii="宋体" w:hAnsi="宋体" w:cs="宋体" w:eastAsia="宋体" w:hint="default"/>
                <w:sz w:val="21"/>
                <w:szCs w:val="21"/>
              </w:rPr>
            </w:pPr>
            <w:r>
              <w:rPr>
                <w:rFonts w:ascii="宋体"/>
                <w:sz w:val="21"/>
              </w:rPr>
              <w:t>0.61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sz w:val="21"/>
              </w:rPr>
              <w:t>0.61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sz w:val="21"/>
              </w:rPr>
              <w:t>7.78%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63"/>
              <w:jc w:val="right"/>
              <w:rPr>
                <w:rFonts w:ascii="宋体" w:hAnsi="宋体" w:cs="宋体" w:eastAsia="宋体" w:hint="default"/>
                <w:sz w:val="21"/>
                <w:szCs w:val="21"/>
              </w:rPr>
            </w:pPr>
            <w:r>
              <w:rPr>
                <w:rFonts w:ascii="宋体"/>
                <w:sz w:val="21"/>
              </w:rPr>
              <w:t>0.27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
              <w:jc w:val="center"/>
              <w:rPr>
                <w:rFonts w:ascii="宋体" w:hAnsi="宋体" w:cs="宋体" w:eastAsia="宋体" w:hint="default"/>
                <w:sz w:val="21"/>
                <w:szCs w:val="21"/>
              </w:rPr>
            </w:pPr>
            <w:r>
              <w:rPr>
                <w:rFonts w:ascii="宋体"/>
                <w:sz w:val="21"/>
              </w:rPr>
              <w:t>0.27</w:t>
            </w:r>
          </w:p>
        </w:tc>
      </w:tr>
      <w:tr>
        <w:trPr>
          <w:trHeight w:val="946" w:hRule="exact"/>
        </w:trPr>
        <w:tc>
          <w:tcPr>
            <w:tcW w:w="19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103" w:right="166"/>
              <w:jc w:val="both"/>
              <w:rPr>
                <w:rFonts w:ascii="宋体" w:hAnsi="宋体" w:cs="宋体" w:eastAsia="宋体" w:hint="default"/>
                <w:sz w:val="21"/>
                <w:szCs w:val="21"/>
              </w:rPr>
            </w:pPr>
            <w:r>
              <w:rPr>
                <w:rFonts w:ascii="宋体" w:hAnsi="宋体" w:cs="宋体" w:eastAsia="宋体" w:hint="default"/>
                <w:sz w:val="21"/>
                <w:szCs w:val="21"/>
              </w:rPr>
              <w:t>扣除非经常性损益</w:t>
            </w:r>
            <w:r>
              <w:rPr>
                <w:rFonts w:ascii="宋体" w:hAnsi="宋体" w:cs="宋体" w:eastAsia="宋体" w:hint="default"/>
                <w:w w:val="100"/>
                <w:sz w:val="21"/>
                <w:szCs w:val="21"/>
              </w:rPr>
              <w:t> </w:t>
            </w:r>
            <w:r>
              <w:rPr>
                <w:rFonts w:ascii="宋体" w:hAnsi="宋体" w:cs="宋体" w:eastAsia="宋体" w:hint="default"/>
                <w:sz w:val="21"/>
                <w:szCs w:val="21"/>
              </w:rPr>
              <w:t>后归属于公司普通</w:t>
            </w:r>
            <w:r>
              <w:rPr>
                <w:rFonts w:ascii="宋体" w:hAnsi="宋体" w:cs="宋体" w:eastAsia="宋体" w:hint="default"/>
                <w:w w:val="100"/>
                <w:sz w:val="21"/>
                <w:szCs w:val="21"/>
              </w:rPr>
              <w:t> </w:t>
            </w:r>
            <w:r>
              <w:rPr>
                <w:rFonts w:ascii="宋体" w:hAnsi="宋体" w:cs="宋体" w:eastAsia="宋体" w:hint="default"/>
                <w:sz w:val="21"/>
                <w:szCs w:val="21"/>
              </w:rPr>
              <w:t>股股东的净利润</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13.09%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29"/>
              <w:jc w:val="right"/>
              <w:rPr>
                <w:rFonts w:ascii="宋体" w:hAnsi="宋体" w:cs="宋体" w:eastAsia="宋体" w:hint="default"/>
                <w:sz w:val="21"/>
                <w:szCs w:val="21"/>
              </w:rPr>
            </w:pPr>
            <w:r>
              <w:rPr>
                <w:rFonts w:ascii="宋体"/>
                <w:sz w:val="21"/>
              </w:rPr>
              <w:t>0.50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0.50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5.55%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63"/>
              <w:jc w:val="right"/>
              <w:rPr>
                <w:rFonts w:ascii="宋体" w:hAnsi="宋体" w:cs="宋体" w:eastAsia="宋体" w:hint="default"/>
                <w:sz w:val="21"/>
                <w:szCs w:val="21"/>
              </w:rPr>
            </w:pPr>
            <w:r>
              <w:rPr>
                <w:rFonts w:ascii="宋体"/>
                <w:sz w:val="21"/>
              </w:rPr>
              <w:t>0.19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
              <w:jc w:val="center"/>
              <w:rPr>
                <w:rFonts w:ascii="宋体" w:hAnsi="宋体" w:cs="宋体" w:eastAsia="宋体" w:hint="default"/>
                <w:sz w:val="21"/>
                <w:szCs w:val="21"/>
              </w:rPr>
            </w:pPr>
            <w:r>
              <w:rPr>
                <w:rFonts w:ascii="宋体"/>
                <w:sz w:val="21"/>
              </w:rPr>
              <w:t>0.19</w:t>
            </w:r>
          </w:p>
        </w:tc>
      </w:tr>
    </w:tbl>
    <w:p>
      <w:pPr>
        <w:spacing w:after="0" w:line="240" w:lineRule="auto"/>
        <w:jc w:val="center"/>
        <w:rPr>
          <w:rFonts w:ascii="宋体" w:hAnsi="宋体" w:cs="宋体" w:eastAsia="宋体" w:hint="default"/>
          <w:sz w:val="21"/>
          <w:szCs w:val="21"/>
        </w:rPr>
        <w:sectPr>
          <w:pgSz w:w="11900" w:h="16840"/>
          <w:pgMar w:header="874" w:footer="983" w:top="1040" w:bottom="1180" w:left="1420" w:right="1120"/>
        </w:sectPr>
      </w:pPr>
    </w:p>
    <w:p>
      <w:pPr>
        <w:spacing w:line="240" w:lineRule="auto" w:before="0"/>
        <w:rPr>
          <w:rFonts w:ascii="宋体" w:hAnsi="宋体" w:cs="宋体" w:eastAsia="宋体" w:hint="default"/>
          <w:sz w:val="20"/>
          <w:szCs w:val="20"/>
        </w:rPr>
      </w:pPr>
    </w:p>
    <w:p>
      <w:pPr>
        <w:pStyle w:val="Heading1"/>
        <w:tabs>
          <w:tab w:pos="4599" w:val="left" w:leader="none"/>
        </w:tabs>
        <w:spacing w:line="240" w:lineRule="auto" w:before="172"/>
        <w:ind w:left="3312" w:right="664"/>
        <w:jc w:val="left"/>
        <w:rPr>
          <w:b w:val="0"/>
          <w:bCs w:val="0"/>
        </w:rPr>
      </w:pPr>
      <w:bookmarkStart w:name="_TOC_250008" w:id="3"/>
      <w:r>
        <w:rPr>
          <w:w w:val="95"/>
        </w:rPr>
        <w:t>第三节</w:t>
        <w:tab/>
      </w:r>
      <w:r>
        <w:rPr/>
        <w:t>股本变动及股东情况</w:t>
      </w:r>
      <w:bookmarkEnd w:id="3"/>
      <w:r>
        <w:rPr>
          <w:b w:val="0"/>
          <w:bCs w:val="0"/>
        </w:rPr>
      </w:r>
    </w:p>
    <w:p>
      <w:pPr>
        <w:pStyle w:val="Heading3"/>
        <w:spacing w:line="240" w:lineRule="auto" w:before="193"/>
        <w:ind w:left="1100" w:right="664"/>
        <w:jc w:val="left"/>
        <w:rPr>
          <w:b w:val="0"/>
          <w:bCs w:val="0"/>
        </w:rPr>
      </w:pPr>
      <w:r>
        <w:rPr/>
        <w:t>一、股份变动情况</w:t>
      </w:r>
      <w:r>
        <w:rPr>
          <w:b w:val="0"/>
          <w:bCs w:val="0"/>
        </w:rPr>
      </w:r>
    </w:p>
    <w:p>
      <w:pPr>
        <w:pStyle w:val="Heading3"/>
        <w:spacing w:line="240" w:lineRule="auto" w:before="154"/>
        <w:ind w:left="1100" w:right="664"/>
        <w:jc w:val="left"/>
        <w:rPr>
          <w:b w:val="0"/>
          <w:bCs w:val="0"/>
        </w:rPr>
      </w:pPr>
      <w:r>
        <w:rPr/>
        <w:t>（一）股份变动情况表</w:t>
      </w:r>
      <w:r>
        <w:rPr>
          <w:b w:val="0"/>
          <w:bCs w:val="0"/>
        </w:rPr>
      </w:r>
    </w:p>
    <w:p>
      <w:pPr>
        <w:spacing w:line="240" w:lineRule="auto" w:before="12"/>
        <w:rPr>
          <w:rFonts w:ascii="宋体" w:hAnsi="宋体" w:cs="宋体" w:eastAsia="宋体" w:hint="default"/>
          <w:b/>
          <w:bCs/>
          <w:sz w:val="10"/>
          <w:szCs w:val="10"/>
        </w:rPr>
      </w:pPr>
    </w:p>
    <w:p>
      <w:pPr>
        <w:spacing w:before="36"/>
        <w:ind w:left="786" w:right="87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129"/>
        <w:gridCol w:w="1133"/>
        <w:gridCol w:w="852"/>
        <w:gridCol w:w="566"/>
        <w:gridCol w:w="566"/>
        <w:gridCol w:w="710"/>
        <w:gridCol w:w="1274"/>
        <w:gridCol w:w="1274"/>
        <w:gridCol w:w="1135"/>
        <w:gridCol w:w="708"/>
      </w:tblGrid>
      <w:tr>
        <w:trPr>
          <w:trHeight w:val="322" w:hRule="exact"/>
        </w:trPr>
        <w:tc>
          <w:tcPr>
            <w:tcW w:w="2129" w:type="dxa"/>
            <w:vMerge w:val="restart"/>
            <w:tcBorders>
              <w:top w:val="single" w:sz="4" w:space="0" w:color="000000"/>
              <w:left w:val="single" w:sz="4" w:space="0" w:color="000000"/>
              <w:right w:val="single" w:sz="4" w:space="0" w:color="000000"/>
            </w:tcBorders>
            <w:shd w:val="clear" w:color="auto" w:fill="DBDBDB"/>
          </w:tcPr>
          <w:p>
            <w:pP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46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92"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14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39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2129" w:type="dxa"/>
            <w:vMerge/>
            <w:tcBorders>
              <w:left w:val="single" w:sz="4" w:space="0" w:color="000000"/>
              <w:bottom w:val="single" w:sz="4" w:space="0" w:color="000000"/>
              <w:right w:val="single" w:sz="4" w:space="0" w:color="000000"/>
            </w:tcBorders>
            <w:shd w:val="clear" w:color="auto" w:fill="DBDBDB"/>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67"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139" w:right="3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12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41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4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35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42,385,200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56.80%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-20,216,625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-20,216,625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22,168,575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sz w:val="21"/>
              </w:rPr>
              <w:t>29.71%</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13,942,500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18.68%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-13,942,500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-13,942,500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center"/>
              <w:rPr>
                <w:rFonts w:ascii="宋体" w:hAnsi="宋体" w:cs="宋体" w:eastAsia="宋体" w:hint="default"/>
                <w:sz w:val="21"/>
                <w:szCs w:val="21"/>
              </w:rPr>
            </w:pPr>
            <w:r>
              <w:rPr>
                <w:rFonts w:ascii="宋体"/>
                <w:sz w:val="21"/>
              </w:rPr>
              <w:t>0.00%</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28,442,700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38.12%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-6,274,125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-6,274,125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22,168,575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sz w:val="21"/>
              </w:rPr>
              <w:t>29.71%</w:t>
            </w:r>
          </w:p>
        </w:tc>
      </w:tr>
      <w:tr>
        <w:trPr>
          <w:trHeight w:val="634"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4" w:right="96" w:firstLine="105"/>
              <w:jc w:val="left"/>
              <w:rPr>
                <w:rFonts w:ascii="宋体" w:hAnsi="宋体" w:cs="宋体" w:eastAsia="宋体" w:hint="default"/>
                <w:sz w:val="21"/>
                <w:szCs w:val="21"/>
              </w:rPr>
            </w:pPr>
            <w:r>
              <w:rPr>
                <w:rFonts w:ascii="宋体" w:hAnsi="宋体" w:cs="宋体" w:eastAsia="宋体" w:hint="default"/>
                <w:spacing w:val="-2"/>
                <w:sz w:val="21"/>
                <w:szCs w:val="21"/>
              </w:rPr>
              <w:t>其中：境内非国有法</w:t>
            </w:r>
            <w:r>
              <w:rPr>
                <w:rFonts w:ascii="宋体" w:hAnsi="宋体" w:cs="宋体" w:eastAsia="宋体" w:hint="default"/>
                <w:w w:val="100"/>
                <w:sz w:val="21"/>
                <w:szCs w:val="21"/>
              </w:rPr>
              <w:t> </w:t>
            </w:r>
            <w:r>
              <w:rPr>
                <w:rFonts w:ascii="宋体" w:hAnsi="宋体" w:cs="宋体" w:eastAsia="宋体" w:hint="default"/>
                <w:sz w:val="21"/>
                <w:szCs w:val="21"/>
              </w:rPr>
              <w:t>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11,711,700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15.70%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-2,927,925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-2,927,925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8,783,775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 w:right="0"/>
              <w:jc w:val="center"/>
              <w:rPr>
                <w:rFonts w:ascii="宋体" w:hAnsi="宋体" w:cs="宋体" w:eastAsia="宋体" w:hint="default"/>
                <w:sz w:val="21"/>
                <w:szCs w:val="21"/>
              </w:rPr>
            </w:pPr>
            <w:r>
              <w:rPr>
                <w:rFonts w:ascii="宋体"/>
                <w:sz w:val="21"/>
              </w:rPr>
              <w:t>11.77%</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16,731,000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22.42%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-3,346,200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-3,346,200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13,384,800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sz w:val="21"/>
              </w:rPr>
              <w:t>17.94%</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center"/>
              <w:rPr>
                <w:rFonts w:ascii="宋体" w:hAnsi="宋体" w:cs="宋体" w:eastAsia="宋体" w:hint="default"/>
                <w:sz w:val="21"/>
                <w:szCs w:val="21"/>
              </w:rPr>
            </w:pPr>
            <w:r>
              <w:rPr>
                <w:rFonts w:ascii="宋体"/>
                <w:sz w:val="21"/>
              </w:rPr>
              <w:t>0.00%</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其中：境外法人持股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1" w:right="0"/>
              <w:jc w:val="center"/>
              <w:rPr>
                <w:rFonts w:ascii="宋体" w:hAnsi="宋体" w:cs="宋体" w:eastAsia="宋体" w:hint="default"/>
                <w:sz w:val="21"/>
                <w:szCs w:val="21"/>
              </w:rPr>
            </w:pPr>
            <w:r>
              <w:rPr>
                <w:rFonts w:ascii="宋体"/>
                <w:sz w:val="21"/>
              </w:rPr>
              <w:t>0.00%</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5、高管股份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center"/>
              <w:rPr>
                <w:rFonts w:ascii="宋体" w:hAnsi="宋体" w:cs="宋体" w:eastAsia="宋体" w:hint="default"/>
                <w:sz w:val="21"/>
                <w:szCs w:val="21"/>
              </w:rPr>
            </w:pPr>
            <w:r>
              <w:rPr>
                <w:rFonts w:ascii="宋体"/>
                <w:sz w:val="21"/>
              </w:rPr>
              <w:t>0.00%</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32,234,800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43.20%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20,216,625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20,216,625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52,451,425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sz w:val="21"/>
              </w:rPr>
              <w:t>70.29%</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32,234,800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43.20%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20,216,625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20,216,625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52,451,425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 w:right="0"/>
              <w:jc w:val="center"/>
              <w:rPr>
                <w:rFonts w:ascii="宋体" w:hAnsi="宋体" w:cs="宋体" w:eastAsia="宋体" w:hint="default"/>
                <w:sz w:val="21"/>
                <w:szCs w:val="21"/>
              </w:rPr>
            </w:pPr>
            <w:r>
              <w:rPr>
                <w:rFonts w:ascii="宋体"/>
                <w:sz w:val="21"/>
              </w:rPr>
              <w:t>70.29%</w:t>
            </w: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2、境内上市的外资股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3、境外上市的外资股</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633" w:hRule="exact"/>
        </w:trPr>
        <w:tc>
          <w:tcPr>
            <w:tcW w:w="21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74,620,000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74,620,000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100.00</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r>
    </w:tbl>
    <w:p>
      <w:pPr>
        <w:pStyle w:val="BodyText"/>
        <w:spacing w:line="240" w:lineRule="auto" w:before="39"/>
        <w:ind w:left="1462" w:right="664"/>
        <w:jc w:val="left"/>
      </w:pPr>
      <w:r>
        <w:rPr/>
        <w:t>注</w:t>
      </w:r>
      <w:r>
        <w:rPr>
          <w:spacing w:val="-60"/>
        </w:rPr>
        <w:t> </w:t>
      </w:r>
      <w:r>
        <w:rPr>
          <w:spacing w:val="-17"/>
        </w:rPr>
        <w:t>1：自</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13</w:t>
      </w:r>
      <w:r>
        <w:rPr>
          <w:spacing w:val="-60"/>
        </w:rPr>
        <w:t> </w:t>
      </w:r>
      <w:r>
        <w:rPr>
          <w:spacing w:val="-13"/>
        </w:rPr>
        <w:t>日，由于</w:t>
      </w:r>
      <w:r>
        <w:rPr>
          <w:spacing w:val="-60"/>
        </w:rPr>
        <w:t> </w:t>
      </w:r>
      <w:r>
        <w:rPr/>
        <w:t>2007</w:t>
      </w:r>
      <w:r>
        <w:rPr>
          <w:spacing w:val="-60"/>
        </w:rPr>
        <w:t> </w:t>
      </w:r>
      <w:r>
        <w:rPr/>
        <w:t>年首次公开发行前已发行股份中的部分</w:t>
      </w:r>
    </w:p>
    <w:p>
      <w:pPr>
        <w:pStyle w:val="BodyText"/>
        <w:spacing w:line="357" w:lineRule="auto" w:before="154"/>
        <w:ind w:left="960" w:right="878"/>
        <w:jc w:val="both"/>
      </w:pPr>
      <w:r>
        <w:rPr/>
        <w:t>股份解禁，公司无限售条件的流通股从</w:t>
      </w:r>
      <w:r>
        <w:rPr>
          <w:spacing w:val="-36"/>
        </w:rPr>
        <w:t> </w:t>
      </w:r>
      <w:r>
        <w:rPr/>
        <w:t>32,234,800</w:t>
      </w:r>
      <w:r>
        <w:rPr>
          <w:spacing w:val="-36"/>
        </w:rPr>
        <w:t> </w:t>
      </w:r>
      <w:r>
        <w:rPr/>
        <w:t>股增加到</w:t>
      </w:r>
      <w:r>
        <w:rPr>
          <w:spacing w:val="-36"/>
        </w:rPr>
        <w:t> </w:t>
      </w:r>
      <w:r>
        <w:rPr/>
        <w:t>52,451,425</w:t>
      </w:r>
      <w:r>
        <w:rPr>
          <w:spacing w:val="-36"/>
        </w:rPr>
        <w:t> </w:t>
      </w:r>
      <w:r>
        <w:rPr/>
        <w:t>股，占总</w:t>
      </w:r>
      <w:r>
        <w:rPr/>
        <w:t> 股本的比例从</w:t>
      </w:r>
      <w:r>
        <w:rPr>
          <w:spacing w:val="-36"/>
        </w:rPr>
        <w:t> </w:t>
      </w:r>
      <w:r>
        <w:rPr/>
        <w:t>43.20%增长到</w:t>
      </w:r>
      <w:r>
        <w:rPr>
          <w:spacing w:val="-36"/>
        </w:rPr>
        <w:t> </w:t>
      </w:r>
      <w:r>
        <w:rPr/>
        <w:t>70.29%；有限售条件的流通股从</w:t>
      </w:r>
      <w:r>
        <w:rPr>
          <w:spacing w:val="-36"/>
        </w:rPr>
        <w:t> </w:t>
      </w:r>
      <w:r>
        <w:rPr/>
        <w:t>42,385,200</w:t>
      </w:r>
      <w:r>
        <w:rPr>
          <w:spacing w:val="-36"/>
        </w:rPr>
        <w:t> </w:t>
      </w:r>
      <w:r>
        <w:rPr/>
        <w:t>股减少到</w:t>
      </w:r>
      <w:r>
        <w:rPr/>
        <w:t> 22,168,575</w:t>
      </w:r>
      <w:r>
        <w:rPr>
          <w:spacing w:val="-60"/>
        </w:rPr>
        <w:t> </w:t>
      </w:r>
      <w:r>
        <w:rPr/>
        <w:t>股，占总股本的比例从</w:t>
      </w:r>
      <w:r>
        <w:rPr>
          <w:spacing w:val="-60"/>
        </w:rPr>
        <w:t> </w:t>
      </w:r>
      <w:r>
        <w:rPr/>
        <w:t>56.80%减少到</w:t>
      </w:r>
      <w:r>
        <w:rPr>
          <w:spacing w:val="-60"/>
        </w:rPr>
        <w:t> </w:t>
      </w:r>
      <w:r>
        <w:rPr/>
        <w:t>29.71%。</w:t>
      </w:r>
    </w:p>
    <w:p>
      <w:pPr>
        <w:pStyle w:val="BodyText"/>
        <w:spacing w:line="357" w:lineRule="auto"/>
        <w:ind w:left="960" w:right="876" w:firstLine="501"/>
        <w:jc w:val="both"/>
      </w:pPr>
      <w:r>
        <w:rPr/>
        <w:t>注</w:t>
      </w:r>
      <w:r>
        <w:rPr>
          <w:spacing w:val="-34"/>
        </w:rPr>
        <w:t> </w:t>
      </w:r>
      <w:r>
        <w:rPr>
          <w:spacing w:val="-4"/>
        </w:rPr>
        <w:t>2：高管股是指已解除限售，但根据《上市公司董事、监事和高级管理人员所</w:t>
      </w:r>
      <w:r>
        <w:rPr/>
        <w:t> </w:t>
      </w:r>
      <w:r>
        <w:rPr>
          <w:spacing w:val="2"/>
        </w:rPr>
        <w:t>持本公司股份及其变动管理规则》及深圳证券交易所《上市公司董事、监事和高级</w:t>
      </w:r>
      <w:r>
        <w:rPr>
          <w:spacing w:val="-111"/>
        </w:rPr>
        <w:t> </w:t>
      </w:r>
      <w:r>
        <w:rPr>
          <w:spacing w:val="-111"/>
        </w:rPr>
      </w:r>
      <w:r>
        <w:rPr>
          <w:spacing w:val="2"/>
        </w:rPr>
        <w:t>管理人员所持本公司股份及其变动管理业务指引》的相关规定予以锁定的股份。目</w:t>
      </w:r>
      <w:r>
        <w:rPr>
          <w:spacing w:val="-111"/>
        </w:rPr>
        <w:t> </w:t>
      </w:r>
      <w:r>
        <w:rPr>
          <w:spacing w:val="-111"/>
        </w:rPr>
      </w:r>
      <w:r>
        <w:rPr/>
        <w:t>前公司高管持有 IPO</w:t>
      </w:r>
      <w:r>
        <w:rPr>
          <w:spacing w:val="-20"/>
        </w:rPr>
        <w:t> </w:t>
      </w:r>
      <w:r>
        <w:rPr/>
        <w:t>限售股份中未解禁的股数均大于按相关规定须锁定的股份，仍</w:t>
      </w:r>
      <w:r>
        <w:rPr/>
        <w:t> 包含在“有限售条件股份---境内自然人持股”中。</w:t>
      </w:r>
    </w:p>
    <w:p>
      <w:pPr>
        <w:spacing w:after="0" w:line="357" w:lineRule="auto"/>
        <w:jc w:val="both"/>
        <w:sectPr>
          <w:pgSz w:w="11900" w:h="16840"/>
          <w:pgMar w:header="874" w:footer="983" w:top="1040" w:bottom="1180" w:left="70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left="680" w:right="0"/>
        <w:jc w:val="left"/>
        <w:rPr>
          <w:b w:val="0"/>
          <w:bCs w:val="0"/>
        </w:rPr>
      </w:pPr>
      <w:r>
        <w:rPr/>
        <w:t>（二）限售股份变动情况表</w:t>
      </w:r>
      <w:r>
        <w:rPr>
          <w:b w:val="0"/>
          <w:bCs w:val="0"/>
        </w:rPr>
      </w:r>
    </w:p>
    <w:p>
      <w:pPr>
        <w:spacing w:line="240" w:lineRule="auto" w:before="12"/>
        <w:rPr>
          <w:rFonts w:ascii="宋体" w:hAnsi="宋体" w:cs="宋体" w:eastAsia="宋体" w:hint="default"/>
          <w:b/>
          <w:bCs/>
          <w:sz w:val="10"/>
          <w:szCs w:val="10"/>
        </w:rPr>
      </w:pPr>
    </w:p>
    <w:p>
      <w:pPr>
        <w:spacing w:before="36"/>
        <w:ind w:left="0" w:right="87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08" w:type="dxa"/>
        <w:tblLayout w:type="fixed"/>
        <w:tblCellMar>
          <w:top w:w="0" w:type="dxa"/>
          <w:left w:w="0" w:type="dxa"/>
          <w:bottom w:w="0" w:type="dxa"/>
          <w:right w:w="0" w:type="dxa"/>
        </w:tblCellMar>
        <w:tblLook w:val="01E0"/>
      </w:tblPr>
      <w:tblGrid>
        <w:gridCol w:w="2268"/>
        <w:gridCol w:w="1450"/>
        <w:gridCol w:w="1440"/>
        <w:gridCol w:w="1205"/>
        <w:gridCol w:w="1291"/>
        <w:gridCol w:w="1135"/>
        <w:gridCol w:w="1133"/>
      </w:tblGrid>
      <w:tr>
        <w:trPr>
          <w:trHeight w:val="633" w:hRule="exact"/>
        </w:trPr>
        <w:tc>
          <w:tcPr>
            <w:tcW w:w="226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86"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503" w:right="82"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2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80" w:right="67" w:hanging="209"/>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售股数</w:t>
            </w:r>
          </w:p>
        </w:tc>
        <w:tc>
          <w:tcPr>
            <w:tcW w:w="12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532"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数</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14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455" w:right="31"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w:t>
            </w:r>
          </w:p>
        </w:tc>
      </w:tr>
      <w:tr>
        <w:trPr>
          <w:trHeight w:val="94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8"/>
              <w:jc w:val="left"/>
              <w:rPr>
                <w:rFonts w:ascii="宋体" w:hAnsi="宋体" w:cs="宋体" w:eastAsia="宋体" w:hint="default"/>
                <w:sz w:val="21"/>
                <w:szCs w:val="21"/>
              </w:rPr>
            </w:pPr>
            <w:r>
              <w:rPr>
                <w:rFonts w:ascii="宋体" w:hAnsi="宋体" w:cs="宋体" w:eastAsia="宋体" w:hint="default"/>
                <w:sz w:val="21"/>
                <w:szCs w:val="21"/>
              </w:rPr>
              <w:t>上海慧盛创业投资有限</w:t>
            </w:r>
            <w:r>
              <w:rPr>
                <w:rFonts w:ascii="宋体" w:hAnsi="宋体" w:cs="宋体" w:eastAsia="宋体" w:hint="default"/>
                <w:w w:val="100"/>
                <w:sz w:val="21"/>
                <w:szCs w:val="21"/>
              </w:rPr>
              <w:t> </w:t>
            </w:r>
            <w:r>
              <w:rPr>
                <w:rFonts w:ascii="宋体" w:hAnsi="宋体" w:cs="宋体" w:eastAsia="宋体" w:hint="default"/>
                <w:spacing w:val="-2"/>
                <w:sz w:val="21"/>
                <w:szCs w:val="21"/>
              </w:rPr>
              <w:t>公司(原上海慧盛信息投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资有限公司)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13,942,500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宋体" w:hAnsi="宋体" w:cs="宋体" w:eastAsia="宋体" w:hint="default"/>
                <w:sz w:val="21"/>
                <w:szCs w:val="21"/>
              </w:rPr>
            </w:pPr>
            <w:r>
              <w:rPr>
                <w:rFonts w:ascii="宋体"/>
                <w:spacing w:val="-1"/>
                <w:sz w:val="21"/>
              </w:rPr>
              <w:t>13,942,500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center"/>
              <w:rPr>
                <w:rFonts w:ascii="宋体" w:hAnsi="宋体" w:cs="宋体" w:eastAsia="宋体" w:hint="default"/>
                <w:sz w:val="21"/>
                <w:szCs w:val="21"/>
              </w:rPr>
            </w:pPr>
            <w:r>
              <w:rPr>
                <w:rFonts w:ascii="宋体"/>
                <w:sz w:val="21"/>
              </w:rPr>
              <w:t>2010-12-13</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32"/>
              <w:jc w:val="left"/>
              <w:rPr>
                <w:rFonts w:ascii="宋体" w:hAnsi="宋体" w:cs="宋体" w:eastAsia="宋体" w:hint="default"/>
                <w:sz w:val="21"/>
                <w:szCs w:val="21"/>
              </w:rPr>
            </w:pPr>
            <w:r>
              <w:rPr>
                <w:rFonts w:ascii="宋体" w:hAnsi="宋体" w:cs="宋体" w:eastAsia="宋体" w:hint="default"/>
                <w:spacing w:val="-2"/>
                <w:sz w:val="21"/>
                <w:szCs w:val="21"/>
              </w:rPr>
              <w:t>上海古德投资咨询有限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pacing w:val="-1"/>
                <w:sz w:val="21"/>
              </w:rPr>
              <w:t>11,711,700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2,927,925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8,783,775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center"/>
              <w:rPr>
                <w:rFonts w:ascii="宋体" w:hAnsi="宋体" w:cs="宋体" w:eastAsia="宋体" w:hint="default"/>
                <w:sz w:val="21"/>
                <w:szCs w:val="21"/>
              </w:rPr>
            </w:pPr>
            <w:r>
              <w:rPr>
                <w:rFonts w:ascii="宋体"/>
                <w:sz w:val="21"/>
              </w:rPr>
              <w:t>2010-12-13</w:t>
            </w:r>
          </w:p>
        </w:tc>
      </w:tr>
      <w:tr>
        <w:trPr>
          <w:trHeight w:val="636"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8"/>
              <w:jc w:val="left"/>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3"/>
                <w:sz w:val="21"/>
                <w:szCs w:val="21"/>
              </w:rPr>
              <w:t> </w:t>
            </w:r>
            <w:r>
              <w:rPr>
                <w:rFonts w:ascii="宋体" w:hAnsi="宋体" w:cs="宋体" w:eastAsia="宋体" w:hint="default"/>
                <w:sz w:val="21"/>
                <w:szCs w:val="21"/>
              </w:rPr>
              <w:t>38</w:t>
            </w:r>
            <w:r>
              <w:rPr>
                <w:rFonts w:ascii="宋体" w:hAnsi="宋体" w:cs="宋体" w:eastAsia="宋体" w:hint="default"/>
                <w:spacing w:val="-54"/>
                <w:sz w:val="21"/>
                <w:szCs w:val="21"/>
              </w:rPr>
              <w:t> </w:t>
            </w:r>
            <w:r>
              <w:rPr>
                <w:rFonts w:ascii="宋体" w:hAnsi="宋体" w:cs="宋体" w:eastAsia="宋体" w:hint="default"/>
                <w:sz w:val="21"/>
                <w:szCs w:val="21"/>
              </w:rPr>
              <w:t>名自然人股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pacing w:val="-1"/>
                <w:sz w:val="21"/>
              </w:rPr>
              <w:t>16,731,000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9"/>
              <w:jc w:val="right"/>
              <w:rPr>
                <w:rFonts w:ascii="宋体" w:hAnsi="宋体" w:cs="宋体" w:eastAsia="宋体" w:hint="default"/>
                <w:sz w:val="21"/>
                <w:szCs w:val="21"/>
              </w:rPr>
            </w:pPr>
            <w:r>
              <w:rPr>
                <w:rFonts w:ascii="宋体"/>
                <w:spacing w:val="-1"/>
                <w:sz w:val="21"/>
              </w:rPr>
              <w:t>3,346,200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pacing w:val="-1"/>
                <w:sz w:val="21"/>
              </w:rPr>
              <w:t>13,384,800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IPO</w:t>
            </w:r>
            <w:r>
              <w:rPr>
                <w:rFonts w:ascii="宋体" w:hAnsi="宋体" w:cs="宋体" w:eastAsia="宋体" w:hint="default"/>
                <w:spacing w:val="-52"/>
                <w:sz w:val="21"/>
                <w:szCs w:val="21"/>
              </w:rPr>
              <w:t> </w:t>
            </w:r>
            <w:r>
              <w:rPr>
                <w:rFonts w:ascii="宋体" w:hAnsi="宋体" w:cs="宋体" w:eastAsia="宋体" w:hint="default"/>
                <w:sz w:val="21"/>
                <w:szCs w:val="21"/>
              </w:rPr>
              <w:t>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center"/>
              <w:rPr>
                <w:rFonts w:ascii="宋体" w:hAnsi="宋体" w:cs="宋体" w:eastAsia="宋体" w:hint="default"/>
                <w:sz w:val="21"/>
                <w:szCs w:val="21"/>
              </w:rPr>
            </w:pPr>
            <w:r>
              <w:rPr>
                <w:rFonts w:ascii="宋体"/>
                <w:sz w:val="21"/>
              </w:rPr>
              <w:t>2010-12-13</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42,385,200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
              <w:jc w:val="right"/>
              <w:rPr>
                <w:rFonts w:ascii="宋体" w:hAnsi="宋体" w:cs="宋体" w:eastAsia="宋体" w:hint="default"/>
                <w:sz w:val="21"/>
                <w:szCs w:val="21"/>
              </w:rPr>
            </w:pPr>
            <w:r>
              <w:rPr>
                <w:rFonts w:ascii="宋体"/>
                <w:spacing w:val="-1"/>
                <w:sz w:val="21"/>
              </w:rPr>
              <w:t>20,216,625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22,168,575</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left="680" w:right="0"/>
        <w:jc w:val="left"/>
        <w:rPr>
          <w:b w:val="0"/>
          <w:bCs w:val="0"/>
        </w:rPr>
      </w:pPr>
      <w:r>
        <w:rPr/>
        <w:t>二、证券发行和上市情况</w:t>
      </w:r>
      <w:r>
        <w:rPr>
          <w:b w:val="0"/>
          <w:bCs w:val="0"/>
        </w:rPr>
      </w:r>
    </w:p>
    <w:p>
      <w:pPr>
        <w:pStyle w:val="Heading3"/>
        <w:spacing w:line="240" w:lineRule="auto" w:before="154"/>
        <w:ind w:left="680" w:right="0"/>
        <w:jc w:val="left"/>
        <w:rPr>
          <w:b w:val="0"/>
          <w:bCs w:val="0"/>
        </w:rPr>
      </w:pPr>
      <w:r>
        <w:rPr/>
        <w:t>（一）公司历次证券发行情况</w:t>
      </w:r>
      <w:r>
        <w:rPr>
          <w:b w:val="0"/>
          <w:bCs w:val="0"/>
        </w:rPr>
      </w:r>
    </w:p>
    <w:p>
      <w:pPr>
        <w:pStyle w:val="BodyText"/>
        <w:spacing w:line="240" w:lineRule="auto" w:before="154"/>
        <w:ind w:left="1160" w:right="0"/>
        <w:jc w:val="left"/>
      </w:pPr>
      <w:r>
        <w:rPr/>
        <w:t>1、公司于</w:t>
      </w:r>
      <w:r>
        <w:rPr>
          <w:spacing w:val="-60"/>
        </w:rPr>
        <w:t> </w:t>
      </w:r>
      <w:r>
        <w:rPr/>
        <w:t>2007</w:t>
      </w:r>
      <w:r>
        <w:rPr>
          <w:spacing w:val="-60"/>
        </w:rPr>
        <w:t> </w:t>
      </w:r>
      <w:r>
        <w:rPr/>
        <w:t>年</w:t>
      </w:r>
      <w:r>
        <w:rPr>
          <w:spacing w:val="-60"/>
        </w:rPr>
        <w:t> </w:t>
      </w:r>
      <w:r>
        <w:rPr/>
        <w:t>11</w:t>
      </w:r>
      <w:r>
        <w:rPr>
          <w:spacing w:val="-60"/>
        </w:rPr>
        <w:t> </w:t>
      </w:r>
      <w:r>
        <w:rPr/>
        <w:t>月</w:t>
      </w:r>
      <w:r>
        <w:rPr>
          <w:spacing w:val="-60"/>
        </w:rPr>
        <w:t> </w:t>
      </w:r>
      <w:r>
        <w:rPr/>
        <w:t>20</w:t>
      </w:r>
      <w:r>
        <w:rPr>
          <w:spacing w:val="-60"/>
        </w:rPr>
        <w:t> </w:t>
      </w:r>
      <w:r>
        <w:rPr/>
        <w:t>日经中国证券监督管理委员会证监发行字【2007】</w:t>
      </w:r>
    </w:p>
    <w:p>
      <w:pPr>
        <w:pStyle w:val="BodyText"/>
        <w:spacing w:line="240" w:lineRule="auto" w:before="154"/>
        <w:ind w:left="680" w:right="0"/>
        <w:jc w:val="left"/>
      </w:pPr>
      <w:r>
        <w:rPr/>
        <w:t>413</w:t>
      </w:r>
      <w:r>
        <w:rPr>
          <w:spacing w:val="-39"/>
        </w:rPr>
        <w:t> </w:t>
      </w:r>
      <w:r>
        <w:rPr/>
        <w:t>号《关于核准上海海隆软件股份有限公司首次公开发行股票的通知》核准，于</w:t>
      </w:r>
    </w:p>
    <w:p>
      <w:pPr>
        <w:pStyle w:val="BodyText"/>
        <w:spacing w:line="240" w:lineRule="auto" w:before="154"/>
        <w:ind w:left="680" w:right="0"/>
        <w:jc w:val="left"/>
      </w:pPr>
      <w:r>
        <w:rPr/>
        <w:t>2007</w:t>
      </w:r>
      <w:r>
        <w:rPr>
          <w:spacing w:val="-47"/>
        </w:rPr>
        <w:t> </w:t>
      </w:r>
      <w:r>
        <w:rPr/>
        <w:t>年</w:t>
      </w:r>
      <w:r>
        <w:rPr>
          <w:spacing w:val="-47"/>
        </w:rPr>
        <w:t> </w:t>
      </w:r>
      <w:r>
        <w:rPr/>
        <w:t>11</w:t>
      </w:r>
      <w:r>
        <w:rPr>
          <w:spacing w:val="-47"/>
        </w:rPr>
        <w:t> </w:t>
      </w:r>
      <w:r>
        <w:rPr/>
        <w:t>月</w:t>
      </w:r>
      <w:r>
        <w:rPr>
          <w:spacing w:val="-47"/>
        </w:rPr>
        <w:t> </w:t>
      </w:r>
      <w:r>
        <w:rPr/>
        <w:t>29</w:t>
      </w:r>
      <w:r>
        <w:rPr>
          <w:spacing w:val="-47"/>
        </w:rPr>
        <w:t> </w:t>
      </w:r>
      <w:r>
        <w:rPr/>
        <w:t>日、30</w:t>
      </w:r>
      <w:r>
        <w:rPr>
          <w:spacing w:val="-47"/>
        </w:rPr>
        <w:t> </w:t>
      </w:r>
      <w:r>
        <w:rPr/>
        <w:t>日，采用网下向询价对象询价配售与网上向社会公众投资</w:t>
      </w:r>
    </w:p>
    <w:p>
      <w:pPr>
        <w:pStyle w:val="BodyText"/>
        <w:spacing w:line="240" w:lineRule="auto" w:before="154"/>
        <w:ind w:left="680" w:right="0"/>
        <w:jc w:val="left"/>
      </w:pPr>
      <w:r>
        <w:rPr/>
        <w:t>者定价发行相结合的方式，首次公开发行</w:t>
      </w:r>
      <w:r>
        <w:rPr>
          <w:spacing w:val="-80"/>
        </w:rPr>
        <w:t> </w:t>
      </w:r>
      <w:r>
        <w:rPr/>
        <w:t>1,450</w:t>
      </w:r>
      <w:r>
        <w:rPr>
          <w:spacing w:val="-80"/>
        </w:rPr>
        <w:t> </w:t>
      </w:r>
      <w:r>
        <w:rPr/>
        <w:t>万股人民币普通股，其中网下配售</w:t>
      </w:r>
    </w:p>
    <w:p>
      <w:pPr>
        <w:pStyle w:val="BodyText"/>
        <w:spacing w:line="240" w:lineRule="auto" w:before="154"/>
        <w:ind w:left="680" w:right="0"/>
        <w:jc w:val="left"/>
      </w:pPr>
      <w:r>
        <w:rPr/>
        <w:t>290</w:t>
      </w:r>
      <w:r>
        <w:rPr>
          <w:spacing w:val="-58"/>
        </w:rPr>
        <w:t> </w:t>
      </w:r>
      <w:r>
        <w:rPr/>
        <w:t>万股，网上定价发行</w:t>
      </w:r>
      <w:r>
        <w:rPr>
          <w:spacing w:val="-58"/>
        </w:rPr>
        <w:t> </w:t>
      </w:r>
      <w:r>
        <w:rPr/>
        <w:t>1,160</w:t>
      </w:r>
      <w:r>
        <w:rPr>
          <w:spacing w:val="-58"/>
        </w:rPr>
        <w:t> </w:t>
      </w:r>
      <w:r>
        <w:rPr/>
        <w:t>万股，发行价格为</w:t>
      </w:r>
      <w:r>
        <w:rPr>
          <w:spacing w:val="-58"/>
        </w:rPr>
        <w:t> </w:t>
      </w:r>
      <w:r>
        <w:rPr/>
        <w:t>10.49</w:t>
      </w:r>
      <w:r>
        <w:rPr>
          <w:spacing w:val="-58"/>
        </w:rPr>
        <w:t> </w:t>
      </w:r>
      <w:r>
        <w:rPr/>
        <w:t>元，公司股本由</w:t>
      </w:r>
      <w:r>
        <w:rPr>
          <w:spacing w:val="-58"/>
        </w:rPr>
        <w:t> </w:t>
      </w:r>
      <w:r>
        <w:rPr/>
        <w:t>4,290</w:t>
      </w:r>
      <w:r>
        <w:rPr>
          <w:spacing w:val="-58"/>
        </w:rPr>
        <w:t> </w:t>
      </w:r>
      <w:r>
        <w:rPr/>
        <w:t>万</w:t>
      </w:r>
    </w:p>
    <w:p>
      <w:pPr>
        <w:pStyle w:val="BodyText"/>
        <w:spacing w:line="240" w:lineRule="auto" w:before="154"/>
        <w:ind w:left="680" w:right="0"/>
        <w:jc w:val="left"/>
      </w:pPr>
      <w:r>
        <w:rPr/>
        <w:t>股增加到</w:t>
      </w:r>
      <w:r>
        <w:rPr>
          <w:spacing w:val="-60"/>
        </w:rPr>
        <w:t> </w:t>
      </w:r>
      <w:r>
        <w:rPr/>
        <w:t>5,740</w:t>
      </w:r>
      <w:r>
        <w:rPr>
          <w:spacing w:val="-60"/>
        </w:rPr>
        <w:t> </w:t>
      </w:r>
      <w:r>
        <w:rPr/>
        <w:t>万股。</w:t>
      </w:r>
    </w:p>
    <w:p>
      <w:pPr>
        <w:pStyle w:val="BodyText"/>
        <w:spacing w:line="357" w:lineRule="auto" w:before="154"/>
        <w:ind w:left="680" w:right="876" w:firstLine="480"/>
        <w:jc w:val="both"/>
      </w:pPr>
      <w:r>
        <w:rPr/>
        <w:t>2、2007</w:t>
      </w:r>
      <w:r>
        <w:rPr>
          <w:spacing w:val="-57"/>
        </w:rPr>
        <w:t> </w:t>
      </w:r>
      <w:r>
        <w:rPr/>
        <w:t>年</w:t>
      </w:r>
      <w:r>
        <w:rPr>
          <w:spacing w:val="-57"/>
        </w:rPr>
        <w:t> </w:t>
      </w:r>
      <w:r>
        <w:rPr/>
        <w:t>12</w:t>
      </w:r>
      <w:r>
        <w:rPr>
          <w:spacing w:val="-57"/>
        </w:rPr>
        <w:t> </w:t>
      </w:r>
      <w:r>
        <w:rPr/>
        <w:t>月</w:t>
      </w:r>
      <w:r>
        <w:rPr>
          <w:spacing w:val="-57"/>
        </w:rPr>
        <w:t> </w:t>
      </w:r>
      <w:r>
        <w:rPr/>
        <w:t>12</w:t>
      </w:r>
      <w:r>
        <w:rPr>
          <w:spacing w:val="-57"/>
        </w:rPr>
        <w:t> </w:t>
      </w:r>
      <w:r>
        <w:rPr/>
        <w:t>日经深圳证券交易所《关于上海海隆软件股份有限公司人</w:t>
      </w:r>
      <w:r>
        <w:rPr/>
        <w:t> 民币普通股股票上市的通知》（深证上【2007】194</w:t>
      </w:r>
      <w:r>
        <w:rPr>
          <w:spacing w:val="-39"/>
        </w:rPr>
        <w:t> </w:t>
      </w:r>
      <w:r>
        <w:rPr/>
        <w:t>号）同意，公司首次公开发行</w:t>
      </w:r>
      <w:r>
        <w:rPr/>
        <w:t> 的</w:t>
      </w:r>
      <w:r>
        <w:rPr>
          <w:spacing w:val="-80"/>
        </w:rPr>
        <w:t> </w:t>
      </w:r>
      <w:r>
        <w:rPr/>
        <w:t>1,450</w:t>
      </w:r>
      <w:r>
        <w:rPr>
          <w:spacing w:val="-80"/>
        </w:rPr>
        <w:t> </w:t>
      </w:r>
      <w:r>
        <w:rPr/>
        <w:t>万人民币普通股股票在深圳证券交易所中小企业板上市。其中网上定价发</w:t>
      </w:r>
    </w:p>
    <w:p>
      <w:pPr>
        <w:pStyle w:val="BodyText"/>
        <w:spacing w:line="240" w:lineRule="auto"/>
        <w:ind w:left="680" w:right="0"/>
        <w:jc w:val="left"/>
      </w:pPr>
      <w:r>
        <w:rPr/>
        <w:t>行的</w:t>
      </w:r>
      <w:r>
        <w:rPr>
          <w:spacing w:val="-53"/>
        </w:rPr>
        <w:t> </w:t>
      </w:r>
      <w:r>
        <w:rPr/>
        <w:t>1,160</w:t>
      </w:r>
      <w:r>
        <w:rPr>
          <w:spacing w:val="-53"/>
        </w:rPr>
        <w:t> </w:t>
      </w:r>
      <w:r>
        <w:rPr/>
        <w:t>万股于</w:t>
      </w:r>
      <w:r>
        <w:rPr>
          <w:spacing w:val="-53"/>
        </w:rPr>
        <w:t> </w:t>
      </w:r>
      <w:r>
        <w:rPr/>
        <w:t>2007</w:t>
      </w:r>
      <w:r>
        <w:rPr>
          <w:spacing w:val="-53"/>
        </w:rPr>
        <w:t> </w:t>
      </w:r>
      <w:r>
        <w:rPr/>
        <w:t>年</w:t>
      </w:r>
      <w:r>
        <w:rPr>
          <w:spacing w:val="-53"/>
        </w:rPr>
        <w:t> </w:t>
      </w:r>
      <w:r>
        <w:rPr/>
        <w:t>12</w:t>
      </w:r>
      <w:r>
        <w:rPr>
          <w:spacing w:val="-51"/>
        </w:rPr>
        <w:t> </w:t>
      </w:r>
      <w:r>
        <w:rPr/>
        <w:t>月</w:t>
      </w:r>
      <w:r>
        <w:rPr>
          <w:spacing w:val="-53"/>
        </w:rPr>
        <w:t> </w:t>
      </w:r>
      <w:r>
        <w:rPr/>
        <w:t>12</w:t>
      </w:r>
      <w:r>
        <w:rPr>
          <w:spacing w:val="-53"/>
        </w:rPr>
        <w:t> </w:t>
      </w:r>
      <w:r>
        <w:rPr/>
        <w:t>日起上市交易，网下配售股票</w:t>
      </w:r>
      <w:r>
        <w:rPr>
          <w:spacing w:val="-53"/>
        </w:rPr>
        <w:t> </w:t>
      </w:r>
      <w:r>
        <w:rPr/>
        <w:t>290</w:t>
      </w:r>
      <w:r>
        <w:rPr>
          <w:spacing w:val="-53"/>
        </w:rPr>
        <w:t> </w:t>
      </w:r>
      <w:r>
        <w:rPr/>
        <w:t>万股自上市</w:t>
      </w:r>
    </w:p>
    <w:p>
      <w:pPr>
        <w:pStyle w:val="BodyText"/>
        <w:spacing w:line="240" w:lineRule="auto" w:before="154"/>
        <w:ind w:left="680" w:right="0"/>
        <w:jc w:val="left"/>
      </w:pPr>
      <w:r>
        <w:rPr/>
        <w:t>之日即</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12</w:t>
      </w:r>
      <w:r>
        <w:rPr>
          <w:spacing w:val="-60"/>
        </w:rPr>
        <w:t> </w:t>
      </w:r>
      <w:r>
        <w:rPr/>
        <w:t>日起锁定三个月。</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before="0"/>
        <w:ind w:left="680" w:right="0"/>
        <w:jc w:val="left"/>
        <w:rPr>
          <w:b w:val="0"/>
          <w:bCs w:val="0"/>
        </w:rPr>
      </w:pPr>
      <w:r>
        <w:rPr/>
        <w:t>（二）公司股数及结构变动情况</w:t>
      </w:r>
      <w:r>
        <w:rPr>
          <w:b w:val="0"/>
          <w:bCs w:val="0"/>
        </w:rPr>
      </w:r>
    </w:p>
    <w:p>
      <w:pPr>
        <w:pStyle w:val="BodyText"/>
        <w:spacing w:line="240" w:lineRule="auto" w:before="154"/>
        <w:ind w:left="1160" w:right="0"/>
        <w:jc w:val="left"/>
      </w:pPr>
      <w:r>
        <w:rPr>
          <w:spacing w:val="-10"/>
        </w:rPr>
        <w:t>1、公司</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12</w:t>
      </w:r>
      <w:r>
        <w:rPr>
          <w:spacing w:val="-60"/>
        </w:rPr>
        <w:t> </w:t>
      </w:r>
      <w:r>
        <w:rPr/>
        <w:t>日在深圳证券交易所首次公开发行上市的</w:t>
      </w:r>
      <w:r>
        <w:rPr>
          <w:spacing w:val="-60"/>
        </w:rPr>
        <w:t> </w:t>
      </w:r>
      <w:r>
        <w:rPr/>
        <w:t>1,450</w:t>
      </w:r>
      <w:r>
        <w:rPr>
          <w:spacing w:val="-60"/>
        </w:rPr>
        <w:t> </w:t>
      </w:r>
      <w:r>
        <w:rPr/>
        <w:t>万股</w:t>
      </w:r>
    </w:p>
    <w:p>
      <w:pPr>
        <w:pStyle w:val="BodyText"/>
        <w:spacing w:line="240" w:lineRule="auto" w:before="154"/>
        <w:ind w:left="680" w:right="0"/>
        <w:jc w:val="left"/>
      </w:pPr>
      <w:r>
        <w:rPr/>
        <w:t>人民币普通股中的网下配售</w:t>
      </w:r>
      <w:r>
        <w:rPr>
          <w:spacing w:val="-60"/>
        </w:rPr>
        <w:t> </w:t>
      </w:r>
      <w:r>
        <w:rPr/>
        <w:t>290</w:t>
      </w:r>
      <w:r>
        <w:rPr>
          <w:spacing w:val="-60"/>
        </w:rPr>
        <w:t> </w:t>
      </w:r>
      <w:r>
        <w:rPr/>
        <w:t>万股已于</w:t>
      </w:r>
      <w:r>
        <w:rPr>
          <w:spacing w:val="-60"/>
        </w:rPr>
        <w:t> </w:t>
      </w:r>
      <w:r>
        <w:rPr/>
        <w:t>2008</w:t>
      </w:r>
      <w:r>
        <w:rPr>
          <w:spacing w:val="-60"/>
        </w:rPr>
        <w:t> </w:t>
      </w:r>
      <w:r>
        <w:rPr/>
        <w:t>年</w:t>
      </w:r>
      <w:r>
        <w:rPr>
          <w:spacing w:val="-60"/>
        </w:rPr>
        <w:t> </w:t>
      </w:r>
      <w:r>
        <w:rPr/>
        <w:t>03</w:t>
      </w:r>
      <w:r>
        <w:rPr>
          <w:spacing w:val="-60"/>
        </w:rPr>
        <w:t> </w:t>
      </w:r>
      <w:r>
        <w:rPr/>
        <w:t>月</w:t>
      </w:r>
      <w:r>
        <w:rPr>
          <w:spacing w:val="-60"/>
        </w:rPr>
        <w:t> </w:t>
      </w:r>
      <w:r>
        <w:rPr/>
        <w:t>12</w:t>
      </w:r>
      <w:r>
        <w:rPr>
          <w:spacing w:val="-60"/>
        </w:rPr>
        <w:t> </w:t>
      </w:r>
      <w:r>
        <w:rPr/>
        <w:t>日起开始上市流通。</w:t>
      </w:r>
    </w:p>
    <w:p>
      <w:pPr>
        <w:pStyle w:val="BodyText"/>
        <w:spacing w:line="240" w:lineRule="auto" w:before="154"/>
        <w:ind w:left="1160" w:right="0"/>
        <w:jc w:val="left"/>
      </w:pPr>
      <w:r>
        <w:rPr>
          <w:spacing w:val="-7"/>
        </w:rPr>
        <w:t>2、经</w:t>
      </w:r>
      <w:r>
        <w:rPr>
          <w:spacing w:val="-63"/>
        </w:rPr>
        <w:t> </w:t>
      </w:r>
      <w:r>
        <w:rPr/>
        <w:t>2008</w:t>
      </w:r>
      <w:r>
        <w:rPr>
          <w:spacing w:val="-63"/>
        </w:rPr>
        <w:t> </w:t>
      </w:r>
      <w:r>
        <w:rPr/>
        <w:t>年</w:t>
      </w:r>
      <w:r>
        <w:rPr>
          <w:spacing w:val="-63"/>
        </w:rPr>
        <w:t> </w:t>
      </w:r>
      <w:r>
        <w:rPr/>
        <w:t>5</w:t>
      </w:r>
      <w:r>
        <w:rPr>
          <w:spacing w:val="-63"/>
        </w:rPr>
        <w:t> </w:t>
      </w:r>
      <w:r>
        <w:rPr/>
        <w:t>月</w:t>
      </w:r>
      <w:r>
        <w:rPr>
          <w:spacing w:val="-63"/>
        </w:rPr>
        <w:t> </w:t>
      </w:r>
      <w:r>
        <w:rPr/>
        <w:t>12</w:t>
      </w:r>
      <w:r>
        <w:rPr>
          <w:spacing w:val="-63"/>
        </w:rPr>
        <w:t> </w:t>
      </w:r>
      <w:r>
        <w:rPr/>
        <w:t>日召开的公司</w:t>
      </w:r>
      <w:r>
        <w:rPr>
          <w:spacing w:val="-63"/>
        </w:rPr>
        <w:t> </w:t>
      </w:r>
      <w:r>
        <w:rPr/>
        <w:t>2007</w:t>
      </w:r>
      <w:r>
        <w:rPr>
          <w:spacing w:val="-63"/>
        </w:rPr>
        <w:t> </w:t>
      </w:r>
      <w:r>
        <w:rPr/>
        <w:t>年度股东大会审议通过，公司以总股</w:t>
      </w:r>
    </w:p>
    <w:p>
      <w:pPr>
        <w:pStyle w:val="BodyText"/>
        <w:spacing w:line="240" w:lineRule="auto" w:before="154"/>
        <w:ind w:left="680" w:right="0"/>
        <w:jc w:val="left"/>
      </w:pPr>
      <w:r>
        <w:rPr/>
        <w:t>本</w:t>
      </w:r>
      <w:r>
        <w:rPr>
          <w:spacing w:val="-60"/>
        </w:rPr>
        <w:t> </w:t>
      </w:r>
      <w:r>
        <w:rPr/>
        <w:t>57,400,000</w:t>
      </w:r>
      <w:r>
        <w:rPr>
          <w:spacing w:val="-60"/>
        </w:rPr>
        <w:t> </w:t>
      </w:r>
      <w:r>
        <w:rPr/>
        <w:t>股为基数，向全体股东每</w:t>
      </w:r>
      <w:r>
        <w:rPr>
          <w:spacing w:val="-60"/>
        </w:rPr>
        <w:t> </w:t>
      </w:r>
      <w:r>
        <w:rPr/>
        <w:t>10</w:t>
      </w:r>
      <w:r>
        <w:rPr>
          <w:spacing w:val="-60"/>
        </w:rPr>
        <w:t> </w:t>
      </w:r>
      <w:r>
        <w:rPr/>
        <w:t>股派</w:t>
      </w:r>
      <w:r>
        <w:rPr>
          <w:spacing w:val="-60"/>
        </w:rPr>
        <w:t> </w:t>
      </w:r>
      <w:r>
        <w:rPr/>
        <w:t>1</w:t>
      </w:r>
      <w:r>
        <w:rPr>
          <w:spacing w:val="-60"/>
        </w:rPr>
        <w:t> </w:t>
      </w:r>
      <w:r>
        <w:rPr/>
        <w:t>元人民币现金（含税，扣税后，</w:t>
      </w:r>
    </w:p>
    <w:p>
      <w:pPr>
        <w:spacing w:after="0" w:line="240" w:lineRule="auto"/>
        <w:jc w:val="left"/>
        <w:sectPr>
          <w:pgSz w:w="11900" w:h="16840"/>
          <w:pgMar w:header="874" w:footer="983" w:top="1040" w:bottom="1180" w:left="1120" w:right="620"/>
        </w:sectPr>
      </w:pPr>
    </w:p>
    <w:p>
      <w:pPr>
        <w:spacing w:line="240" w:lineRule="auto" w:before="0"/>
        <w:rPr>
          <w:rFonts w:ascii="宋体" w:hAnsi="宋体" w:cs="宋体" w:eastAsia="宋体" w:hint="default"/>
          <w:sz w:val="20"/>
          <w:szCs w:val="20"/>
        </w:rPr>
      </w:pPr>
    </w:p>
    <w:p>
      <w:pPr>
        <w:pStyle w:val="BodyText"/>
        <w:spacing w:line="240" w:lineRule="auto" w:before="160"/>
        <w:ind w:right="0"/>
        <w:jc w:val="both"/>
      </w:pPr>
      <w:r>
        <w:rPr/>
        <w:t>个人股东、投资基金实际每</w:t>
      </w:r>
      <w:r>
        <w:rPr>
          <w:spacing w:val="-40"/>
        </w:rPr>
        <w:t> </w:t>
      </w:r>
      <w:r>
        <w:rPr/>
        <w:t>10</w:t>
      </w:r>
      <w:r>
        <w:rPr>
          <w:spacing w:val="-40"/>
        </w:rPr>
        <w:t> </w:t>
      </w:r>
      <w:r>
        <w:rPr/>
        <w:t>股派</w:t>
      </w:r>
      <w:r>
        <w:rPr>
          <w:spacing w:val="-40"/>
        </w:rPr>
        <w:t> </w:t>
      </w:r>
      <w:r>
        <w:rPr/>
        <w:t>0.9</w:t>
      </w:r>
      <w:r>
        <w:rPr>
          <w:spacing w:val="-40"/>
        </w:rPr>
        <w:t> </w:t>
      </w:r>
      <w:r>
        <w:rPr/>
        <w:t>元现金）；同时以资本公积向全体股东每</w:t>
      </w:r>
    </w:p>
    <w:p>
      <w:pPr>
        <w:pStyle w:val="BodyText"/>
        <w:spacing w:line="240" w:lineRule="auto" w:before="154"/>
        <w:ind w:right="0"/>
        <w:jc w:val="both"/>
      </w:pPr>
      <w:r>
        <w:rPr/>
        <w:t>10</w:t>
      </w:r>
      <w:r>
        <w:rPr>
          <w:spacing w:val="-60"/>
        </w:rPr>
        <w:t> </w:t>
      </w:r>
      <w:r>
        <w:rPr/>
        <w:t>股转增</w:t>
      </w:r>
      <w:r>
        <w:rPr>
          <w:spacing w:val="-60"/>
        </w:rPr>
        <w:t> </w:t>
      </w:r>
      <w:r>
        <w:rPr/>
        <w:t>3</w:t>
      </w:r>
      <w:r>
        <w:rPr>
          <w:spacing w:val="-60"/>
        </w:rPr>
        <w:t> </w:t>
      </w:r>
      <w:r>
        <w:rPr>
          <w:spacing w:val="-6"/>
        </w:rPr>
        <w:t>股。转增后，公司总股本由</w:t>
      </w:r>
      <w:r>
        <w:rPr>
          <w:spacing w:val="-60"/>
        </w:rPr>
        <w:t> </w:t>
      </w:r>
      <w:r>
        <w:rPr/>
        <w:t>57,400,000</w:t>
      </w:r>
      <w:r>
        <w:rPr>
          <w:spacing w:val="-60"/>
        </w:rPr>
        <w:t> </w:t>
      </w:r>
      <w:r>
        <w:rPr/>
        <w:t>股增至</w:t>
      </w:r>
      <w:r>
        <w:rPr>
          <w:spacing w:val="-60"/>
        </w:rPr>
        <w:t> </w:t>
      </w:r>
      <w:r>
        <w:rPr/>
        <w:t>74,620,000</w:t>
      </w:r>
      <w:r>
        <w:rPr>
          <w:spacing w:val="-60"/>
        </w:rPr>
        <w:t> </w:t>
      </w:r>
      <w:r>
        <w:rPr>
          <w:spacing w:val="-7"/>
        </w:rPr>
        <w:t>股。新增无</w:t>
      </w:r>
    </w:p>
    <w:p>
      <w:pPr>
        <w:pStyle w:val="BodyText"/>
        <w:spacing w:line="240" w:lineRule="auto" w:before="154"/>
        <w:ind w:right="0"/>
        <w:jc w:val="both"/>
      </w:pPr>
      <w:r>
        <w:rPr/>
        <w:t>限售条件流通股股份上市日为 2008 年 5 月 26</w:t>
      </w:r>
      <w:r>
        <w:rPr>
          <w:spacing w:val="67"/>
        </w:rPr>
        <w:t> </w:t>
      </w:r>
      <w:r>
        <w:rPr/>
        <w:t>日。本次转增后，公司总股本由</w:t>
      </w:r>
    </w:p>
    <w:p>
      <w:pPr>
        <w:pStyle w:val="BodyText"/>
        <w:spacing w:line="240" w:lineRule="auto" w:before="154"/>
        <w:ind w:right="0"/>
        <w:jc w:val="both"/>
      </w:pPr>
      <w:r>
        <w:rPr/>
        <w:t>57,400,000 </w:t>
      </w:r>
      <w:r>
        <w:rPr>
          <w:spacing w:val="12"/>
        </w:rPr>
        <w:t>股增至 </w:t>
      </w:r>
      <w:r>
        <w:rPr/>
        <w:t>74,620,000</w:t>
      </w:r>
      <w:r>
        <w:rPr>
          <w:spacing w:val="46"/>
        </w:rPr>
        <w:t> </w:t>
      </w:r>
      <w:r>
        <w:rPr>
          <w:spacing w:val="17"/>
        </w:rPr>
        <w:t>股,股份结构不变，其中，有限售条件流通股</w:t>
      </w:r>
    </w:p>
    <w:p>
      <w:pPr>
        <w:pStyle w:val="BodyText"/>
        <w:spacing w:line="240" w:lineRule="auto" w:before="154"/>
        <w:ind w:right="0"/>
        <w:jc w:val="both"/>
      </w:pPr>
      <w:r>
        <w:rPr/>
        <w:t>55,770,000 股，占总股本 74.74%，无限售条件流通股 18,850,000</w:t>
      </w:r>
      <w:r>
        <w:rPr>
          <w:spacing w:val="-36"/>
        </w:rPr>
        <w:t> </w:t>
      </w:r>
      <w:r>
        <w:rPr/>
        <w:t>股，占总股本</w:t>
      </w:r>
    </w:p>
    <w:p>
      <w:pPr>
        <w:pStyle w:val="BodyText"/>
        <w:spacing w:line="240" w:lineRule="auto" w:before="154"/>
        <w:ind w:right="0"/>
        <w:jc w:val="both"/>
      </w:pPr>
      <w:r>
        <w:rPr/>
        <w:t>25.26%。</w:t>
      </w:r>
    </w:p>
    <w:p>
      <w:pPr>
        <w:pStyle w:val="BodyText"/>
        <w:spacing w:line="240" w:lineRule="auto" w:before="154"/>
        <w:ind w:left="620" w:right="102"/>
        <w:jc w:val="left"/>
      </w:pPr>
      <w:r>
        <w:rPr/>
        <w:t>3</w:t>
      </w:r>
      <w:r>
        <w:rPr>
          <w:spacing w:val="-116"/>
        </w:rPr>
        <w:t>、</w:t>
      </w:r>
      <w:r>
        <w:rPr/>
        <w:t>公司首次公开发行前已发行股份中</w:t>
      </w:r>
      <w:r>
        <w:rPr>
          <w:spacing w:val="-116"/>
        </w:rPr>
        <w:t>，</w:t>
      </w:r>
      <w:r>
        <w:rPr/>
        <w:t>欧姆</w:t>
      </w:r>
      <w:r>
        <w:rPr>
          <w:spacing w:val="-116"/>
        </w:rPr>
        <w:t>龙</w:t>
      </w:r>
      <w:r>
        <w:rPr/>
        <w:t>（中国</w:t>
      </w:r>
      <w:r>
        <w:rPr>
          <w:spacing w:val="-116"/>
        </w:rPr>
        <w:t>）</w:t>
      </w:r>
      <w:r>
        <w:rPr/>
        <w:t>有限公司持有</w:t>
      </w:r>
      <w:r>
        <w:rPr>
          <w:spacing w:val="-60"/>
        </w:rPr>
        <w:t> </w:t>
      </w:r>
      <w:r>
        <w:rPr/>
        <w:t>10,296,000</w:t>
      </w:r>
    </w:p>
    <w:p>
      <w:pPr>
        <w:pStyle w:val="BodyText"/>
        <w:spacing w:line="240" w:lineRule="auto" w:before="154"/>
        <w:ind w:right="0"/>
        <w:jc w:val="both"/>
      </w:pPr>
      <w:r>
        <w:rPr>
          <w:spacing w:val="-9"/>
        </w:rPr>
        <w:t>股，2008</w:t>
      </w:r>
      <w:r>
        <w:rPr>
          <w:spacing w:val="-60"/>
        </w:rPr>
        <w:t> </w:t>
      </w:r>
      <w:r>
        <w:rPr/>
        <w:t>年</w:t>
      </w:r>
      <w:r>
        <w:rPr>
          <w:spacing w:val="-60"/>
        </w:rPr>
        <w:t> </w:t>
      </w:r>
      <w:r>
        <w:rPr/>
        <w:t>5</w:t>
      </w:r>
      <w:r>
        <w:rPr>
          <w:spacing w:val="-60"/>
        </w:rPr>
        <w:t> </w:t>
      </w:r>
      <w:r>
        <w:rPr/>
        <w:t>月</w:t>
      </w:r>
      <w:r>
        <w:rPr>
          <w:spacing w:val="-60"/>
        </w:rPr>
        <w:t> </w:t>
      </w:r>
      <w:r>
        <w:rPr/>
        <w:t>26</w:t>
      </w:r>
      <w:r>
        <w:rPr>
          <w:spacing w:val="-60"/>
        </w:rPr>
        <w:t> </w:t>
      </w:r>
      <w:r>
        <w:rPr/>
        <w:t>日公司以资本公积向全体股东每</w:t>
      </w:r>
      <w:r>
        <w:rPr>
          <w:spacing w:val="-60"/>
        </w:rPr>
        <w:t> </w:t>
      </w:r>
      <w:r>
        <w:rPr/>
        <w:t>10</w:t>
      </w:r>
      <w:r>
        <w:rPr>
          <w:spacing w:val="-60"/>
        </w:rPr>
        <w:t> </w:t>
      </w:r>
      <w:r>
        <w:rPr/>
        <w:t>股转增</w:t>
      </w:r>
      <w:r>
        <w:rPr>
          <w:spacing w:val="-60"/>
        </w:rPr>
        <w:t> </w:t>
      </w:r>
      <w:r>
        <w:rPr/>
        <w:t>3</w:t>
      </w:r>
      <w:r>
        <w:rPr>
          <w:spacing w:val="-60"/>
        </w:rPr>
        <w:t> </w:t>
      </w:r>
      <w:r>
        <w:rPr>
          <w:spacing w:val="-7"/>
        </w:rPr>
        <w:t>股后，所持股份增</w:t>
      </w:r>
    </w:p>
    <w:p>
      <w:pPr>
        <w:pStyle w:val="BodyText"/>
        <w:spacing w:line="240" w:lineRule="auto" w:before="154"/>
        <w:ind w:right="0"/>
        <w:jc w:val="both"/>
      </w:pPr>
      <w:r>
        <w:rPr/>
        <w:t>至 13,384,800</w:t>
      </w:r>
      <w:r>
        <w:rPr>
          <w:spacing w:val="-40"/>
        </w:rPr>
        <w:t> </w:t>
      </w:r>
      <w:r>
        <w:rPr/>
        <w:t>股。欧姆龙（中国）有限公司承诺：自公司股票上市之日起十二个</w:t>
      </w:r>
    </w:p>
    <w:p>
      <w:pPr>
        <w:pStyle w:val="BodyText"/>
        <w:spacing w:line="240" w:lineRule="auto" w:before="154"/>
        <w:ind w:right="0"/>
        <w:jc w:val="both"/>
      </w:pPr>
      <w:r>
        <w:rPr/>
        <w:t>月内不转让所持有的发行人股份，并严格履行了该承诺。自</w:t>
      </w:r>
      <w:r>
        <w:rPr>
          <w:spacing w:val="-46"/>
        </w:rPr>
        <w:t> </w:t>
      </w:r>
      <w:r>
        <w:rPr/>
        <w:t>2008</w:t>
      </w:r>
      <w:r>
        <w:rPr>
          <w:spacing w:val="-46"/>
        </w:rPr>
        <w:t> </w:t>
      </w:r>
      <w:r>
        <w:rPr/>
        <w:t>年</w:t>
      </w:r>
      <w:r>
        <w:rPr>
          <w:spacing w:val="-48"/>
        </w:rPr>
        <w:t> </w:t>
      </w:r>
      <w:r>
        <w:rPr/>
        <w:t>12</w:t>
      </w:r>
      <w:r>
        <w:rPr>
          <w:spacing w:val="-46"/>
        </w:rPr>
        <w:t> </w:t>
      </w:r>
      <w:r>
        <w:rPr/>
        <w:t>月</w:t>
      </w:r>
      <w:r>
        <w:rPr>
          <w:spacing w:val="-46"/>
        </w:rPr>
        <w:t> </w:t>
      </w:r>
      <w:r>
        <w:rPr/>
        <w:t>12</w:t>
      </w:r>
      <w:r>
        <w:rPr>
          <w:spacing w:val="-46"/>
        </w:rPr>
        <w:t> </w:t>
      </w:r>
      <w:r>
        <w:rPr/>
        <w:t>日，</w:t>
      </w:r>
    </w:p>
    <w:p>
      <w:pPr>
        <w:pStyle w:val="BodyText"/>
        <w:spacing w:line="240" w:lineRule="auto" w:before="154"/>
        <w:ind w:right="0"/>
        <w:jc w:val="both"/>
      </w:pPr>
      <w:r>
        <w:rPr/>
        <w:t>欧姆龙（中国）有限公司所持 13,384,800</w:t>
      </w:r>
      <w:r>
        <w:rPr>
          <w:spacing w:val="-40"/>
        </w:rPr>
        <w:t> </w:t>
      </w:r>
      <w:r>
        <w:rPr/>
        <w:t>股上市流通后，公司总股本中有限售条</w:t>
      </w:r>
    </w:p>
    <w:p>
      <w:pPr>
        <w:pStyle w:val="BodyText"/>
        <w:spacing w:line="357" w:lineRule="auto" w:before="154"/>
        <w:ind w:right="102"/>
        <w:jc w:val="left"/>
      </w:pPr>
      <w:r>
        <w:rPr/>
        <w:t>件流通股为</w:t>
      </w:r>
      <w:r>
        <w:rPr>
          <w:spacing w:val="-63"/>
        </w:rPr>
        <w:t> </w:t>
      </w:r>
      <w:r>
        <w:rPr/>
        <w:t>42,385,200</w:t>
      </w:r>
      <w:r>
        <w:rPr>
          <w:spacing w:val="-63"/>
        </w:rPr>
        <w:t> </w:t>
      </w:r>
      <w:r>
        <w:rPr>
          <w:spacing w:val="-4"/>
        </w:rPr>
        <w:t>股，占总股本</w:t>
      </w:r>
      <w:r>
        <w:rPr>
          <w:spacing w:val="-6"/>
        </w:rPr>
        <w:t> </w:t>
      </w:r>
      <w:r>
        <w:rPr/>
        <w:t>56.80%，无限售条件流通股</w:t>
      </w:r>
      <w:r>
        <w:rPr>
          <w:spacing w:val="-63"/>
        </w:rPr>
        <w:t> </w:t>
      </w:r>
      <w:r>
        <w:rPr/>
        <w:t>32,234,800</w:t>
      </w:r>
      <w:r>
        <w:rPr>
          <w:spacing w:val="-63"/>
        </w:rPr>
        <w:t> </w:t>
      </w:r>
      <w:r>
        <w:rPr/>
        <w:t>股，</w:t>
      </w:r>
      <w:r>
        <w:rPr/>
        <w:t> 占总股本</w:t>
      </w:r>
      <w:r>
        <w:rPr>
          <w:spacing w:val="-60"/>
        </w:rPr>
        <w:t> </w:t>
      </w:r>
      <w:r>
        <w:rPr/>
        <w:t>43.20%。</w:t>
      </w:r>
    </w:p>
    <w:p>
      <w:pPr>
        <w:pStyle w:val="BodyText"/>
        <w:spacing w:line="357" w:lineRule="auto"/>
        <w:ind w:right="223" w:firstLine="480"/>
        <w:jc w:val="left"/>
      </w:pPr>
      <w:r>
        <w:rPr/>
        <w:t>4、公司首次发公开发行前已发行股份中，上海慧盛创业投资有限公司（原上 </w:t>
      </w:r>
      <w:r>
        <w:rPr>
          <w:spacing w:val="-4"/>
        </w:rPr>
        <w:t>海慧盛信息投资有限公司）持有</w:t>
      </w:r>
      <w:r>
        <w:rPr>
          <w:spacing w:val="-59"/>
        </w:rPr>
        <w:t> </w:t>
      </w:r>
      <w:r>
        <w:rPr/>
        <w:t>10,725,000</w:t>
      </w:r>
      <w:r>
        <w:rPr>
          <w:spacing w:val="-59"/>
        </w:rPr>
        <w:t> </w:t>
      </w:r>
      <w:r>
        <w:rPr>
          <w:spacing w:val="-9"/>
        </w:rPr>
        <w:t>股，2008</w:t>
      </w:r>
      <w:r>
        <w:rPr>
          <w:spacing w:val="-59"/>
        </w:rPr>
        <w:t> </w:t>
      </w:r>
      <w:r>
        <w:rPr/>
        <w:t>年</w:t>
      </w:r>
      <w:r>
        <w:rPr>
          <w:spacing w:val="-59"/>
        </w:rPr>
        <w:t> </w:t>
      </w:r>
      <w:r>
        <w:rPr/>
        <w:t>5</w:t>
      </w:r>
      <w:r>
        <w:rPr>
          <w:spacing w:val="-59"/>
        </w:rPr>
        <w:t> </w:t>
      </w:r>
      <w:r>
        <w:rPr/>
        <w:t>月</w:t>
      </w:r>
      <w:r>
        <w:rPr>
          <w:spacing w:val="-59"/>
        </w:rPr>
        <w:t> </w:t>
      </w:r>
      <w:r>
        <w:rPr/>
        <w:t>26</w:t>
      </w:r>
      <w:r>
        <w:rPr>
          <w:spacing w:val="-59"/>
        </w:rPr>
        <w:t> </w:t>
      </w:r>
      <w:r>
        <w:rPr/>
        <w:t>日公司以资本公积</w:t>
      </w:r>
    </w:p>
    <w:p>
      <w:pPr>
        <w:pStyle w:val="BodyText"/>
        <w:spacing w:line="357" w:lineRule="auto"/>
        <w:ind w:right="236"/>
        <w:jc w:val="both"/>
      </w:pPr>
      <w:r>
        <w:rPr/>
        <w:t>向全体股东每</w:t>
      </w:r>
      <w:r>
        <w:rPr>
          <w:spacing w:val="-63"/>
        </w:rPr>
        <w:t> </w:t>
      </w:r>
      <w:r>
        <w:rPr/>
        <w:t>10</w:t>
      </w:r>
      <w:r>
        <w:rPr>
          <w:spacing w:val="-63"/>
        </w:rPr>
        <w:t> </w:t>
      </w:r>
      <w:r>
        <w:rPr/>
        <w:t>股转增</w:t>
      </w:r>
      <w:r>
        <w:rPr>
          <w:spacing w:val="-63"/>
        </w:rPr>
        <w:t> </w:t>
      </w:r>
      <w:r>
        <w:rPr/>
        <w:t>3</w:t>
      </w:r>
      <w:r>
        <w:rPr>
          <w:spacing w:val="-63"/>
        </w:rPr>
        <w:t> </w:t>
      </w:r>
      <w:r>
        <w:rPr>
          <w:spacing w:val="-3"/>
        </w:rPr>
        <w:t>股后，所持股份增至</w:t>
      </w:r>
      <w:r>
        <w:rPr>
          <w:spacing w:val="-63"/>
        </w:rPr>
        <w:t> </w:t>
      </w:r>
      <w:r>
        <w:rPr/>
        <w:t>13,942,500</w:t>
      </w:r>
      <w:r>
        <w:rPr>
          <w:spacing w:val="-63"/>
        </w:rPr>
        <w:t> </w:t>
      </w:r>
      <w:r>
        <w:rPr/>
        <w:t>股。上海慧盛创业投资</w:t>
      </w:r>
      <w:r>
        <w:rPr/>
        <w:t> </w:t>
      </w:r>
      <w:r>
        <w:rPr>
          <w:spacing w:val="-2"/>
        </w:rPr>
        <w:t>有限公司承诺：自公司股票上市交易之日起三十六个月内，不转让所持有的发行人</w:t>
      </w:r>
      <w:r>
        <w:rPr>
          <w:spacing w:val="-88"/>
        </w:rPr>
        <w:t> </w:t>
      </w:r>
      <w:r>
        <w:rPr>
          <w:spacing w:val="-88"/>
        </w:rPr>
      </w:r>
      <w:r>
        <w:rPr/>
        <w:t>股份，并严格履行了该承诺。自</w:t>
      </w:r>
      <w:r>
        <w:rPr>
          <w:spacing w:val="-47"/>
        </w:rPr>
        <w:t> </w:t>
      </w:r>
      <w:r>
        <w:rPr/>
        <w:t>2010</w:t>
      </w:r>
      <w:r>
        <w:rPr>
          <w:spacing w:val="-47"/>
        </w:rPr>
        <w:t> </w:t>
      </w:r>
      <w:r>
        <w:rPr/>
        <w:t>年</w:t>
      </w:r>
      <w:r>
        <w:rPr>
          <w:spacing w:val="-47"/>
        </w:rPr>
        <w:t> </w:t>
      </w:r>
      <w:r>
        <w:rPr/>
        <w:t>12</w:t>
      </w:r>
      <w:r>
        <w:rPr>
          <w:spacing w:val="-49"/>
        </w:rPr>
        <w:t> </w:t>
      </w:r>
      <w:r>
        <w:rPr/>
        <w:t>月</w:t>
      </w:r>
      <w:r>
        <w:rPr>
          <w:spacing w:val="-47"/>
        </w:rPr>
        <w:t> </w:t>
      </w:r>
      <w:r>
        <w:rPr/>
        <w:t>13</w:t>
      </w:r>
      <w:r>
        <w:rPr>
          <w:spacing w:val="-47"/>
        </w:rPr>
        <w:t> </w:t>
      </w:r>
      <w:r>
        <w:rPr/>
        <w:t>日，上海慧盛创业投资有限公司</w:t>
      </w:r>
    </w:p>
    <w:p>
      <w:pPr>
        <w:pStyle w:val="BodyText"/>
        <w:spacing w:line="240" w:lineRule="auto"/>
        <w:ind w:right="0"/>
        <w:jc w:val="both"/>
      </w:pPr>
      <w:r>
        <w:rPr/>
        <w:t>所持</w:t>
      </w:r>
      <w:r>
        <w:rPr>
          <w:spacing w:val="-60"/>
        </w:rPr>
        <w:t> </w:t>
      </w:r>
      <w:r>
        <w:rPr/>
        <w:t>13,942,500</w:t>
      </w:r>
      <w:r>
        <w:rPr>
          <w:spacing w:val="-60"/>
        </w:rPr>
        <w:t> </w:t>
      </w:r>
      <w:r>
        <w:rPr/>
        <w:t>股上市流通后</w:t>
      </w:r>
      <w:r>
        <w:rPr>
          <w:spacing w:val="-111"/>
        </w:rPr>
        <w:t>，</w:t>
      </w:r>
      <w:r>
        <w:rPr/>
        <w:t>截至报告期末</w:t>
      </w:r>
      <w:r>
        <w:rPr>
          <w:spacing w:val="-111"/>
        </w:rPr>
        <w:t>，</w:t>
      </w:r>
      <w:r>
        <w:rPr/>
        <w:t>其持有公司股票数量为</w:t>
      </w:r>
      <w:r>
        <w:rPr>
          <w:spacing w:val="-60"/>
        </w:rPr>
        <w:t> </w:t>
      </w:r>
      <w:r>
        <w:rPr/>
        <w:t>13,241,350</w:t>
      </w:r>
    </w:p>
    <w:p>
      <w:pPr>
        <w:pStyle w:val="BodyText"/>
        <w:spacing w:line="357" w:lineRule="auto" w:before="154"/>
        <w:ind w:left="620" w:right="102" w:hanging="480"/>
        <w:jc w:val="left"/>
      </w:pPr>
      <w:r>
        <w:rPr/>
        <w:t>股通过深圳证券交易所竞价交易系统累计减持公司股份</w:t>
      </w:r>
      <w:r>
        <w:rPr>
          <w:spacing w:val="-60"/>
        </w:rPr>
        <w:t> </w:t>
      </w:r>
      <w:r>
        <w:rPr/>
        <w:t>701,150</w:t>
      </w:r>
      <w:r>
        <w:rPr>
          <w:spacing w:val="-60"/>
        </w:rPr>
        <w:t> </w:t>
      </w:r>
      <w:r>
        <w:rPr/>
        <w:t>股。</w:t>
      </w:r>
      <w:r>
        <w:rPr/>
        <w:t> </w:t>
      </w:r>
      <w:r>
        <w:rPr>
          <w:spacing w:val="17"/>
        </w:rPr>
        <w:t>5、公司首次公开发行前已发行股份中，上海古德投资咨询有限公司持有</w:t>
      </w:r>
    </w:p>
    <w:p>
      <w:pPr>
        <w:pStyle w:val="BodyText"/>
        <w:spacing w:line="240" w:lineRule="auto"/>
        <w:ind w:right="0"/>
        <w:jc w:val="both"/>
      </w:pPr>
      <w:r>
        <w:rPr/>
        <w:t>9,009,000</w:t>
      </w:r>
      <w:r>
        <w:rPr>
          <w:spacing w:val="-60"/>
        </w:rPr>
        <w:t> </w:t>
      </w:r>
      <w:r>
        <w:rPr/>
        <w:t>股，2008</w:t>
      </w:r>
      <w:r>
        <w:rPr>
          <w:spacing w:val="-60"/>
        </w:rPr>
        <w:t> </w:t>
      </w:r>
      <w:r>
        <w:rPr/>
        <w:t>年</w:t>
      </w:r>
      <w:r>
        <w:rPr>
          <w:spacing w:val="-60"/>
        </w:rPr>
        <w:t> </w:t>
      </w:r>
      <w:r>
        <w:rPr/>
        <w:t>5</w:t>
      </w:r>
      <w:r>
        <w:rPr>
          <w:spacing w:val="-60"/>
        </w:rPr>
        <w:t> </w:t>
      </w:r>
      <w:r>
        <w:rPr/>
        <w:t>月</w:t>
      </w:r>
      <w:r>
        <w:rPr>
          <w:spacing w:val="-60"/>
        </w:rPr>
        <w:t> </w:t>
      </w:r>
      <w:r>
        <w:rPr/>
        <w:t>26</w:t>
      </w:r>
      <w:r>
        <w:rPr>
          <w:spacing w:val="-60"/>
        </w:rPr>
        <w:t> </w:t>
      </w:r>
      <w:r>
        <w:rPr/>
        <w:t>日公司以资本公积向全体股东每</w:t>
      </w:r>
      <w:r>
        <w:rPr>
          <w:spacing w:val="-60"/>
        </w:rPr>
        <w:t> </w:t>
      </w:r>
      <w:r>
        <w:rPr/>
        <w:t>10</w:t>
      </w:r>
      <w:r>
        <w:rPr>
          <w:spacing w:val="-60"/>
        </w:rPr>
        <w:t> </w:t>
      </w:r>
      <w:r>
        <w:rPr/>
        <w:t>股转增</w:t>
      </w:r>
      <w:r>
        <w:rPr>
          <w:spacing w:val="-60"/>
        </w:rPr>
        <w:t> </w:t>
      </w:r>
      <w:r>
        <w:rPr/>
        <w:t>3</w:t>
      </w:r>
      <w:r>
        <w:rPr>
          <w:spacing w:val="-60"/>
        </w:rPr>
        <w:t> </w:t>
      </w:r>
      <w:r>
        <w:rPr/>
        <w:t>股后，</w:t>
      </w:r>
    </w:p>
    <w:p>
      <w:pPr>
        <w:pStyle w:val="BodyText"/>
        <w:spacing w:line="240" w:lineRule="auto" w:before="154"/>
        <w:ind w:right="0"/>
        <w:jc w:val="both"/>
      </w:pPr>
      <w:r>
        <w:rPr/>
        <w:t>所持股份增至 11,711,700</w:t>
      </w:r>
      <w:r>
        <w:rPr>
          <w:spacing w:val="-40"/>
        </w:rPr>
        <w:t> </w:t>
      </w:r>
      <w:r>
        <w:rPr/>
        <w:t>股。上海古德投资咨询有限公司承诺：自公司股票上市</w:t>
      </w:r>
    </w:p>
    <w:p>
      <w:pPr>
        <w:pStyle w:val="BodyText"/>
        <w:spacing w:line="240" w:lineRule="auto" w:before="154"/>
        <w:ind w:right="0"/>
        <w:jc w:val="both"/>
      </w:pPr>
      <w:r>
        <w:rPr>
          <w:spacing w:val="-3"/>
        </w:rPr>
        <w:t>交易之日起三十六个月内，不转让所持有的发行人股份，并在与包叔平先生于</w:t>
      </w:r>
      <w:r>
        <w:rPr>
          <w:spacing w:val="-60"/>
        </w:rPr>
        <w:t> </w:t>
      </w:r>
      <w:r>
        <w:rPr/>
        <w:t>2007</w:t>
      </w:r>
    </w:p>
    <w:p>
      <w:pPr>
        <w:pStyle w:val="BodyText"/>
        <w:spacing w:line="240" w:lineRule="auto" w:before="154"/>
        <w:ind w:right="0"/>
        <w:jc w:val="both"/>
      </w:pPr>
      <w:r>
        <w:rPr/>
        <w:t>年</w:t>
      </w:r>
      <w:r>
        <w:rPr>
          <w:spacing w:val="-70"/>
        </w:rPr>
        <w:t> </w:t>
      </w:r>
      <w:r>
        <w:rPr/>
        <w:t>1</w:t>
      </w:r>
      <w:r>
        <w:rPr>
          <w:spacing w:val="-70"/>
        </w:rPr>
        <w:t> </w:t>
      </w:r>
      <w:r>
        <w:rPr/>
        <w:t>月</w:t>
      </w:r>
      <w:r>
        <w:rPr>
          <w:spacing w:val="-70"/>
        </w:rPr>
        <w:t> </w:t>
      </w:r>
      <w:r>
        <w:rPr/>
        <w:t>4</w:t>
      </w:r>
      <w:r>
        <w:rPr>
          <w:spacing w:val="-70"/>
        </w:rPr>
        <w:t> </w:t>
      </w:r>
      <w:r>
        <w:rPr/>
        <w:t>日签订的协议中约定，在所持公司股票可转让之日起，每年通过证券交易</w:t>
      </w:r>
    </w:p>
    <w:p>
      <w:pPr>
        <w:pStyle w:val="BodyText"/>
        <w:spacing w:line="240" w:lineRule="auto" w:before="154"/>
        <w:ind w:right="0"/>
        <w:jc w:val="both"/>
      </w:pPr>
      <w:r>
        <w:rPr/>
        <w:t>所减持的股份不超过其持有公司股份总数的 25%，并严格履行了该承诺。自</w:t>
      </w:r>
      <w:r>
        <w:rPr>
          <w:spacing w:val="69"/>
        </w:rPr>
        <w:t> </w:t>
      </w:r>
      <w:r>
        <w:rPr/>
        <w:t>2010</w:t>
      </w:r>
    </w:p>
    <w:p>
      <w:pPr>
        <w:pStyle w:val="BodyText"/>
        <w:spacing w:line="240" w:lineRule="auto" w:before="154"/>
        <w:ind w:right="0"/>
        <w:jc w:val="both"/>
      </w:pPr>
      <w:r>
        <w:rPr/>
        <w:t>年</w:t>
      </w:r>
      <w:r>
        <w:rPr>
          <w:spacing w:val="-67"/>
        </w:rPr>
        <w:t> </w:t>
      </w:r>
      <w:r>
        <w:rPr/>
        <w:t>12</w:t>
      </w:r>
      <w:r>
        <w:rPr>
          <w:spacing w:val="-67"/>
        </w:rPr>
        <w:t> </w:t>
      </w:r>
      <w:r>
        <w:rPr/>
        <w:t>月</w:t>
      </w:r>
      <w:r>
        <w:rPr>
          <w:spacing w:val="-67"/>
        </w:rPr>
        <w:t> </w:t>
      </w:r>
      <w:r>
        <w:rPr/>
        <w:t>13</w:t>
      </w:r>
      <w:r>
        <w:rPr>
          <w:spacing w:val="-67"/>
        </w:rPr>
        <w:t> </w:t>
      </w:r>
      <w:r>
        <w:rPr/>
        <w:t>日，上海古德投资咨询有限公司所持</w:t>
      </w:r>
      <w:r>
        <w:rPr>
          <w:spacing w:val="-67"/>
        </w:rPr>
        <w:t> </w:t>
      </w:r>
      <w:r>
        <w:rPr/>
        <w:t>2,927,925</w:t>
      </w:r>
      <w:r>
        <w:rPr>
          <w:spacing w:val="-67"/>
        </w:rPr>
        <w:t> </w:t>
      </w:r>
      <w:r>
        <w:rPr/>
        <w:t>股上市流通后，通过深</w:t>
      </w:r>
    </w:p>
    <w:p>
      <w:pPr>
        <w:pStyle w:val="BodyText"/>
        <w:spacing w:line="240" w:lineRule="auto" w:before="154"/>
        <w:ind w:right="0"/>
        <w:jc w:val="both"/>
      </w:pPr>
      <w:r>
        <w:rPr/>
        <w:t>圳证券交易所竞价交易系统和大宗交易系统累计减持公司股份</w:t>
      </w:r>
      <w:r>
        <w:rPr>
          <w:spacing w:val="-60"/>
        </w:rPr>
        <w:t> </w:t>
      </w:r>
      <w:r>
        <w:rPr/>
        <w:t>2,927,925</w:t>
      </w:r>
      <w:r>
        <w:rPr>
          <w:spacing w:val="-60"/>
        </w:rPr>
        <w:t> </w:t>
      </w:r>
      <w:r>
        <w:rPr>
          <w:spacing w:val="-10"/>
        </w:rPr>
        <w:t>股，截至</w:t>
      </w:r>
    </w:p>
    <w:p>
      <w:pPr>
        <w:pStyle w:val="BodyText"/>
        <w:spacing w:line="240" w:lineRule="auto" w:before="154"/>
        <w:ind w:right="0"/>
        <w:jc w:val="both"/>
      </w:pPr>
      <w:r>
        <w:rPr/>
        <w:t>报告期末，其持有公司股票数量为</w:t>
      </w:r>
      <w:r>
        <w:rPr>
          <w:spacing w:val="-60"/>
        </w:rPr>
        <w:t> </w:t>
      </w:r>
      <w:r>
        <w:rPr/>
        <w:t>8,783,775</w:t>
      </w:r>
      <w:r>
        <w:rPr>
          <w:spacing w:val="-60"/>
        </w:rPr>
        <w:t> </w:t>
      </w:r>
      <w:r>
        <w:rPr/>
        <w:t>股。</w:t>
      </w:r>
    </w:p>
    <w:p>
      <w:pPr>
        <w:spacing w:after="0" w:line="240" w:lineRule="auto"/>
        <w:jc w:val="both"/>
        <w:sectPr>
          <w:footerReference w:type="default" r:id="rId10"/>
          <w:pgSz w:w="11900" w:h="16840"/>
          <w:pgMar w:footer="983" w:header="874" w:top="1040" w:bottom="1180" w:left="1660" w:right="1260"/>
          <w:pgNumType w:start="10"/>
        </w:sectPr>
      </w:pPr>
    </w:p>
    <w:p>
      <w:pPr>
        <w:spacing w:line="240" w:lineRule="auto" w:before="0"/>
        <w:rPr>
          <w:rFonts w:ascii="宋体" w:hAnsi="宋体" w:cs="宋体" w:eastAsia="宋体" w:hint="default"/>
          <w:sz w:val="20"/>
          <w:szCs w:val="20"/>
        </w:rPr>
      </w:pPr>
    </w:p>
    <w:p>
      <w:pPr>
        <w:pStyle w:val="BodyText"/>
        <w:spacing w:line="240" w:lineRule="auto" w:before="160"/>
        <w:ind w:left="0" w:right="356"/>
        <w:jc w:val="right"/>
      </w:pPr>
      <w:r>
        <w:rPr/>
        <w:t>6、公司首次公开发行前已发行股份中，以包叔平先生为代表的</w:t>
      </w:r>
      <w:r>
        <w:rPr>
          <w:spacing w:val="-80"/>
        </w:rPr>
        <w:t> </w:t>
      </w:r>
      <w:r>
        <w:rPr/>
        <w:t>38</w:t>
      </w:r>
      <w:r>
        <w:rPr>
          <w:spacing w:val="-80"/>
        </w:rPr>
        <w:t> </w:t>
      </w:r>
      <w:r>
        <w:rPr/>
        <w:t>位自然人股</w:t>
      </w:r>
    </w:p>
    <w:p>
      <w:pPr>
        <w:pStyle w:val="BodyText"/>
        <w:spacing w:line="240" w:lineRule="auto" w:before="154"/>
        <w:ind w:left="340" w:right="224"/>
        <w:jc w:val="left"/>
      </w:pPr>
      <w:r>
        <w:rPr/>
        <w:t>东持有</w:t>
      </w:r>
      <w:r>
        <w:rPr>
          <w:spacing w:val="-58"/>
        </w:rPr>
        <w:t> </w:t>
      </w:r>
      <w:r>
        <w:rPr/>
        <w:t>12,870,000</w:t>
      </w:r>
      <w:r>
        <w:rPr>
          <w:spacing w:val="-58"/>
        </w:rPr>
        <w:t> </w:t>
      </w:r>
      <w:r>
        <w:rPr/>
        <w:t>股，2008</w:t>
      </w:r>
      <w:r>
        <w:rPr>
          <w:spacing w:val="-58"/>
        </w:rPr>
        <w:t> </w:t>
      </w:r>
      <w:r>
        <w:rPr/>
        <w:t>年</w:t>
      </w:r>
      <w:r>
        <w:rPr>
          <w:spacing w:val="-58"/>
        </w:rPr>
        <w:t> </w:t>
      </w:r>
      <w:r>
        <w:rPr/>
        <w:t>5</w:t>
      </w:r>
      <w:r>
        <w:rPr>
          <w:spacing w:val="-58"/>
        </w:rPr>
        <w:t> </w:t>
      </w:r>
      <w:r>
        <w:rPr/>
        <w:t>月</w:t>
      </w:r>
      <w:r>
        <w:rPr>
          <w:spacing w:val="-58"/>
        </w:rPr>
        <w:t> </w:t>
      </w:r>
      <w:r>
        <w:rPr/>
        <w:t>26</w:t>
      </w:r>
      <w:r>
        <w:rPr>
          <w:spacing w:val="-58"/>
        </w:rPr>
        <w:t> </w:t>
      </w:r>
      <w:r>
        <w:rPr/>
        <w:t>日公司以资本公积向全体股东每</w:t>
      </w:r>
      <w:r>
        <w:rPr>
          <w:spacing w:val="-58"/>
        </w:rPr>
        <w:t> </w:t>
      </w:r>
      <w:r>
        <w:rPr/>
        <w:t>10</w:t>
      </w:r>
      <w:r>
        <w:rPr>
          <w:spacing w:val="-58"/>
        </w:rPr>
        <w:t> </w:t>
      </w:r>
      <w:r>
        <w:rPr/>
        <w:t>股转增</w:t>
      </w:r>
    </w:p>
    <w:p>
      <w:pPr>
        <w:pStyle w:val="BodyText"/>
        <w:spacing w:line="357" w:lineRule="auto" w:before="154"/>
        <w:ind w:left="340" w:right="355"/>
        <w:jc w:val="both"/>
      </w:pPr>
      <w:r>
        <w:rPr/>
        <w:t>3</w:t>
      </w:r>
      <w:r>
        <w:rPr>
          <w:spacing w:val="-56"/>
        </w:rPr>
        <w:t> </w:t>
      </w:r>
      <w:r>
        <w:rPr/>
        <w:t>股后，所持股份增至</w:t>
      </w:r>
      <w:r>
        <w:rPr>
          <w:spacing w:val="-56"/>
        </w:rPr>
        <w:t> </w:t>
      </w:r>
      <w:r>
        <w:rPr/>
        <w:t>16,731,000</w:t>
      </w:r>
      <w:r>
        <w:rPr>
          <w:spacing w:val="-56"/>
        </w:rPr>
        <w:t> </w:t>
      </w:r>
      <w:r>
        <w:rPr/>
        <w:t>股。以包叔平先生为代表的</w:t>
      </w:r>
      <w:r>
        <w:rPr>
          <w:spacing w:val="-56"/>
        </w:rPr>
        <w:t> </w:t>
      </w:r>
      <w:r>
        <w:rPr/>
        <w:t>38</w:t>
      </w:r>
      <w:r>
        <w:rPr>
          <w:spacing w:val="-56"/>
        </w:rPr>
        <w:t> </w:t>
      </w:r>
      <w:r>
        <w:rPr/>
        <w:t>位自然人股东承</w:t>
      </w:r>
      <w:r>
        <w:rPr/>
        <w:t> </w:t>
      </w:r>
      <w:r>
        <w:rPr>
          <w:spacing w:val="-2"/>
        </w:rPr>
        <w:t>诺：自公司股票上市之日起三十六个月内，不转让或者委托他人管理其所持有的发</w:t>
      </w:r>
      <w:r>
        <w:rPr>
          <w:spacing w:val="-88"/>
        </w:rPr>
        <w:t> </w:t>
      </w:r>
      <w:r>
        <w:rPr>
          <w:spacing w:val="-88"/>
        </w:rPr>
      </w:r>
      <w:r>
        <w:rPr>
          <w:spacing w:val="-2"/>
        </w:rPr>
        <w:t>行人股份，也不由发行人回购其所持有的股份；之后每年转让不超过所持有发行人</w:t>
      </w:r>
      <w:r>
        <w:rPr>
          <w:spacing w:val="-88"/>
        </w:rPr>
        <w:t> </w:t>
      </w:r>
      <w:r>
        <w:rPr>
          <w:spacing w:val="-88"/>
        </w:rPr>
      </w:r>
      <w:r>
        <w:rPr/>
        <w:t>股份的</w:t>
      </w:r>
      <w:r>
        <w:rPr>
          <w:spacing w:val="-59"/>
        </w:rPr>
        <w:t> </w:t>
      </w:r>
      <w:r>
        <w:rPr>
          <w:spacing w:val="-5"/>
        </w:rPr>
        <w:t>20%，并严格履行了该承诺。自</w:t>
      </w:r>
      <w:r>
        <w:rPr>
          <w:spacing w:val="-59"/>
        </w:rPr>
        <w:t> </w:t>
      </w:r>
      <w:r>
        <w:rPr/>
        <w:t>2010</w:t>
      </w:r>
      <w:r>
        <w:rPr>
          <w:spacing w:val="-59"/>
        </w:rPr>
        <w:t> </w:t>
      </w:r>
      <w:r>
        <w:rPr/>
        <w:t>年</w:t>
      </w:r>
      <w:r>
        <w:rPr>
          <w:spacing w:val="-59"/>
        </w:rPr>
        <w:t> </w:t>
      </w:r>
      <w:r>
        <w:rPr/>
        <w:t>12</w:t>
      </w:r>
      <w:r>
        <w:rPr>
          <w:spacing w:val="-59"/>
        </w:rPr>
        <w:t> </w:t>
      </w:r>
      <w:r>
        <w:rPr/>
        <w:t>月</w:t>
      </w:r>
      <w:r>
        <w:rPr>
          <w:spacing w:val="-59"/>
        </w:rPr>
        <w:t> </w:t>
      </w:r>
      <w:r>
        <w:rPr/>
        <w:t>13</w:t>
      </w:r>
      <w:r>
        <w:rPr>
          <w:spacing w:val="-59"/>
        </w:rPr>
        <w:t> </w:t>
      </w:r>
      <w:r>
        <w:rPr>
          <w:spacing w:val="-3"/>
        </w:rPr>
        <w:t>日，以包叔平先生为代表的</w:t>
      </w:r>
    </w:p>
    <w:p>
      <w:pPr>
        <w:pStyle w:val="BodyText"/>
        <w:spacing w:line="357" w:lineRule="auto"/>
        <w:ind w:left="340" w:right="224"/>
        <w:jc w:val="left"/>
      </w:pPr>
      <w:r>
        <w:rPr/>
        <w:t>38</w:t>
      </w:r>
      <w:r>
        <w:rPr>
          <w:spacing w:val="-58"/>
        </w:rPr>
        <w:t> </w:t>
      </w:r>
      <w:r>
        <w:rPr/>
        <w:t>位自然人股东所持</w:t>
      </w:r>
      <w:r>
        <w:rPr>
          <w:spacing w:val="-58"/>
        </w:rPr>
        <w:t> </w:t>
      </w:r>
      <w:r>
        <w:rPr/>
        <w:t>3,346,200</w:t>
      </w:r>
      <w:r>
        <w:rPr>
          <w:spacing w:val="-58"/>
        </w:rPr>
        <w:t> </w:t>
      </w:r>
      <w:r>
        <w:rPr>
          <w:spacing w:val="-10"/>
        </w:rPr>
        <w:t>股上市流通后，自然人股东唐长钧先生、李坚先生、</w:t>
      </w:r>
      <w:r>
        <w:rPr/>
        <w:t> 周诚先生、杨晓鸣女士和王洪祥先生通过深圳证券交易所竞价交易系统累计减持公 司股份</w:t>
      </w:r>
      <w:r>
        <w:rPr>
          <w:spacing w:val="-40"/>
        </w:rPr>
        <w:t> </w:t>
      </w:r>
      <w:r>
        <w:rPr/>
        <w:t>500,675</w:t>
      </w:r>
      <w:r>
        <w:rPr>
          <w:spacing w:val="-40"/>
        </w:rPr>
        <w:t> </w:t>
      </w:r>
      <w:r>
        <w:rPr/>
        <w:t>股。截至报告期末，以包叔平先生为代表的</w:t>
      </w:r>
      <w:r>
        <w:rPr>
          <w:spacing w:val="-40"/>
        </w:rPr>
        <w:t> </w:t>
      </w:r>
      <w:r>
        <w:rPr/>
        <w:t>38</w:t>
      </w:r>
      <w:r>
        <w:rPr>
          <w:spacing w:val="-40"/>
        </w:rPr>
        <w:t> </w:t>
      </w:r>
      <w:r>
        <w:rPr/>
        <w:t>位自然人股东共计</w:t>
      </w:r>
    </w:p>
    <w:p>
      <w:pPr>
        <w:pStyle w:val="BodyText"/>
        <w:spacing w:line="240" w:lineRule="auto"/>
        <w:ind w:left="340" w:right="224"/>
        <w:jc w:val="left"/>
      </w:pPr>
      <w:r>
        <w:rPr/>
        <w:t>持有公司股票数量为</w:t>
      </w:r>
      <w:r>
        <w:rPr>
          <w:spacing w:val="-60"/>
        </w:rPr>
        <w:t> </w:t>
      </w:r>
      <w:r>
        <w:rPr/>
        <w:t>16,230,325</w:t>
      </w:r>
      <w:r>
        <w:rPr>
          <w:spacing w:val="-60"/>
        </w:rPr>
        <w:t> </w:t>
      </w:r>
      <w:r>
        <w:rPr/>
        <w:t>股。</w:t>
      </w:r>
    </w:p>
    <w:p>
      <w:pPr>
        <w:pStyle w:val="BodyText"/>
        <w:spacing w:line="357" w:lineRule="auto" w:before="154"/>
        <w:ind w:left="340" w:right="356" w:firstLine="480"/>
        <w:jc w:val="both"/>
      </w:pPr>
      <w:r>
        <w:rPr/>
        <w:t>截至报告期末，公司无限售条件的流通股从</w:t>
      </w:r>
      <w:r>
        <w:rPr>
          <w:spacing w:val="-53"/>
        </w:rPr>
        <w:t> </w:t>
      </w:r>
      <w:r>
        <w:rPr/>
        <w:t>32,234,800</w:t>
      </w:r>
      <w:r>
        <w:rPr>
          <w:spacing w:val="-53"/>
        </w:rPr>
        <w:t> </w:t>
      </w:r>
      <w:r>
        <w:rPr/>
        <w:t>股增加到</w:t>
      </w:r>
      <w:r>
        <w:rPr>
          <w:spacing w:val="-53"/>
        </w:rPr>
        <w:t> </w:t>
      </w:r>
      <w:r>
        <w:rPr/>
        <w:t>52,451,425</w:t>
      </w:r>
      <w:r>
        <w:rPr/>
        <w:t> 股，占总股本的比例从</w:t>
      </w:r>
      <w:r>
        <w:rPr>
          <w:spacing w:val="-53"/>
        </w:rPr>
        <w:t> </w:t>
      </w:r>
      <w:r>
        <w:rPr/>
        <w:t>43.20%增长到</w:t>
      </w:r>
      <w:r>
        <w:rPr>
          <w:spacing w:val="-53"/>
        </w:rPr>
        <w:t> </w:t>
      </w:r>
      <w:r>
        <w:rPr/>
        <w:t>70.29%；有限售条件的流通股从</w:t>
      </w:r>
      <w:r>
        <w:rPr>
          <w:spacing w:val="-53"/>
        </w:rPr>
        <w:t> </w:t>
      </w:r>
      <w:r>
        <w:rPr/>
        <w:t>42,385,200</w:t>
      </w:r>
      <w:r>
        <w:rPr/>
        <w:t> 股减少到</w:t>
      </w:r>
      <w:r>
        <w:rPr>
          <w:spacing w:val="-60"/>
        </w:rPr>
        <w:t> </w:t>
      </w:r>
      <w:r>
        <w:rPr/>
        <w:t>22,168,575</w:t>
      </w:r>
      <w:r>
        <w:rPr>
          <w:spacing w:val="-60"/>
        </w:rPr>
        <w:t> </w:t>
      </w:r>
      <w:r>
        <w:rPr/>
        <w:t>股，占总股本的比例从</w:t>
      </w:r>
      <w:r>
        <w:rPr>
          <w:spacing w:val="-60"/>
        </w:rPr>
        <w:t> </w:t>
      </w:r>
      <w:r>
        <w:rPr/>
        <w:t>56.80%减少到</w:t>
      </w:r>
      <w:r>
        <w:rPr>
          <w:spacing w:val="-60"/>
        </w:rPr>
        <w:t> </w:t>
      </w:r>
      <w:r>
        <w:rPr/>
        <w:t>29.71%。</w:t>
      </w:r>
    </w:p>
    <w:p>
      <w:pPr>
        <w:pStyle w:val="BodyText"/>
        <w:spacing w:line="240" w:lineRule="auto"/>
        <w:ind w:left="820" w:right="224"/>
        <w:jc w:val="left"/>
      </w:pPr>
      <w:r>
        <w:rPr/>
        <w:t>7、公司股份总数未发生变动。</w:t>
      </w:r>
    </w:p>
    <w:p>
      <w:pPr>
        <w:pStyle w:val="Heading3"/>
        <w:spacing w:line="930" w:lineRule="atLeast" w:before="6"/>
        <w:ind w:left="340" w:right="6048"/>
        <w:jc w:val="left"/>
        <w:rPr>
          <w:b w:val="0"/>
          <w:bCs w:val="0"/>
        </w:rPr>
      </w:pPr>
      <w:r>
        <w:rPr/>
        <w:t>（三）公司无内部职工股</w:t>
      </w:r>
      <w:r>
        <w:rPr>
          <w:w w:val="99"/>
        </w:rPr>
        <w:t> </w:t>
      </w:r>
      <w:r>
        <w:rPr/>
        <w:t>三、股东和实际控制人情况</w:t>
      </w:r>
      <w:r>
        <w:rPr>
          <w:b w:val="0"/>
          <w:bCs w:val="0"/>
        </w:rPr>
      </w:r>
    </w:p>
    <w:p>
      <w:pPr>
        <w:pStyle w:val="Heading3"/>
        <w:spacing w:line="240" w:lineRule="auto" w:before="154"/>
        <w:ind w:left="340" w:right="224"/>
        <w:jc w:val="left"/>
        <w:rPr>
          <w:b w:val="0"/>
          <w:bCs w:val="0"/>
        </w:rPr>
      </w:pPr>
      <w:r>
        <w:rPr/>
        <w:t>（一）股东总数和前</w:t>
      </w:r>
      <w:r>
        <w:rPr>
          <w:spacing w:val="-64"/>
        </w:rPr>
        <w:t> </w:t>
      </w:r>
      <w:r>
        <w:rPr/>
        <w:t>10</w:t>
      </w:r>
      <w:r>
        <w:rPr>
          <w:spacing w:val="-62"/>
        </w:rPr>
        <w:t> </w:t>
      </w:r>
      <w:r>
        <w:rPr/>
        <w:t>名股东、前</w:t>
      </w:r>
      <w:r>
        <w:rPr>
          <w:spacing w:val="-64"/>
        </w:rPr>
        <w:t> </w:t>
      </w:r>
      <w:r>
        <w:rPr/>
        <w:t>10</w:t>
      </w:r>
      <w:r>
        <w:rPr>
          <w:spacing w:val="-62"/>
        </w:rPr>
        <w:t> </w:t>
      </w:r>
      <w:r>
        <w:rPr/>
        <w:t>名无限售条件股东持股情况表</w:t>
      </w:r>
      <w:r>
        <w:rPr>
          <w:b w:val="0"/>
          <w:bCs w:val="0"/>
        </w:rPr>
      </w:r>
    </w:p>
    <w:p>
      <w:pPr>
        <w:spacing w:before="179"/>
        <w:ind w:left="0" w:right="354"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516"/>
        <w:gridCol w:w="1312"/>
        <w:gridCol w:w="991"/>
        <w:gridCol w:w="1277"/>
        <w:gridCol w:w="1416"/>
        <w:gridCol w:w="1560"/>
      </w:tblGrid>
      <w:tr>
        <w:trPr>
          <w:trHeight w:val="322" w:hRule="exact"/>
        </w:trPr>
        <w:tc>
          <w:tcPr>
            <w:tcW w:w="25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5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8,504</w:t>
            </w:r>
          </w:p>
        </w:tc>
      </w:tr>
      <w:tr>
        <w:trPr>
          <w:trHeight w:val="321" w:hRule="exact"/>
        </w:trPr>
        <w:tc>
          <w:tcPr>
            <w:tcW w:w="9072" w:type="dxa"/>
            <w:gridSpan w:val="6"/>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161" w:hRule="exact"/>
        </w:trPr>
        <w:tc>
          <w:tcPr>
            <w:tcW w:w="2516" w:type="dxa"/>
            <w:tcBorders>
              <w:top w:val="single" w:sz="4" w:space="0" w:color="000000"/>
              <w:left w:val="single" w:sz="4" w:space="0" w:color="000000"/>
              <w:bottom w:val="nil" w:sz="6" w:space="0" w:color="auto"/>
              <w:right w:val="single" w:sz="4" w:space="0" w:color="000000"/>
            </w:tcBorders>
            <w:shd w:val="clear" w:color="auto" w:fill="DBDBDB"/>
          </w:tcPr>
          <w:p>
            <w:pPr/>
          </w:p>
        </w:tc>
        <w:tc>
          <w:tcPr>
            <w:tcW w:w="1312"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248"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91"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69"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77"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3"/>
              <w:ind w:left="21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16" w:type="dxa"/>
            <w:vMerge w:val="restart"/>
            <w:tcBorders>
              <w:top w:val="single" w:sz="4" w:space="0" w:color="000000"/>
              <w:left w:val="single" w:sz="4" w:space="0" w:color="000000"/>
              <w:right w:val="single" w:sz="4" w:space="0" w:color="000000"/>
            </w:tcBorders>
            <w:shd w:val="clear" w:color="auto" w:fill="DBDBDB"/>
          </w:tcPr>
          <w:p>
            <w:pPr>
              <w:pStyle w:val="TableParagraph"/>
              <w:spacing w:line="273" w:lineRule="auto"/>
              <w:ind w:left="175" w:right="70"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560" w:type="dxa"/>
            <w:vMerge w:val="restart"/>
            <w:tcBorders>
              <w:top w:val="single" w:sz="4" w:space="0" w:color="000000"/>
              <w:left w:val="single" w:sz="4" w:space="0" w:color="000000"/>
              <w:right w:val="single" w:sz="4" w:space="0" w:color="000000"/>
            </w:tcBorders>
            <w:shd w:val="clear" w:color="auto" w:fill="DBDBDB"/>
          </w:tcPr>
          <w:p>
            <w:pPr>
              <w:pStyle w:val="TableParagraph"/>
              <w:spacing w:line="273" w:lineRule="auto"/>
              <w:ind w:left="460" w:right="34" w:hanging="420"/>
              <w:jc w:val="left"/>
              <w:rPr>
                <w:rFonts w:ascii="宋体" w:hAnsi="宋体" w:cs="宋体" w:eastAsia="宋体" w:hint="default"/>
                <w:sz w:val="21"/>
                <w:szCs w:val="21"/>
              </w:rPr>
            </w:pPr>
            <w:r>
              <w:rPr>
                <w:rFonts w:ascii="宋体" w:hAnsi="宋体" w:cs="宋体" w:eastAsia="宋体" w:hint="default"/>
                <w:sz w:val="21"/>
                <w:szCs w:val="21"/>
              </w:rPr>
              <w:t>质押或冻结的股</w:t>
            </w:r>
            <w:r>
              <w:rPr>
                <w:rFonts w:ascii="宋体" w:hAnsi="宋体" w:cs="宋体" w:eastAsia="宋体" w:hint="default"/>
                <w:w w:val="100"/>
                <w:sz w:val="21"/>
                <w:szCs w:val="21"/>
              </w:rPr>
              <w:t> </w:t>
            </w:r>
            <w:r>
              <w:rPr>
                <w:rFonts w:ascii="宋体" w:hAnsi="宋体" w:cs="宋体" w:eastAsia="宋体" w:hint="default"/>
                <w:sz w:val="21"/>
                <w:szCs w:val="21"/>
              </w:rPr>
              <w:t>份数量</w:t>
            </w:r>
          </w:p>
        </w:tc>
      </w:tr>
      <w:tr>
        <w:trPr>
          <w:trHeight w:val="312" w:hRule="exact"/>
        </w:trPr>
        <w:tc>
          <w:tcPr>
            <w:tcW w:w="2516" w:type="dxa"/>
            <w:tcBorders>
              <w:top w:val="nil" w:sz="6" w:space="0" w:color="auto"/>
              <w:left w:val="single" w:sz="4" w:space="0" w:color="000000"/>
              <w:bottom w:val="nil" w:sz="6" w:space="0" w:color="auto"/>
              <w:right w:val="single" w:sz="4" w:space="0" w:color="000000"/>
            </w:tcBorders>
          </w:tcPr>
          <w:p>
            <w:pPr>
              <w:pStyle w:val="TableParagraph"/>
              <w:tabs>
                <w:tab w:pos="849" w:val="left" w:leader="none"/>
                <w:tab w:pos="2517" w:val="left" w:leader="none"/>
              </w:tabs>
              <w:spacing w:line="262" w:lineRule="exact"/>
              <w:ind w:left="21" w:right="-11"/>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shd w:fill="DBDBDB" w:color="auto" w:val="clear"/>
              </w:rPr>
              <w:t> </w:t>
            </w:r>
            <w:r>
              <w:rPr>
                <w:rFonts w:ascii="Times New Roman" w:hAnsi="Times New Roman" w:cs="Times New Roman" w:eastAsia="Times New Roman" w:hint="default"/>
                <w:sz w:val="21"/>
                <w:szCs w:val="21"/>
                <w:shd w:fill="DBDBDB" w:color="auto" w:val="clear"/>
              </w:rPr>
              <w:tab/>
            </w:r>
            <w:r>
              <w:rPr>
                <w:rFonts w:ascii="宋体" w:hAnsi="宋体" w:cs="宋体" w:eastAsia="宋体" w:hint="default"/>
                <w:sz w:val="21"/>
                <w:szCs w:val="21"/>
                <w:shd w:fill="DBDBDB" w:color="auto" w:val="clear"/>
              </w:rPr>
              <w:t>股东名称</w:t>
              <w:tab/>
            </w:r>
            <w:r>
              <w:rPr>
                <w:rFonts w:ascii="宋体" w:hAnsi="宋体" w:cs="宋体" w:eastAsia="宋体" w:hint="default"/>
                <w:sz w:val="21"/>
                <w:szCs w:val="21"/>
              </w:rPr>
            </w:r>
          </w:p>
        </w:tc>
        <w:tc>
          <w:tcPr>
            <w:tcW w:w="1312" w:type="dxa"/>
            <w:vMerge/>
            <w:tcBorders>
              <w:left w:val="single" w:sz="4" w:space="0" w:color="000000"/>
              <w:right w:val="single" w:sz="4" w:space="0" w:color="000000"/>
            </w:tcBorders>
            <w:shd w:val="clear" w:color="auto" w:fill="DBDBDB"/>
          </w:tcPr>
          <w:p>
            <w:pPr/>
          </w:p>
        </w:tc>
        <w:tc>
          <w:tcPr>
            <w:tcW w:w="991" w:type="dxa"/>
            <w:vMerge/>
            <w:tcBorders>
              <w:left w:val="single" w:sz="4" w:space="0" w:color="000000"/>
              <w:right w:val="single" w:sz="4" w:space="0" w:color="000000"/>
            </w:tcBorders>
            <w:shd w:val="clear" w:color="auto" w:fill="DBDBDB"/>
          </w:tcPr>
          <w:p>
            <w:pPr/>
          </w:p>
        </w:tc>
        <w:tc>
          <w:tcPr>
            <w:tcW w:w="1277" w:type="dxa"/>
            <w:vMerge/>
            <w:tcBorders>
              <w:left w:val="single" w:sz="4" w:space="0" w:color="000000"/>
              <w:right w:val="single" w:sz="4" w:space="0" w:color="000000"/>
            </w:tcBorders>
            <w:shd w:val="clear" w:color="auto" w:fill="DBDBDB"/>
          </w:tcPr>
          <w:p>
            <w:pPr/>
          </w:p>
        </w:tc>
        <w:tc>
          <w:tcPr>
            <w:tcW w:w="1416" w:type="dxa"/>
            <w:vMerge/>
            <w:tcBorders>
              <w:left w:val="single" w:sz="4" w:space="0" w:color="000000"/>
              <w:right w:val="single" w:sz="4" w:space="0" w:color="000000"/>
            </w:tcBorders>
            <w:shd w:val="clear" w:color="auto" w:fill="DBDBDB"/>
          </w:tcPr>
          <w:p>
            <w:pPr/>
          </w:p>
        </w:tc>
        <w:tc>
          <w:tcPr>
            <w:tcW w:w="1560" w:type="dxa"/>
            <w:vMerge/>
            <w:tcBorders>
              <w:left w:val="single" w:sz="4" w:space="0" w:color="000000"/>
              <w:right w:val="single" w:sz="4" w:space="0" w:color="000000"/>
            </w:tcBorders>
            <w:shd w:val="clear" w:color="auto" w:fill="DBDBDB"/>
          </w:tcPr>
          <w:p>
            <w:pPr/>
          </w:p>
        </w:tc>
      </w:tr>
      <w:tr>
        <w:trPr>
          <w:trHeight w:val="161" w:hRule="exact"/>
        </w:trPr>
        <w:tc>
          <w:tcPr>
            <w:tcW w:w="2516" w:type="dxa"/>
            <w:tcBorders>
              <w:top w:val="nil" w:sz="6" w:space="0" w:color="auto"/>
              <w:left w:val="single" w:sz="4" w:space="0" w:color="000000"/>
              <w:bottom w:val="single" w:sz="4" w:space="0" w:color="000000"/>
              <w:right w:val="single" w:sz="4" w:space="0" w:color="000000"/>
            </w:tcBorders>
            <w:shd w:val="clear" w:color="auto" w:fill="DBDBDB"/>
          </w:tcPr>
          <w:p>
            <w:pPr/>
          </w:p>
        </w:tc>
        <w:tc>
          <w:tcPr>
            <w:tcW w:w="1312" w:type="dxa"/>
            <w:vMerge/>
            <w:tcBorders>
              <w:left w:val="single" w:sz="4" w:space="0" w:color="000000"/>
              <w:bottom w:val="single" w:sz="4" w:space="0" w:color="000000"/>
              <w:right w:val="single" w:sz="4" w:space="0" w:color="000000"/>
            </w:tcBorders>
            <w:shd w:val="clear" w:color="auto" w:fill="DBDBDB"/>
          </w:tcPr>
          <w:p>
            <w:pPr/>
          </w:p>
        </w:tc>
        <w:tc>
          <w:tcPr>
            <w:tcW w:w="991" w:type="dxa"/>
            <w:vMerge/>
            <w:tcBorders>
              <w:left w:val="single" w:sz="4" w:space="0" w:color="000000"/>
              <w:bottom w:val="single" w:sz="4" w:space="0" w:color="000000"/>
              <w:right w:val="single" w:sz="4" w:space="0" w:color="000000"/>
            </w:tcBorders>
            <w:shd w:val="clear" w:color="auto" w:fill="DBDBDB"/>
          </w:tcPr>
          <w:p>
            <w:pPr/>
          </w:p>
        </w:tc>
        <w:tc>
          <w:tcPr>
            <w:tcW w:w="1277" w:type="dxa"/>
            <w:vMerge/>
            <w:tcBorders>
              <w:left w:val="single" w:sz="4" w:space="0" w:color="000000"/>
              <w:bottom w:val="single" w:sz="4" w:space="0" w:color="000000"/>
              <w:right w:val="single" w:sz="4" w:space="0" w:color="000000"/>
            </w:tcBorders>
            <w:shd w:val="clear" w:color="auto" w:fill="DBDBDB"/>
          </w:tcPr>
          <w:p>
            <w:pPr/>
          </w:p>
        </w:tc>
        <w:tc>
          <w:tcPr>
            <w:tcW w:w="1416" w:type="dxa"/>
            <w:vMerge/>
            <w:tcBorders>
              <w:left w:val="single" w:sz="4" w:space="0" w:color="000000"/>
              <w:bottom w:val="single" w:sz="4" w:space="0" w:color="000000"/>
              <w:right w:val="single" w:sz="4" w:space="0" w:color="000000"/>
            </w:tcBorders>
            <w:shd w:val="clear" w:color="auto" w:fill="DBDBDB"/>
          </w:tcPr>
          <w:p>
            <w:pPr/>
          </w:p>
        </w:tc>
        <w:tc>
          <w:tcPr>
            <w:tcW w:w="1560" w:type="dxa"/>
            <w:vMerge/>
            <w:tcBorders>
              <w:left w:val="single" w:sz="4" w:space="0" w:color="000000"/>
              <w:bottom w:val="single" w:sz="4" w:space="0" w:color="000000"/>
              <w:right w:val="single" w:sz="4" w:space="0" w:color="000000"/>
            </w:tcBorders>
            <w:shd w:val="clear" w:color="auto" w:fill="DBDBDB"/>
          </w:tcPr>
          <w:p>
            <w:pPr/>
          </w:p>
        </w:tc>
      </w:tr>
      <w:tr>
        <w:trPr>
          <w:trHeight w:val="32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欧姆龙（中国）有限公司</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8"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17.94%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13,384,800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9"/>
              <w:jc w:val="left"/>
              <w:rPr>
                <w:rFonts w:ascii="宋体" w:hAnsi="宋体" w:cs="宋体" w:eastAsia="宋体" w:hint="default"/>
                <w:sz w:val="21"/>
                <w:szCs w:val="21"/>
              </w:rPr>
            </w:pPr>
            <w:r>
              <w:rPr>
                <w:rFonts w:ascii="宋体" w:hAnsi="宋体" w:cs="宋体" w:eastAsia="宋体" w:hint="default"/>
                <w:spacing w:val="-2"/>
                <w:sz w:val="21"/>
                <w:szCs w:val="21"/>
              </w:rPr>
              <w:t>上海慧盛创业投资有限公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8"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17.75%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13,241,350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sz w:val="21"/>
              </w:rPr>
              <w:t>1,885,000</w:t>
            </w:r>
          </w:p>
          <w:p>
            <w:pPr>
              <w:pStyle w:val="TableParagraph"/>
              <w:spacing w:line="240" w:lineRule="auto" w:before="37"/>
              <w:ind w:left="43" w:right="0"/>
              <w:jc w:val="left"/>
              <w:rPr>
                <w:rFonts w:ascii="宋体" w:hAnsi="宋体" w:cs="宋体" w:eastAsia="宋体" w:hint="default"/>
                <w:sz w:val="21"/>
                <w:szCs w:val="21"/>
              </w:rPr>
            </w:pPr>
            <w:r>
              <w:rPr>
                <w:rFonts w:ascii="宋体" w:hAnsi="宋体" w:cs="宋体" w:eastAsia="宋体" w:hint="default"/>
                <w:sz w:val="21"/>
                <w:szCs w:val="21"/>
              </w:rPr>
              <w:t>（国有股转持）</w:t>
            </w: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9"/>
              <w:jc w:val="left"/>
              <w:rPr>
                <w:rFonts w:ascii="宋体" w:hAnsi="宋体" w:cs="宋体" w:eastAsia="宋体" w:hint="default"/>
                <w:sz w:val="21"/>
                <w:szCs w:val="21"/>
              </w:rPr>
            </w:pPr>
            <w:r>
              <w:rPr>
                <w:rFonts w:ascii="宋体" w:hAnsi="宋体" w:cs="宋体" w:eastAsia="宋体" w:hint="default"/>
                <w:spacing w:val="-2"/>
                <w:sz w:val="21"/>
                <w:szCs w:val="21"/>
              </w:rPr>
              <w:t>上海古德投资咨询有限公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 w:right="19"/>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3"/>
                <w:sz w:val="21"/>
                <w:szCs w:val="21"/>
              </w:rPr>
              <w:t> </w:t>
            </w:r>
            <w:r>
              <w:rPr>
                <w:rFonts w:ascii="宋体" w:hAnsi="宋体" w:cs="宋体" w:eastAsia="宋体" w:hint="default"/>
                <w:sz w:val="21"/>
                <w:szCs w:val="21"/>
              </w:rPr>
              <w:t>内</w:t>
            </w:r>
            <w:r>
              <w:rPr>
                <w:rFonts w:ascii="宋体" w:hAnsi="宋体" w:cs="宋体" w:eastAsia="宋体" w:hint="default"/>
                <w:spacing w:val="-61"/>
                <w:sz w:val="21"/>
                <w:szCs w:val="21"/>
              </w:rPr>
              <w:t> </w:t>
            </w:r>
            <w:r>
              <w:rPr>
                <w:rFonts w:ascii="宋体" w:hAnsi="宋体" w:cs="宋体" w:eastAsia="宋体" w:hint="default"/>
                <w:sz w:val="21"/>
                <w:szCs w:val="21"/>
              </w:rPr>
              <w:t>非</w:t>
            </w:r>
            <w:r>
              <w:rPr>
                <w:rFonts w:ascii="宋体" w:hAnsi="宋体" w:cs="宋体" w:eastAsia="宋体" w:hint="default"/>
                <w:spacing w:val="-63"/>
                <w:sz w:val="21"/>
                <w:szCs w:val="21"/>
              </w:rPr>
              <w:t> </w:t>
            </w:r>
            <w:r>
              <w:rPr>
                <w:rFonts w:ascii="宋体" w:hAnsi="宋体" w:cs="宋体" w:eastAsia="宋体" w:hint="default"/>
                <w:sz w:val="21"/>
                <w:szCs w:val="21"/>
              </w:rPr>
              <w:t>国</w:t>
            </w:r>
            <w:r>
              <w:rPr>
                <w:rFonts w:ascii="宋体" w:hAnsi="宋体" w:cs="宋体" w:eastAsia="宋体" w:hint="default"/>
                <w:spacing w:val="-6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11.77%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8,783,775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8,783,775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3.83%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2,860,000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2,288,000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2.98%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2,221,625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1,873,300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姚钢</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1,301,300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1,041,040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r>
      <w:tr>
        <w:trPr>
          <w:trHeight w:val="32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周诚</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1.41%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1,051,410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966,680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r>
      <w:tr>
        <w:trPr>
          <w:trHeight w:val="322"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李坚</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895,400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892,320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pgSz w:w="11900" w:h="16840"/>
          <w:pgMar w:header="874" w:footer="983" w:top="1040" w:bottom="1180" w:left="14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36"/>
        <w:ind w:left="0" w:right="99" w:firstLine="0"/>
        <w:jc w:val="right"/>
        <w:rPr>
          <w:rFonts w:ascii="宋体" w:hAnsi="宋体" w:cs="宋体" w:eastAsia="宋体" w:hint="default"/>
          <w:sz w:val="21"/>
          <w:szCs w:val="21"/>
        </w:rPr>
      </w:pPr>
      <w:r>
        <w:rPr/>
        <w:pict>
          <v:shape style="position:absolute;margin-left:78pt;margin-top:-270.216339pt;width:454.35pt;height:398.0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4"/>
                    <w:gridCol w:w="1277"/>
                    <w:gridCol w:w="739"/>
                    <w:gridCol w:w="538"/>
                    <w:gridCol w:w="991"/>
                    <w:gridCol w:w="1277"/>
                    <w:gridCol w:w="425"/>
                    <w:gridCol w:w="991"/>
                    <w:gridCol w:w="1560"/>
                  </w:tblGrid>
                  <w:tr>
                    <w:trPr>
                      <w:trHeight w:val="322"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桑悦</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800,000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r>
                  <w:tr>
                    <w:trPr>
                      <w:trHeight w:val="322"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矫宪平</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730,000</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r>
                  <w:tr>
                    <w:trPr>
                      <w:trHeight w:val="322" w:hRule="exact"/>
                    </w:trPr>
                    <w:tc>
                      <w:tcPr>
                        <w:tcW w:w="9072" w:type="dxa"/>
                        <w:gridSpan w:val="9"/>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名无限售条件股东持股情况</w:t>
                        </w:r>
                      </w:p>
                    </w:tc>
                  </w:tr>
                  <w:tr>
                    <w:trPr>
                      <w:trHeight w:val="324" w:hRule="exact"/>
                    </w:trPr>
                    <w:tc>
                      <w:tcPr>
                        <w:tcW w:w="329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31" w:type="dxa"/>
                        <w:gridSpan w:val="4"/>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45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欧姆龙（中国）有限公司</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45" w:right="0"/>
                          <w:jc w:val="left"/>
                          <w:rPr>
                            <w:rFonts w:ascii="宋体" w:hAnsi="宋体" w:cs="宋体" w:eastAsia="宋体" w:hint="default"/>
                            <w:sz w:val="21"/>
                            <w:szCs w:val="21"/>
                          </w:rPr>
                        </w:pPr>
                        <w:r>
                          <w:rPr>
                            <w:rFonts w:ascii="宋体"/>
                            <w:sz w:val="21"/>
                          </w:rPr>
                          <w:t>13,384,800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上海慧盛创业投资有限公司</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45" w:right="0"/>
                          <w:jc w:val="left"/>
                          <w:rPr>
                            <w:rFonts w:ascii="宋体" w:hAnsi="宋体" w:cs="宋体" w:eastAsia="宋体" w:hint="default"/>
                            <w:sz w:val="21"/>
                            <w:szCs w:val="21"/>
                          </w:rPr>
                        </w:pPr>
                        <w:r>
                          <w:rPr>
                            <w:rFonts w:ascii="宋体"/>
                            <w:sz w:val="21"/>
                          </w:rPr>
                          <w:t>13,241,350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桑悦</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800,000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矫宪平</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730,000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572,000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4"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刘碧英</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380,000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348,325</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634"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3"/>
                          <w:jc w:val="left"/>
                          <w:rPr>
                            <w:rFonts w:ascii="宋体" w:hAnsi="宋体" w:cs="宋体" w:eastAsia="宋体" w:hint="default"/>
                            <w:sz w:val="21"/>
                            <w:szCs w:val="21"/>
                          </w:rPr>
                        </w:pPr>
                        <w:r>
                          <w:rPr>
                            <w:rFonts w:ascii="宋体" w:hAnsi="宋体" w:cs="宋体" w:eastAsia="宋体" w:hint="default"/>
                            <w:spacing w:val="-2"/>
                            <w:sz w:val="21"/>
                            <w:szCs w:val="21"/>
                          </w:rPr>
                          <w:t>长城基金公司-中行-长城基金精选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策略型特定多个客户</w:t>
                        </w:r>
                        <w:r>
                          <w:rPr>
                            <w:rFonts w:ascii="宋体" w:hAnsi="宋体" w:cs="宋体" w:eastAsia="宋体" w:hint="default"/>
                            <w:spacing w:val="-59"/>
                            <w:sz w:val="21"/>
                            <w:szCs w:val="21"/>
                          </w:rPr>
                          <w:t> </w:t>
                        </w:r>
                        <w:r>
                          <w:rPr>
                            <w:rFonts w:ascii="宋体" w:hAnsi="宋体" w:cs="宋体" w:eastAsia="宋体" w:hint="default"/>
                            <w:sz w:val="21"/>
                            <w:szCs w:val="21"/>
                          </w:rPr>
                          <w:t>B0901</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342,114</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姚钢</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260,260</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32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吴海全</w:t>
                        </w:r>
                      </w:p>
                    </w:tc>
                    <w:tc>
                      <w:tcPr>
                        <w:tcW w:w="32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259,936</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132" w:hRule="exact"/>
                    </w:trPr>
                    <w:tc>
                      <w:tcPr>
                        <w:tcW w:w="12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105" w:right="103"/>
                          <w:jc w:val="center"/>
                          <w:rPr>
                            <w:rFonts w:ascii="宋体" w:hAnsi="宋体" w:cs="宋体" w:eastAsia="宋体" w:hint="default"/>
                            <w:sz w:val="21"/>
                            <w:szCs w:val="21"/>
                          </w:rPr>
                        </w:pPr>
                        <w:r>
                          <w:rPr>
                            <w:rFonts w:ascii="宋体" w:hAnsi="宋体" w:cs="宋体" w:eastAsia="宋体" w:hint="default"/>
                            <w:sz w:val="21"/>
                            <w:szCs w:val="21"/>
                          </w:rPr>
                          <w:t>上述股东关</w:t>
                        </w:r>
                        <w:r>
                          <w:rPr>
                            <w:rFonts w:ascii="宋体" w:hAnsi="宋体" w:cs="宋体" w:eastAsia="宋体" w:hint="default"/>
                            <w:w w:val="100"/>
                            <w:sz w:val="21"/>
                            <w:szCs w:val="21"/>
                          </w:rPr>
                          <w:t> </w:t>
                        </w:r>
                        <w:r>
                          <w:rPr>
                            <w:rFonts w:ascii="宋体" w:hAnsi="宋体" w:cs="宋体" w:eastAsia="宋体" w:hint="default"/>
                            <w:sz w:val="21"/>
                            <w:szCs w:val="21"/>
                          </w:rPr>
                          <w:t>联关系或一</w:t>
                        </w:r>
                        <w:r>
                          <w:rPr>
                            <w:rFonts w:ascii="宋体" w:hAnsi="宋体" w:cs="宋体" w:eastAsia="宋体" w:hint="default"/>
                            <w:w w:val="100"/>
                            <w:sz w:val="21"/>
                            <w:szCs w:val="21"/>
                          </w:rPr>
                          <w:t> </w:t>
                        </w:r>
                        <w:r>
                          <w:rPr>
                            <w:rFonts w:ascii="宋体" w:hAnsi="宋体" w:cs="宋体" w:eastAsia="宋体" w:hint="default"/>
                            <w:sz w:val="21"/>
                            <w:szCs w:val="21"/>
                          </w:rPr>
                          <w:t>致行动的说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77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0"/>
                          <w:jc w:val="left"/>
                          <w:rPr>
                            <w:rFonts w:ascii="宋体" w:hAnsi="宋体" w:cs="宋体" w:eastAsia="宋体" w:hint="default"/>
                            <w:sz w:val="21"/>
                            <w:szCs w:val="21"/>
                          </w:rPr>
                        </w:pPr>
                        <w:r>
                          <w:rPr>
                            <w:rFonts w:ascii="宋体" w:hAnsi="宋体" w:cs="宋体" w:eastAsia="宋体" w:hint="default"/>
                            <w:spacing w:val="-5"/>
                            <w:sz w:val="21"/>
                            <w:szCs w:val="21"/>
                          </w:rPr>
                          <w:t>上述股东关联关系或一致行动的说明：2007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日上海古德投资咨询有限公司与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包叔平先生签订协议，约定古德投资授权包叔平先生行使其包括股东大会的投票权、</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提案权、董事、独立董事及监事候选人的提名权、临时股东大会的召集权的股东权利</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日，37</w:t>
                        </w:r>
                        <w:r>
                          <w:rPr>
                            <w:rFonts w:ascii="宋体" w:hAnsi="宋体" w:cs="宋体" w:eastAsia="宋体" w:hint="default"/>
                            <w:spacing w:val="-54"/>
                            <w:sz w:val="21"/>
                            <w:szCs w:val="21"/>
                          </w:rPr>
                          <w:t> </w:t>
                        </w:r>
                        <w:r>
                          <w:rPr>
                            <w:rFonts w:ascii="宋体" w:hAnsi="宋体" w:cs="宋体" w:eastAsia="宋体" w:hint="default"/>
                            <w:sz w:val="21"/>
                            <w:szCs w:val="21"/>
                          </w:rPr>
                          <w:t>位自然人股东共同签署《上海海隆软件股份有限公司公开发行</w:t>
                        </w:r>
                        <w:r>
                          <w:rPr>
                            <w:rFonts w:ascii="宋体" w:hAnsi="宋体" w:cs="宋体" w:eastAsia="宋体" w:hint="default"/>
                            <w:w w:val="100"/>
                            <w:sz w:val="21"/>
                            <w:szCs w:val="21"/>
                          </w:rPr>
                          <w:t> </w:t>
                        </w:r>
                        <w:r>
                          <w:rPr>
                            <w:rFonts w:ascii="宋体" w:hAnsi="宋体" w:cs="宋体" w:eastAsia="宋体" w:hint="default"/>
                            <w:spacing w:val="-5"/>
                            <w:w w:val="100"/>
                            <w:sz w:val="21"/>
                            <w:szCs w:val="21"/>
                          </w:rPr>
                          <w:t>股票前的自然人股东持股规则》，约定由包叔平先生作为受托人，代理本规则的全体</w:t>
                        </w:r>
                        <w:r>
                          <w:rPr>
                            <w:rFonts w:ascii="宋体" w:hAnsi="宋体" w:cs="宋体" w:eastAsia="宋体" w:hint="default"/>
                            <w:spacing w:val="-74"/>
                            <w:w w:val="100"/>
                            <w:sz w:val="21"/>
                            <w:szCs w:val="21"/>
                          </w:rPr>
                          <w:t> </w:t>
                        </w:r>
                        <w:r>
                          <w:rPr>
                            <w:rFonts w:ascii="宋体" w:hAnsi="宋体" w:cs="宋体" w:eastAsia="宋体" w:hint="default"/>
                            <w:spacing w:val="-74"/>
                            <w:w w:val="100"/>
                            <w:sz w:val="21"/>
                            <w:szCs w:val="21"/>
                          </w:rPr>
                        </w:r>
                        <w:r>
                          <w:rPr>
                            <w:rFonts w:ascii="宋体" w:hAnsi="宋体" w:cs="宋体" w:eastAsia="宋体" w:hint="default"/>
                            <w:spacing w:val="-3"/>
                            <w:sz w:val="21"/>
                            <w:szCs w:val="21"/>
                          </w:rPr>
                          <w:t>参与人，代为行使其作为公司股东除收益权和依照法律法规、公司章程及本规则的处</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分权之外的全部股东权利，包括股东大会的投票权、提案权及董事、独立董事、监事</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候选人的提名权、临时股东大会的召集权。</w:t>
                        </w:r>
                        <w:r>
                          <w:rPr>
                            <w:rFonts w:ascii="宋体" w:hAnsi="宋体" w:cs="宋体" w:eastAsia="宋体" w:hint="default"/>
                            <w:w w:val="100"/>
                            <w:sz w:val="21"/>
                            <w:szCs w:val="21"/>
                          </w:rPr>
                          <w:t> </w:t>
                        </w:r>
                        <w:r>
                          <w:rPr>
                            <w:rFonts w:ascii="宋体" w:hAnsi="宋体" w:cs="宋体" w:eastAsia="宋体" w:hint="default"/>
                            <w:spacing w:val="-3"/>
                            <w:sz w:val="21"/>
                            <w:szCs w:val="21"/>
                          </w:rPr>
                          <w:t>前十名无限售条件股东之间，包叔平、唐长钧和姚钢为一致行动人，其他未知是否属</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于一致行动人。</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3"/>
        <w:spacing w:line="357" w:lineRule="auto"/>
        <w:ind w:left="340" w:right="4904"/>
        <w:jc w:val="left"/>
        <w:rPr>
          <w:b w:val="0"/>
          <w:bCs w:val="0"/>
        </w:rPr>
      </w:pPr>
      <w:r>
        <w:rPr/>
        <w:t>（二）公司控股股东或实际控制人介绍</w:t>
      </w:r>
      <w:r>
        <w:rPr>
          <w:w w:val="99"/>
        </w:rPr>
        <w:t> </w:t>
      </w:r>
      <w:r>
        <w:rPr/>
        <w:t>1、公司实际控制人</w:t>
      </w:r>
      <w:r>
        <w:rPr>
          <w:b w:val="0"/>
          <w:bCs w:val="0"/>
        </w:rPr>
      </w:r>
    </w:p>
    <w:p>
      <w:pPr>
        <w:pStyle w:val="BodyText"/>
        <w:spacing w:line="357" w:lineRule="auto"/>
        <w:ind w:left="340" w:right="416" w:firstLine="480"/>
        <w:jc w:val="both"/>
      </w:pPr>
      <w:r>
        <w:rPr>
          <w:spacing w:val="-3"/>
        </w:rPr>
        <w:t>公司实际控制人为包叔平先生，中国国籍，1955 </w:t>
      </w:r>
      <w:r>
        <w:rPr>
          <w:spacing w:val="-6"/>
        </w:rPr>
        <w:t>年生，博士学历，自 </w:t>
      </w:r>
      <w:r>
        <w:rPr/>
        <w:t>1989</w:t>
      </w:r>
      <w:r>
        <w:rPr>
          <w:spacing w:val="-31"/>
        </w:rPr>
        <w:t> </w:t>
      </w:r>
      <w:r>
        <w:rPr/>
        <w:t>年</w:t>
      </w:r>
      <w:r>
        <w:rPr/>
        <w:t> </w:t>
      </w:r>
      <w:r>
        <w:rPr>
          <w:spacing w:val="-2"/>
        </w:rPr>
        <w:t>受欧姆龙委派回国创办上海中立计算机有限公司（公司前身）并经营至今。现任本</w:t>
      </w:r>
      <w:r>
        <w:rPr>
          <w:spacing w:val="-87"/>
        </w:rPr>
        <w:t> </w:t>
      </w:r>
      <w:r>
        <w:rPr>
          <w:spacing w:val="-87"/>
        </w:rPr>
      </w:r>
      <w:r>
        <w:rPr>
          <w:spacing w:val="-2"/>
        </w:rPr>
        <w:t>公司董事长、总经理，日本海隆株式会社董事长兼总经理，上海华钟计算机软件开</w:t>
      </w:r>
      <w:r>
        <w:rPr>
          <w:spacing w:val="-87"/>
        </w:rPr>
        <w:t> </w:t>
      </w:r>
      <w:r>
        <w:rPr>
          <w:spacing w:val="-87"/>
        </w:rPr>
      </w:r>
      <w:r>
        <w:rPr>
          <w:spacing w:val="-2"/>
        </w:rPr>
        <w:t>发有限公司董事，上海海隆宜通信息技术有限公司董事长，江苏海隆软件技术有限</w:t>
      </w:r>
      <w:r>
        <w:rPr>
          <w:spacing w:val="-88"/>
        </w:rPr>
        <w:t> </w:t>
      </w:r>
      <w:r>
        <w:rPr>
          <w:spacing w:val="-88"/>
        </w:rPr>
      </w:r>
      <w:r>
        <w:rPr>
          <w:spacing w:val="-4"/>
        </w:rPr>
        <w:t>公司董事长。无其他国家或地区永久居留权。截至报告期末，合计持有公司</w:t>
      </w:r>
      <w:r>
        <w:rPr>
          <w:spacing w:val="-33"/>
        </w:rPr>
        <w:t> </w:t>
      </w:r>
      <w:r>
        <w:rPr/>
        <w:t>33.52%</w:t>
      </w:r>
      <w:r>
        <w:rPr>
          <w:spacing w:val="-118"/>
        </w:rPr>
        <w:t> </w:t>
      </w:r>
      <w:r>
        <w:rPr>
          <w:spacing w:val="-118"/>
        </w:rPr>
      </w:r>
      <w:r>
        <w:rPr/>
        <w:t>的投票权。</w:t>
      </w:r>
    </w:p>
    <w:p>
      <w:pPr>
        <w:spacing w:after="0" w:line="357" w:lineRule="auto"/>
        <w:jc w:val="both"/>
        <w:sectPr>
          <w:pgSz w:w="11900" w:h="16840"/>
          <w:pgMar w:header="874" w:footer="983" w:top="1040" w:bottom="1180" w:left="1460" w:right="1080"/>
        </w:sectPr>
      </w:pPr>
    </w:p>
    <w:p>
      <w:pPr>
        <w:spacing w:line="240" w:lineRule="auto" w:before="0"/>
        <w:rPr>
          <w:rFonts w:ascii="宋体" w:hAnsi="宋体" w:cs="宋体" w:eastAsia="宋体" w:hint="default"/>
          <w:sz w:val="20"/>
          <w:szCs w:val="20"/>
        </w:rPr>
      </w:pPr>
    </w:p>
    <w:p>
      <w:pPr>
        <w:pStyle w:val="Heading3"/>
        <w:spacing w:line="240" w:lineRule="auto" w:before="160"/>
        <w:ind w:right="320"/>
        <w:jc w:val="left"/>
        <w:rPr>
          <w:b w:val="0"/>
          <w:bCs w:val="0"/>
        </w:rPr>
      </w:pPr>
      <w:r>
        <w:rPr/>
        <w:t>2、公司与实际控制人的产权和控制关系如下图：</w:t>
      </w:r>
      <w:r>
        <w:rPr>
          <w:b w:val="0"/>
          <w:bCs w:val="0"/>
        </w:rPr>
      </w:r>
    </w:p>
    <w:p>
      <w:pPr>
        <w:spacing w:line="240" w:lineRule="auto" w:before="9"/>
        <w:rPr>
          <w:rFonts w:ascii="宋体" w:hAnsi="宋体" w:cs="宋体" w:eastAsia="宋体" w:hint="default"/>
          <w:b/>
          <w:bCs/>
          <w:sz w:val="12"/>
          <w:szCs w:val="12"/>
        </w:rPr>
      </w:pPr>
    </w:p>
    <w:p>
      <w:pPr>
        <w:spacing w:line="3974" w:lineRule="exact"/>
        <w:ind w:left="140"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276087" cy="252374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1" cstate="print"/>
                    <a:stretch>
                      <a:fillRect/>
                    </a:stretch>
                  </pic:blipFill>
                  <pic:spPr>
                    <a:xfrm>
                      <a:off x="0" y="0"/>
                      <a:ext cx="5276087" cy="2523744"/>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7"/>
          <w:szCs w:val="17"/>
        </w:rPr>
      </w:pPr>
    </w:p>
    <w:p>
      <w:pPr>
        <w:pStyle w:val="BodyText"/>
        <w:spacing w:line="357" w:lineRule="auto" w:before="0"/>
        <w:ind w:right="135" w:firstLine="480"/>
        <w:jc w:val="both"/>
      </w:pPr>
      <w:r>
        <w:rPr/>
        <w:t>协议</w:t>
      </w:r>
      <w:r>
        <w:rPr>
          <w:position w:val="12"/>
          <w:sz w:val="12"/>
          <w:szCs w:val="12"/>
        </w:rPr>
        <w:t>①</w:t>
      </w:r>
      <w:r>
        <w:rPr/>
        <w:t>：2007</w:t>
      </w:r>
      <w:r>
        <w:rPr>
          <w:spacing w:val="-56"/>
        </w:rPr>
        <w:t> </w:t>
      </w:r>
      <w:r>
        <w:rPr/>
        <w:t>年</w:t>
      </w:r>
      <w:r>
        <w:rPr>
          <w:spacing w:val="-56"/>
        </w:rPr>
        <w:t> </w:t>
      </w:r>
      <w:r>
        <w:rPr/>
        <w:t>1</w:t>
      </w:r>
      <w:r>
        <w:rPr>
          <w:spacing w:val="-56"/>
        </w:rPr>
        <w:t> </w:t>
      </w:r>
      <w:r>
        <w:rPr/>
        <w:t>月</w:t>
      </w:r>
      <w:r>
        <w:rPr>
          <w:spacing w:val="-56"/>
        </w:rPr>
        <w:t> </w:t>
      </w:r>
      <w:r>
        <w:rPr/>
        <w:t>4</w:t>
      </w:r>
      <w:r>
        <w:rPr>
          <w:spacing w:val="-58"/>
        </w:rPr>
        <w:t> </w:t>
      </w:r>
      <w:r>
        <w:rPr/>
        <w:t>日上海古德投资咨询有限公司与包叔平先生签订协议，</w:t>
      </w:r>
      <w:r>
        <w:rPr/>
        <w:t> </w:t>
      </w:r>
      <w:r>
        <w:rPr>
          <w:spacing w:val="-1"/>
        </w:rPr>
        <w:t>约定古德投资授权包叔平先生行使其包括股东大会的投票权、提案权、董事、独立</w:t>
      </w:r>
      <w:r>
        <w:rPr/>
        <w:t> 董事及监事候选人的提名权、临时股东大会的召集权的股东权利。</w:t>
      </w:r>
    </w:p>
    <w:p>
      <w:pPr>
        <w:pStyle w:val="BodyText"/>
        <w:spacing w:line="357" w:lineRule="auto"/>
        <w:ind w:right="135" w:firstLine="480"/>
        <w:jc w:val="both"/>
      </w:pPr>
      <w:r>
        <w:rPr>
          <w:spacing w:val="-5"/>
        </w:rPr>
        <w:t>协议</w:t>
      </w:r>
      <w:r>
        <w:rPr>
          <w:spacing w:val="-5"/>
          <w:position w:val="12"/>
          <w:sz w:val="12"/>
          <w:szCs w:val="12"/>
        </w:rPr>
        <w:t>②</w:t>
      </w:r>
      <w:r>
        <w:rPr>
          <w:spacing w:val="-5"/>
        </w:rPr>
        <w:t>：2007</w:t>
      </w:r>
      <w:r>
        <w:rPr>
          <w:spacing w:val="-64"/>
        </w:rPr>
        <w:t> </w:t>
      </w:r>
      <w:r>
        <w:rPr/>
        <w:t>年</w:t>
      </w:r>
      <w:r>
        <w:rPr>
          <w:spacing w:val="-64"/>
        </w:rPr>
        <w:t> </w:t>
      </w:r>
      <w:r>
        <w:rPr/>
        <w:t>3</w:t>
      </w:r>
      <w:r>
        <w:rPr>
          <w:spacing w:val="-64"/>
        </w:rPr>
        <w:t> </w:t>
      </w:r>
      <w:r>
        <w:rPr/>
        <w:t>月</w:t>
      </w:r>
      <w:r>
        <w:rPr>
          <w:spacing w:val="-64"/>
        </w:rPr>
        <w:t> </w:t>
      </w:r>
      <w:r>
        <w:rPr/>
        <w:t>2</w:t>
      </w:r>
      <w:r>
        <w:rPr>
          <w:spacing w:val="-64"/>
        </w:rPr>
        <w:t> </w:t>
      </w:r>
      <w:r>
        <w:rPr>
          <w:spacing w:val="-6"/>
        </w:rPr>
        <w:t>日，唐长钧等</w:t>
      </w:r>
      <w:r>
        <w:rPr>
          <w:spacing w:val="-64"/>
        </w:rPr>
        <w:t> </w:t>
      </w:r>
      <w:r>
        <w:rPr/>
        <w:t>37</w:t>
      </w:r>
      <w:r>
        <w:rPr>
          <w:spacing w:val="-64"/>
        </w:rPr>
        <w:t> </w:t>
      </w:r>
      <w:r>
        <w:rPr/>
        <w:t>名自然人股东共同签署《上海海隆软件</w:t>
      </w:r>
      <w:r>
        <w:rPr/>
        <w:t> </w:t>
      </w:r>
      <w:r>
        <w:rPr>
          <w:spacing w:val="-2"/>
        </w:rPr>
        <w:t>股份有限公司公开发行股票前的自然人股东持股规则》，约定由包叔平先生作为受</w:t>
      </w:r>
      <w:r>
        <w:rPr>
          <w:spacing w:val="-99"/>
        </w:rPr>
        <w:t> </w:t>
      </w:r>
      <w:r>
        <w:rPr>
          <w:spacing w:val="-99"/>
        </w:rPr>
      </w:r>
      <w:r>
        <w:rPr>
          <w:spacing w:val="-2"/>
        </w:rPr>
        <w:t>托人，代理本规则的全体参与人，代为行使其作为公司股东除收益权和依照法律法</w:t>
      </w:r>
      <w:r>
        <w:rPr>
          <w:spacing w:val="-88"/>
        </w:rPr>
        <w:t> </w:t>
      </w:r>
      <w:r>
        <w:rPr>
          <w:spacing w:val="-88"/>
        </w:rPr>
      </w:r>
      <w:r>
        <w:rPr>
          <w:spacing w:val="-1"/>
        </w:rPr>
        <w:t>规、公司章程及本规则的处分权之外的全部股东权利，包括股东大会的投票权、提</w:t>
      </w:r>
      <w:r>
        <w:rPr/>
        <w:t> 案权及董事、独立董事、监事候选人的提名权、临时股东大会的召集权。</w:t>
      </w:r>
    </w:p>
    <w:p>
      <w:pPr>
        <w:pStyle w:val="BodyText"/>
        <w:spacing w:line="240" w:lineRule="auto"/>
        <w:ind w:left="620" w:right="320"/>
        <w:jc w:val="left"/>
      </w:pPr>
      <w:r>
        <w:rPr/>
        <w:t>报告期内，公司控股股东或实际控制人情况未发生变化。</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140" w:right="3061" w:firstLine="0"/>
        <w:jc w:val="left"/>
        <w:rPr>
          <w:rFonts w:ascii="宋体" w:hAnsi="宋体" w:cs="宋体" w:eastAsia="宋体" w:hint="default"/>
          <w:sz w:val="24"/>
          <w:szCs w:val="24"/>
        </w:rPr>
      </w:pPr>
      <w:r>
        <w:rPr>
          <w:rFonts w:ascii="宋体" w:hAnsi="宋体" w:cs="宋体" w:eastAsia="宋体" w:hint="default"/>
          <w:b/>
          <w:bCs/>
          <w:sz w:val="24"/>
          <w:szCs w:val="24"/>
        </w:rPr>
        <w:t>（三）其他持股在</w:t>
      </w:r>
      <w:r>
        <w:rPr>
          <w:rFonts w:ascii="宋体" w:hAnsi="宋体" w:cs="宋体" w:eastAsia="宋体" w:hint="default"/>
          <w:b/>
          <w:bCs/>
          <w:spacing w:val="-63"/>
          <w:sz w:val="24"/>
          <w:szCs w:val="24"/>
        </w:rPr>
        <w:t> </w:t>
      </w:r>
      <w:r>
        <w:rPr>
          <w:rFonts w:ascii="宋体" w:hAnsi="宋体" w:cs="宋体" w:eastAsia="宋体" w:hint="default"/>
          <w:b/>
          <w:bCs/>
          <w:sz w:val="24"/>
          <w:szCs w:val="24"/>
        </w:rPr>
        <w:t>10%以上（含</w:t>
      </w:r>
      <w:r>
        <w:rPr>
          <w:rFonts w:ascii="宋体" w:hAnsi="宋体" w:cs="宋体" w:eastAsia="宋体" w:hint="default"/>
          <w:b/>
          <w:bCs/>
          <w:spacing w:val="-65"/>
          <w:sz w:val="24"/>
          <w:szCs w:val="24"/>
        </w:rPr>
        <w:t> </w:t>
      </w:r>
      <w:r>
        <w:rPr>
          <w:rFonts w:ascii="宋体" w:hAnsi="宋体" w:cs="宋体" w:eastAsia="宋体" w:hint="default"/>
          <w:b/>
          <w:bCs/>
          <w:sz w:val="24"/>
          <w:szCs w:val="24"/>
        </w:rPr>
        <w:t>10%）的法人股东情况</w:t>
      </w:r>
      <w:r>
        <w:rPr>
          <w:rFonts w:ascii="宋体" w:hAnsi="宋体" w:cs="宋体" w:eastAsia="宋体" w:hint="default"/>
          <w:b/>
          <w:bCs/>
          <w:w w:val="99"/>
          <w:sz w:val="24"/>
          <w:szCs w:val="24"/>
        </w:rPr>
        <w:t> </w:t>
      </w:r>
      <w:r>
        <w:rPr>
          <w:rFonts w:ascii="宋体" w:hAnsi="宋体" w:cs="宋体" w:eastAsia="宋体" w:hint="default"/>
          <w:sz w:val="24"/>
          <w:szCs w:val="24"/>
        </w:rPr>
        <w:t>1、欧姆龙（中国）有限公司</w:t>
      </w:r>
    </w:p>
    <w:p>
      <w:pPr>
        <w:pStyle w:val="BodyText"/>
        <w:spacing w:line="357" w:lineRule="auto"/>
        <w:ind w:left="620" w:right="5600"/>
        <w:jc w:val="left"/>
      </w:pPr>
      <w:r>
        <w:rPr/>
        <w:t>法定代表人：后藤龙之介 成立日期：1991</w:t>
      </w:r>
      <w:r>
        <w:rPr>
          <w:spacing w:val="-60"/>
        </w:rPr>
        <w:t> </w:t>
      </w:r>
      <w:r>
        <w:rPr/>
        <w:t>年</w:t>
      </w:r>
      <w:r>
        <w:rPr>
          <w:spacing w:val="-60"/>
        </w:rPr>
        <w:t> </w:t>
      </w:r>
      <w:r>
        <w:rPr/>
        <w:t>3 月</w:t>
      </w:r>
    </w:p>
    <w:p>
      <w:pPr>
        <w:pStyle w:val="BodyText"/>
        <w:spacing w:line="357" w:lineRule="auto"/>
        <w:ind w:left="620" w:right="320"/>
        <w:jc w:val="left"/>
      </w:pPr>
      <w:r>
        <w:rPr/>
        <w:t>主要经营业务：持有并管理日本欧姆龙株式会社在中国设立的其他公司股权 注册资本：美元 19,660.5657</w:t>
      </w:r>
      <w:r>
        <w:rPr>
          <w:spacing w:val="-60"/>
        </w:rPr>
        <w:t> </w:t>
      </w:r>
      <w:r>
        <w:rPr/>
        <w:t>万元</w:t>
      </w:r>
    </w:p>
    <w:p>
      <w:pPr>
        <w:spacing w:line="240" w:lineRule="auto" w:before="0"/>
        <w:rPr>
          <w:rFonts w:ascii="宋体" w:hAnsi="宋体" w:cs="宋体" w:eastAsia="宋体" w:hint="default"/>
          <w:sz w:val="24"/>
          <w:szCs w:val="24"/>
        </w:rPr>
      </w:pPr>
    </w:p>
    <w:p>
      <w:pPr>
        <w:pStyle w:val="BodyText"/>
        <w:spacing w:line="357" w:lineRule="auto" w:before="190"/>
        <w:ind w:left="620" w:right="5480" w:hanging="480"/>
        <w:jc w:val="left"/>
      </w:pPr>
      <w:r>
        <w:rPr/>
        <w:t>2、上海慧盛创业投资有限公司 法定代表人：刘文裕</w:t>
      </w:r>
    </w:p>
    <w:p>
      <w:pPr>
        <w:spacing w:after="0" w:line="357" w:lineRule="auto"/>
        <w:jc w:val="left"/>
        <w:sectPr>
          <w:pgSz w:w="11900" w:h="16840"/>
          <w:pgMar w:header="874" w:footer="983" w:top="1040" w:bottom="1180" w:left="1660" w:right="1360"/>
        </w:sectPr>
      </w:pPr>
    </w:p>
    <w:p>
      <w:pPr>
        <w:spacing w:line="240" w:lineRule="auto" w:before="0"/>
        <w:rPr>
          <w:rFonts w:ascii="宋体" w:hAnsi="宋体" w:cs="宋体" w:eastAsia="宋体" w:hint="default"/>
          <w:sz w:val="20"/>
          <w:szCs w:val="20"/>
        </w:rPr>
      </w:pPr>
    </w:p>
    <w:p>
      <w:pPr>
        <w:pStyle w:val="BodyText"/>
        <w:spacing w:line="357" w:lineRule="auto" w:before="160"/>
        <w:ind w:left="620" w:right="4640"/>
        <w:jc w:val="left"/>
      </w:pPr>
      <w:r>
        <w:rPr/>
        <w:t>成立日期：2001 年</w:t>
      </w:r>
      <w:r>
        <w:rPr>
          <w:spacing w:val="-60"/>
        </w:rPr>
        <w:t> </w:t>
      </w:r>
      <w:r>
        <w:rPr/>
        <w:t>12 月</w:t>
      </w:r>
      <w:r>
        <w:rPr>
          <w:spacing w:val="-60"/>
        </w:rPr>
        <w:t> </w:t>
      </w:r>
      <w:r>
        <w:rPr/>
        <w:t>28 日</w:t>
      </w:r>
      <w:r>
        <w:rPr/>
        <w:t> 主要经营业务：创业（风险）投资 注册资本：10,000 万元</w:t>
      </w:r>
    </w:p>
    <w:p>
      <w:pPr>
        <w:spacing w:line="240" w:lineRule="auto" w:before="0"/>
        <w:rPr>
          <w:rFonts w:ascii="宋体" w:hAnsi="宋体" w:cs="宋体" w:eastAsia="宋体" w:hint="default"/>
          <w:sz w:val="24"/>
          <w:szCs w:val="24"/>
        </w:rPr>
      </w:pPr>
    </w:p>
    <w:p>
      <w:pPr>
        <w:pStyle w:val="BodyText"/>
        <w:spacing w:line="357" w:lineRule="auto" w:before="190"/>
        <w:ind w:left="620" w:right="5060" w:hanging="480"/>
        <w:jc w:val="left"/>
      </w:pPr>
      <w:r>
        <w:rPr/>
        <w:t>3、上海古德投资咨询有限公司 法定代表人：许国平 成立日期：1997</w:t>
      </w:r>
      <w:r>
        <w:rPr>
          <w:spacing w:val="-60"/>
        </w:rPr>
        <w:t> </w:t>
      </w:r>
      <w:r>
        <w:rPr/>
        <w:t>年</w:t>
      </w:r>
      <w:r>
        <w:rPr>
          <w:spacing w:val="-60"/>
        </w:rPr>
        <w:t> </w:t>
      </w:r>
      <w:r>
        <w:rPr/>
        <w:t>10</w:t>
      </w:r>
      <w:r>
        <w:rPr>
          <w:spacing w:val="-60"/>
        </w:rPr>
        <w:t> </w:t>
      </w:r>
      <w:r>
        <w:rPr/>
        <w:t>月</w:t>
      </w:r>
      <w:r>
        <w:rPr>
          <w:spacing w:val="-60"/>
        </w:rPr>
        <w:t> </w:t>
      </w:r>
      <w:r>
        <w:rPr/>
        <w:t>22</w:t>
      </w:r>
      <w:r>
        <w:rPr>
          <w:spacing w:val="-60"/>
        </w:rPr>
        <w:t> </w:t>
      </w:r>
      <w:r>
        <w:rPr/>
        <w:t>日</w:t>
      </w:r>
    </w:p>
    <w:p>
      <w:pPr>
        <w:pStyle w:val="BodyText"/>
        <w:spacing w:line="357" w:lineRule="auto"/>
        <w:ind w:left="1836" w:right="132" w:hanging="1200"/>
        <w:jc w:val="left"/>
      </w:pPr>
      <w:r>
        <w:rPr>
          <w:spacing w:val="-2"/>
        </w:rPr>
        <w:t>经营范围：投资管理、资产管理、企业形象策划（除广告）、实业投资、投资</w:t>
      </w:r>
      <w:r>
        <w:rPr>
          <w:spacing w:val="-111"/>
        </w:rPr>
        <w:t> </w:t>
      </w:r>
      <w:r>
        <w:rPr>
          <w:spacing w:val="-111"/>
        </w:rPr>
      </w:r>
      <w:r>
        <w:rPr/>
        <w:t>咨询、商务咨询、金融管理咨询、财会咨询、企业管理咨询</w:t>
      </w:r>
    </w:p>
    <w:p>
      <w:pPr>
        <w:pStyle w:val="BodyText"/>
        <w:spacing w:line="240" w:lineRule="auto"/>
        <w:ind w:left="620" w:right="320"/>
        <w:jc w:val="left"/>
      </w:pPr>
      <w:r>
        <w:rPr/>
        <w:t>注册资本：3,000</w:t>
      </w:r>
      <w:r>
        <w:rPr>
          <w:spacing w:val="-60"/>
        </w:rPr>
        <w:t> </w:t>
      </w:r>
      <w:r>
        <w:rPr/>
        <w:t>万元</w:t>
      </w:r>
    </w:p>
    <w:p>
      <w:pPr>
        <w:spacing w:after="0" w:line="240" w:lineRule="auto"/>
        <w:jc w:val="left"/>
        <w:sectPr>
          <w:pgSz w:w="11900" w:h="16840"/>
          <w:pgMar w:header="874" w:footer="983" w:top="1040" w:bottom="1180" w:left="1660" w:right="1360"/>
        </w:sectPr>
      </w:pPr>
    </w:p>
    <w:p>
      <w:pPr>
        <w:spacing w:line="240" w:lineRule="auto" w:before="8"/>
        <w:rPr>
          <w:rFonts w:ascii="宋体" w:hAnsi="宋体" w:cs="宋体" w:eastAsia="宋体" w:hint="default"/>
          <w:sz w:val="3"/>
          <w:szCs w:val="3"/>
        </w:rPr>
      </w:pPr>
    </w:p>
    <w:p>
      <w:pPr>
        <w:spacing w:line="20" w:lineRule="exact"/>
        <w:ind w:left="1204" w:right="0" w:firstLine="0"/>
        <w:rPr>
          <w:rFonts w:ascii="宋体" w:hAnsi="宋体" w:cs="宋体" w:eastAsia="宋体" w:hint="default"/>
          <w:sz w:val="2"/>
          <w:szCs w:val="2"/>
        </w:rPr>
      </w:pPr>
      <w:r>
        <w:rPr>
          <w:rFonts w:ascii="宋体" w:hAnsi="宋体" w:cs="宋体" w:eastAsia="宋体" w:hint="default"/>
          <w:sz w:val="2"/>
          <w:szCs w:val="2"/>
        </w:rPr>
        <w:pict>
          <v:group style="width:418.9pt;height:.75pt;mso-position-horizontal-relative:char;mso-position-vertical-relative:line" coordorigin="0,0" coordsize="8378,15">
            <v:group style="position:absolute;left:7;top:7;width:8364;height:2" coordorigin="7,7" coordsize="8364,2">
              <v:shape style="position:absolute;left:7;top:7;width:8364;height:2" coordorigin="7,7" coordsize="8364,0" path="m7,7l8371,7e" filled="false" stroked="true" strokeweight=".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7"/>
          <w:szCs w:val="27"/>
        </w:rPr>
      </w:pPr>
    </w:p>
    <w:p>
      <w:pPr>
        <w:pStyle w:val="Heading1"/>
        <w:tabs>
          <w:tab w:pos="3306" w:val="left" w:leader="none"/>
        </w:tabs>
        <w:spacing w:line="240" w:lineRule="auto"/>
        <w:ind w:left="2020" w:right="0"/>
        <w:jc w:val="left"/>
        <w:rPr>
          <w:b w:val="0"/>
          <w:bCs w:val="0"/>
        </w:rPr>
      </w:pPr>
      <w:bookmarkStart w:name="_TOC_250007" w:id="4"/>
      <w:r>
        <w:rPr>
          <w:w w:val="95"/>
        </w:rPr>
        <w:t>第四节</w:t>
        <w:tab/>
      </w:r>
      <w:r>
        <w:rPr/>
        <w:t>董事、监事、高级管理人员和员工情况</w:t>
      </w:r>
      <w:bookmarkEnd w:id="4"/>
      <w:r>
        <w:rPr>
          <w:b w:val="0"/>
          <w:bCs w:val="0"/>
        </w:rPr>
      </w:r>
    </w:p>
    <w:p>
      <w:pPr>
        <w:pStyle w:val="Heading3"/>
        <w:spacing w:line="240" w:lineRule="auto" w:before="193"/>
        <w:ind w:left="1240" w:right="0"/>
        <w:jc w:val="left"/>
        <w:rPr>
          <w:b w:val="0"/>
          <w:bCs w:val="0"/>
        </w:rPr>
      </w:pPr>
      <w:r>
        <w:rPr/>
        <w:t>一、董事、监事、高级管理人员情况</w:t>
      </w:r>
      <w:r>
        <w:rPr>
          <w:b w:val="0"/>
          <w:bCs w:val="0"/>
        </w:rPr>
      </w:r>
    </w:p>
    <w:p>
      <w:pPr>
        <w:pStyle w:val="Heading3"/>
        <w:spacing w:line="240" w:lineRule="auto" w:before="154"/>
        <w:ind w:left="1240" w:right="0"/>
        <w:jc w:val="left"/>
        <w:rPr>
          <w:b w:val="0"/>
          <w:bCs w:val="0"/>
        </w:rPr>
      </w:pPr>
      <w:r>
        <w:rPr/>
        <w:t>（一）公司董事、监事、高级管理人员持股变动及报酬情况</w:t>
      </w:r>
      <w:r>
        <w:rPr>
          <w:b w:val="0"/>
          <w:bCs w:val="0"/>
        </w:rPr>
      </w:r>
    </w:p>
    <w:p>
      <w:pPr>
        <w:spacing w:line="240" w:lineRule="auto" w:before="10"/>
        <w:rPr>
          <w:rFonts w:ascii="宋体" w:hAnsi="宋体" w:cs="宋体" w:eastAsia="宋体"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852"/>
        <w:gridCol w:w="1135"/>
        <w:gridCol w:w="566"/>
        <w:gridCol w:w="566"/>
        <w:gridCol w:w="1277"/>
        <w:gridCol w:w="1121"/>
        <w:gridCol w:w="1078"/>
        <w:gridCol w:w="1061"/>
        <w:gridCol w:w="730"/>
        <w:gridCol w:w="1303"/>
        <w:gridCol w:w="946"/>
      </w:tblGrid>
      <w:tr>
        <w:trPr>
          <w:trHeight w:val="1570" w:hRule="exact"/>
        </w:trPr>
        <w:tc>
          <w:tcPr>
            <w:tcW w:w="8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208"/>
              <w:jc w:val="right"/>
              <w:rPr>
                <w:rFonts w:ascii="宋体" w:hAnsi="宋体" w:cs="宋体" w:eastAsia="宋体" w:hint="default"/>
                <w:sz w:val="21"/>
                <w:szCs w:val="21"/>
              </w:rPr>
            </w:pPr>
            <w:r>
              <w:rPr>
                <w:rFonts w:ascii="宋体" w:hAnsi="宋体" w:cs="宋体" w:eastAsia="宋体" w:hint="default"/>
                <w:sz w:val="21"/>
                <w:szCs w:val="21"/>
              </w:rPr>
              <w:t>姓名</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z w:val="21"/>
                <w:szCs w:val="21"/>
              </w:rPr>
              <w:t>年龄</w:t>
            </w:r>
          </w:p>
        </w:tc>
        <w:tc>
          <w:tcPr>
            <w:tcW w:w="12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527" w:right="103"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w:t>
            </w:r>
          </w:p>
        </w:tc>
        <w:tc>
          <w:tcPr>
            <w:tcW w:w="11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448" w:right="28"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w:t>
            </w:r>
          </w:p>
        </w:tc>
        <w:tc>
          <w:tcPr>
            <w:tcW w:w="10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18" w:right="214"/>
              <w:jc w:val="center"/>
              <w:rPr>
                <w:rFonts w:ascii="宋体" w:hAnsi="宋体" w:cs="宋体" w:eastAsia="宋体" w:hint="default"/>
                <w:sz w:val="21"/>
                <w:szCs w:val="21"/>
              </w:rPr>
            </w:pPr>
            <w:r>
              <w:rPr>
                <w:rFonts w:ascii="宋体" w:hAnsi="宋体" w:cs="宋体" w:eastAsia="宋体" w:hint="default"/>
                <w:sz w:val="21"/>
                <w:szCs w:val="21"/>
              </w:rPr>
              <w:t>年初</w:t>
            </w:r>
            <w:r>
              <w:rPr>
                <w:rFonts w:ascii="宋体" w:hAnsi="宋体" w:cs="宋体" w:eastAsia="宋体" w:hint="default"/>
                <w:w w:val="100"/>
                <w:sz w:val="21"/>
                <w:szCs w:val="21"/>
              </w:rPr>
              <w:t> </w:t>
            </w:r>
            <w:r>
              <w:rPr>
                <w:rFonts w:ascii="宋体" w:hAnsi="宋体" w:cs="宋体" w:eastAsia="宋体" w:hint="default"/>
                <w:sz w:val="21"/>
                <w:szCs w:val="21"/>
              </w:rPr>
              <w:t>持股数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06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11" w:right="204"/>
              <w:jc w:val="center"/>
              <w:rPr>
                <w:rFonts w:ascii="宋体" w:hAnsi="宋体" w:cs="宋体" w:eastAsia="宋体" w:hint="default"/>
                <w:sz w:val="21"/>
                <w:szCs w:val="21"/>
              </w:rPr>
            </w:pPr>
            <w:r>
              <w:rPr>
                <w:rFonts w:ascii="宋体" w:hAnsi="宋体" w:cs="宋体" w:eastAsia="宋体" w:hint="default"/>
                <w:sz w:val="21"/>
                <w:szCs w:val="21"/>
              </w:rPr>
              <w:t>年末</w:t>
            </w:r>
            <w:r>
              <w:rPr>
                <w:rFonts w:ascii="宋体" w:hAnsi="宋体" w:cs="宋体" w:eastAsia="宋体" w:hint="default"/>
                <w:w w:val="100"/>
                <w:sz w:val="21"/>
                <w:szCs w:val="21"/>
              </w:rPr>
              <w:t> </w:t>
            </w:r>
            <w:r>
              <w:rPr>
                <w:rFonts w:ascii="宋体" w:hAnsi="宋体" w:cs="宋体" w:eastAsia="宋体" w:hint="default"/>
                <w:sz w:val="21"/>
                <w:szCs w:val="21"/>
              </w:rPr>
              <w:t>持股数</w:t>
            </w:r>
          </w:p>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3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151" w:right="144"/>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30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24" w:right="19" w:hanging="3"/>
              <w:jc w:val="center"/>
              <w:rPr>
                <w:rFonts w:ascii="宋体" w:hAnsi="宋体" w:cs="宋体" w:eastAsia="宋体" w:hint="default"/>
                <w:sz w:val="21"/>
                <w:szCs w:val="21"/>
              </w:rPr>
            </w:pPr>
            <w:r>
              <w:rPr>
                <w:rFonts w:ascii="宋体" w:hAnsi="宋体" w:cs="宋体" w:eastAsia="宋体" w:hint="default"/>
                <w:sz w:val="21"/>
                <w:szCs w:val="21"/>
              </w:rPr>
              <w:t>报告期内从</w:t>
            </w:r>
            <w:r>
              <w:rPr>
                <w:rFonts w:ascii="宋体" w:hAnsi="宋体" w:cs="宋体" w:eastAsia="宋体" w:hint="default"/>
                <w:w w:val="100"/>
                <w:sz w:val="21"/>
                <w:szCs w:val="21"/>
              </w:rPr>
              <w:t> </w:t>
            </w:r>
            <w:r>
              <w:rPr>
                <w:rFonts w:ascii="宋体" w:hAnsi="宋体" w:cs="宋体" w:eastAsia="宋体" w:hint="default"/>
                <w:sz w:val="21"/>
                <w:szCs w:val="21"/>
              </w:rPr>
              <w:t>公司领取的</w:t>
            </w:r>
            <w:r>
              <w:rPr>
                <w:rFonts w:ascii="宋体" w:hAnsi="宋体" w:cs="宋体" w:eastAsia="宋体" w:hint="default"/>
                <w:w w:val="100"/>
                <w:sz w:val="21"/>
                <w:szCs w:val="21"/>
              </w:rPr>
              <w:t> </w:t>
            </w:r>
            <w:r>
              <w:rPr>
                <w:rFonts w:ascii="宋体" w:hAnsi="宋体" w:cs="宋体" w:eastAsia="宋体" w:hint="default"/>
                <w:spacing w:val="-4"/>
                <w:sz w:val="21"/>
                <w:szCs w:val="21"/>
              </w:rPr>
              <w:t>报酬总额（万</w:t>
            </w:r>
            <w:r>
              <w:rPr>
                <w:rFonts w:ascii="宋体" w:hAnsi="宋体" w:cs="宋体" w:eastAsia="宋体" w:hint="default"/>
                <w:w w:val="100"/>
                <w:sz w:val="21"/>
                <w:szCs w:val="21"/>
              </w:rPr>
              <w:t> </w:t>
            </w:r>
            <w:r>
              <w:rPr>
                <w:rFonts w:ascii="宋体" w:hAnsi="宋体" w:cs="宋体" w:eastAsia="宋体" w:hint="default"/>
                <w:spacing w:val="-19"/>
                <w:w w:val="100"/>
                <w:sz w:val="21"/>
                <w:szCs w:val="21"/>
              </w:rPr>
              <w:t>元）（税前）</w:t>
            </w:r>
          </w:p>
        </w:tc>
        <w:tc>
          <w:tcPr>
            <w:tcW w:w="9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45" w:right="46"/>
              <w:jc w:val="center"/>
              <w:rPr>
                <w:rFonts w:ascii="宋体" w:hAnsi="宋体" w:cs="宋体" w:eastAsia="宋体" w:hint="default"/>
                <w:sz w:val="21"/>
                <w:szCs w:val="21"/>
              </w:rPr>
            </w:pPr>
            <w:r>
              <w:rPr>
                <w:rFonts w:ascii="宋体" w:hAnsi="宋体" w:cs="宋体" w:eastAsia="宋体" w:hint="default"/>
                <w:sz w:val="21"/>
                <w:szCs w:val="21"/>
              </w:rPr>
              <w:t>是否在股</w:t>
            </w:r>
            <w:r>
              <w:rPr>
                <w:rFonts w:ascii="宋体" w:hAnsi="宋体" w:cs="宋体" w:eastAsia="宋体" w:hint="default"/>
                <w:w w:val="100"/>
                <w:sz w:val="21"/>
                <w:szCs w:val="21"/>
              </w:rPr>
              <w:t> </w:t>
            </w:r>
            <w:r>
              <w:rPr>
                <w:rFonts w:ascii="宋体" w:hAnsi="宋体" w:cs="宋体" w:eastAsia="宋体" w:hint="default"/>
                <w:sz w:val="21"/>
                <w:szCs w:val="21"/>
              </w:rPr>
              <w:t>东单位或</w:t>
            </w:r>
            <w:r>
              <w:rPr>
                <w:rFonts w:ascii="宋体" w:hAnsi="宋体" w:cs="宋体" w:eastAsia="宋体" w:hint="default"/>
                <w:w w:val="100"/>
                <w:sz w:val="21"/>
                <w:szCs w:val="21"/>
              </w:rPr>
              <w:t> </w:t>
            </w:r>
            <w:r>
              <w:rPr>
                <w:rFonts w:ascii="宋体" w:hAnsi="宋体" w:cs="宋体" w:eastAsia="宋体" w:hint="default"/>
                <w:sz w:val="21"/>
                <w:szCs w:val="21"/>
              </w:rPr>
              <w:t>其他关联</w:t>
            </w:r>
            <w:r>
              <w:rPr>
                <w:rFonts w:ascii="宋体" w:hAnsi="宋体" w:cs="宋体" w:eastAsia="宋体" w:hint="default"/>
                <w:w w:val="100"/>
                <w:sz w:val="21"/>
                <w:szCs w:val="21"/>
              </w:rPr>
              <w:t> </w:t>
            </w:r>
            <w:r>
              <w:rPr>
                <w:rFonts w:ascii="宋体" w:hAnsi="宋体" w:cs="宋体" w:eastAsia="宋体" w:hint="default"/>
                <w:sz w:val="21"/>
                <w:szCs w:val="21"/>
              </w:rPr>
              <w:t>单位领取</w:t>
            </w:r>
            <w:r>
              <w:rPr>
                <w:rFonts w:ascii="宋体" w:hAnsi="宋体" w:cs="宋体" w:eastAsia="宋体" w:hint="default"/>
                <w:w w:val="100"/>
                <w:sz w:val="21"/>
                <w:szCs w:val="21"/>
              </w:rPr>
              <w:t> </w:t>
            </w:r>
            <w:r>
              <w:rPr>
                <w:rFonts w:ascii="宋体" w:hAnsi="宋体" w:cs="宋体" w:eastAsia="宋体" w:hint="default"/>
                <w:sz w:val="21"/>
                <w:szCs w:val="21"/>
              </w:rPr>
              <w:t>薪酬</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董事长、总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2,860,000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2,860,000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108.50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2,341,625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spacing w:val="-1"/>
                <w:sz w:val="21"/>
              </w:rPr>
              <w:t>2,221,625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0"/>
              <w:jc w:val="left"/>
              <w:rPr>
                <w:rFonts w:ascii="宋体" w:hAnsi="宋体" w:cs="宋体" w:eastAsia="宋体" w:hint="default"/>
                <w:sz w:val="21"/>
                <w:szCs w:val="21"/>
              </w:rPr>
            </w:pPr>
            <w:r>
              <w:rPr>
                <w:rFonts w:ascii="宋体" w:hAnsi="宋体" w:cs="宋体" w:eastAsia="宋体" w:hint="default"/>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场卖出</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47.14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董事、副总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572,000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宋体" w:hAnsi="宋体" w:cs="宋体" w:eastAsia="宋体" w:hint="default"/>
                <w:sz w:val="21"/>
                <w:szCs w:val="21"/>
              </w:rPr>
            </w:pPr>
            <w:r>
              <w:rPr>
                <w:rFonts w:ascii="宋体"/>
                <w:spacing w:val="-1"/>
                <w:sz w:val="21"/>
              </w:rPr>
              <w:t>572,000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0"/>
              <w:jc w:val="right"/>
              <w:rPr>
                <w:rFonts w:ascii="宋体" w:hAnsi="宋体" w:cs="宋体" w:eastAsia="宋体" w:hint="default"/>
                <w:sz w:val="21"/>
                <w:szCs w:val="21"/>
              </w:rPr>
            </w:pPr>
            <w:r>
              <w:rPr>
                <w:rFonts w:ascii="宋体"/>
                <w:sz w:val="21"/>
              </w:rPr>
              <w:t>59.29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陆庆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董事、副总</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572,000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572,000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39.05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张怡方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何积丰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3.60（税后）</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陈乐波</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2.40（税后）</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高美萍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z w:val="21"/>
              </w:rPr>
              <w:t>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3.60（税后）</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周颖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王彬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286,000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286,000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43.18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梁恭杰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hAnsi="宋体" w:cs="宋体" w:eastAsia="宋体" w:hint="default"/>
                <w:spacing w:val="-1"/>
                <w:sz w:val="21"/>
                <w:szCs w:val="21"/>
              </w:rPr>
              <w:t>1.80（税后）</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张再雄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2008-01-01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sz w:val="21"/>
              </w:rPr>
              <w:t>2010-12-31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49.35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李静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副总经理、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2008-12-12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center"/>
              <w:rPr>
                <w:rFonts w:ascii="宋体" w:hAnsi="宋体" w:cs="宋体" w:eastAsia="宋体" w:hint="default"/>
                <w:sz w:val="21"/>
                <w:szCs w:val="21"/>
              </w:rPr>
            </w:pPr>
            <w:r>
              <w:rPr>
                <w:rFonts w:ascii="宋体"/>
                <w:sz w:val="21"/>
              </w:rPr>
              <w:t>2011-12-11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286,000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286,000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35.02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董樑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z w:val="21"/>
              </w:rPr>
              <w:t>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sz w:val="21"/>
              </w:rPr>
              <w:t>2010-05-12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
              <w:jc w:val="center"/>
              <w:rPr>
                <w:rFonts w:ascii="宋体" w:hAnsi="宋体" w:cs="宋体" w:eastAsia="宋体" w:hint="default"/>
                <w:sz w:val="21"/>
                <w:szCs w:val="21"/>
              </w:rPr>
            </w:pPr>
            <w:r>
              <w:rPr>
                <w:rFonts w:ascii="宋体"/>
                <w:sz w:val="21"/>
              </w:rPr>
              <w:t>2013-05-11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214,500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pacing w:val="-1"/>
                <w:sz w:val="21"/>
              </w:rPr>
              <w:t>214,500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30.85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干春晖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sz w:val="21"/>
                <w:szCs w:val="21"/>
              </w:rPr>
              <w:t>（历任）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sz w:val="21"/>
              </w:rPr>
              <w:t>2007-03-07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
              <w:jc w:val="center"/>
              <w:rPr>
                <w:rFonts w:ascii="宋体" w:hAnsi="宋体" w:cs="宋体" w:eastAsia="宋体" w:hint="default"/>
                <w:sz w:val="21"/>
                <w:szCs w:val="21"/>
              </w:rPr>
            </w:pPr>
            <w:r>
              <w:rPr>
                <w:rFonts w:ascii="宋体"/>
                <w:sz w:val="21"/>
              </w:rPr>
              <w:t>2010-05-11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
              <w:jc w:val="right"/>
              <w:rPr>
                <w:rFonts w:ascii="宋体" w:hAnsi="宋体" w:cs="宋体" w:eastAsia="宋体" w:hint="default"/>
                <w:sz w:val="21"/>
                <w:szCs w:val="21"/>
              </w:rPr>
            </w:pPr>
            <w:r>
              <w:rPr>
                <w:rFonts w:ascii="宋体"/>
                <w:w w:val="100"/>
                <w:sz w:val="21"/>
              </w:rPr>
              <w:t>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hAnsi="宋体" w:cs="宋体" w:eastAsia="宋体" w:hint="default"/>
                <w:spacing w:val="-1"/>
                <w:sz w:val="21"/>
                <w:szCs w:val="21"/>
              </w:rPr>
              <w:t>1.50（税后）</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207"/>
              <w:jc w:val="right"/>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
              <w:jc w:val="center"/>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
              <w:jc w:val="center"/>
              <w:rPr>
                <w:rFonts w:ascii="宋体" w:hAnsi="宋体" w:cs="宋体" w:eastAsia="宋体" w:hint="default"/>
                <w:sz w:val="21"/>
                <w:szCs w:val="21"/>
              </w:rPr>
            </w:pPr>
            <w:r>
              <w:rPr>
                <w:rFonts w:ascii="宋体"/>
                <w:w w:val="100"/>
                <w:sz w:val="21"/>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7,132,125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7,012,125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425.28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38"/>
        <w:ind w:left="1600" w:right="0"/>
        <w:jc w:val="left"/>
      </w:pPr>
      <w:r>
        <w:rPr/>
        <w:t>报告期内，公司未实施股权激励计划。</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357" w:lineRule="auto" w:before="0"/>
        <w:ind w:left="1240" w:right="2859"/>
        <w:jc w:val="left"/>
        <w:rPr>
          <w:b w:val="0"/>
          <w:bCs w:val="0"/>
        </w:rPr>
      </w:pPr>
      <w:r>
        <w:rPr/>
        <w:t>（二）现任董事、监事、高级管理人员最近</w:t>
      </w:r>
      <w:r>
        <w:rPr>
          <w:spacing w:val="-64"/>
        </w:rPr>
        <w:t> </w:t>
      </w:r>
      <w:r>
        <w:rPr/>
        <w:t>5</w:t>
      </w:r>
      <w:r>
        <w:rPr>
          <w:spacing w:val="-64"/>
        </w:rPr>
        <w:t> </w:t>
      </w:r>
      <w:r>
        <w:rPr/>
        <w:t>年的主要工作经历</w:t>
      </w:r>
      <w:r>
        <w:rPr>
          <w:w w:val="99"/>
        </w:rPr>
        <w:t> </w:t>
      </w:r>
      <w:r>
        <w:rPr/>
        <w:t>1、现任董事主要工作经历</w:t>
      </w:r>
      <w:r>
        <w:rPr>
          <w:b w:val="0"/>
          <w:bCs w:val="0"/>
        </w:rPr>
      </w:r>
    </w:p>
    <w:p>
      <w:pPr>
        <w:pStyle w:val="BodyText"/>
        <w:spacing w:line="357" w:lineRule="auto"/>
        <w:ind w:left="1240" w:right="1311" w:firstLine="472"/>
        <w:jc w:val="both"/>
      </w:pPr>
      <w:r>
        <w:rPr>
          <w:rFonts w:ascii="宋体" w:hAnsi="宋体" w:cs="宋体" w:eastAsia="宋体" w:hint="default"/>
          <w:b/>
          <w:bCs/>
        </w:rPr>
        <w:t>包叔平先生，</w:t>
      </w:r>
      <w:r>
        <w:rPr/>
        <w:t>中国国籍，1955 年生，博士学历。1982</w:t>
      </w:r>
      <w:r>
        <w:rPr>
          <w:spacing w:val="-95"/>
        </w:rPr>
        <w:t> </w:t>
      </w:r>
      <w:r>
        <w:rPr/>
        <w:t>年毕业于南京工学院</w:t>
      </w:r>
      <w:r>
        <w:rPr/>
        <w:t> 自动控制系，获学士学位，1988</w:t>
      </w:r>
      <w:r>
        <w:rPr>
          <w:spacing w:val="16"/>
        </w:rPr>
        <w:t> </w:t>
      </w:r>
      <w:r>
        <w:rPr/>
        <w:t>年毕业于日本京都大学，获博士学位。曾任日</w:t>
      </w:r>
      <w:r>
        <w:rPr/>
        <w:t> 本欧姆龙株式会社</w:t>
      </w:r>
      <w:r>
        <w:rPr>
          <w:spacing w:val="-60"/>
        </w:rPr>
        <w:t> </w:t>
      </w:r>
      <w:r>
        <w:rPr/>
        <w:t>IT</w:t>
      </w:r>
      <w:r>
        <w:rPr>
          <w:spacing w:val="-60"/>
        </w:rPr>
        <w:t> </w:t>
      </w:r>
      <w:r>
        <w:rPr>
          <w:spacing w:val="-12"/>
        </w:rPr>
        <w:t>研究所研究员，自</w:t>
      </w:r>
      <w:r>
        <w:rPr>
          <w:spacing w:val="-60"/>
        </w:rPr>
        <w:t> </w:t>
      </w:r>
      <w:r>
        <w:rPr/>
        <w:t>1989</w:t>
      </w:r>
      <w:r>
        <w:rPr>
          <w:spacing w:val="-60"/>
        </w:rPr>
        <w:t> </w:t>
      </w:r>
      <w:r>
        <w:rPr/>
        <w:t>年受欧姆龙委派回国创办上海中立</w:t>
      </w:r>
    </w:p>
    <w:p>
      <w:pPr>
        <w:spacing w:after="0" w:line="357" w:lineRule="auto"/>
        <w:jc w:val="both"/>
        <w:sectPr>
          <w:pgSz w:w="11900" w:h="16840"/>
          <w:pgMar w:header="874" w:footer="983" w:top="1040" w:bottom="1180" w:left="560" w:right="480"/>
        </w:sectPr>
      </w:pPr>
    </w:p>
    <w:p>
      <w:pPr>
        <w:spacing w:line="240" w:lineRule="auto" w:before="0"/>
        <w:rPr>
          <w:rFonts w:ascii="宋体" w:hAnsi="宋体" w:cs="宋体" w:eastAsia="宋体" w:hint="default"/>
          <w:sz w:val="20"/>
          <w:szCs w:val="20"/>
        </w:rPr>
      </w:pPr>
    </w:p>
    <w:p>
      <w:pPr>
        <w:pStyle w:val="BodyText"/>
        <w:spacing w:line="357" w:lineRule="auto" w:before="160"/>
        <w:ind w:right="235"/>
        <w:jc w:val="both"/>
      </w:pPr>
      <w:r>
        <w:rPr>
          <w:spacing w:val="-3"/>
        </w:rPr>
        <w:t>计算机有限公司（公司前身）并经营至今。现任本公司董事长、总经理，日本海</w:t>
      </w:r>
      <w:r>
        <w:rPr>
          <w:spacing w:val="-115"/>
        </w:rPr>
        <w:t> </w:t>
      </w:r>
      <w:r>
        <w:rPr>
          <w:spacing w:val="-115"/>
        </w:rPr>
      </w:r>
      <w:r>
        <w:rPr>
          <w:spacing w:val="-3"/>
        </w:rPr>
        <w:t>隆株式会社董事长兼总经理，上海华钟计算机软件开发有限公司董事，上海海隆</w:t>
      </w:r>
      <w:r>
        <w:rPr>
          <w:spacing w:val="-111"/>
        </w:rPr>
        <w:t> </w:t>
      </w:r>
      <w:r>
        <w:rPr>
          <w:spacing w:val="-111"/>
        </w:rPr>
      </w:r>
      <w:r>
        <w:rPr>
          <w:spacing w:val="-3"/>
        </w:rPr>
        <w:t>宜通信息技术有限公司董事长，江苏海隆软件技术有限公司董事长。包叔平先生</w:t>
      </w:r>
      <w:r>
        <w:rPr>
          <w:spacing w:val="-111"/>
        </w:rPr>
        <w:t> </w:t>
      </w:r>
      <w:r>
        <w:rPr>
          <w:spacing w:val="-111"/>
        </w:rPr>
      </w:r>
      <w:r>
        <w:rPr/>
        <w:t>为本公司核心技术人员。</w:t>
      </w:r>
    </w:p>
    <w:p>
      <w:pPr>
        <w:pStyle w:val="BodyText"/>
        <w:spacing w:line="357" w:lineRule="auto"/>
        <w:ind w:right="96" w:firstLine="470"/>
        <w:jc w:val="left"/>
      </w:pPr>
      <w:r>
        <w:rPr>
          <w:rFonts w:ascii="宋体" w:hAnsi="宋体" w:cs="宋体" w:eastAsia="宋体" w:hint="default"/>
          <w:b/>
          <w:bCs/>
        </w:rPr>
        <w:t>唐长钧先生，</w:t>
      </w:r>
      <w:r>
        <w:rPr/>
        <w:t>中国国籍，1943 年生，大学学历，教授。1965</w:t>
      </w:r>
      <w:r>
        <w:rPr>
          <w:spacing w:val="-94"/>
        </w:rPr>
        <w:t> </w:t>
      </w:r>
      <w:r>
        <w:rPr/>
        <w:t>年毕业于上海</w:t>
      </w:r>
      <w:r>
        <w:rPr/>
        <w:t> 交通大学。1965 年～1990</w:t>
      </w:r>
      <w:r>
        <w:rPr>
          <w:spacing w:val="-96"/>
        </w:rPr>
        <w:t> </w:t>
      </w:r>
      <w:r>
        <w:rPr/>
        <w:t>年，在上海交通大学无线电系、微机所工作。曾任上</w:t>
      </w:r>
      <w:r>
        <w:rPr/>
        <w:t> </w:t>
      </w:r>
      <w:r>
        <w:rPr>
          <w:spacing w:val="-6"/>
        </w:rPr>
        <w:t>海华钟计算机软件开发有限公司董事、副总经理、总经理。现任本公司副董事长、</w:t>
      </w:r>
      <w:r>
        <w:rPr>
          <w:spacing w:val="-118"/>
        </w:rPr>
        <w:t> </w:t>
      </w:r>
      <w:r>
        <w:rPr>
          <w:spacing w:val="-118"/>
        </w:rPr>
      </w:r>
      <w:r>
        <w:rPr/>
        <w:t>上海华钟计算机软件开发有限公司副董事长。曾获中船总公司科技进步三等奖。</w:t>
      </w:r>
    </w:p>
    <w:p>
      <w:pPr>
        <w:pStyle w:val="BodyText"/>
        <w:spacing w:line="357" w:lineRule="auto"/>
        <w:ind w:right="120" w:firstLine="472"/>
        <w:jc w:val="left"/>
      </w:pPr>
      <w:r>
        <w:rPr>
          <w:rFonts w:ascii="宋体" w:hAnsi="宋体" w:cs="宋体" w:eastAsia="宋体" w:hint="default"/>
          <w:b/>
          <w:bCs/>
        </w:rPr>
        <w:t>潘世雷先生，</w:t>
      </w:r>
      <w:r>
        <w:rPr/>
        <w:t>中国国籍，1964 年生，研究生学历，高级工程师。1989</w:t>
      </w:r>
      <w:r>
        <w:rPr>
          <w:spacing w:val="-94"/>
        </w:rPr>
        <w:t> </w:t>
      </w:r>
      <w:r>
        <w:rPr/>
        <w:t>年毕</w:t>
      </w:r>
      <w:r>
        <w:rPr/>
        <w:t> 业于上海交通大学，随后进入上海中立计算机有限公司（公司前身）工作至今， 历任程序员、高级程序员、项目经理、部门经理、副总经理。现任本公司董事、 </w:t>
      </w:r>
      <w:r>
        <w:rPr>
          <w:spacing w:val="-3"/>
        </w:rPr>
        <w:t>副总经理兼任新事业开发本部本部长，上海海隆宜通信息技术有限公司董事、总</w:t>
      </w:r>
      <w:r>
        <w:rPr>
          <w:spacing w:val="-111"/>
        </w:rPr>
        <w:t> </w:t>
      </w:r>
      <w:r>
        <w:rPr>
          <w:spacing w:val="-111"/>
        </w:rPr>
      </w:r>
      <w:r>
        <w:rPr/>
        <w:t>经理。潘世雷先生为本公司核心技术人员。</w:t>
      </w:r>
    </w:p>
    <w:p>
      <w:pPr>
        <w:pStyle w:val="BodyText"/>
        <w:spacing w:line="357" w:lineRule="auto"/>
        <w:ind w:right="229" w:firstLine="472"/>
        <w:jc w:val="both"/>
      </w:pPr>
      <w:r>
        <w:rPr>
          <w:rFonts w:ascii="宋体" w:hAnsi="宋体" w:cs="宋体" w:eastAsia="宋体" w:hint="default"/>
          <w:b/>
          <w:bCs/>
          <w:spacing w:val="-3"/>
        </w:rPr>
        <w:t>陆庆先生，</w:t>
      </w:r>
      <w:r>
        <w:rPr>
          <w:spacing w:val="-3"/>
        </w:rPr>
        <w:t>中国国籍，1964</w:t>
      </w:r>
      <w:r>
        <w:rPr>
          <w:spacing w:val="-58"/>
        </w:rPr>
        <w:t> </w:t>
      </w:r>
      <w:r>
        <w:rPr>
          <w:spacing w:val="-3"/>
        </w:rPr>
        <w:t>年生，研究生学历，高级工程师，</w:t>
      </w:r>
      <w:r>
        <w:rPr>
          <w:spacing w:val="-16"/>
        </w:rPr>
        <w:t> </w:t>
      </w:r>
      <w:r>
        <w:rPr/>
        <w:t>1989</w:t>
      </w:r>
      <w:r>
        <w:rPr>
          <w:spacing w:val="-55"/>
        </w:rPr>
        <w:t> </w:t>
      </w:r>
      <w:r>
        <w:rPr/>
        <w:t>年毕业</w:t>
      </w:r>
      <w:r>
        <w:rPr/>
        <w:t> </w:t>
      </w:r>
      <w:r>
        <w:rPr>
          <w:spacing w:val="-3"/>
        </w:rPr>
        <w:t>于复旦大学，获硕士学位，随后进入上海中立计算机有限公司（公司前身）工作</w:t>
      </w:r>
      <w:r>
        <w:rPr>
          <w:spacing w:val="-111"/>
        </w:rPr>
        <w:t> </w:t>
      </w:r>
      <w:r>
        <w:rPr>
          <w:spacing w:val="-111"/>
        </w:rPr>
      </w:r>
      <w:r>
        <w:rPr>
          <w:spacing w:val="-3"/>
        </w:rPr>
        <w:t>至今，历任程序员、高级程序员、项目经理、部门经理、副总经理。现任本公司</w:t>
      </w:r>
      <w:r>
        <w:rPr>
          <w:spacing w:val="-111"/>
        </w:rPr>
        <w:t> </w:t>
      </w:r>
      <w:r>
        <w:rPr>
          <w:spacing w:val="-111"/>
        </w:rPr>
      </w:r>
      <w:r>
        <w:rPr/>
        <w:t>董事、副总经理。陆庆先生为本公司核心技术人员。</w:t>
      </w:r>
    </w:p>
    <w:p>
      <w:pPr>
        <w:pStyle w:val="BodyText"/>
        <w:spacing w:line="357" w:lineRule="auto"/>
        <w:ind w:right="96" w:firstLine="472"/>
        <w:jc w:val="left"/>
      </w:pPr>
      <w:r>
        <w:rPr>
          <w:rFonts w:ascii="宋体" w:hAnsi="宋体" w:cs="宋体" w:eastAsia="宋体" w:hint="default"/>
          <w:b/>
          <w:bCs/>
        </w:rPr>
        <w:t>朱玉旭先生，</w:t>
      </w:r>
      <w:r>
        <w:rPr/>
        <w:t>中国国籍，1961</w:t>
      </w:r>
      <w:r>
        <w:rPr>
          <w:spacing w:val="9"/>
        </w:rPr>
        <w:t> </w:t>
      </w:r>
      <w:r>
        <w:rPr/>
        <w:t>年生，博士，高级会计师。曾任上海交大南</w:t>
      </w:r>
      <w:r>
        <w:rPr/>
        <w:t> </w:t>
      </w:r>
      <w:r>
        <w:rPr>
          <w:spacing w:val="-6"/>
        </w:rPr>
        <w:t>洋股份有限公司总会计师。现任本公司董事、上海慧盛创业投资有限公司总经理、</w:t>
      </w:r>
      <w:r>
        <w:rPr>
          <w:spacing w:val="-118"/>
        </w:rPr>
        <w:t> </w:t>
      </w:r>
      <w:r>
        <w:rPr>
          <w:spacing w:val="-118"/>
        </w:rPr>
      </w:r>
      <w:r>
        <w:rPr/>
        <w:t>交大产业集团总会计师。</w:t>
      </w:r>
    </w:p>
    <w:p>
      <w:pPr>
        <w:pStyle w:val="BodyText"/>
        <w:spacing w:line="357" w:lineRule="auto"/>
        <w:ind w:right="96" w:firstLine="472"/>
        <w:jc w:val="left"/>
      </w:pPr>
      <w:r>
        <w:rPr>
          <w:rFonts w:ascii="宋体" w:hAnsi="宋体" w:cs="宋体" w:eastAsia="宋体" w:hint="default"/>
          <w:b/>
          <w:bCs/>
        </w:rPr>
        <w:t>张怡方女士，</w:t>
      </w:r>
      <w:r>
        <w:rPr/>
        <w:t>中国国籍，1955 年生，大学学历。1982</w:t>
      </w:r>
      <w:r>
        <w:rPr>
          <w:spacing w:val="-94"/>
        </w:rPr>
        <w:t> </w:t>
      </w:r>
      <w:r>
        <w:rPr/>
        <w:t>年毕业于南京工学院</w:t>
      </w:r>
      <w:r>
        <w:rPr/>
        <w:t> </w:t>
      </w:r>
      <w:r>
        <w:rPr>
          <w:spacing w:val="-3"/>
        </w:rPr>
        <w:t>自动控制系，获学士学位。曾任南京有线电厂工程师、南京标牌厂副厂长、上海</w:t>
      </w:r>
      <w:r>
        <w:rPr>
          <w:spacing w:val="-111"/>
        </w:rPr>
        <w:t> </w:t>
      </w:r>
      <w:r>
        <w:rPr>
          <w:spacing w:val="-111"/>
        </w:rPr>
      </w:r>
      <w:r>
        <w:rPr>
          <w:spacing w:val="-6"/>
        </w:rPr>
        <w:t>顺风电子技术有限公司总经理、上海中立计算机有限公司销售经理、晨兴（中国）</w:t>
      </w:r>
      <w:r>
        <w:rPr/>
        <w:t> 有限公司总裁助理、贵州证券上海业务部总经理、陕西证券上海业务部总经理、 上海证券交易所理事。现任本公司董事。</w:t>
      </w:r>
    </w:p>
    <w:p>
      <w:pPr>
        <w:pStyle w:val="BodyText"/>
        <w:spacing w:line="357" w:lineRule="auto"/>
        <w:ind w:right="120" w:firstLine="472"/>
        <w:jc w:val="left"/>
      </w:pPr>
      <w:r>
        <w:rPr>
          <w:rFonts w:ascii="宋体" w:hAnsi="宋体" w:cs="宋体" w:eastAsia="宋体" w:hint="default"/>
          <w:b/>
          <w:bCs/>
        </w:rPr>
        <w:t>何积丰先生，</w:t>
      </w:r>
      <w:r>
        <w:rPr/>
        <w:t>中国国籍，1943</w:t>
      </w:r>
      <w:r>
        <w:rPr>
          <w:spacing w:val="10"/>
        </w:rPr>
        <w:t> </w:t>
      </w:r>
      <w:r>
        <w:rPr/>
        <w:t>年生，大学学历。曾任华东师范大学助教、</w:t>
      </w:r>
      <w:r>
        <w:rPr/>
        <w:t> 讲师，曾在美国斯坦福大学、旧金山大学进修，在英国牛津大学担任客座教授、 高级研究员。1988 年被评为国家有突出贡献中青年专家。曾获电子工业部软件</w:t>
      </w:r>
      <w:r>
        <w:rPr>
          <w:spacing w:val="-103"/>
        </w:rPr>
        <w:t> </w:t>
      </w:r>
      <w:r>
        <w:rPr>
          <w:spacing w:val="-103"/>
        </w:rPr>
      </w:r>
      <w:r>
        <w:rPr/>
        <w:t>一等奖，上海市科技进步一等奖，英国先进技术女皇奖，国家自然科学二等奖。</w:t>
      </w:r>
    </w:p>
    <w:p>
      <w:pPr>
        <w:spacing w:after="0" w:line="357" w:lineRule="auto"/>
        <w:jc w:val="left"/>
        <w:sectPr>
          <w:pgSz w:w="11900" w:h="16840"/>
          <w:pgMar w:header="874" w:footer="983" w:top="1040" w:bottom="1180" w:left="1660" w:right="1560"/>
        </w:sectPr>
      </w:pPr>
    </w:p>
    <w:p>
      <w:pPr>
        <w:spacing w:line="240" w:lineRule="auto" w:before="0"/>
        <w:rPr>
          <w:rFonts w:ascii="宋体" w:hAnsi="宋体" w:cs="宋体" w:eastAsia="宋体" w:hint="default"/>
          <w:sz w:val="20"/>
          <w:szCs w:val="20"/>
        </w:rPr>
      </w:pPr>
    </w:p>
    <w:p>
      <w:pPr>
        <w:pStyle w:val="BodyText"/>
        <w:spacing w:line="357" w:lineRule="auto" w:before="160"/>
        <w:ind w:right="235"/>
        <w:jc w:val="both"/>
      </w:pPr>
      <w:r>
        <w:rPr>
          <w:spacing w:val="-3"/>
        </w:rPr>
        <w:t>现任本公司独立董事、华东师范大学终生教授、博士生导师、软件学院院长，上</w:t>
      </w:r>
      <w:r>
        <w:rPr>
          <w:spacing w:val="-111"/>
        </w:rPr>
        <w:t> </w:t>
      </w:r>
      <w:r>
        <w:rPr>
          <w:spacing w:val="-111"/>
        </w:rPr>
      </w:r>
      <w:r>
        <w:rPr>
          <w:spacing w:val="-3"/>
        </w:rPr>
        <w:t>海交通大学、南京大学、浙江大学兼职教授、博士生导师，联合国大学国际软件</w:t>
      </w:r>
      <w:r>
        <w:rPr>
          <w:spacing w:val="-111"/>
        </w:rPr>
        <w:t> </w:t>
      </w:r>
      <w:r>
        <w:rPr>
          <w:spacing w:val="-111"/>
        </w:rPr>
      </w:r>
      <w:r>
        <w:rPr/>
        <w:t>技术研究所高级研究员，中国科学院院士。</w:t>
      </w:r>
    </w:p>
    <w:p>
      <w:pPr>
        <w:pStyle w:val="BodyText"/>
        <w:spacing w:line="357" w:lineRule="auto"/>
        <w:ind w:right="120" w:firstLine="472"/>
        <w:jc w:val="left"/>
      </w:pPr>
      <w:r>
        <w:rPr>
          <w:rFonts w:ascii="宋体" w:hAnsi="宋体" w:cs="宋体" w:eastAsia="宋体" w:hint="default"/>
          <w:b/>
          <w:bCs/>
          <w:spacing w:val="-3"/>
        </w:rPr>
        <w:t>陈乐波先生，</w:t>
      </w:r>
      <w:r>
        <w:rPr>
          <w:spacing w:val="-3"/>
        </w:rPr>
        <w:t>中国国籍，1949 </w:t>
      </w:r>
      <w:r>
        <w:rPr>
          <w:spacing w:val="-4"/>
        </w:rPr>
        <w:t>年生，大学学历。1977</w:t>
      </w:r>
      <w:r>
        <w:rPr>
          <w:spacing w:val="2"/>
        </w:rPr>
        <w:t> </w:t>
      </w:r>
      <w:r>
        <w:rPr/>
        <w:t>年毕业于上海交通大</w:t>
      </w:r>
      <w:r>
        <w:rPr/>
        <w:t> 学，获本科学士学位。曾任上海交通大学教师，上海市社会科学院记者、编辑、 </w:t>
      </w:r>
      <w:r>
        <w:rPr>
          <w:spacing w:val="-3"/>
        </w:rPr>
        <w:t>研究人员，广联（南宁）投资有限公司副总经理，上海明申公司副董事长，上海</w:t>
      </w:r>
      <w:r>
        <w:rPr>
          <w:spacing w:val="-115"/>
        </w:rPr>
        <w:t> </w:t>
      </w:r>
      <w:r>
        <w:rPr>
          <w:spacing w:val="-115"/>
        </w:rPr>
      </w:r>
      <w:r>
        <w:rPr>
          <w:spacing w:val="-3"/>
        </w:rPr>
        <w:t>中泰信托投资公司总经济师，上海市新华闻投资有限公司副总经理。现任本公司</w:t>
      </w:r>
      <w:r>
        <w:rPr>
          <w:spacing w:val="-111"/>
        </w:rPr>
        <w:t> </w:t>
      </w:r>
      <w:r>
        <w:rPr>
          <w:spacing w:val="-111"/>
        </w:rPr>
      </w:r>
      <w:r>
        <w:rPr>
          <w:spacing w:val="-3"/>
        </w:rPr>
        <w:t>独立董事、上海特能市场推广有限公司董事、昆明百货大楼股份有限公司独立董</w:t>
      </w:r>
      <w:r>
        <w:rPr>
          <w:spacing w:val="-111"/>
        </w:rPr>
        <w:t> </w:t>
      </w:r>
      <w:r>
        <w:rPr>
          <w:spacing w:val="-111"/>
        </w:rPr>
      </w:r>
      <w:r>
        <w:rPr/>
        <w:t>事、上海恒劲动力科技有限公司独立董事。</w:t>
      </w:r>
    </w:p>
    <w:p>
      <w:pPr>
        <w:pStyle w:val="BodyText"/>
        <w:spacing w:line="357" w:lineRule="auto"/>
        <w:ind w:right="231" w:firstLine="472"/>
        <w:jc w:val="both"/>
      </w:pPr>
      <w:r>
        <w:rPr>
          <w:rFonts w:ascii="宋体" w:hAnsi="宋体" w:cs="宋体" w:eastAsia="宋体" w:hint="default"/>
          <w:b/>
          <w:bCs/>
        </w:rPr>
        <w:t>高美萍女士，</w:t>
      </w:r>
      <w:r>
        <w:rPr/>
        <w:t>中国国籍，1958</w:t>
      </w:r>
      <w:r>
        <w:rPr>
          <w:spacing w:val="18"/>
        </w:rPr>
        <w:t> </w:t>
      </w:r>
      <w:r>
        <w:rPr/>
        <w:t>年生，大专学历，注册会计师。曾任上海崇</w:t>
      </w:r>
      <w:r>
        <w:rPr/>
        <w:t> </w:t>
      </w:r>
      <w:r>
        <w:rPr>
          <w:spacing w:val="-3"/>
        </w:rPr>
        <w:t>明东风农场纺织厂工人，上海第四铜带厂财务人员，东华大学教工，现任本公司</w:t>
      </w:r>
      <w:r>
        <w:rPr>
          <w:spacing w:val="-111"/>
        </w:rPr>
        <w:t> </w:t>
      </w:r>
      <w:r>
        <w:rPr>
          <w:spacing w:val="-111"/>
        </w:rPr>
      </w:r>
      <w:r>
        <w:rPr/>
        <w:t>独立董事、上海汇青会计师事务所项目经理。</w:t>
      </w:r>
    </w:p>
    <w:p>
      <w:pPr>
        <w:spacing w:line="240" w:lineRule="auto" w:before="0"/>
        <w:rPr>
          <w:rFonts w:ascii="宋体" w:hAnsi="宋体" w:cs="宋体" w:eastAsia="宋体" w:hint="default"/>
          <w:sz w:val="24"/>
          <w:szCs w:val="24"/>
        </w:rPr>
      </w:pPr>
    </w:p>
    <w:p>
      <w:pPr>
        <w:pStyle w:val="Heading3"/>
        <w:spacing w:line="240" w:lineRule="auto" w:before="190"/>
        <w:ind w:right="0"/>
        <w:jc w:val="both"/>
        <w:rPr>
          <w:b w:val="0"/>
          <w:bCs w:val="0"/>
        </w:rPr>
      </w:pPr>
      <w:r>
        <w:rPr/>
        <w:t>2、现任监事主要工作简历</w:t>
      </w:r>
      <w:r>
        <w:rPr>
          <w:b w:val="0"/>
          <w:bCs w:val="0"/>
        </w:rPr>
      </w:r>
    </w:p>
    <w:p>
      <w:pPr>
        <w:pStyle w:val="BodyText"/>
        <w:spacing w:line="357" w:lineRule="auto" w:before="154"/>
        <w:ind w:right="120" w:firstLine="472"/>
        <w:jc w:val="left"/>
      </w:pPr>
      <w:r>
        <w:rPr>
          <w:rFonts w:ascii="宋体" w:hAnsi="宋体" w:cs="宋体" w:eastAsia="宋体" w:hint="default"/>
          <w:b/>
          <w:bCs/>
        </w:rPr>
        <w:t>周颖先生，</w:t>
      </w:r>
      <w:r>
        <w:rPr/>
        <w:t>中国国籍，1964 年生，研究生学历。2001</w:t>
      </w:r>
      <w:r>
        <w:rPr>
          <w:spacing w:val="-93"/>
        </w:rPr>
        <w:t> </w:t>
      </w:r>
      <w:r>
        <w:rPr/>
        <w:t>年毕业于上海交通大</w:t>
      </w:r>
      <w:r>
        <w:rPr/>
        <w:t> 学。曾任上海交大高新技术股份有限公司总经理助理。现任本公司监事会主席、 上海慧盛创业投资有限公司资产经营部经理。</w:t>
      </w:r>
    </w:p>
    <w:p>
      <w:pPr>
        <w:pStyle w:val="BodyText"/>
        <w:spacing w:line="357" w:lineRule="auto"/>
        <w:ind w:right="231" w:firstLine="472"/>
        <w:jc w:val="both"/>
      </w:pPr>
      <w:r>
        <w:rPr>
          <w:rFonts w:ascii="宋体" w:hAnsi="宋体" w:cs="宋体" w:eastAsia="宋体" w:hint="default"/>
          <w:b/>
          <w:bCs/>
        </w:rPr>
        <w:t>王彬先生，</w:t>
      </w:r>
      <w:r>
        <w:rPr/>
        <w:t>中国国籍，1962 年生，大学学历。1982</w:t>
      </w:r>
      <w:r>
        <w:rPr>
          <w:spacing w:val="-94"/>
        </w:rPr>
        <w:t> </w:t>
      </w:r>
      <w:r>
        <w:rPr/>
        <w:t>年毕业于复旦大学数学</w:t>
      </w:r>
      <w:r>
        <w:rPr/>
        <w:t> 系，获学士学位，随后进入上海无线电二厂工作至</w:t>
      </w:r>
      <w:r>
        <w:rPr>
          <w:spacing w:val="-32"/>
        </w:rPr>
        <w:t> </w:t>
      </w:r>
      <w:r>
        <w:rPr/>
        <w:t>1989</w:t>
      </w:r>
      <w:r>
        <w:rPr>
          <w:spacing w:val="-32"/>
        </w:rPr>
        <w:t> </w:t>
      </w:r>
      <w:r>
        <w:rPr/>
        <w:t>年</w:t>
      </w:r>
      <w:r>
        <w:rPr>
          <w:spacing w:val="-32"/>
        </w:rPr>
        <w:t> </w:t>
      </w:r>
      <w:r>
        <w:rPr/>
        <w:t>6</w:t>
      </w:r>
      <w:r>
        <w:rPr>
          <w:spacing w:val="-32"/>
        </w:rPr>
        <w:t> </w:t>
      </w:r>
      <w:r>
        <w:rPr/>
        <w:t>月。自</w:t>
      </w:r>
      <w:r>
        <w:rPr>
          <w:spacing w:val="-32"/>
        </w:rPr>
        <w:t> </w:t>
      </w:r>
      <w:r>
        <w:rPr/>
        <w:t>1989</w:t>
      </w:r>
      <w:r>
        <w:rPr>
          <w:spacing w:val="-32"/>
        </w:rPr>
        <w:t> </w:t>
      </w:r>
      <w:r>
        <w:rPr/>
        <w:t>年</w:t>
      </w:r>
      <w:r>
        <w:rPr>
          <w:spacing w:val="-32"/>
        </w:rPr>
        <w:t> </w:t>
      </w:r>
      <w:r>
        <w:rPr/>
        <w:t>6</w:t>
      </w:r>
      <w:r>
        <w:rPr/>
        <w:t> </w:t>
      </w:r>
      <w:r>
        <w:rPr>
          <w:spacing w:val="-3"/>
        </w:rPr>
        <w:t>月进入上海中立计算机有限公司（公司前身）并工作至今，历任程序员、高级程</w:t>
      </w:r>
      <w:r>
        <w:rPr>
          <w:spacing w:val="-111"/>
        </w:rPr>
        <w:t> </w:t>
      </w:r>
      <w:r>
        <w:rPr>
          <w:spacing w:val="-111"/>
        </w:rPr>
      </w:r>
      <w:r>
        <w:rPr>
          <w:spacing w:val="-3"/>
        </w:rPr>
        <w:t>序员、项目经理、副部长。现任本公司职工代表监事、第一海外软件开发事业本</w:t>
      </w:r>
      <w:r>
        <w:rPr>
          <w:spacing w:val="-111"/>
        </w:rPr>
        <w:t> </w:t>
      </w:r>
      <w:r>
        <w:rPr>
          <w:spacing w:val="-111"/>
        </w:rPr>
      </w:r>
      <w:r>
        <w:rPr/>
        <w:t>部副本部长。</w:t>
      </w:r>
    </w:p>
    <w:p>
      <w:pPr>
        <w:pStyle w:val="BodyText"/>
        <w:spacing w:line="357" w:lineRule="auto"/>
        <w:ind w:right="96" w:firstLine="472"/>
        <w:jc w:val="left"/>
      </w:pPr>
      <w:r>
        <w:rPr>
          <w:rFonts w:ascii="宋体" w:hAnsi="宋体" w:cs="宋体" w:eastAsia="宋体" w:hint="default"/>
          <w:b/>
          <w:bCs/>
        </w:rPr>
        <w:t>梁恭杰先生，</w:t>
      </w:r>
      <w:r>
        <w:rPr/>
        <w:t>中国国籍，1943</w:t>
      </w:r>
      <w:r>
        <w:rPr>
          <w:spacing w:val="9"/>
        </w:rPr>
        <w:t> </w:t>
      </w:r>
      <w:r>
        <w:rPr/>
        <w:t>年生，大学学历，高级工程师。曾任上海电</w:t>
      </w:r>
      <w:r>
        <w:rPr/>
        <w:t> </w:t>
      </w:r>
      <w:r>
        <w:rPr>
          <w:spacing w:val="-3"/>
        </w:rPr>
        <w:t>器机修厂技术工人，上海电器技术研究所工程师，上海市对外经济贸易委员会副</w:t>
      </w:r>
      <w:r>
        <w:rPr>
          <w:spacing w:val="-111"/>
        </w:rPr>
        <w:t> </w:t>
      </w:r>
      <w:r>
        <w:rPr>
          <w:spacing w:val="-111"/>
        </w:rPr>
      </w:r>
      <w:r>
        <w:rPr>
          <w:spacing w:val="-6"/>
        </w:rPr>
        <w:t>处长、处长，上海市十一届人大代表、上海广电信息产业股份有限公司独立董事、</w:t>
      </w:r>
      <w:r>
        <w:rPr>
          <w:spacing w:val="-118"/>
        </w:rPr>
        <w:t> </w:t>
      </w:r>
      <w:r>
        <w:rPr>
          <w:spacing w:val="-118"/>
        </w:rPr>
      </w:r>
      <w:r>
        <w:rPr/>
        <w:t>上海机电股份有限公司独立董事、2010 年上海世博会申办工作领导小组办公室</w:t>
      </w:r>
      <w:r>
        <w:rPr>
          <w:spacing w:val="-103"/>
        </w:rPr>
        <w:t> </w:t>
      </w:r>
      <w:r>
        <w:rPr>
          <w:spacing w:val="-103"/>
        </w:rPr>
      </w:r>
      <w:r>
        <w:rPr>
          <w:spacing w:val="-3"/>
        </w:rPr>
        <w:t>综合部部长、上海世界展览会议有限公司高级业务总监、九三学社上海市十三届</w:t>
      </w:r>
      <w:r>
        <w:rPr>
          <w:spacing w:val="-111"/>
        </w:rPr>
        <w:t> </w:t>
      </w:r>
      <w:r>
        <w:rPr>
          <w:spacing w:val="-111"/>
        </w:rPr>
      </w:r>
      <w:r>
        <w:rPr>
          <w:spacing w:val="-6"/>
        </w:rPr>
        <w:t>市委委员及经济委员会副主任、外经贸支社主任委员、上海市审计局特约审计员、</w:t>
      </w:r>
      <w:r>
        <w:rPr/>
        <w:t> </w:t>
      </w:r>
      <w:r>
        <w:rPr>
          <w:spacing w:val="-3"/>
        </w:rPr>
        <w:t>上海软件行业协会常务理事。现任本公司监事、上海世博网络信息服务有限公司</w:t>
      </w:r>
    </w:p>
    <w:p>
      <w:pPr>
        <w:spacing w:after="0" w:line="357" w:lineRule="auto"/>
        <w:jc w:val="left"/>
        <w:sectPr>
          <w:pgSz w:w="11900" w:h="16840"/>
          <w:pgMar w:header="874" w:footer="983" w:top="1040" w:bottom="1180" w:left="1660" w:right="1560"/>
        </w:sectPr>
      </w:pPr>
    </w:p>
    <w:p>
      <w:pPr>
        <w:spacing w:line="240" w:lineRule="auto" w:before="0"/>
        <w:rPr>
          <w:rFonts w:ascii="宋体" w:hAnsi="宋体" w:cs="宋体" w:eastAsia="宋体" w:hint="default"/>
          <w:sz w:val="20"/>
          <w:szCs w:val="20"/>
        </w:rPr>
      </w:pPr>
    </w:p>
    <w:p>
      <w:pPr>
        <w:pStyle w:val="BodyText"/>
        <w:spacing w:line="240" w:lineRule="auto" w:before="160"/>
        <w:ind w:right="96"/>
        <w:jc w:val="left"/>
      </w:pPr>
      <w:r>
        <w:rPr/>
        <w:t>董事长。</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12" w:right="222" w:hanging="473"/>
        <w:jc w:val="left"/>
        <w:rPr>
          <w:rFonts w:ascii="宋体" w:hAnsi="宋体" w:cs="宋体" w:eastAsia="宋体" w:hint="default"/>
          <w:sz w:val="24"/>
          <w:szCs w:val="24"/>
        </w:rPr>
      </w:pPr>
      <w:r>
        <w:rPr>
          <w:rFonts w:ascii="宋体" w:hAnsi="宋体" w:cs="宋体" w:eastAsia="宋体" w:hint="default"/>
          <w:b/>
          <w:bCs/>
          <w:sz w:val="24"/>
          <w:szCs w:val="24"/>
        </w:rPr>
        <w:t>3、现任高级管理人员主要工作简历</w:t>
      </w:r>
      <w:r>
        <w:rPr>
          <w:rFonts w:ascii="宋体" w:hAnsi="宋体" w:cs="宋体" w:eastAsia="宋体" w:hint="default"/>
          <w:b/>
          <w:bCs/>
          <w:w w:val="99"/>
          <w:sz w:val="24"/>
          <w:szCs w:val="24"/>
        </w:rPr>
        <w:t> </w:t>
      </w:r>
      <w:r>
        <w:rPr>
          <w:rFonts w:ascii="宋体" w:hAnsi="宋体" w:cs="宋体" w:eastAsia="宋体" w:hint="default"/>
          <w:b/>
          <w:bCs/>
          <w:sz w:val="24"/>
          <w:szCs w:val="24"/>
        </w:rPr>
        <w:t>包叔平先生，</w:t>
      </w:r>
      <w:r>
        <w:rPr>
          <w:rFonts w:ascii="宋体" w:hAnsi="宋体" w:cs="宋体" w:eastAsia="宋体" w:hint="default"/>
          <w:sz w:val="24"/>
          <w:szCs w:val="24"/>
        </w:rPr>
        <w:t>本公司董事长、总经理。请参见董事简介。 </w:t>
      </w:r>
      <w:r>
        <w:rPr>
          <w:rFonts w:ascii="宋体" w:hAnsi="宋体" w:cs="宋体" w:eastAsia="宋体" w:hint="default"/>
          <w:b/>
          <w:bCs/>
          <w:sz w:val="24"/>
          <w:szCs w:val="24"/>
        </w:rPr>
        <w:t>潘世雷先生，</w:t>
      </w:r>
      <w:r>
        <w:rPr>
          <w:rFonts w:ascii="宋体" w:hAnsi="宋体" w:cs="宋体" w:eastAsia="宋体" w:hint="default"/>
          <w:sz w:val="24"/>
          <w:szCs w:val="24"/>
        </w:rPr>
        <w:t>本公司董事、副总经理。请参见董事简介。 </w:t>
      </w:r>
      <w:r>
        <w:rPr>
          <w:rFonts w:ascii="宋体" w:hAnsi="宋体" w:cs="宋体" w:eastAsia="宋体" w:hint="default"/>
          <w:b/>
          <w:bCs/>
          <w:sz w:val="24"/>
          <w:szCs w:val="24"/>
        </w:rPr>
        <w:t>陆庆先生，</w:t>
      </w:r>
      <w:r>
        <w:rPr>
          <w:rFonts w:ascii="宋体" w:hAnsi="宋体" w:cs="宋体" w:eastAsia="宋体" w:hint="default"/>
          <w:sz w:val="24"/>
          <w:szCs w:val="24"/>
        </w:rPr>
        <w:t>本公司董事、副总经理。请参见董事简介。 </w:t>
      </w:r>
      <w:r>
        <w:rPr>
          <w:rFonts w:ascii="宋体" w:hAnsi="宋体" w:cs="宋体" w:eastAsia="宋体" w:hint="default"/>
          <w:b/>
          <w:bCs/>
          <w:spacing w:val="-4"/>
          <w:sz w:val="24"/>
          <w:szCs w:val="24"/>
        </w:rPr>
        <w:t>张再雄先生，</w:t>
      </w:r>
      <w:r>
        <w:rPr>
          <w:rFonts w:ascii="宋体" w:hAnsi="宋体" w:cs="宋体" w:eastAsia="宋体" w:hint="default"/>
          <w:spacing w:val="-4"/>
          <w:sz w:val="24"/>
          <w:szCs w:val="24"/>
        </w:rPr>
        <w:t>中国国籍，1959</w:t>
      </w:r>
      <w:r>
        <w:rPr>
          <w:rFonts w:ascii="宋体" w:hAnsi="宋体" w:cs="宋体" w:eastAsia="宋体" w:hint="default"/>
          <w:spacing w:val="-55"/>
          <w:sz w:val="24"/>
          <w:szCs w:val="24"/>
        </w:rPr>
        <w:t> </w:t>
      </w:r>
      <w:r>
        <w:rPr>
          <w:rFonts w:ascii="宋体" w:hAnsi="宋体" w:cs="宋体" w:eastAsia="宋体" w:hint="default"/>
          <w:spacing w:val="-7"/>
          <w:sz w:val="24"/>
          <w:szCs w:val="24"/>
        </w:rPr>
        <w:t>年生，自然科学博士（Ph.D），1984</w:t>
      </w:r>
      <w:r>
        <w:rPr>
          <w:rFonts w:ascii="宋体" w:hAnsi="宋体" w:cs="宋体" w:eastAsia="宋体" w:hint="default"/>
          <w:spacing w:val="-55"/>
          <w:sz w:val="24"/>
          <w:szCs w:val="24"/>
        </w:rPr>
        <w:t> </w:t>
      </w:r>
      <w:r>
        <w:rPr>
          <w:rFonts w:ascii="宋体" w:hAnsi="宋体" w:cs="宋体" w:eastAsia="宋体" w:hint="default"/>
          <w:spacing w:val="-5"/>
          <w:sz w:val="24"/>
          <w:szCs w:val="24"/>
        </w:rPr>
        <w:t>年、1986</w:t>
      </w:r>
    </w:p>
    <w:p>
      <w:pPr>
        <w:pStyle w:val="BodyText"/>
        <w:spacing w:line="357" w:lineRule="auto"/>
        <w:ind w:right="214"/>
        <w:jc w:val="left"/>
      </w:pPr>
      <w:r>
        <w:rPr>
          <w:spacing w:val="-4"/>
        </w:rPr>
        <w:t>年、1989</w:t>
      </w:r>
      <w:r>
        <w:rPr>
          <w:spacing w:val="-53"/>
        </w:rPr>
        <w:t> </w:t>
      </w:r>
      <w:r>
        <w:rPr>
          <w:spacing w:val="-3"/>
        </w:rPr>
        <w:t>年毕业于日本神户大学，分别获学士、硕士及博士学位。1989</w:t>
      </w:r>
      <w:r>
        <w:rPr>
          <w:spacing w:val="-53"/>
        </w:rPr>
        <w:t> </w:t>
      </w:r>
      <w:r>
        <w:rPr/>
        <w:t>年-1991</w:t>
      </w:r>
      <w:r>
        <w:rPr/>
        <w:t> </w:t>
      </w:r>
      <w:r>
        <w:rPr>
          <w:spacing w:val="-5"/>
        </w:rPr>
        <w:t>年在日本神户制钢所株式会社工作；1991</w:t>
      </w:r>
      <w:r>
        <w:rPr>
          <w:spacing w:val="-57"/>
        </w:rPr>
        <w:t> </w:t>
      </w:r>
      <w:r>
        <w:rPr/>
        <w:t>年-1994</w:t>
      </w:r>
      <w:r>
        <w:rPr>
          <w:spacing w:val="-57"/>
        </w:rPr>
        <w:t> </w:t>
      </w:r>
      <w:r>
        <w:rPr/>
        <w:t>年在上海中立计算机有限公司</w:t>
      </w:r>
    </w:p>
    <w:p>
      <w:pPr>
        <w:pStyle w:val="BodyText"/>
        <w:spacing w:line="357" w:lineRule="auto"/>
        <w:ind w:right="120"/>
        <w:jc w:val="left"/>
      </w:pPr>
      <w:r>
        <w:rPr/>
        <w:t>（公司前身）工作，任开发管理科科长；1996</w:t>
      </w:r>
      <w:r>
        <w:rPr>
          <w:spacing w:val="-60"/>
        </w:rPr>
        <w:t> </w:t>
      </w:r>
      <w:r>
        <w:rPr/>
        <w:t>年-2002</w:t>
      </w:r>
      <w:r>
        <w:rPr>
          <w:spacing w:val="-60"/>
        </w:rPr>
        <w:t> </w:t>
      </w:r>
      <w:r>
        <w:rPr/>
        <w:t>年任欧姆龙贸易（上海）</w:t>
      </w:r>
      <w:r>
        <w:rPr/>
        <w:t> 有限公司</w:t>
      </w:r>
      <w:r>
        <w:rPr>
          <w:spacing w:val="-44"/>
        </w:rPr>
        <w:t> </w:t>
      </w:r>
      <w:r>
        <w:rPr/>
        <w:t>RS 事业部副总经理；2002</w:t>
      </w:r>
      <w:r>
        <w:rPr>
          <w:spacing w:val="-44"/>
        </w:rPr>
        <w:t> </w:t>
      </w:r>
      <w:r>
        <w:rPr/>
        <w:t>年-2007</w:t>
      </w:r>
      <w:r>
        <w:rPr>
          <w:spacing w:val="-44"/>
        </w:rPr>
        <w:t> </w:t>
      </w:r>
      <w:r>
        <w:rPr/>
        <w:t>年</w:t>
      </w:r>
      <w:r>
        <w:rPr>
          <w:spacing w:val="-44"/>
        </w:rPr>
        <w:t> </w:t>
      </w:r>
      <w:r>
        <w:rPr/>
        <w:t>12</w:t>
      </w:r>
      <w:r>
        <w:rPr>
          <w:spacing w:val="-44"/>
        </w:rPr>
        <w:t> </w:t>
      </w:r>
      <w:r>
        <w:rPr/>
        <w:t>月任日电信息系统（中国）</w:t>
      </w:r>
      <w:r>
        <w:rPr/>
        <w:t> </w:t>
      </w:r>
      <w:r>
        <w:rPr>
          <w:spacing w:val="-3"/>
        </w:rPr>
        <w:t>有限公司系统开发事业部副总经理、华东系统开发事业部总经理。现任本公司副</w:t>
      </w:r>
      <w:r>
        <w:rPr>
          <w:spacing w:val="-111"/>
        </w:rPr>
        <w:t> </w:t>
      </w:r>
      <w:r>
        <w:rPr>
          <w:spacing w:val="-111"/>
        </w:rPr>
      </w:r>
      <w:r>
        <w:rPr/>
        <w:t>总经理、营业企划本部部长。</w:t>
      </w:r>
    </w:p>
    <w:p>
      <w:pPr>
        <w:pStyle w:val="BodyText"/>
        <w:spacing w:line="357" w:lineRule="auto"/>
        <w:ind w:right="111" w:firstLine="472"/>
        <w:jc w:val="both"/>
      </w:pPr>
      <w:r>
        <w:rPr>
          <w:rFonts w:ascii="宋体" w:hAnsi="宋体" w:cs="宋体" w:eastAsia="宋体" w:hint="default"/>
          <w:b/>
          <w:bCs/>
        </w:rPr>
        <w:t>李静女士，</w:t>
      </w:r>
      <w:r>
        <w:rPr/>
        <w:t>中国国籍，1961 年生。研究生学历，1982</w:t>
      </w:r>
      <w:r>
        <w:rPr>
          <w:spacing w:val="-93"/>
        </w:rPr>
        <w:t> </w:t>
      </w:r>
      <w:r>
        <w:rPr/>
        <w:t>年毕业于西安交通大</w:t>
      </w:r>
      <w:r>
        <w:rPr/>
        <w:t> 学信息与控制工程系，1986</w:t>
      </w:r>
      <w:r>
        <w:rPr>
          <w:spacing w:val="-54"/>
        </w:rPr>
        <w:t> </w:t>
      </w:r>
      <w:r>
        <w:rPr/>
        <w:t>年</w:t>
      </w:r>
      <w:r>
        <w:rPr>
          <w:spacing w:val="-54"/>
        </w:rPr>
        <w:t> </w:t>
      </w:r>
      <w:r>
        <w:rPr/>
        <w:t>4</w:t>
      </w:r>
      <w:r>
        <w:rPr>
          <w:spacing w:val="-54"/>
        </w:rPr>
        <w:t> </w:t>
      </w:r>
      <w:r>
        <w:rPr/>
        <w:t>月获日本京都大学工学硕士学位。1989</w:t>
      </w:r>
      <w:r>
        <w:rPr>
          <w:spacing w:val="-54"/>
        </w:rPr>
        <w:t> </w:t>
      </w:r>
      <w:r>
        <w:rPr/>
        <w:t>年进入</w:t>
      </w:r>
      <w:r>
        <w:rPr/>
        <w:t> </w:t>
      </w:r>
      <w:r>
        <w:rPr>
          <w:spacing w:val="-3"/>
        </w:rPr>
        <w:t>本公司，历任日本软件外包业务担当（日本），开发管理科科长、业务企划部部</w:t>
      </w:r>
      <w:r>
        <w:rPr>
          <w:spacing w:val="-115"/>
        </w:rPr>
        <w:t> </w:t>
      </w:r>
      <w:r>
        <w:rPr>
          <w:spacing w:val="-115"/>
        </w:rPr>
      </w:r>
      <w:r>
        <w:rPr>
          <w:spacing w:val="-6"/>
        </w:rPr>
        <w:t>长。现任上海海隆软件股份有限公司副总经理、董事会秘书、总经理办公室主任。</w:t>
      </w:r>
    </w:p>
    <w:p>
      <w:pPr>
        <w:pStyle w:val="BodyText"/>
        <w:spacing w:line="357" w:lineRule="auto"/>
        <w:ind w:right="231" w:firstLine="472"/>
        <w:jc w:val="both"/>
      </w:pPr>
      <w:r>
        <w:rPr>
          <w:rFonts w:ascii="宋体" w:hAnsi="宋体" w:cs="宋体" w:eastAsia="宋体" w:hint="default"/>
          <w:b/>
          <w:bCs/>
        </w:rPr>
        <w:t>董樑先生，</w:t>
      </w:r>
      <w:r>
        <w:rPr/>
        <w:t>中国国籍，1970 年生，大学学历，1991</w:t>
      </w:r>
      <w:r>
        <w:rPr>
          <w:spacing w:val="-94"/>
        </w:rPr>
        <w:t> </w:t>
      </w:r>
      <w:r>
        <w:rPr/>
        <w:t>年大专毕业于上海大学</w:t>
      </w:r>
      <w:r>
        <w:rPr/>
        <w:t> 国际商学院，2001</w:t>
      </w:r>
      <w:r>
        <w:rPr>
          <w:spacing w:val="16"/>
        </w:rPr>
        <w:t> </w:t>
      </w:r>
      <w:r>
        <w:rPr/>
        <w:t>年本科毕业于华东师范大学金融学专业。曾任有色金属总公</w:t>
      </w:r>
      <w:r>
        <w:rPr/>
        <w:t> 司上海分公司业务人员，1996</w:t>
      </w:r>
      <w:r>
        <w:rPr>
          <w:spacing w:val="-72"/>
        </w:rPr>
        <w:t> </w:t>
      </w:r>
      <w:r>
        <w:rPr/>
        <w:t>年</w:t>
      </w:r>
      <w:r>
        <w:rPr>
          <w:spacing w:val="-72"/>
        </w:rPr>
        <w:t> </w:t>
      </w:r>
      <w:r>
        <w:rPr/>
        <w:t>10</w:t>
      </w:r>
      <w:r>
        <w:rPr>
          <w:spacing w:val="-72"/>
        </w:rPr>
        <w:t> </w:t>
      </w:r>
      <w:r>
        <w:rPr/>
        <w:t>月进入本公司。历任会计、会计主管，现任</w:t>
      </w:r>
      <w:r>
        <w:rPr/>
        <w:t> 本公司财务负责人。</w:t>
      </w:r>
    </w:p>
    <w:p>
      <w:pPr>
        <w:spacing w:line="240" w:lineRule="auto" w:before="0"/>
        <w:rPr>
          <w:rFonts w:ascii="宋体" w:hAnsi="宋体" w:cs="宋体" w:eastAsia="宋体" w:hint="default"/>
          <w:sz w:val="24"/>
          <w:szCs w:val="24"/>
        </w:rPr>
      </w:pPr>
    </w:p>
    <w:p>
      <w:pPr>
        <w:pStyle w:val="Heading3"/>
        <w:spacing w:line="240" w:lineRule="auto" w:before="190"/>
        <w:ind w:right="96"/>
        <w:jc w:val="left"/>
        <w:rPr>
          <w:b w:val="0"/>
          <w:bCs w:val="0"/>
        </w:rPr>
      </w:pPr>
      <w:r>
        <w:rPr/>
        <w:t>4、公司董事、监事、高级管理人员在股东单位的任职情况</w:t>
      </w:r>
      <w:r>
        <w:rPr>
          <w:b w:val="0"/>
          <w:bCs w:val="0"/>
        </w:rPr>
      </w:r>
    </w:p>
    <w:p>
      <w:pPr>
        <w:spacing w:line="240" w:lineRule="auto" w:before="11"/>
        <w:rPr>
          <w:rFonts w:ascii="宋体" w:hAnsi="宋体" w:cs="宋体" w:eastAsia="宋体" w:hint="default"/>
          <w:b/>
          <w:bCs/>
          <w:sz w:val="8"/>
          <w:szCs w:val="8"/>
        </w:rPr>
      </w:pPr>
    </w:p>
    <w:tbl>
      <w:tblPr>
        <w:tblW w:w="0" w:type="auto"/>
        <w:jc w:val="left"/>
        <w:tblInd w:w="135" w:type="dxa"/>
        <w:tblLayout w:type="fixed"/>
        <w:tblCellMar>
          <w:top w:w="0" w:type="dxa"/>
          <w:left w:w="0" w:type="dxa"/>
          <w:bottom w:w="0" w:type="dxa"/>
          <w:right w:w="0" w:type="dxa"/>
        </w:tblCellMar>
        <w:tblLook w:val="01E0"/>
      </w:tblPr>
      <w:tblGrid>
        <w:gridCol w:w="994"/>
        <w:gridCol w:w="2976"/>
        <w:gridCol w:w="1843"/>
        <w:gridCol w:w="2551"/>
      </w:tblGrid>
      <w:tr>
        <w:trPr>
          <w:trHeight w:val="456" w:hRule="exact"/>
        </w:trPr>
        <w:tc>
          <w:tcPr>
            <w:tcW w:w="994"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76"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任职的股东单位</w:t>
            </w:r>
          </w:p>
        </w:tc>
        <w:tc>
          <w:tcPr>
            <w:tcW w:w="1843"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股东单位职务</w:t>
            </w:r>
          </w:p>
        </w:tc>
        <w:tc>
          <w:tcPr>
            <w:tcW w:w="2551" w:type="dxa"/>
            <w:tcBorders>
              <w:top w:val="single" w:sz="4" w:space="0" w:color="000000"/>
              <w:left w:val="single" w:sz="4" w:space="0" w:color="000000"/>
              <w:bottom w:val="single" w:sz="6" w:space="0" w:color="000000"/>
              <w:right w:val="single" w:sz="4" w:space="0" w:color="000000"/>
            </w:tcBorders>
            <w:shd w:val="clear" w:color="auto" w:fill="CCCCCC"/>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任职期间</w:t>
            </w:r>
          </w:p>
        </w:tc>
      </w:tr>
      <w:tr>
        <w:trPr>
          <w:trHeight w:val="326" w:hRule="exact"/>
        </w:trPr>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2976"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上海慧盛创业投资有限公司</w:t>
            </w:r>
          </w:p>
        </w:tc>
        <w:tc>
          <w:tcPr>
            <w:tcW w:w="1843"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551"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日至今</w:t>
            </w:r>
          </w:p>
        </w:tc>
      </w:tr>
      <w:tr>
        <w:trPr>
          <w:trHeight w:val="324" w:hRule="exact"/>
        </w:trPr>
        <w:tc>
          <w:tcPr>
            <w:tcW w:w="994"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周颖</w:t>
            </w:r>
          </w:p>
        </w:tc>
        <w:tc>
          <w:tcPr>
            <w:tcW w:w="2976"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上海慧盛创业投资有限公司</w:t>
            </w:r>
          </w:p>
        </w:tc>
        <w:tc>
          <w:tcPr>
            <w:tcW w:w="1843"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资产经营部经理</w:t>
            </w:r>
          </w:p>
        </w:tc>
        <w:tc>
          <w:tcPr>
            <w:tcW w:w="255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日至今</w:t>
            </w:r>
          </w:p>
        </w:tc>
      </w:tr>
    </w:tbl>
    <w:p>
      <w:pPr>
        <w:spacing w:after="0" w:line="262" w:lineRule="exact"/>
        <w:jc w:val="left"/>
        <w:rPr>
          <w:rFonts w:ascii="宋体" w:hAnsi="宋体" w:cs="宋体" w:eastAsia="宋体" w:hint="default"/>
          <w:sz w:val="21"/>
          <w:szCs w:val="21"/>
        </w:rPr>
        <w:sectPr>
          <w:pgSz w:w="11900" w:h="16840"/>
          <w:pgMar w:header="874" w:footer="983" w:top="1040" w:bottom="1180" w:left="1660" w:right="1560"/>
        </w:sectPr>
      </w:pPr>
    </w:p>
    <w:p>
      <w:pPr>
        <w:spacing w:line="240" w:lineRule="auto" w:before="0"/>
        <w:rPr>
          <w:rFonts w:ascii="宋体" w:hAnsi="宋体" w:cs="宋体" w:eastAsia="宋体" w:hint="default"/>
          <w:b/>
          <w:bCs/>
          <w:sz w:val="20"/>
          <w:szCs w:val="20"/>
        </w:rPr>
      </w:pPr>
    </w:p>
    <w:p>
      <w:pPr>
        <w:pStyle w:val="Heading3"/>
        <w:spacing w:line="240" w:lineRule="auto" w:before="160"/>
        <w:ind w:right="179"/>
        <w:jc w:val="left"/>
        <w:rPr>
          <w:b w:val="0"/>
          <w:bCs w:val="0"/>
        </w:rPr>
      </w:pPr>
      <w:r>
        <w:rPr/>
        <w:t>5、公司董事、监事、高级管理人员在其他单位的任职情况</w:t>
      </w:r>
      <w:r>
        <w:rPr>
          <w:b w:val="0"/>
          <w:bCs w:val="0"/>
        </w:rPr>
      </w:r>
    </w:p>
    <w:p>
      <w:pPr>
        <w:spacing w:line="240" w:lineRule="auto" w:before="11"/>
        <w:rPr>
          <w:rFonts w:ascii="宋体" w:hAnsi="宋体" w:cs="宋体" w:eastAsia="宋体" w:hint="default"/>
          <w:b/>
          <w:bCs/>
          <w:sz w:val="8"/>
          <w:szCs w:val="8"/>
        </w:rPr>
      </w:pPr>
    </w:p>
    <w:tbl>
      <w:tblPr>
        <w:tblW w:w="0" w:type="auto"/>
        <w:jc w:val="left"/>
        <w:tblInd w:w="130" w:type="dxa"/>
        <w:tblLayout w:type="fixed"/>
        <w:tblCellMar>
          <w:top w:w="0" w:type="dxa"/>
          <w:left w:w="0" w:type="dxa"/>
          <w:bottom w:w="0" w:type="dxa"/>
          <w:right w:w="0" w:type="dxa"/>
        </w:tblCellMar>
        <w:tblLook w:val="01E0"/>
      </w:tblPr>
      <w:tblGrid>
        <w:gridCol w:w="994"/>
        <w:gridCol w:w="1702"/>
        <w:gridCol w:w="3953"/>
        <w:gridCol w:w="1716"/>
      </w:tblGrid>
      <w:tr>
        <w:trPr>
          <w:trHeight w:val="643" w:hRule="exact"/>
        </w:trPr>
        <w:tc>
          <w:tcPr>
            <w:tcW w:w="994"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702"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本公司职务</w:t>
            </w:r>
          </w:p>
        </w:tc>
        <w:tc>
          <w:tcPr>
            <w:tcW w:w="3953"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43"/>
              <w:ind w:left="1125" w:right="0"/>
              <w:jc w:val="left"/>
              <w:rPr>
                <w:rFonts w:ascii="宋体" w:hAnsi="宋体" w:cs="宋体" w:eastAsia="宋体" w:hint="default"/>
                <w:sz w:val="21"/>
                <w:szCs w:val="21"/>
              </w:rPr>
            </w:pPr>
            <w:r>
              <w:rPr>
                <w:rFonts w:ascii="宋体" w:hAnsi="宋体" w:cs="宋体" w:eastAsia="宋体" w:hint="default"/>
                <w:sz w:val="21"/>
                <w:szCs w:val="21"/>
              </w:rPr>
              <w:t>其他单位任职情况</w:t>
            </w:r>
          </w:p>
        </w:tc>
        <w:tc>
          <w:tcPr>
            <w:tcW w:w="1716" w:type="dxa"/>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73" w:lineRule="auto"/>
              <w:ind w:left="321" w:right="108" w:hanging="209"/>
              <w:jc w:val="left"/>
              <w:rPr>
                <w:rFonts w:ascii="宋体" w:hAnsi="宋体" w:cs="宋体" w:eastAsia="宋体" w:hint="default"/>
                <w:sz w:val="21"/>
                <w:szCs w:val="21"/>
              </w:rPr>
            </w:pPr>
            <w:r>
              <w:rPr>
                <w:rFonts w:ascii="宋体" w:hAnsi="宋体" w:cs="宋体" w:eastAsia="宋体" w:hint="default"/>
                <w:sz w:val="21"/>
                <w:szCs w:val="21"/>
              </w:rPr>
              <w:t>兼职单位与公司</w:t>
            </w:r>
            <w:r>
              <w:rPr>
                <w:rFonts w:ascii="宋体" w:hAnsi="宋体" w:cs="宋体" w:eastAsia="宋体" w:hint="default"/>
                <w:w w:val="100"/>
                <w:sz w:val="21"/>
                <w:szCs w:val="21"/>
              </w:rPr>
              <w:t> </w:t>
            </w:r>
            <w:r>
              <w:rPr>
                <w:rFonts w:ascii="宋体" w:hAnsi="宋体" w:cs="宋体" w:eastAsia="宋体" w:hint="default"/>
                <w:sz w:val="21"/>
                <w:szCs w:val="21"/>
              </w:rPr>
              <w:t>的关联关系</w:t>
            </w:r>
          </w:p>
        </w:tc>
      </w:tr>
      <w:tr>
        <w:trPr>
          <w:trHeight w:val="958" w:hRule="exact"/>
        </w:trPr>
        <w:tc>
          <w:tcPr>
            <w:tcW w:w="99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left="170"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70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73" w:lineRule="auto"/>
              <w:ind w:left="525" w:right="418" w:hanging="106"/>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5" w:right="53"/>
              <w:jc w:val="both"/>
              <w:rPr>
                <w:rFonts w:ascii="宋体" w:hAnsi="宋体" w:cs="宋体" w:eastAsia="宋体" w:hint="default"/>
                <w:sz w:val="21"/>
                <w:szCs w:val="21"/>
              </w:rPr>
            </w:pPr>
            <w:r>
              <w:rPr>
                <w:rFonts w:ascii="宋体" w:hAnsi="宋体" w:cs="宋体" w:eastAsia="宋体" w:hint="default"/>
                <w:spacing w:val="-2"/>
                <w:sz w:val="21"/>
                <w:szCs w:val="21"/>
              </w:rPr>
              <w:t>上海华钟计算机软件开发有限公司董事、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上海海隆宜通信息技术有限公司董事长、</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南京欧亚物流信息系统有限公司董事长</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公司控股子公司</w:t>
            </w:r>
          </w:p>
        </w:tc>
      </w:tr>
      <w:tr>
        <w:trPr>
          <w:trHeight w:val="799" w:hRule="exact"/>
        </w:trPr>
        <w:tc>
          <w:tcPr>
            <w:tcW w:w="994" w:type="dxa"/>
            <w:vMerge/>
            <w:tcBorders>
              <w:left w:val="single" w:sz="8" w:space="0" w:color="000000"/>
              <w:bottom w:val="single" w:sz="8" w:space="0" w:color="000000"/>
              <w:right w:val="single" w:sz="8" w:space="0" w:color="000000"/>
            </w:tcBorders>
          </w:tcPr>
          <w:p>
            <w:pPr/>
          </w:p>
        </w:tc>
        <w:tc>
          <w:tcPr>
            <w:tcW w:w="1702" w:type="dxa"/>
            <w:vMerge/>
            <w:tcBorders>
              <w:left w:val="single" w:sz="8" w:space="0" w:color="000000"/>
              <w:bottom w:val="single" w:sz="8" w:space="0" w:color="000000"/>
              <w:right w:val="single" w:sz="8" w:space="0" w:color="000000"/>
            </w:tcBorders>
          </w:tcPr>
          <w:p>
            <w:pP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before="64"/>
              <w:ind w:left="95" w:right="94"/>
              <w:jc w:val="left"/>
              <w:rPr>
                <w:rFonts w:ascii="宋体" w:hAnsi="宋体" w:cs="宋体" w:eastAsia="宋体" w:hint="default"/>
                <w:sz w:val="21"/>
                <w:szCs w:val="21"/>
              </w:rPr>
            </w:pPr>
            <w:r>
              <w:rPr>
                <w:rFonts w:ascii="宋体" w:hAnsi="宋体" w:cs="宋体" w:eastAsia="宋体" w:hint="default"/>
                <w:spacing w:val="-4"/>
                <w:sz w:val="21"/>
                <w:szCs w:val="21"/>
              </w:rPr>
              <w:t>日本海隆株式会社董事长兼总经理、江苏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海隆软件技术有限公司董事长</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公司全资子公司</w:t>
            </w:r>
          </w:p>
        </w:tc>
      </w:tr>
      <w:tr>
        <w:trPr>
          <w:trHeight w:val="643" w:hRule="exact"/>
        </w:trPr>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唐长钧</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5" w:right="94"/>
              <w:jc w:val="left"/>
              <w:rPr>
                <w:rFonts w:ascii="宋体" w:hAnsi="宋体" w:cs="宋体" w:eastAsia="宋体" w:hint="default"/>
                <w:sz w:val="21"/>
                <w:szCs w:val="21"/>
              </w:rPr>
            </w:pPr>
            <w:r>
              <w:rPr>
                <w:rFonts w:ascii="宋体" w:hAnsi="宋体" w:cs="宋体" w:eastAsia="宋体" w:hint="default"/>
                <w:spacing w:val="7"/>
                <w:sz w:val="21"/>
                <w:szCs w:val="21"/>
              </w:rPr>
              <w:t>上海华钟计算机软件开发有限公司副董</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事长</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公司控股子公司</w:t>
            </w:r>
          </w:p>
        </w:tc>
      </w:tr>
      <w:tr>
        <w:trPr>
          <w:trHeight w:val="334" w:hRule="exact"/>
        </w:trPr>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朱玉旭</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5" w:right="0"/>
              <w:jc w:val="left"/>
              <w:rPr>
                <w:rFonts w:ascii="宋体" w:hAnsi="宋体" w:cs="宋体" w:eastAsia="宋体" w:hint="default"/>
                <w:sz w:val="21"/>
                <w:szCs w:val="21"/>
              </w:rPr>
            </w:pPr>
            <w:r>
              <w:rPr>
                <w:rFonts w:ascii="宋体" w:hAnsi="宋体" w:cs="宋体" w:eastAsia="宋体" w:hint="default"/>
                <w:sz w:val="21"/>
                <w:szCs w:val="21"/>
              </w:rPr>
              <w:t>交大产业集团总会计师</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643" w:hRule="exact"/>
        </w:trPr>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何积丰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5" w:right="1102"/>
              <w:jc w:val="left"/>
              <w:rPr>
                <w:rFonts w:ascii="宋体" w:hAnsi="宋体" w:cs="宋体" w:eastAsia="宋体" w:hint="default"/>
                <w:sz w:val="21"/>
                <w:szCs w:val="21"/>
              </w:rPr>
            </w:pPr>
            <w:r>
              <w:rPr>
                <w:rFonts w:ascii="宋体" w:hAnsi="宋体" w:cs="宋体" w:eastAsia="宋体" w:hint="default"/>
                <w:sz w:val="21"/>
                <w:szCs w:val="21"/>
              </w:rPr>
              <w:t>华东师范大学软件学院院长、</w:t>
            </w:r>
            <w:r>
              <w:rPr>
                <w:rFonts w:ascii="宋体" w:hAnsi="宋体" w:cs="宋体" w:eastAsia="宋体" w:hint="default"/>
                <w:w w:val="100"/>
                <w:sz w:val="21"/>
                <w:szCs w:val="21"/>
              </w:rPr>
              <w:t> </w:t>
            </w:r>
            <w:r>
              <w:rPr>
                <w:rFonts w:ascii="宋体" w:hAnsi="宋体" w:cs="宋体" w:eastAsia="宋体" w:hint="default"/>
                <w:sz w:val="21"/>
                <w:szCs w:val="21"/>
              </w:rPr>
              <w:t>博士生导师</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955" w:hRule="exact"/>
        </w:trPr>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陈乐波</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5" w:right="94"/>
              <w:jc w:val="both"/>
              <w:rPr>
                <w:rFonts w:ascii="宋体" w:hAnsi="宋体" w:cs="宋体" w:eastAsia="宋体" w:hint="default"/>
                <w:sz w:val="21"/>
                <w:szCs w:val="21"/>
              </w:rPr>
            </w:pPr>
            <w:r>
              <w:rPr>
                <w:rFonts w:ascii="宋体" w:hAnsi="宋体" w:cs="宋体" w:eastAsia="宋体" w:hint="default"/>
                <w:spacing w:val="-4"/>
                <w:sz w:val="21"/>
                <w:szCs w:val="21"/>
              </w:rPr>
              <w:t>上海特能市场推广有限公司董事、昆明百</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货大楼股份有限公司独立董事、上海恒劲</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动力科技有限公司独立董事</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576" w:hRule="exact"/>
        </w:trPr>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高美萍</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5" w:right="0"/>
              <w:jc w:val="left"/>
              <w:rPr>
                <w:rFonts w:ascii="宋体" w:hAnsi="宋体" w:cs="宋体" w:eastAsia="宋体" w:hint="default"/>
                <w:sz w:val="21"/>
                <w:szCs w:val="21"/>
              </w:rPr>
            </w:pPr>
            <w:r>
              <w:rPr>
                <w:rFonts w:ascii="宋体" w:hAnsi="宋体" w:cs="宋体" w:eastAsia="宋体" w:hint="default"/>
                <w:sz w:val="21"/>
                <w:szCs w:val="21"/>
              </w:rPr>
              <w:t>上海汇青会计师事务所项目经理</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636" w:hRule="exact"/>
        </w:trPr>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梁恭杰</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95" w:right="0"/>
              <w:jc w:val="left"/>
              <w:rPr>
                <w:rFonts w:ascii="宋体" w:hAnsi="宋体" w:cs="宋体" w:eastAsia="宋体" w:hint="default"/>
                <w:sz w:val="21"/>
                <w:szCs w:val="21"/>
              </w:rPr>
            </w:pPr>
            <w:r>
              <w:rPr>
                <w:rFonts w:ascii="宋体" w:hAnsi="宋体" w:cs="宋体" w:eastAsia="宋体" w:hint="default"/>
                <w:sz w:val="21"/>
                <w:szCs w:val="21"/>
              </w:rPr>
              <w:t>上海世博网络信息服务有限公司董事长。</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98" w:right="0"/>
              <w:jc w:val="left"/>
              <w:rPr>
                <w:rFonts w:ascii="宋体" w:hAnsi="宋体" w:cs="宋体" w:eastAsia="宋体" w:hint="default"/>
                <w:sz w:val="21"/>
                <w:szCs w:val="21"/>
              </w:rPr>
            </w:pPr>
            <w:r>
              <w:rPr>
                <w:rFonts w:ascii="宋体" w:hAnsi="宋体" w:cs="宋体" w:eastAsia="宋体" w:hint="default"/>
                <w:sz w:val="21"/>
                <w:szCs w:val="21"/>
              </w:rPr>
              <w:t>无关联关系</w:t>
            </w:r>
          </w:p>
        </w:tc>
      </w:tr>
      <w:tr>
        <w:trPr>
          <w:trHeight w:val="645" w:hRule="exact"/>
        </w:trPr>
        <w:tc>
          <w:tcPr>
            <w:tcW w:w="9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0"/>
              <w:jc w:val="center"/>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spacing w:val="2"/>
                <w:sz w:val="21"/>
                <w:szCs w:val="21"/>
              </w:rPr>
              <w:t> </w:t>
            </w:r>
            <w:r>
              <w:rPr>
                <w:rFonts w:ascii="宋体" w:hAnsi="宋体" w:cs="宋体" w:eastAsia="宋体" w:hint="default"/>
                <w:sz w:val="21"/>
                <w:szCs w:val="21"/>
              </w:rPr>
              <w:t>静</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314" w:right="312" w:firstLine="105"/>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w w:val="100"/>
                <w:sz w:val="21"/>
                <w:szCs w:val="21"/>
              </w:rPr>
              <w:t> </w:t>
            </w:r>
            <w:r>
              <w:rPr>
                <w:rFonts w:ascii="宋体" w:hAnsi="宋体" w:cs="宋体" w:eastAsia="宋体" w:hint="default"/>
                <w:sz w:val="21"/>
                <w:szCs w:val="21"/>
              </w:rPr>
              <w:t>董事会秘书</w:t>
            </w:r>
          </w:p>
        </w:tc>
        <w:tc>
          <w:tcPr>
            <w:tcW w:w="39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95" w:right="0"/>
              <w:jc w:val="left"/>
              <w:rPr>
                <w:rFonts w:ascii="宋体" w:hAnsi="宋体" w:cs="宋体" w:eastAsia="宋体" w:hint="default"/>
                <w:sz w:val="21"/>
                <w:szCs w:val="21"/>
              </w:rPr>
            </w:pPr>
            <w:r>
              <w:rPr>
                <w:rFonts w:ascii="宋体" w:hAnsi="宋体" w:cs="宋体" w:eastAsia="宋体" w:hint="default"/>
                <w:sz w:val="21"/>
                <w:szCs w:val="21"/>
              </w:rPr>
              <w:t>南京欧亚物流信息系统有限公司董事</w:t>
            </w:r>
          </w:p>
        </w:tc>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98" w:right="0"/>
              <w:jc w:val="left"/>
              <w:rPr>
                <w:rFonts w:ascii="宋体" w:hAnsi="宋体" w:cs="宋体" w:eastAsia="宋体" w:hint="default"/>
                <w:sz w:val="21"/>
                <w:szCs w:val="21"/>
              </w:rPr>
            </w:pPr>
            <w:r>
              <w:rPr>
                <w:rFonts w:ascii="宋体" w:hAnsi="宋体" w:cs="宋体" w:eastAsia="宋体" w:hint="default"/>
                <w:sz w:val="21"/>
                <w:szCs w:val="21"/>
              </w:rPr>
              <w:t>公司控股子公司</w:t>
            </w:r>
          </w:p>
        </w:tc>
      </w:tr>
    </w:tbl>
    <w:p>
      <w:pPr>
        <w:spacing w:line="262"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注：南京欧亚物流信息系统有限公司已于</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z w:val="21"/>
          <w:szCs w:val="21"/>
        </w:rPr>
        <w:t>日实行清算，并于</w:t>
      </w:r>
      <w:r>
        <w:rPr>
          <w:rFonts w:ascii="宋体" w:hAnsi="宋体" w:cs="宋体" w:eastAsia="宋体" w:hint="default"/>
          <w:spacing w:val="-41"/>
          <w:sz w:val="21"/>
          <w:szCs w:val="21"/>
        </w:rPr>
        <w:t> </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p>
    <w:p>
      <w:pPr>
        <w:spacing w:line="273" w:lineRule="auto" w:before="37"/>
        <w:ind w:left="140" w:right="189" w:firstLine="0"/>
        <w:jc w:val="both"/>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44"/>
          <w:sz w:val="21"/>
          <w:szCs w:val="21"/>
        </w:rPr>
        <w:t> </w:t>
      </w:r>
      <w:r>
        <w:rPr>
          <w:rFonts w:ascii="宋体" w:hAnsi="宋体" w:cs="宋体" w:eastAsia="宋体" w:hint="default"/>
          <w:sz w:val="21"/>
          <w:szCs w:val="21"/>
        </w:rPr>
        <w:t>日完成工商注销登记（公告编号：2011-001，详见</w:t>
      </w:r>
      <w:r>
        <w:rPr>
          <w:rFonts w:ascii="宋体" w:hAnsi="宋体" w:cs="宋体" w:eastAsia="宋体" w:hint="default"/>
          <w:spacing w:val="-44"/>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15</w:t>
      </w:r>
      <w:r>
        <w:rPr>
          <w:rFonts w:ascii="宋体" w:hAnsi="宋体" w:cs="宋体" w:eastAsia="宋体" w:hint="default"/>
          <w:spacing w:val="-46"/>
          <w:sz w:val="21"/>
          <w:szCs w:val="21"/>
        </w:rPr>
        <w:t> </w:t>
      </w:r>
      <w:r>
        <w:rPr>
          <w:rFonts w:ascii="宋体" w:hAnsi="宋体" w:cs="宋体" w:eastAsia="宋体" w:hint="default"/>
          <w:sz w:val="21"/>
          <w:szCs w:val="21"/>
        </w:rPr>
        <w:t>日《中国证券报》及</w:t>
      </w:r>
      <w:r>
        <w:rPr>
          <w:rFonts w:ascii="宋体" w:hAnsi="宋体" w:cs="宋体" w:eastAsia="宋体" w:hint="default"/>
          <w:w w:val="100"/>
          <w:sz w:val="21"/>
          <w:szCs w:val="21"/>
        </w:rPr>
        <w:t> </w:t>
      </w:r>
      <w:r>
        <w:rPr>
          <w:rFonts w:ascii="宋体" w:hAnsi="宋体" w:cs="宋体" w:eastAsia="宋体" w:hint="default"/>
          <w:sz w:val="21"/>
          <w:szCs w:val="21"/>
        </w:rPr>
        <w:t>巨潮资讯网</w:t>
      </w:r>
      <w:r>
        <w:rPr>
          <w:rFonts w:ascii="宋体" w:hAnsi="宋体" w:cs="宋体" w:eastAsia="宋体" w:hint="default"/>
          <w:spacing w:val="-57"/>
          <w:sz w:val="21"/>
          <w:szCs w:val="21"/>
        </w:rPr>
        <w:t> </w:t>
      </w:r>
      <w:r>
        <w:rPr>
          <w:rFonts w:ascii="宋体" w:hAnsi="宋体" w:cs="宋体" w:eastAsia="宋体" w:hint="default"/>
          <w:color w:val="0000FF"/>
          <w:spacing w:val="-57"/>
          <w:sz w:val="21"/>
          <w:szCs w:val="21"/>
        </w:rPr>
      </w:r>
      <w:hyperlink r:id="rId9">
        <w:r>
          <w:rPr>
            <w:rFonts w:ascii="宋体" w:hAnsi="宋体" w:cs="宋体" w:eastAsia="宋体" w:hint="default"/>
            <w:color w:val="0000FF"/>
            <w:sz w:val="21"/>
            <w:szCs w:val="21"/>
            <w:u w:val="single" w:color="0000FF"/>
          </w:rPr>
          <w:t>http://www.cninfo.com.cn</w:t>
        </w:r>
        <w:r>
          <w:rPr>
            <w:rFonts w:ascii="宋体" w:hAnsi="宋体" w:cs="宋体" w:eastAsia="宋体" w:hint="default"/>
            <w:color w:val="0000FF"/>
            <w:sz w:val="21"/>
            <w:szCs w:val="21"/>
          </w:rPr>
        </w:r>
      </w:hyperlink>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57" w:lineRule="auto" w:before="0"/>
        <w:ind w:left="740" w:right="179" w:hanging="600"/>
        <w:jc w:val="left"/>
        <w:rPr>
          <w:rFonts w:ascii="宋体" w:hAnsi="宋体" w:cs="宋体" w:eastAsia="宋体" w:hint="default"/>
          <w:sz w:val="24"/>
          <w:szCs w:val="24"/>
        </w:rPr>
      </w:pPr>
      <w:r>
        <w:rPr>
          <w:rFonts w:ascii="宋体" w:hAnsi="宋体" w:cs="宋体" w:eastAsia="宋体" w:hint="default"/>
          <w:b/>
          <w:bCs/>
          <w:sz w:val="24"/>
          <w:szCs w:val="24"/>
        </w:rPr>
        <w:t>（三）报告期内公司董事、监事和高级管理人员变动情况</w:t>
      </w:r>
      <w:r>
        <w:rPr>
          <w:rFonts w:ascii="宋体" w:hAnsi="宋体" w:cs="宋体" w:eastAsia="宋体" w:hint="default"/>
          <w:b/>
          <w:bCs/>
          <w:w w:val="99"/>
          <w:sz w:val="24"/>
          <w:szCs w:val="24"/>
        </w:rPr>
        <w:t> </w:t>
      </w:r>
      <w:r>
        <w:rPr>
          <w:rFonts w:ascii="宋体" w:hAnsi="宋体" w:cs="宋体" w:eastAsia="宋体" w:hint="default"/>
          <w:spacing w:val="-3"/>
          <w:sz w:val="24"/>
          <w:szCs w:val="24"/>
        </w:rPr>
        <w:t>1、报告期内，公司第三届董事会届满换届。独立董事干春晖先生因连续六</w:t>
      </w:r>
    </w:p>
    <w:p>
      <w:pPr>
        <w:pStyle w:val="BodyText"/>
        <w:spacing w:line="357" w:lineRule="auto"/>
        <w:ind w:right="191"/>
        <w:jc w:val="both"/>
      </w:pPr>
      <w:r>
        <w:rPr/>
        <w:t>年担任公司独立董事，不再连任。2010</w:t>
      </w:r>
      <w:r>
        <w:rPr>
          <w:spacing w:val="-68"/>
        </w:rPr>
        <w:t> </w:t>
      </w:r>
      <w:r>
        <w:rPr/>
        <w:t>年</w:t>
      </w:r>
      <w:r>
        <w:rPr>
          <w:spacing w:val="-68"/>
        </w:rPr>
        <w:t> </w:t>
      </w:r>
      <w:r>
        <w:rPr/>
        <w:t>4</w:t>
      </w:r>
      <w:r>
        <w:rPr>
          <w:spacing w:val="-68"/>
        </w:rPr>
        <w:t> </w:t>
      </w:r>
      <w:r>
        <w:rPr/>
        <w:t>月</w:t>
      </w:r>
      <w:r>
        <w:rPr>
          <w:spacing w:val="-68"/>
        </w:rPr>
        <w:t> </w:t>
      </w:r>
      <w:r>
        <w:rPr/>
        <w:t>12</w:t>
      </w:r>
      <w:r>
        <w:rPr>
          <w:spacing w:val="-68"/>
        </w:rPr>
        <w:t> </w:t>
      </w:r>
      <w:r>
        <w:rPr/>
        <w:t>日，公司召开第三届董事会第</w:t>
      </w:r>
      <w:r>
        <w:rPr/>
        <w:t> </w:t>
      </w:r>
      <w:r>
        <w:rPr>
          <w:spacing w:val="-3"/>
        </w:rPr>
        <w:t>二十二次会议，审议通过了《关于公司董事会换届选举及第四届董事会候选人审</w:t>
      </w:r>
      <w:r>
        <w:rPr>
          <w:spacing w:val="-111"/>
        </w:rPr>
        <w:t> </w:t>
      </w:r>
      <w:r>
        <w:rPr>
          <w:spacing w:val="-111"/>
        </w:rPr>
      </w:r>
      <w:r>
        <w:rPr>
          <w:spacing w:val="-3"/>
        </w:rPr>
        <w:t>核推荐的议案》，推荐包叔平先生、唐长钧先生、潘世雷先生、陆庆先生、朱玉</w:t>
      </w:r>
      <w:r>
        <w:rPr>
          <w:spacing w:val="-118"/>
        </w:rPr>
        <w:t> </w:t>
      </w:r>
      <w:r>
        <w:rPr>
          <w:spacing w:val="-118"/>
        </w:rPr>
      </w:r>
      <w:r>
        <w:rPr>
          <w:spacing w:val="-3"/>
        </w:rPr>
        <w:t>旭先生、张怡方女士为第四届董事会非独立董事候选人；何积丰先生、陈乐波先</w:t>
      </w:r>
      <w:r>
        <w:rPr>
          <w:spacing w:val="-111"/>
        </w:rPr>
        <w:t> </w:t>
      </w:r>
      <w:r>
        <w:rPr>
          <w:spacing w:val="-111"/>
        </w:rPr>
      </w:r>
      <w:r>
        <w:rPr/>
        <w:t>生、高美萍女士为第四届董事会独立董事候选人。</w:t>
      </w:r>
    </w:p>
    <w:p>
      <w:pPr>
        <w:pStyle w:val="BodyText"/>
        <w:spacing w:line="240" w:lineRule="auto"/>
        <w:ind w:left="620" w:right="0"/>
        <w:jc w:val="left"/>
      </w:pPr>
      <w:r>
        <w:rPr/>
        <w:t>2、2010</w:t>
      </w:r>
      <w:r>
        <w:rPr>
          <w:spacing w:val="-44"/>
        </w:rPr>
        <w:t> </w:t>
      </w:r>
      <w:r>
        <w:rPr/>
        <w:t>年</w:t>
      </w:r>
      <w:r>
        <w:rPr>
          <w:spacing w:val="-44"/>
        </w:rPr>
        <w:t> </w:t>
      </w:r>
      <w:r>
        <w:rPr/>
        <w:t>4</w:t>
      </w:r>
      <w:r>
        <w:rPr>
          <w:spacing w:val="-44"/>
        </w:rPr>
        <w:t> </w:t>
      </w:r>
      <w:r>
        <w:rPr/>
        <w:t>月</w:t>
      </w:r>
      <w:r>
        <w:rPr>
          <w:spacing w:val="-44"/>
        </w:rPr>
        <w:t> </w:t>
      </w:r>
      <w:r>
        <w:rPr/>
        <w:t>12</w:t>
      </w:r>
      <w:r>
        <w:rPr>
          <w:spacing w:val="-44"/>
        </w:rPr>
        <w:t> </w:t>
      </w:r>
      <w:r>
        <w:rPr/>
        <w:t>日，公司召开第三届监事会第十三次会议，审议通过了</w:t>
      </w:r>
    </w:p>
    <w:p>
      <w:pPr>
        <w:pStyle w:val="BodyText"/>
        <w:spacing w:line="357" w:lineRule="auto" w:before="154"/>
        <w:ind w:right="196"/>
        <w:jc w:val="both"/>
      </w:pPr>
      <w:r>
        <w:rPr>
          <w:spacing w:val="-3"/>
        </w:rPr>
        <w:t>《公司监事会换届选举及第四届监事会候选人审核推荐议案》，推荐周颖先生、</w:t>
      </w:r>
      <w:r>
        <w:rPr>
          <w:spacing w:val="-118"/>
        </w:rPr>
        <w:t> </w:t>
      </w:r>
      <w:r>
        <w:rPr>
          <w:spacing w:val="-118"/>
        </w:rPr>
      </w:r>
      <w:r>
        <w:rPr/>
        <w:t>梁恭杰先生为公司第四届监事会非职工代表监事候选人。</w:t>
      </w:r>
    </w:p>
    <w:p>
      <w:pPr>
        <w:pStyle w:val="BodyText"/>
        <w:spacing w:line="240" w:lineRule="auto"/>
        <w:ind w:left="620" w:right="0"/>
        <w:jc w:val="left"/>
      </w:pPr>
      <w:r>
        <w:rPr/>
        <w:t>3、2010</w:t>
      </w:r>
      <w:r>
        <w:rPr>
          <w:spacing w:val="-44"/>
        </w:rPr>
        <w:t> </w:t>
      </w:r>
      <w:r>
        <w:rPr/>
        <w:t>年</w:t>
      </w:r>
      <w:r>
        <w:rPr>
          <w:spacing w:val="-44"/>
        </w:rPr>
        <w:t> </w:t>
      </w:r>
      <w:r>
        <w:rPr/>
        <w:t>4</w:t>
      </w:r>
      <w:r>
        <w:rPr>
          <w:spacing w:val="-44"/>
        </w:rPr>
        <w:t> </w:t>
      </w:r>
      <w:r>
        <w:rPr/>
        <w:t>月</w:t>
      </w:r>
      <w:r>
        <w:rPr>
          <w:spacing w:val="-44"/>
        </w:rPr>
        <w:t> </w:t>
      </w:r>
      <w:r>
        <w:rPr/>
        <w:t>12</w:t>
      </w:r>
      <w:r>
        <w:rPr>
          <w:spacing w:val="-44"/>
        </w:rPr>
        <w:t> </w:t>
      </w:r>
      <w:r>
        <w:rPr/>
        <w:t>日，经公司全体职工网络投票，一致同意选举王彬先生</w:t>
      </w:r>
    </w:p>
    <w:p>
      <w:pPr>
        <w:spacing w:after="0" w:line="240" w:lineRule="auto"/>
        <w:jc w:val="left"/>
        <w:sectPr>
          <w:pgSz w:w="11900" w:h="16840"/>
          <w:pgMar w:header="874" w:footer="983" w:top="1040" w:bottom="1180" w:left="1660" w:right="1600"/>
        </w:sectPr>
      </w:pPr>
    </w:p>
    <w:p>
      <w:pPr>
        <w:spacing w:line="240" w:lineRule="auto" w:before="0"/>
        <w:rPr>
          <w:rFonts w:ascii="宋体" w:hAnsi="宋体" w:cs="宋体" w:eastAsia="宋体" w:hint="default"/>
          <w:sz w:val="20"/>
          <w:szCs w:val="20"/>
        </w:rPr>
      </w:pPr>
    </w:p>
    <w:p>
      <w:pPr>
        <w:pStyle w:val="BodyText"/>
        <w:spacing w:line="240" w:lineRule="auto" w:before="160"/>
        <w:ind w:right="0"/>
        <w:jc w:val="both"/>
      </w:pPr>
      <w:r>
        <w:rPr/>
        <w:t>为第四届监事会职工监事。</w:t>
      </w:r>
    </w:p>
    <w:p>
      <w:pPr>
        <w:pStyle w:val="BodyText"/>
        <w:spacing w:line="240" w:lineRule="auto" w:before="154"/>
        <w:ind w:left="620" w:right="100"/>
        <w:jc w:val="left"/>
      </w:pPr>
      <w:r>
        <w:rPr/>
        <w:t>4、2010</w:t>
      </w:r>
      <w:r>
        <w:rPr>
          <w:spacing w:val="-63"/>
        </w:rPr>
        <w:t> </w:t>
      </w:r>
      <w:r>
        <w:rPr/>
        <w:t>年</w:t>
      </w:r>
      <w:r>
        <w:rPr>
          <w:spacing w:val="-63"/>
        </w:rPr>
        <w:t> </w:t>
      </w:r>
      <w:r>
        <w:rPr/>
        <w:t>5</w:t>
      </w:r>
      <w:r>
        <w:rPr>
          <w:spacing w:val="-63"/>
        </w:rPr>
        <w:t> </w:t>
      </w:r>
      <w:r>
        <w:rPr/>
        <w:t>月</w:t>
      </w:r>
      <w:r>
        <w:rPr>
          <w:spacing w:val="-63"/>
        </w:rPr>
        <w:t> </w:t>
      </w:r>
      <w:r>
        <w:rPr/>
        <w:t>12</w:t>
      </w:r>
      <w:r>
        <w:rPr>
          <w:spacing w:val="-63"/>
        </w:rPr>
        <w:t> </w:t>
      </w:r>
      <w:r>
        <w:rPr>
          <w:spacing w:val="-3"/>
        </w:rPr>
        <w:t>日，经公司</w:t>
      </w:r>
      <w:r>
        <w:rPr>
          <w:spacing w:val="-63"/>
        </w:rPr>
        <w:t> </w:t>
      </w:r>
      <w:r>
        <w:rPr/>
        <w:t>2009</w:t>
      </w:r>
      <w:r>
        <w:rPr>
          <w:spacing w:val="-63"/>
        </w:rPr>
        <w:t> </w:t>
      </w:r>
      <w:r>
        <w:rPr/>
        <w:t>年度股东大会表决通过，选举包叔平先</w:t>
      </w:r>
    </w:p>
    <w:p>
      <w:pPr>
        <w:pStyle w:val="BodyText"/>
        <w:spacing w:line="240" w:lineRule="auto" w:before="154"/>
        <w:ind w:right="0"/>
        <w:jc w:val="both"/>
      </w:pPr>
      <w:r>
        <w:rPr>
          <w:spacing w:val="-4"/>
        </w:rPr>
        <w:t>生、唐长钧先生、潘世雷先生、陆庆先生、朱玉旭先生、张怡方女士等 </w:t>
      </w:r>
      <w:r>
        <w:rPr/>
        <w:t>6</w:t>
      </w:r>
      <w:r>
        <w:rPr>
          <w:spacing w:val="-92"/>
        </w:rPr>
        <w:t> </w:t>
      </w:r>
      <w:r>
        <w:rPr/>
        <w:t>人为公</w:t>
      </w:r>
    </w:p>
    <w:p>
      <w:pPr>
        <w:pStyle w:val="BodyText"/>
        <w:spacing w:line="357" w:lineRule="auto" w:before="154"/>
        <w:ind w:right="209"/>
        <w:jc w:val="both"/>
      </w:pPr>
      <w:r>
        <w:rPr>
          <w:spacing w:val="3"/>
        </w:rPr>
        <w:t>司第四届董事会非独立董事；选举何积丰先生、陈乐波先生、高美萍女士等</w:t>
      </w:r>
      <w:r>
        <w:rPr>
          <w:spacing w:val="20"/>
        </w:rPr>
        <w:t> </w:t>
      </w:r>
      <w:r>
        <w:rPr/>
        <w:t>3</w:t>
      </w:r>
      <w:r>
        <w:rPr>
          <w:spacing w:val="-116"/>
        </w:rPr>
        <w:t> </w:t>
      </w:r>
      <w:r>
        <w:rPr>
          <w:spacing w:val="-116"/>
        </w:rPr>
      </w:r>
      <w:r>
        <w:rPr>
          <w:spacing w:val="-3"/>
        </w:rPr>
        <w:t>人为公司第四届董事会独立董事；选举周颖先生、梁恭杰先生为公司第四届监事</w:t>
      </w:r>
      <w:r>
        <w:rPr>
          <w:spacing w:val="-111"/>
        </w:rPr>
        <w:t> </w:t>
      </w:r>
      <w:r>
        <w:rPr>
          <w:spacing w:val="-111"/>
        </w:rPr>
      </w:r>
      <w:r>
        <w:rPr/>
        <w:t>会非职工代表监事，与职工监事王彬先生共同组成公司第四届监事会。</w:t>
      </w:r>
    </w:p>
    <w:p>
      <w:pPr>
        <w:pStyle w:val="BodyText"/>
        <w:spacing w:line="357" w:lineRule="auto"/>
        <w:ind w:right="100" w:firstLine="480"/>
        <w:jc w:val="left"/>
      </w:pPr>
      <w:r>
        <w:rPr/>
        <w:t>5、2010</w:t>
      </w:r>
      <w:r>
        <w:rPr>
          <w:spacing w:val="-44"/>
        </w:rPr>
        <w:t> </w:t>
      </w:r>
      <w:r>
        <w:rPr/>
        <w:t>年</w:t>
      </w:r>
      <w:r>
        <w:rPr>
          <w:spacing w:val="-44"/>
        </w:rPr>
        <w:t> </w:t>
      </w:r>
      <w:r>
        <w:rPr/>
        <w:t>5</w:t>
      </w:r>
      <w:r>
        <w:rPr>
          <w:spacing w:val="-44"/>
        </w:rPr>
        <w:t> </w:t>
      </w:r>
      <w:r>
        <w:rPr/>
        <w:t>月</w:t>
      </w:r>
      <w:r>
        <w:rPr>
          <w:spacing w:val="-44"/>
        </w:rPr>
        <w:t> </w:t>
      </w:r>
      <w:r>
        <w:rPr/>
        <w:t>12</w:t>
      </w:r>
      <w:r>
        <w:rPr>
          <w:spacing w:val="-44"/>
        </w:rPr>
        <w:t> </w:t>
      </w:r>
      <w:r>
        <w:rPr/>
        <w:t>日，公司召开第四届董事会第一次会议，选举包叔平先</w:t>
      </w:r>
      <w:r>
        <w:rPr/>
        <w:t> 生为公司第四届董事会董事长、选举唐长钧先生为公司第四届董事会副董事长。 </w:t>
      </w:r>
      <w:r>
        <w:rPr>
          <w:spacing w:val="-3"/>
        </w:rPr>
        <w:t>聘任包叔平先生为公司总经理，聘任潘世雷先生、陆庆先生为公司副总经理，聘</w:t>
      </w:r>
      <w:r>
        <w:rPr>
          <w:spacing w:val="-111"/>
        </w:rPr>
        <w:t> </w:t>
      </w:r>
      <w:r>
        <w:rPr>
          <w:spacing w:val="-111"/>
        </w:rPr>
      </w:r>
      <w:r>
        <w:rPr/>
        <w:t>任董樑先生为公司财务负责人。</w:t>
      </w:r>
    </w:p>
    <w:p>
      <w:pPr>
        <w:pStyle w:val="BodyText"/>
        <w:spacing w:line="357" w:lineRule="auto"/>
        <w:ind w:right="200" w:firstLine="480"/>
        <w:jc w:val="left"/>
      </w:pPr>
      <w:r>
        <w:rPr/>
        <w:t>6、2010</w:t>
      </w:r>
      <w:r>
        <w:rPr>
          <w:spacing w:val="-44"/>
        </w:rPr>
        <w:t> </w:t>
      </w:r>
      <w:r>
        <w:rPr/>
        <w:t>年</w:t>
      </w:r>
      <w:r>
        <w:rPr>
          <w:spacing w:val="-44"/>
        </w:rPr>
        <w:t> </w:t>
      </w:r>
      <w:r>
        <w:rPr/>
        <w:t>5</w:t>
      </w:r>
      <w:r>
        <w:rPr>
          <w:spacing w:val="-44"/>
        </w:rPr>
        <w:t> </w:t>
      </w:r>
      <w:r>
        <w:rPr/>
        <w:t>月</w:t>
      </w:r>
      <w:r>
        <w:rPr>
          <w:spacing w:val="-44"/>
        </w:rPr>
        <w:t> </w:t>
      </w:r>
      <w:r>
        <w:rPr/>
        <w:t>12</w:t>
      </w:r>
      <w:r>
        <w:rPr>
          <w:spacing w:val="-44"/>
        </w:rPr>
        <w:t> </w:t>
      </w:r>
      <w:r>
        <w:rPr/>
        <w:t>日，公司召开第四届监事会第一次会议，选举周颖先生</w:t>
      </w:r>
      <w:r>
        <w:rPr/>
        <w:t> 为公司第四届监事会主席。</w:t>
      </w:r>
    </w:p>
    <w:p>
      <w:pPr>
        <w:spacing w:line="240" w:lineRule="auto" w:before="0"/>
        <w:rPr>
          <w:rFonts w:ascii="宋体" w:hAnsi="宋体" w:cs="宋体" w:eastAsia="宋体" w:hint="default"/>
          <w:sz w:val="24"/>
          <w:szCs w:val="24"/>
        </w:rPr>
      </w:pPr>
    </w:p>
    <w:p>
      <w:pPr>
        <w:pStyle w:val="Heading3"/>
        <w:spacing w:line="240" w:lineRule="auto" w:before="190"/>
        <w:ind w:right="0"/>
        <w:jc w:val="both"/>
        <w:rPr>
          <w:b w:val="0"/>
          <w:bCs w:val="0"/>
        </w:rPr>
      </w:pPr>
      <w:r>
        <w:rPr/>
        <w:t>二、公司员工情况</w:t>
      </w:r>
      <w:r>
        <w:rPr>
          <w:b w:val="0"/>
          <w:bCs w:val="0"/>
        </w:rPr>
      </w:r>
    </w:p>
    <w:p>
      <w:pPr>
        <w:pStyle w:val="BodyText"/>
        <w:spacing w:line="357" w:lineRule="auto" w:before="154"/>
        <w:ind w:right="196" w:firstLine="432"/>
        <w:jc w:val="left"/>
      </w:pPr>
      <w:r>
        <w:rPr/>
        <w:t>截至报告期末，公司员工总数为</w:t>
      </w:r>
      <w:r>
        <w:rPr>
          <w:spacing w:val="-84"/>
        </w:rPr>
        <w:t> </w:t>
      </w:r>
      <w:r>
        <w:rPr/>
        <w:t>1,015</w:t>
      </w:r>
      <w:r>
        <w:rPr>
          <w:spacing w:val="-84"/>
        </w:rPr>
        <w:t> </w:t>
      </w:r>
      <w:r>
        <w:rPr/>
        <w:t>人，公司没有需要承担费用的离退休</w:t>
      </w:r>
      <w:r>
        <w:rPr/>
        <w:t> 职工。</w:t>
      </w:r>
    </w:p>
    <w:p>
      <w:pPr>
        <w:spacing w:line="240" w:lineRule="auto" w:before="0"/>
        <w:rPr>
          <w:rFonts w:ascii="宋体" w:hAnsi="宋体" w:cs="宋体" w:eastAsia="宋体" w:hint="default"/>
          <w:sz w:val="24"/>
          <w:szCs w:val="24"/>
        </w:rPr>
      </w:pPr>
    </w:p>
    <w:p>
      <w:pPr>
        <w:pStyle w:val="Heading3"/>
        <w:spacing w:line="240" w:lineRule="auto" w:before="190"/>
        <w:ind w:right="0"/>
        <w:jc w:val="both"/>
        <w:rPr>
          <w:b w:val="0"/>
          <w:bCs w:val="0"/>
        </w:rPr>
      </w:pPr>
      <w:r>
        <w:rPr/>
        <w:t>（一）按专业结构分</w:t>
      </w:r>
      <w:r>
        <w:rPr>
          <w:b w:val="0"/>
          <w:bCs w:val="0"/>
        </w:rPr>
      </w:r>
    </w:p>
    <w:p>
      <w:pPr>
        <w:spacing w:line="240" w:lineRule="auto" w:before="11"/>
        <w:rPr>
          <w:rFonts w:ascii="宋体" w:hAnsi="宋体" w:cs="宋体" w:eastAsia="宋体" w:hint="default"/>
          <w:b/>
          <w:bCs/>
          <w:sz w:val="8"/>
          <w:szCs w:val="8"/>
        </w:rPr>
      </w:pPr>
    </w:p>
    <w:tbl>
      <w:tblPr>
        <w:tblW w:w="0" w:type="auto"/>
        <w:jc w:val="left"/>
        <w:tblInd w:w="120" w:type="dxa"/>
        <w:tblLayout w:type="fixed"/>
        <w:tblCellMar>
          <w:top w:w="0" w:type="dxa"/>
          <w:left w:w="0" w:type="dxa"/>
          <w:bottom w:w="0" w:type="dxa"/>
          <w:right w:w="0" w:type="dxa"/>
        </w:tblCellMar>
        <w:tblLook w:val="01E0"/>
      </w:tblPr>
      <w:tblGrid>
        <w:gridCol w:w="3374"/>
        <w:gridCol w:w="2453"/>
        <w:gridCol w:w="2551"/>
      </w:tblGrid>
      <w:tr>
        <w:trPr>
          <w:trHeight w:val="405"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7" w:val="left" w:leader="none"/>
              </w:tabs>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分</w:t>
              <w:tab/>
              <w:t>工</w:t>
            </w:r>
          </w:p>
        </w:tc>
        <w:tc>
          <w:tcPr>
            <w:tcW w:w="24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1"/>
                <w:sz w:val="21"/>
                <w:szCs w:val="21"/>
              </w:rPr>
              <w:t> </w:t>
            </w:r>
            <w:r>
              <w:rPr>
                <w:rFonts w:ascii="宋体" w:hAnsi="宋体" w:cs="宋体" w:eastAsia="宋体" w:hint="default"/>
                <w:sz w:val="21"/>
                <w:szCs w:val="21"/>
              </w:rPr>
              <w:t>数（人）</w:t>
            </w:r>
          </w:p>
        </w:tc>
        <w:tc>
          <w:tcPr>
            <w:tcW w:w="25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所占比例</w:t>
            </w:r>
          </w:p>
        </w:tc>
      </w:tr>
      <w:tr>
        <w:trPr>
          <w:trHeight w:val="350"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41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21"/>
                <w:szCs w:val="21"/>
              </w:rPr>
            </w:pPr>
            <w:r>
              <w:rPr>
                <w:rFonts w:ascii="宋体"/>
                <w:sz w:val="21"/>
              </w:rPr>
              <w:t>4.04%</w:t>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行政、财务、总务人员</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52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5.12%</w:t>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922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90.84%</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ind w:right="100"/>
        <w:jc w:val="left"/>
        <w:rPr>
          <w:b w:val="0"/>
          <w:bCs w:val="0"/>
        </w:rPr>
      </w:pPr>
      <w:r>
        <w:rPr/>
        <w:t>（二）按受教育程度分</w:t>
      </w:r>
      <w:r>
        <w:rPr>
          <w:b w:val="0"/>
          <w:bCs w:val="0"/>
        </w:rPr>
      </w:r>
    </w:p>
    <w:p>
      <w:pPr>
        <w:spacing w:line="240" w:lineRule="auto" w:before="11"/>
        <w:rPr>
          <w:rFonts w:ascii="宋体" w:hAnsi="宋体" w:cs="宋体" w:eastAsia="宋体" w:hint="default"/>
          <w:b/>
          <w:bCs/>
          <w:sz w:val="8"/>
          <w:szCs w:val="8"/>
        </w:rPr>
      </w:pPr>
    </w:p>
    <w:tbl>
      <w:tblPr>
        <w:tblW w:w="0" w:type="auto"/>
        <w:jc w:val="left"/>
        <w:tblInd w:w="120" w:type="dxa"/>
        <w:tblLayout w:type="fixed"/>
        <w:tblCellMar>
          <w:top w:w="0" w:type="dxa"/>
          <w:left w:w="0" w:type="dxa"/>
          <w:bottom w:w="0" w:type="dxa"/>
          <w:right w:w="0" w:type="dxa"/>
        </w:tblCellMar>
        <w:tblLook w:val="01E0"/>
      </w:tblPr>
      <w:tblGrid>
        <w:gridCol w:w="3374"/>
        <w:gridCol w:w="2453"/>
        <w:gridCol w:w="2551"/>
      </w:tblGrid>
      <w:tr>
        <w:trPr>
          <w:trHeight w:val="317"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tabs>
                <w:tab w:pos="527" w:val="left" w:leader="none"/>
              </w:tabs>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学</w:t>
              <w:tab/>
              <w:t>历</w:t>
            </w:r>
          </w:p>
        </w:tc>
        <w:tc>
          <w:tcPr>
            <w:tcW w:w="245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1"/>
                <w:sz w:val="21"/>
                <w:szCs w:val="21"/>
              </w:rPr>
              <w:t> </w:t>
            </w:r>
            <w:r>
              <w:rPr>
                <w:rFonts w:ascii="宋体" w:hAnsi="宋体" w:cs="宋体" w:eastAsia="宋体" w:hint="default"/>
                <w:sz w:val="21"/>
                <w:szCs w:val="21"/>
              </w:rPr>
              <w:t>数（人）</w:t>
            </w:r>
          </w:p>
        </w:tc>
        <w:tc>
          <w:tcPr>
            <w:tcW w:w="25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所占比例</w:t>
            </w:r>
          </w:p>
        </w:tc>
      </w:tr>
      <w:tr>
        <w:trPr>
          <w:trHeight w:val="327"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sz w:val="21"/>
              </w:rPr>
              <w:t>40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1"/>
                <w:szCs w:val="21"/>
              </w:rPr>
            </w:pPr>
            <w:r>
              <w:rPr>
                <w:rFonts w:ascii="宋体"/>
                <w:sz w:val="21"/>
              </w:rPr>
              <w:t>3.94%</w:t>
            </w:r>
          </w:p>
        </w:tc>
      </w:tr>
      <w:tr>
        <w:trPr>
          <w:trHeight w:val="323"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901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sz w:val="21"/>
              </w:rPr>
              <w:t>88.77%</w:t>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6.11%</w:t>
            </w:r>
          </w:p>
        </w:tc>
      </w:tr>
      <w:tr>
        <w:trPr>
          <w:trHeight w:val="322" w:hRule="exact"/>
        </w:trPr>
        <w:tc>
          <w:tcPr>
            <w:tcW w:w="3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高中、中专及以下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1.18%</w:t>
            </w:r>
          </w:p>
        </w:tc>
      </w:tr>
    </w:tbl>
    <w:p>
      <w:pPr>
        <w:spacing w:after="0" w:line="262" w:lineRule="exact"/>
        <w:jc w:val="center"/>
        <w:rPr>
          <w:rFonts w:ascii="宋体" w:hAnsi="宋体" w:cs="宋体" w:eastAsia="宋体" w:hint="default"/>
          <w:sz w:val="21"/>
          <w:szCs w:val="21"/>
        </w:rPr>
        <w:sectPr>
          <w:footerReference w:type="default" r:id="rId12"/>
          <w:pgSz w:w="11900" w:h="16840"/>
          <w:pgMar w:footer="983" w:header="874" w:top="1040" w:bottom="1180" w:left="1660" w:right="1580"/>
          <w:pgNumType w:start="20"/>
        </w:sectPr>
      </w:pPr>
    </w:p>
    <w:p>
      <w:pPr>
        <w:spacing w:line="240" w:lineRule="auto" w:before="8"/>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1.3pt;height:.75pt;mso-position-horizontal-relative:char;mso-position-vertical-relative:line" coordorigin="0,0" coordsize="8626,15">
            <v:group style="position:absolute;left:7;top:7;width:8611;height:2" coordorigin="7,7" coordsize="8611,2">
              <v:shape style="position:absolute;left:7;top:7;width:8611;height:2" coordorigin="7,7" coordsize="8611,0" path="m7,7l8618,7e" filled="false" stroked="true" strokeweight=".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7"/>
          <w:szCs w:val="27"/>
        </w:rPr>
      </w:pPr>
    </w:p>
    <w:p>
      <w:pPr>
        <w:pStyle w:val="Heading1"/>
        <w:tabs>
          <w:tab w:pos="4095" w:val="left" w:leader="none"/>
        </w:tabs>
        <w:spacing w:line="240" w:lineRule="auto"/>
        <w:ind w:left="2808" w:right="196"/>
        <w:jc w:val="left"/>
        <w:rPr>
          <w:b w:val="0"/>
          <w:bCs w:val="0"/>
        </w:rPr>
      </w:pPr>
      <w:r>
        <w:rPr/>
        <w:pict>
          <v:shape style="position:absolute;margin-left:84pt;margin-top:-30.86249pt;width:38.28pt;height:7.92pt;mso-position-horizontal-relative:page;mso-position-vertical-relative:paragraph;z-index:1144" type="#_x0000_t75" stroked="false">
            <v:imagedata r:id="rId13" o:title=""/>
          </v:shape>
        </w:pict>
      </w:r>
      <w:bookmarkStart w:name="_TOC_250006" w:id="5"/>
      <w:r>
        <w:rPr>
          <w:w w:val="95"/>
        </w:rPr>
        <w:t>第五节</w:t>
        <w:tab/>
      </w:r>
      <w:r>
        <w:rPr/>
        <w:t>公司治理结构</w:t>
      </w:r>
      <w:bookmarkEnd w:id="5"/>
      <w:r>
        <w:rPr>
          <w:b w:val="0"/>
          <w:bCs w:val="0"/>
        </w:rPr>
      </w:r>
    </w:p>
    <w:p>
      <w:pPr>
        <w:spacing w:line="357" w:lineRule="auto" w:before="193"/>
        <w:ind w:left="620" w:right="196" w:hanging="48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93"/>
          <w:sz w:val="24"/>
          <w:szCs w:val="24"/>
        </w:rPr>
        <w:t> </w:t>
      </w:r>
      <w:r>
        <w:rPr>
          <w:rFonts w:ascii="宋体" w:hAnsi="宋体" w:cs="宋体" w:eastAsia="宋体" w:hint="default"/>
          <w:b/>
          <w:bCs/>
          <w:sz w:val="24"/>
          <w:szCs w:val="24"/>
        </w:rPr>
        <w:t>公司治理情况</w:t>
      </w:r>
      <w:r>
        <w:rPr>
          <w:rFonts w:ascii="宋体" w:hAnsi="宋体" w:cs="宋体" w:eastAsia="宋体" w:hint="default"/>
          <w:b/>
          <w:bCs/>
          <w:w w:val="99"/>
          <w:sz w:val="24"/>
          <w:szCs w:val="24"/>
        </w:rPr>
        <w:t> </w:t>
      </w:r>
      <w:r>
        <w:rPr>
          <w:rFonts w:ascii="宋体" w:hAnsi="宋体" w:cs="宋体" w:eastAsia="宋体" w:hint="default"/>
          <w:spacing w:val="-16"/>
          <w:sz w:val="24"/>
          <w:szCs w:val="24"/>
        </w:rPr>
        <w:t>报告期内，公司严格按照《公司法》、《证券法》、《上市公司治理准则》和《深</w:t>
      </w:r>
    </w:p>
    <w:p>
      <w:pPr>
        <w:pStyle w:val="BodyText"/>
        <w:spacing w:line="357" w:lineRule="auto"/>
        <w:ind w:right="100"/>
        <w:jc w:val="left"/>
      </w:pPr>
      <w:r>
        <w:rPr/>
        <w:t>圳证券交易所股票上市规则》等有关法律法规的要求,不断完善公司的法人治理结</w:t>
      </w:r>
      <w:r>
        <w:rPr>
          <w:spacing w:val="-95"/>
        </w:rPr>
        <w:t> </w:t>
      </w:r>
      <w:r>
        <w:rPr>
          <w:spacing w:val="-95"/>
        </w:rPr>
      </w:r>
      <w:r>
        <w:rPr>
          <w:spacing w:val="-9"/>
        </w:rPr>
        <w:t>构，健全内部管理、规范运作。公司上市后，及时修订了《公司章程》、《股东大会</w:t>
      </w:r>
      <w:r>
        <w:rPr>
          <w:spacing w:val="-117"/>
        </w:rPr>
        <w:t> </w:t>
      </w:r>
      <w:r>
        <w:rPr>
          <w:spacing w:val="-117"/>
        </w:rPr>
      </w:r>
      <w:r>
        <w:rPr>
          <w:spacing w:val="-27"/>
        </w:rPr>
        <w:t>议事规则》、《董事会议事规则》、《监事会议事规则》、《独立董事工作制度》、《对外</w:t>
      </w:r>
      <w:r>
        <w:rPr>
          <w:spacing w:val="-88"/>
        </w:rPr>
        <w:t> </w:t>
      </w:r>
      <w:r>
        <w:rPr>
          <w:spacing w:val="-88"/>
        </w:rPr>
      </w:r>
      <w:r>
        <w:rPr>
          <w:spacing w:val="-16"/>
        </w:rPr>
        <w:t>担保管理办法》、《重大经营与投资决策管理制度》、《募集资金管理办法》、及董事</w:t>
      </w:r>
      <w:r>
        <w:rPr>
          <w:spacing w:val="-87"/>
        </w:rPr>
        <w:t> </w:t>
      </w:r>
      <w:r>
        <w:rPr>
          <w:spacing w:val="-87"/>
        </w:rPr>
      </w:r>
      <w:r>
        <w:rPr>
          <w:spacing w:val="-3"/>
        </w:rPr>
        <w:t>会下设各专业委员会工作细则等制度；报告期内，公司制订或修订了《控股子公司</w:t>
      </w:r>
      <w:r>
        <w:rPr>
          <w:spacing w:val="-99"/>
        </w:rPr>
        <w:t> </w:t>
      </w:r>
      <w:r>
        <w:rPr>
          <w:spacing w:val="-99"/>
        </w:rPr>
      </w:r>
      <w:r>
        <w:rPr>
          <w:spacing w:val="-15"/>
        </w:rPr>
        <w:t>管理办法》、《年报信息披露重大差错责任追究制度》、《内幕信息知情人登记备案制</w:t>
      </w:r>
      <w:r>
        <w:rPr>
          <w:spacing w:val="-118"/>
        </w:rPr>
        <w:t> </w:t>
      </w:r>
      <w:r>
        <w:rPr>
          <w:spacing w:val="-118"/>
        </w:rPr>
      </w:r>
      <w:r>
        <w:rPr>
          <w:spacing w:val="-9"/>
        </w:rPr>
        <w:t>度》、《关联交易管理办法》等制度。本着对投资者高度负责的精神，公司严格按照</w:t>
      </w:r>
      <w:r>
        <w:rPr>
          <w:spacing w:val="-115"/>
        </w:rPr>
        <w:t> </w:t>
      </w:r>
      <w:r>
        <w:rPr>
          <w:spacing w:val="-115"/>
        </w:rPr>
      </w:r>
      <w:r>
        <w:rPr/>
        <w:t>上述各项制度进行公司治理，努力做到诚信与规范运作，切实履行上市公司义务， 促进公司健康发展。</w:t>
      </w:r>
    </w:p>
    <w:p>
      <w:pPr>
        <w:spacing w:line="240" w:lineRule="auto" w:before="0"/>
        <w:rPr>
          <w:rFonts w:ascii="宋体" w:hAnsi="宋体" w:cs="宋体" w:eastAsia="宋体" w:hint="default"/>
          <w:sz w:val="24"/>
          <w:szCs w:val="24"/>
        </w:rPr>
      </w:pPr>
    </w:p>
    <w:p>
      <w:pPr>
        <w:spacing w:line="357" w:lineRule="auto" w:before="190"/>
        <w:ind w:left="620" w:right="196" w:hanging="480"/>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16"/>
          <w:sz w:val="24"/>
          <w:szCs w:val="24"/>
        </w:rPr>
        <w:t>公司严格按照《公司法》、《上市公司股东大会规则》、《公司章程》和《公司股</w:t>
      </w:r>
    </w:p>
    <w:p>
      <w:pPr>
        <w:pStyle w:val="BodyText"/>
        <w:spacing w:line="357" w:lineRule="auto"/>
        <w:ind w:right="100"/>
        <w:jc w:val="left"/>
      </w:pPr>
      <w:r>
        <w:rPr>
          <w:spacing w:val="-3"/>
        </w:rPr>
        <w:t>东大会议事规则》的规定和要求，规范股东大会的召集、召开、表决程序，包括通</w:t>
      </w:r>
      <w:r>
        <w:rPr>
          <w:spacing w:val="-97"/>
        </w:rPr>
        <w:t> </w:t>
      </w:r>
      <w:r>
        <w:rPr>
          <w:spacing w:val="-97"/>
        </w:rPr>
      </w:r>
      <w:r>
        <w:rPr>
          <w:spacing w:val="-3"/>
        </w:rPr>
        <w:t>知、登记、提案的审议、投票、计票、表决结果的宣布、会议决议的形成、会议记</w:t>
      </w:r>
      <w:r>
        <w:rPr>
          <w:spacing w:val="-96"/>
        </w:rPr>
        <w:t> </w:t>
      </w:r>
      <w:r>
        <w:rPr>
          <w:spacing w:val="-96"/>
        </w:rPr>
      </w:r>
      <w:r>
        <w:rPr/>
        <w:t>录及其签署、公告等内容，以及股东大会对董事会的授权等，平等对待所有股东， 确保全体股东特别是中小股东能充分行使权利，并请律师出席见证。</w:t>
      </w:r>
    </w:p>
    <w:p>
      <w:pPr>
        <w:spacing w:line="240" w:lineRule="auto" w:before="0"/>
        <w:rPr>
          <w:rFonts w:ascii="宋体" w:hAnsi="宋体" w:cs="宋体" w:eastAsia="宋体" w:hint="default"/>
          <w:sz w:val="24"/>
          <w:szCs w:val="24"/>
        </w:rPr>
      </w:pPr>
    </w:p>
    <w:p>
      <w:pPr>
        <w:spacing w:line="357" w:lineRule="auto" w:before="190"/>
        <w:ind w:left="620" w:right="202" w:hanging="480"/>
        <w:jc w:val="left"/>
        <w:rPr>
          <w:rFonts w:ascii="宋体" w:hAnsi="宋体" w:cs="宋体" w:eastAsia="宋体" w:hint="default"/>
          <w:sz w:val="24"/>
          <w:szCs w:val="24"/>
        </w:rPr>
      </w:pPr>
      <w:r>
        <w:rPr>
          <w:rFonts w:ascii="宋体" w:hAnsi="宋体" w:cs="宋体" w:eastAsia="宋体" w:hint="default"/>
          <w:b/>
          <w:bCs/>
          <w:sz w:val="24"/>
          <w:szCs w:val="24"/>
        </w:rPr>
        <w:t>（二）关于公司与实际控制人的关系</w:t>
      </w:r>
      <w:r>
        <w:rPr>
          <w:rFonts w:ascii="宋体" w:hAnsi="宋体" w:cs="宋体" w:eastAsia="宋体" w:hint="default"/>
          <w:b/>
          <w:bCs/>
          <w:w w:val="99"/>
          <w:sz w:val="24"/>
          <w:szCs w:val="24"/>
        </w:rPr>
        <w:t> </w:t>
      </w:r>
      <w:r>
        <w:rPr>
          <w:rFonts w:ascii="宋体" w:hAnsi="宋体" w:cs="宋体" w:eastAsia="宋体" w:hint="default"/>
          <w:spacing w:val="-3"/>
          <w:sz w:val="24"/>
          <w:szCs w:val="24"/>
        </w:rPr>
        <w:t>公司无控股股东，实际控制人为自然人包叔平先生，在公司担任董事长兼总经</w:t>
      </w:r>
    </w:p>
    <w:p>
      <w:pPr>
        <w:pStyle w:val="BodyText"/>
        <w:spacing w:line="357" w:lineRule="auto"/>
        <w:ind w:right="100"/>
        <w:jc w:val="left"/>
      </w:pPr>
      <w:r>
        <w:rPr/>
        <w:t>理职务。公司具有独立的业务、独立的经营能力和完备的供销系统，业务、人员、 资产、机构、财务独立，公司董事会、监事会和内部机构均能够独立运作。</w:t>
      </w:r>
    </w:p>
    <w:p>
      <w:pPr>
        <w:spacing w:line="240" w:lineRule="auto" w:before="0"/>
        <w:rPr>
          <w:rFonts w:ascii="宋体" w:hAnsi="宋体" w:cs="宋体" w:eastAsia="宋体" w:hint="default"/>
          <w:sz w:val="24"/>
          <w:szCs w:val="24"/>
        </w:rPr>
      </w:pPr>
    </w:p>
    <w:p>
      <w:pPr>
        <w:pStyle w:val="Heading3"/>
        <w:spacing w:line="240" w:lineRule="auto" w:before="190"/>
        <w:ind w:right="196"/>
        <w:jc w:val="left"/>
        <w:rPr>
          <w:b w:val="0"/>
          <w:bCs w:val="0"/>
        </w:rPr>
      </w:pPr>
      <w:r>
        <w:rPr/>
        <w:t>（三）关于董事与董事会</w:t>
      </w:r>
      <w:r>
        <w:rPr>
          <w:b w:val="0"/>
          <w:bCs w:val="0"/>
        </w:rPr>
      </w:r>
    </w:p>
    <w:p>
      <w:pPr>
        <w:pStyle w:val="BodyText"/>
        <w:spacing w:line="357" w:lineRule="auto" w:before="154"/>
        <w:ind w:right="119" w:firstLine="391"/>
        <w:jc w:val="both"/>
      </w:pPr>
      <w:r>
        <w:rPr/>
        <w:t>《公司章程》规定了董事选聘程序，保证董事选聘公开、公平、公正、独立。 公司设董事会，董事会由9名董事组成，设董事长1名，副董事长1名，董事长由全 体董事过半数选举产生，董事会成员中有3名独立董事，其中1名为财务专业人士。</w:t>
      </w:r>
    </w:p>
    <w:p>
      <w:pPr>
        <w:spacing w:after="0" w:line="357" w:lineRule="auto"/>
        <w:jc w:val="both"/>
        <w:sectPr>
          <w:pgSz w:w="11900" w:h="16840"/>
          <w:pgMar w:header="874" w:footer="983" w:top="1040" w:bottom="1180" w:left="1540" w:right="1460"/>
        </w:sectPr>
      </w:pPr>
    </w:p>
    <w:p>
      <w:pPr>
        <w:spacing w:line="240" w:lineRule="auto" w:before="0"/>
        <w:rPr>
          <w:rFonts w:ascii="宋体" w:hAnsi="宋体" w:cs="宋体" w:eastAsia="宋体" w:hint="default"/>
          <w:sz w:val="20"/>
          <w:szCs w:val="20"/>
        </w:rPr>
      </w:pPr>
    </w:p>
    <w:p>
      <w:pPr>
        <w:pStyle w:val="BodyText"/>
        <w:spacing w:line="357" w:lineRule="auto" w:before="160"/>
        <w:ind w:left="531" w:right="209" w:hanging="392"/>
        <w:jc w:val="left"/>
      </w:pPr>
      <w:r>
        <w:rPr/>
        <w:t>公司董事会人数和人员构成符合法律、法规的要求。 公司明确了董事的职权和义务，建立了《董事会议事规则》和《独立董事工作</w:t>
      </w:r>
    </w:p>
    <w:p>
      <w:pPr>
        <w:pStyle w:val="BodyText"/>
        <w:spacing w:line="357" w:lineRule="auto"/>
        <w:ind w:right="88"/>
        <w:jc w:val="left"/>
      </w:pPr>
      <w:r>
        <w:rPr/>
        <w:t>制度</w:t>
      </w:r>
      <w:r>
        <w:rPr>
          <w:spacing w:val="-120"/>
        </w:rPr>
        <w:t>》</w:t>
      </w:r>
      <w:r>
        <w:rPr>
          <w:spacing w:val="-22"/>
        </w:rPr>
        <w:t>；</w:t>
      </w:r>
      <w:r>
        <w:rPr/>
        <w:t>董事会设立了战略委员会</w:t>
      </w:r>
      <w:r>
        <w:rPr>
          <w:spacing w:val="-22"/>
        </w:rPr>
        <w:t>，</w:t>
      </w:r>
      <w:r>
        <w:rPr/>
        <w:t>提名</w:t>
      </w:r>
      <w:r>
        <w:rPr>
          <w:spacing w:val="-22"/>
        </w:rPr>
        <w:t>·</w:t>
      </w:r>
      <w:r>
        <w:rPr/>
        <w:t>薪酬与考核委员会</w:t>
      </w:r>
      <w:r>
        <w:rPr>
          <w:spacing w:val="-22"/>
        </w:rPr>
        <w:t>、</w:t>
      </w:r>
      <w:r>
        <w:rPr/>
        <w:t>审计委员会等3个专</w:t>
      </w:r>
      <w:r>
        <w:rPr/>
        <w:t> 业委员会</w:t>
      </w:r>
      <w:r>
        <w:rPr>
          <w:spacing w:val="-22"/>
        </w:rPr>
        <w:t>，</w:t>
      </w:r>
      <w:r>
        <w:rPr/>
        <w:t>制订</w:t>
      </w:r>
      <w:r>
        <w:rPr>
          <w:spacing w:val="-22"/>
        </w:rPr>
        <w:t>了</w:t>
      </w:r>
      <w:r>
        <w:rPr/>
        <w:t>《战略委员会实施细则</w:t>
      </w:r>
      <w:r>
        <w:rPr>
          <w:spacing w:val="-120"/>
        </w:rPr>
        <w:t>》</w:t>
      </w:r>
      <w:r>
        <w:rPr>
          <w:spacing w:val="-142"/>
        </w:rPr>
        <w:t>、</w:t>
      </w:r>
      <w:r>
        <w:rPr/>
        <w:t>《提名</w:t>
      </w:r>
      <w:r>
        <w:rPr>
          <w:spacing w:val="-22"/>
        </w:rPr>
        <w:t>·</w:t>
      </w:r>
      <w:r>
        <w:rPr/>
        <w:t>薪酬与考核委员会实施细则</w:t>
      </w:r>
      <w:r>
        <w:rPr>
          <w:spacing w:val="-120"/>
        </w:rPr>
        <w:t>》</w:t>
      </w:r>
      <w:r>
        <w:rPr/>
        <w:t>、</w:t>
      </w:r>
    </w:p>
    <w:p>
      <w:pPr>
        <w:pStyle w:val="BodyText"/>
        <w:spacing w:line="357" w:lineRule="auto"/>
        <w:ind w:left="620" w:right="205" w:hanging="480"/>
        <w:jc w:val="left"/>
      </w:pPr>
      <w:r>
        <w:rPr/>
        <w:t>《审计委员会实施细则</w:t>
      </w:r>
      <w:r>
        <w:rPr>
          <w:spacing w:val="-120"/>
        </w:rPr>
        <w:t>》</w:t>
      </w:r>
      <w:r>
        <w:rPr/>
        <w:t>。</w:t>
      </w:r>
      <w:r>
        <w:rPr/>
        <w:t> 公司董事会严格按</w:t>
      </w:r>
      <w:r>
        <w:rPr>
          <w:spacing w:val="-17"/>
        </w:rPr>
        <w:t>照</w:t>
      </w:r>
      <w:r>
        <w:rPr/>
        <w:t>《公司法</w:t>
      </w:r>
      <w:r>
        <w:rPr>
          <w:spacing w:val="-17"/>
        </w:rPr>
        <w:t>》和</w:t>
      </w:r>
      <w:r>
        <w:rPr/>
        <w:t>《公司章程</w:t>
      </w:r>
      <w:r>
        <w:rPr>
          <w:spacing w:val="-120"/>
        </w:rPr>
        <w:t>》</w:t>
      </w:r>
      <w:r>
        <w:rPr>
          <w:spacing w:val="-137"/>
        </w:rPr>
        <w:t>、</w:t>
      </w:r>
      <w:r>
        <w:rPr/>
        <w:t>《董事会议事规则</w:t>
      </w:r>
      <w:r>
        <w:rPr>
          <w:spacing w:val="-120"/>
        </w:rPr>
        <w:t>》</w:t>
      </w:r>
      <w:r>
        <w:rPr>
          <w:spacing w:val="-137"/>
        </w:rPr>
        <w:t>、</w:t>
      </w:r>
      <w:r>
        <w:rPr/>
        <w:t>《深圳证</w:t>
      </w:r>
    </w:p>
    <w:p>
      <w:pPr>
        <w:pStyle w:val="BodyText"/>
        <w:spacing w:line="357" w:lineRule="auto"/>
        <w:ind w:right="224"/>
        <w:jc w:val="both"/>
      </w:pPr>
      <w:r>
        <w:rPr>
          <w:spacing w:val="-3"/>
        </w:rPr>
        <w:t>券交易所中小企业板上市公司规范运作指引》的规定开展工作，规范董事会会议召</w:t>
      </w:r>
      <w:r>
        <w:rPr>
          <w:spacing w:val="-100"/>
        </w:rPr>
        <w:t> </w:t>
      </w:r>
      <w:r>
        <w:rPr>
          <w:spacing w:val="-100"/>
        </w:rPr>
      </w:r>
      <w:r>
        <w:rPr>
          <w:spacing w:val="-3"/>
        </w:rPr>
        <w:t>集、召开和表决程序。公司董事积极参加相关知识培训，熟悉有关法律法规，提高</w:t>
      </w:r>
      <w:r>
        <w:rPr>
          <w:spacing w:val="-100"/>
        </w:rPr>
        <w:t> </w:t>
      </w:r>
      <w:r>
        <w:rPr>
          <w:spacing w:val="-100"/>
        </w:rPr>
      </w:r>
      <w:r>
        <w:rPr>
          <w:spacing w:val="-3"/>
        </w:rPr>
        <w:t>了规范运作意识；公司各位董事认真出席董事会和股东大会，执行股东大会决议并</w:t>
      </w:r>
      <w:r>
        <w:rPr>
          <w:spacing w:val="-100"/>
        </w:rPr>
        <w:t> </w:t>
      </w:r>
      <w:r>
        <w:rPr>
          <w:spacing w:val="-100"/>
        </w:rPr>
      </w:r>
      <w:r>
        <w:rPr/>
        <w:t>依法行使职权；能够勤勉、尽责地履行义务和责任，维护公司和股东的利益。</w:t>
      </w:r>
    </w:p>
    <w:p>
      <w:pPr>
        <w:spacing w:line="240" w:lineRule="auto" w:before="0"/>
        <w:rPr>
          <w:rFonts w:ascii="宋体" w:hAnsi="宋体" w:cs="宋体" w:eastAsia="宋体" w:hint="default"/>
          <w:sz w:val="24"/>
          <w:szCs w:val="24"/>
        </w:rPr>
      </w:pPr>
    </w:p>
    <w:p>
      <w:pPr>
        <w:spacing w:line="357" w:lineRule="auto" w:before="190"/>
        <w:ind w:left="620" w:right="209" w:hanging="480"/>
        <w:jc w:val="left"/>
        <w:rPr>
          <w:rFonts w:ascii="宋体" w:hAnsi="宋体" w:cs="宋体" w:eastAsia="宋体" w:hint="default"/>
          <w:sz w:val="24"/>
          <w:szCs w:val="24"/>
        </w:rPr>
      </w:pPr>
      <w:r>
        <w:rPr>
          <w:rFonts w:ascii="宋体" w:hAnsi="宋体" w:cs="宋体" w:eastAsia="宋体" w:hint="default"/>
          <w:b/>
          <w:bCs/>
          <w:sz w:val="24"/>
          <w:szCs w:val="24"/>
        </w:rPr>
        <w:t>（四）关于监事和监事会</w:t>
      </w:r>
      <w:r>
        <w:rPr>
          <w:rFonts w:ascii="宋体" w:hAnsi="宋体" w:cs="宋体" w:eastAsia="宋体" w:hint="default"/>
          <w:b/>
          <w:bCs/>
          <w:w w:val="99"/>
          <w:sz w:val="24"/>
          <w:szCs w:val="24"/>
        </w:rPr>
        <w:t> </w:t>
      </w:r>
      <w:r>
        <w:rPr>
          <w:rFonts w:ascii="宋体" w:hAnsi="宋体" w:cs="宋体" w:eastAsia="宋体" w:hint="default"/>
          <w:spacing w:val="-10"/>
          <w:sz w:val="24"/>
          <w:szCs w:val="24"/>
        </w:rPr>
        <w:t>公司监事会在《公司法》、《公司章程》和股东大会赋予的职权范围内依法并积</w:t>
      </w:r>
    </w:p>
    <w:p>
      <w:pPr>
        <w:pStyle w:val="BodyText"/>
        <w:spacing w:line="357" w:lineRule="auto"/>
        <w:ind w:right="96"/>
        <w:jc w:val="left"/>
      </w:pPr>
      <w:r>
        <w:rPr>
          <w:spacing w:val="-6"/>
        </w:rPr>
        <w:t>极行使监督权，建立了《监事会议事规则》。公司监事会由</w:t>
      </w:r>
      <w:r>
        <w:rPr>
          <w:spacing w:val="-58"/>
        </w:rPr>
        <w:t> </w:t>
      </w:r>
      <w:r>
        <w:rPr/>
        <w:t>3</w:t>
      </w:r>
      <w:r>
        <w:rPr>
          <w:spacing w:val="5"/>
        </w:rPr>
        <w:t> </w:t>
      </w:r>
      <w:r>
        <w:rPr>
          <w:spacing w:val="-1"/>
        </w:rPr>
        <w:t>名监事组成，其中一</w:t>
      </w:r>
      <w:r>
        <w:rPr>
          <w:spacing w:val="-115"/>
        </w:rPr>
        <w:t> </w:t>
      </w:r>
      <w:r>
        <w:rPr>
          <w:spacing w:val="-115"/>
        </w:rPr>
      </w:r>
      <w:r>
        <w:rPr>
          <w:spacing w:val="-12"/>
        </w:rPr>
        <w:t>名为职工代表监事。公司监事会严格按照《公司章程》、《监事会议事规则》的规定，</w:t>
      </w:r>
      <w:r>
        <w:rPr>
          <w:spacing w:val="-110"/>
        </w:rPr>
        <w:t> </w:t>
      </w:r>
      <w:r>
        <w:rPr>
          <w:spacing w:val="-110"/>
        </w:rPr>
      </w:r>
      <w:r>
        <w:rPr>
          <w:spacing w:val="-3"/>
        </w:rPr>
        <w:t>规范监事会会议召集、召开和表决程序。公司监事会向股东大会负责，公司监事认</w:t>
      </w:r>
      <w:r>
        <w:rPr>
          <w:spacing w:val="-99"/>
        </w:rPr>
        <w:t> </w:t>
      </w:r>
      <w:r>
        <w:rPr>
          <w:spacing w:val="-99"/>
        </w:rPr>
      </w:r>
      <w:r>
        <w:rPr>
          <w:spacing w:val="-3"/>
        </w:rPr>
        <w:t>真履行职责，诚信、勤勉、尽责地对公司财务以及公司董事、经理及其他高级管理</w:t>
      </w:r>
      <w:r>
        <w:rPr>
          <w:spacing w:val="-100"/>
        </w:rPr>
        <w:t> </w:t>
      </w:r>
      <w:r>
        <w:rPr>
          <w:spacing w:val="-100"/>
        </w:rPr>
      </w:r>
      <w:r>
        <w:rPr/>
        <w:t>人员履行职务情况进行监督，维护公司及股东的合法权益。</w:t>
      </w:r>
    </w:p>
    <w:p>
      <w:pPr>
        <w:spacing w:line="240" w:lineRule="auto" w:before="0"/>
        <w:rPr>
          <w:rFonts w:ascii="宋体" w:hAnsi="宋体" w:cs="宋体" w:eastAsia="宋体" w:hint="default"/>
          <w:sz w:val="24"/>
          <w:szCs w:val="24"/>
        </w:rPr>
      </w:pPr>
    </w:p>
    <w:p>
      <w:pPr>
        <w:spacing w:line="357" w:lineRule="auto" w:before="190"/>
        <w:ind w:left="620" w:right="222" w:hanging="480"/>
        <w:jc w:val="left"/>
        <w:rPr>
          <w:rFonts w:ascii="宋体" w:hAnsi="宋体" w:cs="宋体" w:eastAsia="宋体" w:hint="default"/>
          <w:sz w:val="24"/>
          <w:szCs w:val="24"/>
        </w:rPr>
      </w:pP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公司已经建立绩效评价激励体系，经营层的收入与公司经营业绩挂钩，公司高</w:t>
      </w:r>
    </w:p>
    <w:p>
      <w:pPr>
        <w:pStyle w:val="BodyText"/>
        <w:spacing w:line="357" w:lineRule="auto"/>
        <w:ind w:right="223"/>
        <w:jc w:val="both"/>
      </w:pPr>
      <w:r>
        <w:rPr>
          <w:spacing w:val="-3"/>
        </w:rPr>
        <w:t>级管理人员薪酬执行基本年薪加年度绩效考核的政策。在公司任职的董事、监事和</w:t>
      </w:r>
      <w:r>
        <w:rPr>
          <w:spacing w:val="-100"/>
        </w:rPr>
        <w:t> </w:t>
      </w:r>
      <w:r>
        <w:rPr>
          <w:spacing w:val="-100"/>
        </w:rPr>
      </w:r>
      <w:r>
        <w:rPr>
          <w:spacing w:val="3"/>
        </w:rPr>
        <w:t>高级管理人员按其岗位及职务，根据公司现行的薪酬制度和业绩考核规定获取薪</w:t>
      </w:r>
      <w:r>
        <w:rPr>
          <w:spacing w:val="-96"/>
        </w:rPr>
        <w:t> </w:t>
      </w:r>
      <w:r>
        <w:rPr>
          <w:spacing w:val="-96"/>
        </w:rPr>
      </w:r>
      <w:r>
        <w:rPr/>
        <w:t>酬；高级管理人员的聘任公开、有效，符合法律法规及公司的有关规定。</w:t>
      </w:r>
    </w:p>
    <w:p>
      <w:pPr>
        <w:spacing w:line="240" w:lineRule="auto" w:before="0"/>
        <w:rPr>
          <w:rFonts w:ascii="宋体" w:hAnsi="宋体" w:cs="宋体" w:eastAsia="宋体" w:hint="default"/>
          <w:sz w:val="24"/>
          <w:szCs w:val="24"/>
        </w:rPr>
      </w:pPr>
    </w:p>
    <w:p>
      <w:pPr>
        <w:spacing w:line="357" w:lineRule="auto" w:before="190"/>
        <w:ind w:left="620" w:right="222" w:hanging="480"/>
        <w:jc w:val="left"/>
        <w:rPr>
          <w:rFonts w:ascii="宋体" w:hAnsi="宋体" w:cs="宋体" w:eastAsia="宋体" w:hint="default"/>
          <w:sz w:val="24"/>
          <w:szCs w:val="24"/>
        </w:rPr>
      </w:pPr>
      <w:r>
        <w:rPr>
          <w:rFonts w:ascii="宋体" w:hAnsi="宋体" w:cs="宋体" w:eastAsia="宋体" w:hint="default"/>
          <w:b/>
          <w:bCs/>
          <w:sz w:val="24"/>
          <w:szCs w:val="24"/>
        </w:rPr>
        <w:t>（六）关于信息披露与透明度</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公司董事会秘书负责信息披露工作、接待投资者来访和咨询，指定《中国证券</w:t>
      </w:r>
    </w:p>
    <w:p>
      <w:pPr>
        <w:pStyle w:val="BodyText"/>
        <w:spacing w:line="357" w:lineRule="auto"/>
        <w:ind w:right="224"/>
        <w:jc w:val="both"/>
      </w:pPr>
      <w:r>
        <w:rPr>
          <w:spacing w:val="-5"/>
        </w:rPr>
        <w:t>报》、巨潮资讯网</w:t>
      </w:r>
      <w:hyperlink r:id="rId9">
        <w:r>
          <w:rPr>
            <w:spacing w:val="-5"/>
          </w:rPr>
          <w:t>（www.cninfo.com.cn</w:t>
        </w:r>
      </w:hyperlink>
      <w:r>
        <w:rPr>
          <w:spacing w:val="-5"/>
        </w:rPr>
        <w:t>）为公司指定信息披露媒体。公司严格按照</w:t>
      </w:r>
      <w:r>
        <w:rPr>
          <w:spacing w:val="-103"/>
        </w:rPr>
        <w:t> </w:t>
      </w:r>
      <w:r>
        <w:rPr>
          <w:spacing w:val="-103"/>
        </w:rPr>
      </w:r>
      <w:r>
        <w:rPr>
          <w:spacing w:val="-3"/>
        </w:rPr>
        <w:t>有关法律法规及公司制定的《信息披露管理制度》的要求，真实、准确、完整、及</w:t>
      </w:r>
    </w:p>
    <w:p>
      <w:pPr>
        <w:spacing w:after="0" w:line="357" w:lineRule="auto"/>
        <w:jc w:val="both"/>
        <w:sectPr>
          <w:pgSz w:w="11900" w:h="16840"/>
          <w:pgMar w:header="874" w:footer="983" w:top="1040" w:bottom="1180" w:left="1540" w:right="1440"/>
        </w:sectPr>
      </w:pPr>
    </w:p>
    <w:p>
      <w:pPr>
        <w:spacing w:line="240" w:lineRule="auto" w:before="0"/>
        <w:rPr>
          <w:rFonts w:ascii="宋体" w:hAnsi="宋体" w:cs="宋体" w:eastAsia="宋体" w:hint="default"/>
          <w:sz w:val="20"/>
          <w:szCs w:val="20"/>
        </w:rPr>
      </w:pPr>
    </w:p>
    <w:p>
      <w:pPr>
        <w:pStyle w:val="BodyText"/>
        <w:spacing w:line="357" w:lineRule="auto" w:before="160"/>
        <w:ind w:right="224"/>
        <w:jc w:val="both"/>
      </w:pPr>
      <w:r>
        <w:rPr>
          <w:spacing w:val="-3"/>
        </w:rPr>
        <w:t>时地披露有关信息，并确保所有股东有平等的机会获得信息。公司注重与投资者沟</w:t>
      </w:r>
      <w:r>
        <w:rPr>
          <w:spacing w:val="-100"/>
        </w:rPr>
        <w:t> </w:t>
      </w:r>
      <w:r>
        <w:rPr>
          <w:spacing w:val="-100"/>
        </w:rPr>
      </w:r>
      <w:r>
        <w:rPr>
          <w:spacing w:val="-3"/>
        </w:rPr>
        <w:t>通交流，严格执行《投资者关系管理制度》，开通了投资者电话专线、专用电子信</w:t>
      </w:r>
      <w:r>
        <w:rPr>
          <w:spacing w:val="-107"/>
        </w:rPr>
        <w:t> </w:t>
      </w:r>
      <w:r>
        <w:rPr>
          <w:spacing w:val="-107"/>
        </w:rPr>
      </w:r>
      <w:r>
        <w:rPr>
          <w:spacing w:val="-3"/>
        </w:rPr>
        <w:t>箱，认真接受各种咨询。公司还通过网上交流会、接待投资者来访等方式，加强与</w:t>
      </w:r>
      <w:r>
        <w:rPr>
          <w:spacing w:val="-100"/>
        </w:rPr>
        <w:t> </w:t>
      </w:r>
      <w:r>
        <w:rPr>
          <w:spacing w:val="-100"/>
        </w:rPr>
      </w:r>
      <w:r>
        <w:rPr/>
        <w:t>投资者的沟通。</w:t>
      </w:r>
    </w:p>
    <w:p>
      <w:pPr>
        <w:pStyle w:val="BodyText"/>
        <w:spacing w:line="357" w:lineRule="auto"/>
        <w:ind w:right="90" w:firstLine="480"/>
        <w:jc w:val="left"/>
      </w:pPr>
      <w:r>
        <w:rPr>
          <w:spacing w:val="-6"/>
        </w:rPr>
        <w:t>同时，为完善公司信息披露管理制度，加大对年报信息披露责任人的问责力度，</w:t>
      </w:r>
      <w:r>
        <w:rPr/>
        <w:t> </w:t>
      </w:r>
      <w:r>
        <w:rPr>
          <w:spacing w:val="-3"/>
        </w:rPr>
        <w:t>提高年报信息披露质量和透明度，公司董事会制定了《年报披露重大差错责任追究</w:t>
      </w:r>
      <w:r>
        <w:rPr>
          <w:spacing w:val="-100"/>
        </w:rPr>
        <w:t> </w:t>
      </w:r>
      <w:r>
        <w:rPr>
          <w:spacing w:val="-100"/>
        </w:rPr>
      </w:r>
      <w:r>
        <w:rPr>
          <w:spacing w:val="-3"/>
        </w:rPr>
        <w:t>制度》，在公司年报信息披露工作中有关人员不履行或者不正确履行职责、义务或</w:t>
      </w:r>
      <w:r>
        <w:rPr>
          <w:spacing w:val="-107"/>
        </w:rPr>
        <w:t> </w:t>
      </w:r>
      <w:r>
        <w:rPr>
          <w:spacing w:val="-107"/>
        </w:rPr>
      </w:r>
      <w:r>
        <w:rPr>
          <w:spacing w:val="-6"/>
        </w:rPr>
        <w:t>因其他个人原因，对公司造成重大经济损失或造成不良社会影响时，予以追究责任。</w:t>
      </w:r>
    </w:p>
    <w:p>
      <w:pPr>
        <w:spacing w:line="240" w:lineRule="auto" w:before="0"/>
        <w:rPr>
          <w:rFonts w:ascii="宋体" w:hAnsi="宋体" w:cs="宋体" w:eastAsia="宋体" w:hint="default"/>
          <w:sz w:val="24"/>
          <w:szCs w:val="24"/>
        </w:rPr>
      </w:pPr>
    </w:p>
    <w:p>
      <w:pPr>
        <w:spacing w:line="357" w:lineRule="auto" w:before="190"/>
        <w:ind w:left="620" w:right="222" w:hanging="480"/>
        <w:jc w:val="left"/>
        <w:rPr>
          <w:rFonts w:ascii="宋体" w:hAnsi="宋体" w:cs="宋体" w:eastAsia="宋体" w:hint="default"/>
          <w:sz w:val="24"/>
          <w:szCs w:val="24"/>
        </w:rPr>
      </w:pPr>
      <w:r>
        <w:rPr>
          <w:rFonts w:ascii="宋体" w:hAnsi="宋体" w:cs="宋体" w:eastAsia="宋体" w:hint="default"/>
          <w:b/>
          <w:bCs/>
          <w:sz w:val="24"/>
          <w:szCs w:val="24"/>
        </w:rPr>
        <w:t>（七）关于相关利益者</w:t>
      </w:r>
      <w:r>
        <w:rPr>
          <w:rFonts w:ascii="宋体" w:hAnsi="宋体" w:cs="宋体" w:eastAsia="宋体" w:hint="default"/>
          <w:b/>
          <w:bCs/>
          <w:w w:val="99"/>
          <w:sz w:val="24"/>
          <w:szCs w:val="24"/>
        </w:rPr>
        <w:t> </w:t>
      </w:r>
      <w:r>
        <w:rPr>
          <w:rFonts w:ascii="宋体" w:hAnsi="宋体" w:cs="宋体" w:eastAsia="宋体" w:hint="default"/>
          <w:spacing w:val="-3"/>
          <w:sz w:val="24"/>
          <w:szCs w:val="24"/>
        </w:rPr>
        <w:t>公司充分尊重和维持相关利益者的合法权益，实现股东、员工、国家和社会各</w:t>
      </w:r>
    </w:p>
    <w:p>
      <w:pPr>
        <w:pStyle w:val="BodyText"/>
        <w:spacing w:line="240" w:lineRule="auto"/>
        <w:ind w:right="209"/>
        <w:jc w:val="left"/>
      </w:pPr>
      <w:r>
        <w:rPr/>
        <w:t>方利益的协调平衡，共同推动公司持续健康发展。</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560" w:right="88" w:hanging="420"/>
        <w:jc w:val="left"/>
        <w:rPr>
          <w:rFonts w:ascii="宋体" w:hAnsi="宋体" w:cs="宋体" w:eastAsia="宋体" w:hint="default"/>
          <w:sz w:val="24"/>
          <w:szCs w:val="24"/>
        </w:rPr>
      </w:pPr>
      <w:r>
        <w:rPr>
          <w:rFonts w:ascii="宋体" w:hAnsi="宋体" w:cs="宋体" w:eastAsia="宋体" w:hint="default"/>
          <w:b/>
          <w:bCs/>
          <w:sz w:val="24"/>
          <w:szCs w:val="24"/>
        </w:rPr>
        <w:t>二、公司董事长、独立董事及其他董事履行职责情况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报告期内，公司全体董事均能严格按照《中小企业板块上市公司规范运作指引》</w:t>
      </w:r>
    </w:p>
    <w:p>
      <w:pPr>
        <w:pStyle w:val="BodyText"/>
        <w:spacing w:line="357" w:lineRule="auto"/>
        <w:ind w:right="224"/>
        <w:jc w:val="both"/>
      </w:pPr>
      <w:r>
        <w:rPr>
          <w:spacing w:val="-3"/>
        </w:rPr>
        <w:t>及其他有关法律法规和《公司章程》等规定和要求，恪尽职守、诚实守信地履行职</w:t>
      </w:r>
      <w:r>
        <w:rPr>
          <w:spacing w:val="-100"/>
        </w:rPr>
        <w:t> </w:t>
      </w:r>
      <w:r>
        <w:rPr>
          <w:spacing w:val="-100"/>
        </w:rPr>
      </w:r>
      <w:r>
        <w:rPr/>
        <w:t>责。</w:t>
      </w:r>
    </w:p>
    <w:p>
      <w:pPr>
        <w:pStyle w:val="BodyText"/>
        <w:spacing w:line="357" w:lineRule="auto"/>
        <w:ind w:right="222" w:firstLine="480"/>
        <w:jc w:val="left"/>
      </w:pPr>
      <w:r>
        <w:rPr>
          <w:spacing w:val="-3"/>
        </w:rPr>
        <w:t>各位董事严格遵守有关规定，尽职尽责，切实维护公司及股东特别是社会公众</w:t>
      </w:r>
      <w:r>
        <w:rPr/>
        <w:t> 股股东的利益。</w:t>
      </w:r>
    </w:p>
    <w:p>
      <w:pPr>
        <w:pStyle w:val="BodyText"/>
        <w:spacing w:line="357" w:lineRule="auto"/>
        <w:ind w:right="102" w:firstLine="480"/>
        <w:jc w:val="left"/>
      </w:pPr>
      <w:r>
        <w:rPr>
          <w:spacing w:val="-3"/>
        </w:rPr>
        <w:t>公司董事长严格依照法律法规和《公司章程》的有关规定，积极履行职责，进</w:t>
      </w:r>
      <w:r>
        <w:rPr/>
        <w:t> </w:t>
      </w:r>
      <w:r>
        <w:rPr>
          <w:spacing w:val="-3"/>
        </w:rPr>
        <w:t>一步加强董事会的建设，积极推动公司治理和内部控制的提高和改善，领导董事会</w:t>
      </w:r>
      <w:r>
        <w:rPr>
          <w:spacing w:val="-100"/>
        </w:rPr>
        <w:t> </w:t>
      </w:r>
      <w:r>
        <w:rPr>
          <w:spacing w:val="-100"/>
        </w:rPr>
      </w:r>
      <w:r>
        <w:rPr>
          <w:spacing w:val="-6"/>
        </w:rPr>
        <w:t>全力执行股东大会决议，依法召集、主持董事会会议，积极督促董事会决议的执行，</w:t>
      </w:r>
      <w:r>
        <w:rPr>
          <w:spacing w:val="-106"/>
        </w:rPr>
        <w:t> </w:t>
      </w:r>
      <w:r>
        <w:rPr>
          <w:spacing w:val="-106"/>
        </w:rPr>
      </w:r>
      <w:r>
        <w:rPr/>
        <w:t>确保董事会依法正常运作。</w:t>
      </w:r>
    </w:p>
    <w:p>
      <w:pPr>
        <w:pStyle w:val="BodyText"/>
        <w:spacing w:line="357" w:lineRule="auto"/>
        <w:ind w:right="90" w:firstLine="480"/>
        <w:jc w:val="left"/>
      </w:pPr>
      <w:r>
        <w:rPr>
          <w:spacing w:val="-6"/>
        </w:rPr>
        <w:t>公司三名独立董事均能严格按照《公司章程》和《独立董事工作制度》的规定，</w:t>
      </w:r>
      <w:r>
        <w:rPr/>
        <w:t> </w:t>
      </w:r>
      <w:r>
        <w:rPr>
          <w:spacing w:val="-3"/>
        </w:rPr>
        <w:t>本着对公司和投资者负责的态度，勤勉尽责，认真履行独立董事职责，积极参加相</w:t>
      </w:r>
      <w:r>
        <w:rPr>
          <w:spacing w:val="-99"/>
        </w:rPr>
        <w:t> </w:t>
      </w:r>
      <w:r>
        <w:rPr>
          <w:spacing w:val="-99"/>
        </w:rPr>
      </w:r>
      <w:r>
        <w:rPr>
          <w:spacing w:val="-6"/>
        </w:rPr>
        <w:t>关会议，对公司的重大事项发表自己的独立意见，为公司的生产经营管理出谋划策，</w:t>
      </w:r>
      <w:r>
        <w:rPr>
          <w:spacing w:val="-106"/>
        </w:rPr>
        <w:t> </w:t>
      </w:r>
      <w:r>
        <w:rPr>
          <w:spacing w:val="-106"/>
        </w:rPr>
      </w:r>
      <w:r>
        <w:rPr>
          <w:spacing w:val="-3"/>
        </w:rPr>
        <w:t>对公司的稳定、健康发展发挥了积极作用，切实维护公司及股东特别是社会公众股</w:t>
      </w:r>
      <w:r>
        <w:rPr>
          <w:spacing w:val="-100"/>
        </w:rPr>
        <w:t> </w:t>
      </w:r>
      <w:r>
        <w:rPr>
          <w:spacing w:val="-100"/>
        </w:rPr>
      </w:r>
      <w:r>
        <w:rPr/>
        <w:t>股东的利益。</w:t>
      </w:r>
    </w:p>
    <w:p>
      <w:pPr>
        <w:spacing w:after="0" w:line="357" w:lineRule="auto"/>
        <w:jc w:val="left"/>
        <w:sectPr>
          <w:pgSz w:w="11900" w:h="16840"/>
          <w:pgMar w:header="874" w:footer="983" w:top="1040" w:bottom="1180" w:left="1540" w:right="1440"/>
        </w:sectPr>
      </w:pPr>
    </w:p>
    <w:p>
      <w:pPr>
        <w:spacing w:line="240" w:lineRule="auto" w:before="0"/>
        <w:rPr>
          <w:rFonts w:ascii="宋体" w:hAnsi="宋体" w:cs="宋体" w:eastAsia="宋体" w:hint="default"/>
          <w:sz w:val="20"/>
          <w:szCs w:val="20"/>
        </w:rPr>
      </w:pPr>
    </w:p>
    <w:p>
      <w:pPr>
        <w:spacing w:line="357" w:lineRule="auto" w:before="160"/>
        <w:ind w:left="620" w:right="222" w:hanging="480"/>
        <w:jc w:val="left"/>
        <w:rPr>
          <w:rFonts w:ascii="宋体" w:hAnsi="宋体" w:cs="宋体" w:eastAsia="宋体" w:hint="default"/>
          <w:sz w:val="24"/>
          <w:szCs w:val="24"/>
        </w:rPr>
      </w:pPr>
      <w:r>
        <w:rPr>
          <w:rFonts w:ascii="宋体" w:hAnsi="宋体" w:cs="宋体" w:eastAsia="宋体" w:hint="default"/>
          <w:b/>
          <w:bCs/>
          <w:sz w:val="24"/>
          <w:szCs w:val="24"/>
        </w:rPr>
        <w:t>（一）董事长履行职责情况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公司董事长积极推动公司内部各项制度的制订和完善，加强董事会建设，为各</w:t>
      </w:r>
    </w:p>
    <w:p>
      <w:pPr>
        <w:pStyle w:val="BodyText"/>
        <w:spacing w:line="357" w:lineRule="auto"/>
        <w:ind w:right="120"/>
        <w:jc w:val="left"/>
      </w:pPr>
      <w:r>
        <w:rPr>
          <w:spacing w:val="-3"/>
        </w:rPr>
        <w:t>位董事履行职责创造了良好的工作条件，充分保证了各位董事的知情权，严格董事</w:t>
      </w:r>
      <w:r>
        <w:rPr>
          <w:spacing w:val="-100"/>
        </w:rPr>
        <w:t> </w:t>
      </w:r>
      <w:r>
        <w:rPr>
          <w:spacing w:val="-100"/>
        </w:rPr>
      </w:r>
      <w:r>
        <w:rPr/>
        <w:t>会集体决策机制，全力执行股东大会决议，积极督促执行董事会会议形成的决议。</w:t>
      </w:r>
    </w:p>
    <w:p>
      <w:pPr>
        <w:spacing w:line="240" w:lineRule="auto" w:before="0"/>
        <w:rPr>
          <w:rFonts w:ascii="宋体" w:hAnsi="宋体" w:cs="宋体" w:eastAsia="宋体" w:hint="default"/>
          <w:sz w:val="24"/>
          <w:szCs w:val="24"/>
        </w:rPr>
      </w:pPr>
    </w:p>
    <w:p>
      <w:pPr>
        <w:spacing w:line="357" w:lineRule="auto" w:before="190"/>
        <w:ind w:left="620" w:right="209" w:hanging="480"/>
        <w:jc w:val="left"/>
        <w:rPr>
          <w:rFonts w:ascii="宋体" w:hAnsi="宋体" w:cs="宋体" w:eastAsia="宋体" w:hint="default"/>
          <w:sz w:val="24"/>
          <w:szCs w:val="24"/>
        </w:rPr>
      </w:pPr>
      <w:r>
        <w:rPr>
          <w:rFonts w:ascii="宋体" w:hAnsi="宋体" w:cs="宋体" w:eastAsia="宋体" w:hint="default"/>
          <w:b/>
          <w:bCs/>
          <w:sz w:val="24"/>
          <w:szCs w:val="24"/>
        </w:rPr>
        <w:t>（二）独立董事履行职责情况</w:t>
      </w:r>
      <w:r>
        <w:rPr>
          <w:rFonts w:ascii="宋体" w:hAnsi="宋体" w:cs="宋体" w:eastAsia="宋体" w:hint="default"/>
          <w:b/>
          <w:bCs/>
          <w:w w:val="99"/>
          <w:sz w:val="24"/>
          <w:szCs w:val="24"/>
        </w:rPr>
        <w:t> </w:t>
      </w:r>
      <w:r>
        <w:rPr>
          <w:rFonts w:ascii="宋体" w:hAnsi="宋体" w:cs="宋体" w:eastAsia="宋体" w:hint="default"/>
          <w:spacing w:val="-10"/>
          <w:sz w:val="24"/>
          <w:szCs w:val="24"/>
        </w:rPr>
        <w:t>报告期内，公司独立董事严格按照有关法律、法规和《公司章程》、《公司独立</w:t>
      </w:r>
    </w:p>
    <w:p>
      <w:pPr>
        <w:pStyle w:val="BodyText"/>
        <w:spacing w:line="357" w:lineRule="auto"/>
        <w:ind w:right="120"/>
        <w:jc w:val="left"/>
      </w:pPr>
      <w:r>
        <w:rPr>
          <w:spacing w:val="-3"/>
        </w:rPr>
        <w:t>董事工作制度》的相关规定，认真履行职责，出席相关会议，对各项议案进行认真</w:t>
      </w:r>
      <w:r>
        <w:rPr>
          <w:spacing w:val="-100"/>
        </w:rPr>
        <w:t> </w:t>
      </w:r>
      <w:r>
        <w:rPr>
          <w:spacing w:val="-100"/>
        </w:rPr>
      </w:r>
      <w:r>
        <w:rPr>
          <w:spacing w:val="-3"/>
        </w:rPr>
        <w:t>审议，并依据自己的专业知识和能力做出独立、客观、公正的判断，对报告期内聘</w:t>
      </w:r>
      <w:r>
        <w:rPr>
          <w:spacing w:val="-100"/>
        </w:rPr>
        <w:t> </w:t>
      </w:r>
      <w:r>
        <w:rPr>
          <w:spacing w:val="-100"/>
        </w:rPr>
      </w:r>
      <w:r>
        <w:rPr/>
        <w:t>请高级管理人员、高级管理人员的业绩考核与薪酬决定、公司续聘会计师事务所、 </w:t>
      </w:r>
      <w:r>
        <w:rPr>
          <w:spacing w:val="-3"/>
        </w:rPr>
        <w:t>日常关联交易、对外担保、资金占用等事项发表独立意见，不受公司和公司股东的</w:t>
      </w:r>
      <w:r>
        <w:rPr>
          <w:spacing w:val="-99"/>
        </w:rPr>
        <w:t> </w:t>
      </w:r>
      <w:r>
        <w:rPr>
          <w:spacing w:val="-99"/>
        </w:rPr>
      </w:r>
      <w:r>
        <w:rPr/>
        <w:t>影响，切实维护了公司和中小股东的利益。同时为公司的生产经营管理出谋划策， 对公司的稳定、健康发展发挥了积极的作用。</w:t>
      </w:r>
    </w:p>
    <w:p>
      <w:pPr>
        <w:pStyle w:val="BodyText"/>
        <w:spacing w:line="357" w:lineRule="auto"/>
        <w:ind w:right="224" w:firstLine="480"/>
        <w:jc w:val="both"/>
      </w:pPr>
      <w:r>
        <w:rPr>
          <w:spacing w:val="-3"/>
        </w:rPr>
        <w:t>报告期内，公司各位独立董事对董事会各项议案及公司其他事项均没有提出异</w:t>
      </w:r>
      <w:r>
        <w:rPr/>
        <w:t> 议。</w:t>
      </w:r>
    </w:p>
    <w:p>
      <w:pPr>
        <w:spacing w:line="357" w:lineRule="auto" w:before="36"/>
        <w:ind w:left="620" w:right="216" w:hanging="480"/>
        <w:jc w:val="left"/>
        <w:rPr>
          <w:rFonts w:ascii="宋体" w:hAnsi="宋体" w:cs="宋体" w:eastAsia="宋体" w:hint="default"/>
          <w:sz w:val="24"/>
          <w:szCs w:val="24"/>
        </w:rPr>
      </w:pPr>
      <w:r>
        <w:rPr>
          <w:rFonts w:ascii="宋体" w:hAnsi="宋体" w:cs="宋体" w:eastAsia="宋体" w:hint="default"/>
          <w:b/>
          <w:bCs/>
          <w:sz w:val="24"/>
          <w:szCs w:val="24"/>
        </w:rPr>
        <w:t>（三）董事履行职责情况</w:t>
      </w:r>
      <w:r>
        <w:rPr>
          <w:rFonts w:ascii="宋体" w:hAnsi="宋体" w:cs="宋体" w:eastAsia="宋体" w:hint="default"/>
          <w:b/>
          <w:bCs/>
          <w:w w:val="99"/>
          <w:sz w:val="24"/>
          <w:szCs w:val="24"/>
        </w:rPr>
        <w:t> </w:t>
      </w:r>
      <w:r>
        <w:rPr>
          <w:rFonts w:ascii="宋体" w:hAnsi="宋体" w:cs="宋体" w:eastAsia="宋体" w:hint="default"/>
          <w:spacing w:val="-16"/>
          <w:sz w:val="24"/>
          <w:szCs w:val="24"/>
        </w:rPr>
        <w:t>报告期内，公司全体董事能够严格按照《公司法》、《公司章程》、《深圳证券交</w:t>
      </w:r>
    </w:p>
    <w:p>
      <w:pPr>
        <w:pStyle w:val="BodyText"/>
        <w:spacing w:line="357" w:lineRule="auto"/>
        <w:ind w:right="102"/>
        <w:jc w:val="left"/>
      </w:pPr>
      <w:r>
        <w:rPr>
          <w:spacing w:val="-3"/>
        </w:rPr>
        <w:t>易所股票上市规则》及《深圳证券交易所中小企业板上市公司规范运作指引》的等</w:t>
      </w:r>
      <w:r>
        <w:rPr>
          <w:spacing w:val="-99"/>
        </w:rPr>
        <w:t> </w:t>
      </w:r>
      <w:r>
        <w:rPr>
          <w:spacing w:val="-99"/>
        </w:rPr>
      </w:r>
      <w:r>
        <w:rPr>
          <w:spacing w:val="-3"/>
        </w:rPr>
        <w:t>规范性文件的规定，诚实守信、勤勉尽责的履行职责，积极出席报告期内的董事会</w:t>
      </w:r>
      <w:r>
        <w:rPr>
          <w:spacing w:val="-99"/>
        </w:rPr>
        <w:t> </w:t>
      </w:r>
      <w:r>
        <w:rPr>
          <w:spacing w:val="-99"/>
        </w:rPr>
      </w:r>
      <w:r>
        <w:rPr>
          <w:spacing w:val="-6"/>
        </w:rPr>
        <w:t>会议和股东大会，对各项议案进行认真审议和表决，切实行使董事权利和履行义务，</w:t>
      </w:r>
      <w:r>
        <w:rPr>
          <w:spacing w:val="-106"/>
        </w:rPr>
        <w:t> </w:t>
      </w:r>
      <w:r>
        <w:rPr>
          <w:spacing w:val="-106"/>
        </w:rPr>
      </w:r>
      <w:r>
        <w:rPr>
          <w:spacing w:val="-6"/>
        </w:rPr>
        <w:t>严格执行股东大会的决议，维护公司整体利益，保护中小股东的合法权益不受损害。</w:t>
      </w:r>
    </w:p>
    <w:p>
      <w:pPr>
        <w:pStyle w:val="BodyText"/>
        <w:spacing w:line="357" w:lineRule="auto"/>
        <w:ind w:right="224" w:firstLine="475"/>
        <w:jc w:val="both"/>
      </w:pPr>
      <w:r>
        <w:rPr>
          <w:spacing w:val="-3"/>
        </w:rPr>
        <w:t>报告期内，公司董事、监事及高管积极参加了中国证监会上海监管局、深圳证</w:t>
      </w:r>
      <w:r>
        <w:rPr/>
        <w:t> </w:t>
      </w:r>
      <w:r>
        <w:rPr>
          <w:spacing w:val="-3"/>
        </w:rPr>
        <w:t>券交易所组织的董事监事培训班、财务总监培训班、董事会秘书培训班，提高了规</w:t>
      </w:r>
      <w:r>
        <w:rPr>
          <w:spacing w:val="-99"/>
        </w:rPr>
        <w:t> </w:t>
      </w:r>
      <w:r>
        <w:rPr>
          <w:spacing w:val="-99"/>
        </w:rPr>
      </w:r>
      <w:r>
        <w:rPr/>
        <w:t>范运作的水平。</w:t>
      </w:r>
    </w:p>
    <w:p>
      <w:pPr>
        <w:pStyle w:val="BodyText"/>
        <w:spacing w:line="357" w:lineRule="auto"/>
        <w:ind w:right="224" w:firstLine="475"/>
        <w:jc w:val="both"/>
      </w:pPr>
      <w:r>
        <w:rPr>
          <w:spacing w:val="-3"/>
        </w:rPr>
        <w:t>报告期内，董事、监事及高管积极参加了中国证监会上海监管局组织的董事培</w:t>
      </w:r>
      <w:r>
        <w:rPr/>
        <w:t> 训班学习，提高了规范运作水平。</w:t>
      </w:r>
    </w:p>
    <w:p>
      <w:pPr>
        <w:spacing w:after="0" w:line="357" w:lineRule="auto"/>
        <w:jc w:val="both"/>
        <w:sectPr>
          <w:pgSz w:w="11900" w:h="16840"/>
          <w:pgMar w:header="874" w:footer="983" w:top="1040" w:bottom="1180" w:left="1540" w:right="1440"/>
        </w:sectPr>
      </w:pPr>
    </w:p>
    <w:p>
      <w:pPr>
        <w:spacing w:line="240" w:lineRule="auto" w:before="0"/>
        <w:rPr>
          <w:rFonts w:ascii="宋体" w:hAnsi="宋体" w:cs="宋体" w:eastAsia="宋体" w:hint="default"/>
          <w:sz w:val="20"/>
          <w:szCs w:val="20"/>
        </w:rPr>
      </w:pPr>
    </w:p>
    <w:p>
      <w:pPr>
        <w:pStyle w:val="Heading3"/>
        <w:spacing w:line="240" w:lineRule="auto" w:before="160"/>
        <w:ind w:left="400" w:right="502"/>
        <w:jc w:val="left"/>
        <w:rPr>
          <w:b w:val="0"/>
          <w:bCs w:val="0"/>
        </w:rPr>
      </w:pPr>
      <w:r>
        <w:rPr/>
        <w:t>（四）报告期内，董事出席董事会会议情况</w:t>
      </w:r>
      <w:r>
        <w:rPr>
          <w:b w:val="0"/>
          <w:bCs w:val="0"/>
        </w:rPr>
      </w:r>
    </w:p>
    <w:p>
      <w:pPr>
        <w:spacing w:line="240" w:lineRule="auto" w:before="11"/>
        <w:rPr>
          <w:rFonts w:ascii="宋体" w:hAnsi="宋体" w:cs="宋体" w:eastAsia="宋体" w:hint="default"/>
          <w:b/>
          <w:bCs/>
          <w:sz w:val="8"/>
          <w:szCs w:val="8"/>
        </w:rPr>
      </w:pPr>
    </w:p>
    <w:tbl>
      <w:tblPr>
        <w:tblW w:w="0" w:type="auto"/>
        <w:jc w:val="left"/>
        <w:tblInd w:w="111" w:type="dxa"/>
        <w:tblLayout w:type="fixed"/>
        <w:tblCellMar>
          <w:top w:w="0" w:type="dxa"/>
          <w:left w:w="0" w:type="dxa"/>
          <w:bottom w:w="0" w:type="dxa"/>
          <w:right w:w="0" w:type="dxa"/>
        </w:tblCellMar>
        <w:tblLook w:val="01E0"/>
      </w:tblPr>
      <w:tblGrid>
        <w:gridCol w:w="1277"/>
        <w:gridCol w:w="1701"/>
        <w:gridCol w:w="759"/>
        <w:gridCol w:w="826"/>
        <w:gridCol w:w="972"/>
        <w:gridCol w:w="852"/>
        <w:gridCol w:w="629"/>
        <w:gridCol w:w="1164"/>
        <w:gridCol w:w="1034"/>
      </w:tblGrid>
      <w:tr>
        <w:trPr>
          <w:trHeight w:val="945" w:hRule="exact"/>
        </w:trPr>
        <w:tc>
          <w:tcPr>
            <w:tcW w:w="12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7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7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163" w:right="55"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spacing w:val="-102"/>
                <w:sz w:val="21"/>
                <w:szCs w:val="21"/>
              </w:rPr>
              <w:t> </w:t>
            </w:r>
            <w:r>
              <w:rPr>
                <w:rFonts w:ascii="宋体" w:hAnsi="宋体" w:cs="宋体" w:eastAsia="宋体" w:hint="default"/>
                <w:sz w:val="21"/>
                <w:szCs w:val="21"/>
              </w:rPr>
              <w:t>次数</w:t>
            </w:r>
          </w:p>
        </w:tc>
        <w:tc>
          <w:tcPr>
            <w:tcW w:w="8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91" w:right="89"/>
              <w:jc w:val="left"/>
              <w:rPr>
                <w:rFonts w:ascii="宋体" w:hAnsi="宋体" w:cs="宋体" w:eastAsia="宋体" w:hint="default"/>
                <w:sz w:val="21"/>
                <w:szCs w:val="21"/>
              </w:rPr>
            </w:pPr>
            <w:r>
              <w:rPr>
                <w:rFonts w:ascii="宋体" w:hAnsi="宋体" w:cs="宋体" w:eastAsia="宋体" w:hint="default"/>
                <w:sz w:val="21"/>
                <w:szCs w:val="21"/>
              </w:rPr>
              <w:t>现场出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59" w:right="58"/>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w w:val="100"/>
                <w:sz w:val="21"/>
                <w:szCs w:val="21"/>
              </w:rPr>
              <w:t> </w:t>
            </w:r>
            <w:r>
              <w:rPr>
                <w:rFonts w:ascii="宋体" w:hAnsi="宋体" w:cs="宋体" w:eastAsia="宋体" w:hint="default"/>
                <w:sz w:val="21"/>
                <w:szCs w:val="21"/>
              </w:rPr>
              <w:t>式参加会</w:t>
            </w:r>
            <w:r>
              <w:rPr>
                <w:rFonts w:ascii="宋体" w:hAnsi="宋体" w:cs="宋体" w:eastAsia="宋体" w:hint="default"/>
                <w:w w:val="100"/>
                <w:sz w:val="21"/>
                <w:szCs w:val="21"/>
              </w:rPr>
              <w:t> </w:t>
            </w:r>
            <w:r>
              <w:rPr>
                <w:rFonts w:ascii="宋体" w:hAnsi="宋体" w:cs="宋体" w:eastAsia="宋体" w:hint="default"/>
                <w:sz w:val="21"/>
                <w:szCs w:val="21"/>
              </w:rPr>
              <w:t>议次数</w:t>
            </w:r>
          </w:p>
        </w:tc>
        <w:tc>
          <w:tcPr>
            <w:tcW w:w="8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103" w:right="103"/>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6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100" w:right="9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116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50" w:right="48"/>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次未亲自出</w:t>
            </w:r>
            <w:r>
              <w:rPr>
                <w:rFonts w:ascii="宋体" w:hAnsi="宋体" w:cs="宋体" w:eastAsia="宋体" w:hint="default"/>
                <w:w w:val="100"/>
                <w:sz w:val="21"/>
                <w:szCs w:val="21"/>
              </w:rPr>
              <w:t> </w:t>
            </w:r>
            <w:r>
              <w:rPr>
                <w:rFonts w:ascii="宋体" w:hAnsi="宋体" w:cs="宋体" w:eastAsia="宋体" w:hint="default"/>
                <w:sz w:val="21"/>
                <w:szCs w:val="21"/>
              </w:rPr>
              <w:t>席会议</w:t>
            </w:r>
          </w:p>
        </w:tc>
        <w:tc>
          <w:tcPr>
            <w:tcW w:w="10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包叔平</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唐长钧</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潘世雷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 w:right="0"/>
              <w:jc w:val="left"/>
              <w:rPr>
                <w:rFonts w:ascii="宋体" w:hAnsi="宋体" w:cs="宋体" w:eastAsia="宋体" w:hint="default"/>
                <w:sz w:val="21"/>
                <w:szCs w:val="21"/>
              </w:rPr>
            </w:pPr>
            <w:r>
              <w:rPr>
                <w:rFonts w:ascii="宋体" w:hAnsi="宋体" w:cs="宋体" w:eastAsia="宋体" w:hint="default"/>
                <w:sz w:val="21"/>
                <w:szCs w:val="21"/>
              </w:rPr>
              <w:t>陆庆</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朱玉旭</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张怡方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何积丰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陈乐波</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新当选</w:t>
            </w:r>
          </w:p>
        </w:tc>
      </w:tr>
      <w:tr>
        <w:trPr>
          <w:trHeight w:val="32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高美萍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干春晖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届满离任</w:t>
            </w:r>
          </w:p>
        </w:tc>
      </w:tr>
    </w:tbl>
    <w:p>
      <w:pPr>
        <w:spacing w:line="273" w:lineRule="auto" w:before="0"/>
        <w:ind w:left="400" w:right="502" w:firstLine="0"/>
        <w:jc w:val="left"/>
        <w:rPr>
          <w:rFonts w:ascii="宋体" w:hAnsi="宋体" w:cs="宋体" w:eastAsia="宋体" w:hint="default"/>
          <w:sz w:val="21"/>
          <w:szCs w:val="21"/>
        </w:rPr>
      </w:pPr>
      <w:r>
        <w:rPr>
          <w:rFonts w:ascii="宋体" w:hAnsi="宋体" w:cs="宋体" w:eastAsia="宋体" w:hint="default"/>
          <w:spacing w:val="-3"/>
          <w:sz w:val="21"/>
          <w:szCs w:val="21"/>
        </w:rPr>
        <w:t>注：董事陆庆先生因病未出席第四届董事会第三次、第四次董事会，均书面委托董事长包叔平</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先生代为出席会议并代为行使投票表决权。</w:t>
      </w:r>
    </w:p>
    <w:tbl>
      <w:tblPr>
        <w:tblW w:w="0" w:type="auto"/>
        <w:jc w:val="left"/>
        <w:tblInd w:w="111" w:type="dxa"/>
        <w:tblLayout w:type="fixed"/>
        <w:tblCellMar>
          <w:top w:w="0" w:type="dxa"/>
          <w:left w:w="0" w:type="dxa"/>
          <w:bottom w:w="0" w:type="dxa"/>
          <w:right w:w="0" w:type="dxa"/>
        </w:tblCellMar>
        <w:tblLook w:val="01E0"/>
      </w:tblPr>
      <w:tblGrid>
        <w:gridCol w:w="3273"/>
        <w:gridCol w:w="5955"/>
      </w:tblGrid>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7</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5</w:t>
            </w:r>
          </w:p>
        </w:tc>
      </w:tr>
      <w:tr>
        <w:trPr>
          <w:trHeight w:val="322" w:hRule="exact"/>
        </w:trPr>
        <w:tc>
          <w:tcPr>
            <w:tcW w:w="327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2</w:t>
            </w: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357" w:lineRule="auto" w:before="26"/>
        <w:ind w:left="880" w:right="502" w:hanging="48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公司无控股股东，公司在业务、人员、资产、机构及财务等方面完全独立，不</w:t>
      </w:r>
    </w:p>
    <w:p>
      <w:pPr>
        <w:pStyle w:val="BodyText"/>
        <w:spacing w:line="357" w:lineRule="auto"/>
        <w:ind w:left="400" w:right="503"/>
        <w:jc w:val="both"/>
      </w:pPr>
      <w:r>
        <w:rPr>
          <w:spacing w:val="-3"/>
        </w:rPr>
        <w:t>存在公司与控股股东在业务、人员、资产、机构、财务等方面的问题。同时公司的</w:t>
      </w:r>
      <w:r>
        <w:rPr>
          <w:spacing w:val="-100"/>
        </w:rPr>
        <w:t> </w:t>
      </w:r>
      <w:r>
        <w:rPr>
          <w:spacing w:val="-100"/>
        </w:rPr>
      </w:r>
      <w:r>
        <w:rPr>
          <w:spacing w:val="3"/>
        </w:rPr>
        <w:t>股东及其关联公司除因正常业务往来而发生经营性占用外未以其他任何形式占用</w:t>
      </w:r>
      <w:r>
        <w:rPr>
          <w:spacing w:val="-96"/>
        </w:rPr>
        <w:t> </w:t>
      </w:r>
      <w:r>
        <w:rPr>
          <w:spacing w:val="-96"/>
        </w:rPr>
      </w:r>
      <w:r>
        <w:rPr/>
        <w:t>公司的货币资金或其他资产。</w:t>
      </w:r>
    </w:p>
    <w:p>
      <w:pPr>
        <w:spacing w:line="240" w:lineRule="auto" w:before="0"/>
        <w:rPr>
          <w:rFonts w:ascii="宋体" w:hAnsi="宋体" w:cs="宋体" w:eastAsia="宋体" w:hint="default"/>
          <w:sz w:val="24"/>
          <w:szCs w:val="24"/>
        </w:rPr>
      </w:pPr>
    </w:p>
    <w:p>
      <w:pPr>
        <w:spacing w:line="357" w:lineRule="auto" w:before="190"/>
        <w:ind w:left="880" w:right="502" w:hanging="480"/>
        <w:jc w:val="left"/>
        <w:rPr>
          <w:rFonts w:ascii="宋体" w:hAnsi="宋体" w:cs="宋体" w:eastAsia="宋体" w:hint="default"/>
          <w:sz w:val="24"/>
          <w:szCs w:val="24"/>
        </w:rPr>
      </w:pPr>
      <w:r>
        <w:rPr>
          <w:rFonts w:ascii="宋体" w:hAnsi="宋体" w:cs="宋体" w:eastAsia="宋体" w:hint="default"/>
          <w:b/>
          <w:bCs/>
          <w:sz w:val="24"/>
          <w:szCs w:val="24"/>
        </w:rPr>
        <w:t>四、公司内部控制制度的建立和健全情况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公司根据财政部《企业内部控制基本规范》和《深圳证券交易所中小企业板上</w:t>
      </w:r>
    </w:p>
    <w:p>
      <w:pPr>
        <w:pStyle w:val="BodyText"/>
        <w:spacing w:line="357" w:lineRule="auto"/>
        <w:ind w:left="400" w:right="382"/>
        <w:jc w:val="left"/>
      </w:pPr>
      <w:r>
        <w:rPr>
          <w:spacing w:val="-3"/>
        </w:rPr>
        <w:t>市公司规范运作指引》等相关规定要求，制定了符合本公司实际情况的内部控制制</w:t>
      </w:r>
      <w:r>
        <w:rPr>
          <w:spacing w:val="-100"/>
        </w:rPr>
        <w:t> </w:t>
      </w:r>
      <w:r>
        <w:rPr>
          <w:spacing w:val="-100"/>
        </w:rPr>
      </w:r>
      <w:r>
        <w:rPr>
          <w:spacing w:val="-3"/>
        </w:rPr>
        <w:t>度，完善符合现代管理要求的组织结构，形成科学的监督机制、决策机制和执行机</w:t>
      </w:r>
      <w:r>
        <w:rPr>
          <w:spacing w:val="-99"/>
        </w:rPr>
        <w:t> </w:t>
      </w:r>
      <w:r>
        <w:rPr>
          <w:spacing w:val="-99"/>
        </w:rPr>
      </w:r>
      <w:r>
        <w:rPr>
          <w:spacing w:val="-6"/>
        </w:rPr>
        <w:t>制，确保本公司经营管理目标的实现；建立起有效的风险控制系统，强化风险管理，</w:t>
      </w:r>
      <w:r>
        <w:rPr>
          <w:spacing w:val="-108"/>
        </w:rPr>
        <w:t> </w:t>
      </w:r>
      <w:r>
        <w:rPr>
          <w:spacing w:val="-108"/>
        </w:rPr>
      </w:r>
      <w:r>
        <w:rPr>
          <w:spacing w:val="-6"/>
        </w:rPr>
        <w:t>避免或降低各种风险，保证本公司业务活动的健康稳定运行；规范本公司会计行为，</w:t>
      </w:r>
      <w:r>
        <w:rPr>
          <w:spacing w:val="-106"/>
        </w:rPr>
        <w:t> </w:t>
      </w:r>
      <w:r>
        <w:rPr>
          <w:spacing w:val="-106"/>
        </w:rPr>
      </w:r>
      <w:r>
        <w:rPr>
          <w:spacing w:val="-3"/>
        </w:rPr>
        <w:t>保证会计资料真实、完整、可靠，提高会计信息质量；防止并及时发现和纠正各种</w:t>
      </w:r>
      <w:r>
        <w:rPr>
          <w:spacing w:val="-100"/>
        </w:rPr>
        <w:t> </w:t>
      </w:r>
      <w:r>
        <w:rPr>
          <w:spacing w:val="-100"/>
        </w:rPr>
      </w:r>
      <w:r>
        <w:rPr>
          <w:spacing w:val="-3"/>
        </w:rPr>
        <w:t>错误、舞弊行为，保证本公司财产的安全完整；确保国家有关法律法规和规章制度</w:t>
      </w:r>
    </w:p>
    <w:p>
      <w:pPr>
        <w:spacing w:after="0" w:line="357" w:lineRule="auto"/>
        <w:jc w:val="left"/>
        <w:sectPr>
          <w:pgSz w:w="11900" w:h="16840"/>
          <w:pgMar w:header="874" w:footer="983" w:top="1040" w:bottom="1180" w:left="1280" w:right="1160"/>
        </w:sectPr>
      </w:pPr>
    </w:p>
    <w:p>
      <w:pPr>
        <w:spacing w:line="240" w:lineRule="auto" w:before="0"/>
        <w:rPr>
          <w:rFonts w:ascii="宋体" w:hAnsi="宋体" w:cs="宋体" w:eastAsia="宋体" w:hint="default"/>
          <w:sz w:val="20"/>
          <w:szCs w:val="20"/>
        </w:rPr>
      </w:pPr>
    </w:p>
    <w:p>
      <w:pPr>
        <w:pStyle w:val="BodyText"/>
        <w:spacing w:line="357" w:lineRule="auto" w:before="160"/>
        <w:ind w:right="102"/>
        <w:jc w:val="left"/>
      </w:pPr>
      <w:r>
        <w:rPr/>
        <w:t>及本公司内部控制制度的贯彻执行。针对业务处理中的关键控制点，落实到决策、 </w:t>
      </w:r>
      <w:r>
        <w:rPr>
          <w:spacing w:val="-3"/>
        </w:rPr>
        <w:t>执行、监督、反馈等各个环节，覆盖内部各部门、各岗位和各项经济业务；内部控</w:t>
      </w:r>
      <w:r>
        <w:rPr>
          <w:spacing w:val="-97"/>
        </w:rPr>
        <w:t> </w:t>
      </w:r>
      <w:r>
        <w:rPr>
          <w:spacing w:val="-97"/>
        </w:rPr>
      </w:r>
      <w:r>
        <w:rPr>
          <w:spacing w:val="-6"/>
        </w:rPr>
        <w:t>制确保本公司各机构、各岗位及其职责权限的合理设置分工，权责分明、相互制约、</w:t>
      </w:r>
      <w:r>
        <w:rPr>
          <w:spacing w:val="-108"/>
        </w:rPr>
        <w:t> </w:t>
      </w:r>
      <w:r>
        <w:rPr>
          <w:spacing w:val="-108"/>
        </w:rPr>
      </w:r>
      <w:r>
        <w:rPr>
          <w:spacing w:val="-3"/>
        </w:rPr>
        <w:t>相互监督；内部控制随着管理要求的提高、环境的变化和业务的调整，将持续地加</w:t>
      </w:r>
      <w:r>
        <w:rPr>
          <w:spacing w:val="-99"/>
        </w:rPr>
        <w:t> </w:t>
      </w:r>
      <w:r>
        <w:rPr>
          <w:spacing w:val="-99"/>
        </w:rPr>
      </w:r>
      <w:r>
        <w:rPr/>
        <w:t>以完善。</w:t>
      </w:r>
    </w:p>
    <w:p>
      <w:pPr>
        <w:pStyle w:val="Heading3"/>
        <w:spacing w:line="240" w:lineRule="auto" w:before="36"/>
        <w:ind w:right="209"/>
        <w:jc w:val="left"/>
        <w:rPr>
          <w:b w:val="0"/>
          <w:bCs w:val="0"/>
        </w:rPr>
      </w:pPr>
      <w:r>
        <w:rPr/>
        <w:t>（一）公司主要内部控制的具体实施</w:t>
      </w:r>
      <w:r>
        <w:rPr>
          <w:b w:val="0"/>
          <w:bCs w:val="0"/>
        </w:rPr>
      </w:r>
    </w:p>
    <w:p>
      <w:pPr>
        <w:pStyle w:val="BodyText"/>
        <w:spacing w:line="357" w:lineRule="auto" w:before="154"/>
        <w:ind w:left="620" w:right="222" w:hanging="480"/>
        <w:jc w:val="left"/>
      </w:pPr>
      <w:r>
        <w:rPr/>
        <w:t>（1）货币资金管理的内部控制 </w:t>
      </w:r>
      <w:r>
        <w:rPr>
          <w:spacing w:val="-3"/>
        </w:rPr>
        <w:t>公司已对货币资金的收支和保管业务建立了严格的授权批准程序，办理货币资</w:t>
      </w:r>
    </w:p>
    <w:p>
      <w:pPr>
        <w:pStyle w:val="BodyText"/>
        <w:spacing w:line="357" w:lineRule="auto"/>
        <w:ind w:right="223"/>
        <w:jc w:val="both"/>
      </w:pPr>
      <w:r>
        <w:rPr>
          <w:spacing w:val="-3"/>
        </w:rPr>
        <w:t>金业务的不相容岗位已作分离，相关机构和人员存在相互制约关系。公司已按国务</w:t>
      </w:r>
      <w:r>
        <w:rPr>
          <w:spacing w:val="-100"/>
        </w:rPr>
        <w:t> </w:t>
      </w:r>
      <w:r>
        <w:rPr>
          <w:spacing w:val="-100"/>
        </w:rPr>
      </w:r>
      <w:r>
        <w:rPr>
          <w:spacing w:val="-9"/>
        </w:rPr>
        <w:t>院《现金管理暂行条例》和财政部《内部会计控制规范—货币资金（试行）》，明确</w:t>
      </w:r>
      <w:r>
        <w:rPr>
          <w:spacing w:val="-112"/>
        </w:rPr>
        <w:t> </w:t>
      </w:r>
      <w:r>
        <w:rPr>
          <w:spacing w:val="-112"/>
        </w:rPr>
      </w:r>
      <w:r>
        <w:rPr>
          <w:spacing w:val="-3"/>
        </w:rPr>
        <w:t>了现金的使用范围及办理现金收支业务时应遵守的规定，已按中国人民银行《支付</w:t>
      </w:r>
      <w:r>
        <w:rPr>
          <w:spacing w:val="-100"/>
        </w:rPr>
        <w:t> </w:t>
      </w:r>
      <w:r>
        <w:rPr>
          <w:spacing w:val="-100"/>
        </w:rPr>
      </w:r>
      <w:r>
        <w:rPr/>
        <w:t>结算办法》及有关规定制定了银行存款的结算程序。</w:t>
      </w:r>
    </w:p>
    <w:p>
      <w:pPr>
        <w:pStyle w:val="BodyText"/>
        <w:spacing w:line="357" w:lineRule="auto"/>
        <w:ind w:left="620" w:right="222" w:hanging="480"/>
        <w:jc w:val="left"/>
      </w:pPr>
      <w:r>
        <w:rPr/>
        <w:t>（2）采购与付款的内部控制 </w:t>
      </w:r>
      <w:r>
        <w:rPr>
          <w:spacing w:val="-3"/>
        </w:rPr>
        <w:t>公司已较合理地计划和设立了采购与付款业务的机构和岗位。明确了存货的请</w:t>
      </w:r>
    </w:p>
    <w:p>
      <w:pPr>
        <w:pStyle w:val="BodyText"/>
        <w:spacing w:line="357" w:lineRule="auto"/>
        <w:ind w:right="224"/>
        <w:jc w:val="both"/>
      </w:pPr>
      <w:r>
        <w:rPr>
          <w:spacing w:val="-3"/>
        </w:rPr>
        <w:t>购、审批、采购、验收程序。应付账款和预付账款的支付必须在相关手续齐备后才</w:t>
      </w:r>
      <w:r>
        <w:rPr>
          <w:spacing w:val="-100"/>
        </w:rPr>
        <w:t> </w:t>
      </w:r>
      <w:r>
        <w:rPr>
          <w:spacing w:val="-100"/>
        </w:rPr>
      </w:r>
      <w:r>
        <w:rPr/>
        <w:t>能办理。本公司在采购与付款的控制方面没有重大漏洞。</w:t>
      </w:r>
    </w:p>
    <w:p>
      <w:pPr>
        <w:pStyle w:val="BodyText"/>
        <w:spacing w:line="357" w:lineRule="auto"/>
        <w:ind w:left="620" w:right="222" w:hanging="480"/>
        <w:jc w:val="left"/>
      </w:pPr>
      <w:r>
        <w:rPr/>
        <w:t>（3）生产的内部控制 </w:t>
      </w:r>
      <w:r>
        <w:rPr>
          <w:spacing w:val="-3"/>
        </w:rPr>
        <w:t>公司主营业务为软件外包服务业务，服务质量为企业生命。软件服务应该与软</w:t>
      </w:r>
    </w:p>
    <w:p>
      <w:pPr>
        <w:pStyle w:val="BodyText"/>
        <w:spacing w:line="357" w:lineRule="auto"/>
        <w:ind w:right="199"/>
        <w:jc w:val="both"/>
      </w:pPr>
      <w:r>
        <w:rPr>
          <w:spacing w:val="-3"/>
        </w:rPr>
        <w:t>件本身同步，即软件服务是贯穿于软件项目整个生命周期的完整过程。软件的价值</w:t>
      </w:r>
      <w:r>
        <w:rPr>
          <w:spacing w:val="-100"/>
        </w:rPr>
        <w:t> </w:t>
      </w:r>
      <w:r>
        <w:rPr>
          <w:spacing w:val="-100"/>
        </w:rPr>
      </w:r>
      <w:r>
        <w:rPr>
          <w:spacing w:val="-3"/>
        </w:rPr>
        <w:t>在于创造客户价值，外包软件项目供应者和项目所有者的关系从根本上是联盟的关</w:t>
      </w:r>
      <w:r>
        <w:rPr>
          <w:spacing w:val="-99"/>
        </w:rPr>
        <w:t> </w:t>
      </w:r>
      <w:r>
        <w:rPr>
          <w:spacing w:val="-99"/>
        </w:rPr>
      </w:r>
      <w:r>
        <w:rPr>
          <w:spacing w:val="-3"/>
        </w:rPr>
        <w:t>系。公司制定了《服务质量反馈及投诉快速反应机制》，公司认为软件就是服务，</w:t>
      </w:r>
      <w:r>
        <w:rPr>
          <w:spacing w:val="-107"/>
        </w:rPr>
        <w:t> </w:t>
      </w:r>
      <w:r>
        <w:rPr>
          <w:spacing w:val="-107"/>
        </w:rPr>
      </w:r>
      <w:r>
        <w:rPr>
          <w:spacing w:val="-3"/>
        </w:rPr>
        <w:t>软件的生命从根本上来源于服务，来源于使用者。公司积极与国际接轨，学习国际</w:t>
      </w:r>
      <w:r>
        <w:rPr>
          <w:spacing w:val="-99"/>
        </w:rPr>
        <w:t> </w:t>
      </w:r>
      <w:r>
        <w:rPr>
          <w:spacing w:val="-99"/>
        </w:rPr>
      </w:r>
      <w:r>
        <w:rPr/>
        <w:t>先进软件质量管理经验，公司于</w:t>
      </w:r>
      <w:r>
        <w:rPr>
          <w:spacing w:val="-60"/>
        </w:rPr>
        <w:t> </w:t>
      </w:r>
      <w:r>
        <w:rPr/>
        <w:t>2009</w:t>
      </w:r>
      <w:r>
        <w:rPr>
          <w:spacing w:val="-60"/>
        </w:rPr>
        <w:t> </w:t>
      </w:r>
      <w:r>
        <w:rPr/>
        <w:t>年起启动面向</w:t>
      </w:r>
      <w:r>
        <w:rPr>
          <w:spacing w:val="-60"/>
        </w:rPr>
        <w:t> </w:t>
      </w:r>
      <w:r>
        <w:rPr/>
        <w:t>CMMI（软件成熟度模型集成）</w:t>
      </w:r>
      <w:r>
        <w:rPr/>
        <w:t> 四级的成熟度改进活动，经过近两年切实有效地推进，2010</w:t>
      </w:r>
      <w:r>
        <w:rPr>
          <w:spacing w:val="-69"/>
        </w:rPr>
        <w:t> </w:t>
      </w:r>
      <w:r>
        <w:rPr/>
        <w:t>年</w:t>
      </w:r>
      <w:r>
        <w:rPr>
          <w:spacing w:val="-69"/>
        </w:rPr>
        <w:t> </w:t>
      </w:r>
      <w:r>
        <w:rPr/>
        <w:t>10</w:t>
      </w:r>
      <w:r>
        <w:rPr>
          <w:spacing w:val="-69"/>
        </w:rPr>
        <w:t> </w:t>
      </w:r>
      <w:r>
        <w:rPr/>
        <w:t>月美国卡内基梅</w:t>
      </w:r>
      <w:r>
        <w:rPr/>
        <w:t> 隆大学</w:t>
      </w:r>
      <w:r>
        <w:rPr>
          <w:spacing w:val="-80"/>
        </w:rPr>
        <w:t> </w:t>
      </w:r>
      <w:r>
        <w:rPr/>
        <w:t>SEI（软件工程研究所）认证的主任评估师对公司进行现场评估，宣布公司</w:t>
      </w:r>
      <w:r>
        <w:rPr/>
        <w:t> 获得了 CMMI</w:t>
      </w:r>
      <w:r>
        <w:rPr>
          <w:spacing w:val="-88"/>
        </w:rPr>
        <w:t> </w:t>
      </w:r>
      <w:r>
        <w:rPr/>
        <w:t>四级能力成熟度等级。公司认为企业提供给用户的，归根结底就是各</w:t>
      </w:r>
      <w:r>
        <w:rPr/>
        <w:t> </w:t>
      </w:r>
      <w:r>
        <w:rPr>
          <w:spacing w:val="-3"/>
        </w:rPr>
        <w:t>种各样的服务。一直以来公司在软件外包的业务过程中给予合作方的服务触及了项</w:t>
      </w:r>
      <w:r>
        <w:rPr>
          <w:spacing w:val="-99"/>
        </w:rPr>
        <w:t> </w:t>
      </w:r>
      <w:r>
        <w:rPr>
          <w:spacing w:val="-99"/>
        </w:rPr>
      </w:r>
      <w:r>
        <w:rPr/>
        <w:t>目的方方面面，将纯粹的技术结果延伸到长期的体贴的技术服务过程中。</w:t>
      </w:r>
      <w:r>
        <w:rPr>
          <w:spacing w:val="20"/>
        </w:rPr>
        <w:t> </w:t>
      </w:r>
      <w:r>
        <w:rPr/>
        <w:t>项目成</w:t>
      </w:r>
      <w:r>
        <w:rPr>
          <w:spacing w:val="-115"/>
        </w:rPr>
        <w:t> </w:t>
      </w:r>
      <w:r>
        <w:rPr>
          <w:spacing w:val="-115"/>
        </w:rPr>
      </w:r>
      <w:r>
        <w:rPr>
          <w:spacing w:val="-3"/>
        </w:rPr>
        <w:t>功的根本标志是客户满意，它贯穿软件项目的售前、售中和售后全过程。公司认为</w:t>
      </w:r>
    </w:p>
    <w:p>
      <w:pPr>
        <w:spacing w:after="0" w:line="357" w:lineRule="auto"/>
        <w:jc w:val="both"/>
        <w:sectPr>
          <w:pgSz w:w="11900" w:h="16840"/>
          <w:pgMar w:header="874" w:footer="983" w:top="1040" w:bottom="1180" w:left="1540" w:right="1440"/>
        </w:sectPr>
      </w:pPr>
    </w:p>
    <w:p>
      <w:pPr>
        <w:spacing w:line="240" w:lineRule="auto" w:before="0"/>
        <w:rPr>
          <w:rFonts w:ascii="宋体" w:hAnsi="宋体" w:cs="宋体" w:eastAsia="宋体" w:hint="default"/>
          <w:sz w:val="20"/>
          <w:szCs w:val="20"/>
        </w:rPr>
      </w:pPr>
    </w:p>
    <w:p>
      <w:pPr>
        <w:pStyle w:val="BodyText"/>
        <w:spacing w:line="357" w:lineRule="auto" w:before="160"/>
        <w:ind w:right="223"/>
        <w:jc w:val="both"/>
      </w:pPr>
      <w:r>
        <w:rPr/>
        <w:t>客户满意是一个实在的度量的目标</w:t>
      </w:r>
      <w:r>
        <w:rPr>
          <w:spacing w:val="23"/>
        </w:rPr>
        <w:t> </w:t>
      </w:r>
      <w:r>
        <w:rPr/>
        <w:t>，确保外包软件项目达到客户满意，尤其确保</w:t>
      </w:r>
      <w:r>
        <w:rPr/>
        <w:t> </w:t>
      </w:r>
      <w:r>
        <w:rPr>
          <w:spacing w:val="3"/>
        </w:rPr>
        <w:t>软件项目交付后长期的售后服务过程中的客户满意，使售后服务与项目承诺不脱</w:t>
      </w:r>
      <w:r>
        <w:rPr>
          <w:spacing w:val="-96"/>
        </w:rPr>
        <w:t> </w:t>
      </w:r>
      <w:r>
        <w:rPr>
          <w:spacing w:val="-96"/>
        </w:rPr>
      </w:r>
      <w:r>
        <w:rPr>
          <w:spacing w:val="-3"/>
        </w:rPr>
        <w:t>节，必须有三个基础环节作为组织级支撑和保障，即组织级基础设施的保证，规范</w:t>
      </w:r>
      <w:r>
        <w:rPr>
          <w:spacing w:val="-99"/>
        </w:rPr>
        <w:t> </w:t>
      </w:r>
      <w:r>
        <w:rPr>
          <w:spacing w:val="-99"/>
        </w:rPr>
      </w:r>
      <w:r>
        <w:rPr>
          <w:spacing w:val="-3"/>
        </w:rPr>
        <w:t>化的过程流程保证和具体项目实施过程中监控与反馈机制（工具）的保证。公司质</w:t>
      </w:r>
      <w:r>
        <w:rPr>
          <w:spacing w:val="-99"/>
        </w:rPr>
        <w:t> </w:t>
      </w:r>
      <w:r>
        <w:rPr>
          <w:spacing w:val="-99"/>
        </w:rPr>
      </w:r>
      <w:r>
        <w:rPr>
          <w:spacing w:val="-3"/>
        </w:rPr>
        <w:t>量管理体系在软件项目生存周期内作用于三个基础环节，管理控制每一个项目作用</w:t>
      </w:r>
      <w:r>
        <w:rPr>
          <w:spacing w:val="-99"/>
        </w:rPr>
        <w:t> </w:t>
      </w:r>
      <w:r>
        <w:rPr>
          <w:spacing w:val="-99"/>
        </w:rPr>
      </w:r>
      <w:r>
        <w:rPr/>
        <w:t>域内的相关活动，使软件项目服务受控于质量管理体系。2010</w:t>
      </w:r>
      <w:r>
        <w:rPr>
          <w:spacing w:val="21"/>
        </w:rPr>
        <w:t> </w:t>
      </w:r>
      <w:r>
        <w:rPr/>
        <w:t>年公司在对各客户</w:t>
      </w:r>
      <w:r>
        <w:rPr>
          <w:spacing w:val="-118"/>
        </w:rPr>
        <w:t> </w:t>
      </w:r>
      <w:r>
        <w:rPr>
          <w:spacing w:val="-118"/>
        </w:rPr>
      </w:r>
      <w:r>
        <w:rPr/>
        <w:t>服务质量方面均得到好评，没有一起重大质量问题和客户投诉。</w:t>
      </w:r>
    </w:p>
    <w:p>
      <w:pPr>
        <w:pStyle w:val="BodyText"/>
        <w:spacing w:line="357" w:lineRule="auto"/>
        <w:ind w:left="620" w:right="222" w:hanging="480"/>
        <w:jc w:val="left"/>
      </w:pPr>
      <w:r>
        <w:rPr/>
        <w:t>（4）销售与收款的内部控制 </w:t>
      </w:r>
      <w:r>
        <w:rPr>
          <w:spacing w:val="-3"/>
        </w:rPr>
        <w:t>公司已制定比较可行的销售政策，已对定价原则、信用标准和条件、收款方式</w:t>
      </w:r>
    </w:p>
    <w:p>
      <w:pPr>
        <w:pStyle w:val="BodyText"/>
        <w:spacing w:line="357" w:lineRule="auto"/>
        <w:ind w:right="224"/>
        <w:jc w:val="both"/>
      </w:pPr>
      <w:r>
        <w:rPr>
          <w:spacing w:val="-3"/>
        </w:rPr>
        <w:t>以及涉及销售业务的机构和人员的职责权限等相关内容作了明确规定。合并报表范</w:t>
      </w:r>
      <w:r>
        <w:rPr>
          <w:spacing w:val="-99"/>
        </w:rPr>
        <w:t> </w:t>
      </w:r>
      <w:r>
        <w:rPr>
          <w:spacing w:val="-99"/>
        </w:rPr>
      </w:r>
      <w:r>
        <w:rPr>
          <w:spacing w:val="-3"/>
        </w:rPr>
        <w:t>围内企业之间销售商品、提供劳务按照统一的市场价格进行结算。在公司授权范围</w:t>
      </w:r>
      <w:r>
        <w:rPr>
          <w:spacing w:val="-100"/>
        </w:rPr>
        <w:t> </w:t>
      </w:r>
      <w:r>
        <w:rPr>
          <w:spacing w:val="-100"/>
        </w:rPr>
      </w:r>
      <w:r>
        <w:rPr>
          <w:spacing w:val="-3"/>
        </w:rPr>
        <w:t>内，下属企业可自主对外办理销售商品、提供劳务、货款结算业务。公司在销售管</w:t>
      </w:r>
      <w:r>
        <w:rPr>
          <w:spacing w:val="-100"/>
        </w:rPr>
        <w:t> </w:t>
      </w:r>
      <w:r>
        <w:rPr>
          <w:spacing w:val="-100"/>
        </w:rPr>
      </w:r>
      <w:r>
        <w:rPr/>
        <w:t>理的控制方面没有重大漏洞。</w:t>
      </w:r>
    </w:p>
    <w:p>
      <w:pPr>
        <w:pStyle w:val="BodyText"/>
        <w:spacing w:line="357" w:lineRule="auto"/>
        <w:ind w:left="620" w:right="90" w:hanging="480"/>
        <w:jc w:val="left"/>
      </w:pPr>
      <w:r>
        <w:rPr/>
        <w:t>（5）固定资产管理的内部控制 </w:t>
      </w:r>
      <w:r>
        <w:rPr>
          <w:spacing w:val="-6"/>
        </w:rPr>
        <w:t>公司已建立较科学的固定资产管理制度。固定资产实行“统一管理，统一调度，</w:t>
      </w:r>
    </w:p>
    <w:p>
      <w:pPr>
        <w:pStyle w:val="BodyText"/>
        <w:spacing w:line="357" w:lineRule="auto"/>
        <w:ind w:right="224"/>
        <w:jc w:val="both"/>
      </w:pPr>
      <w:r>
        <w:rPr>
          <w:spacing w:val="-3"/>
        </w:rPr>
        <w:t>统一使用和核算”的办法。大额固定资产款项必须在相关资产已经验收，手续齐备</w:t>
      </w:r>
      <w:r>
        <w:rPr>
          <w:spacing w:val="-99"/>
        </w:rPr>
        <w:t> </w:t>
      </w:r>
      <w:r>
        <w:rPr>
          <w:spacing w:val="-99"/>
        </w:rPr>
      </w:r>
      <w:r>
        <w:rPr/>
        <w:t>后才能支付。</w:t>
      </w:r>
    </w:p>
    <w:p>
      <w:pPr>
        <w:pStyle w:val="BodyText"/>
        <w:spacing w:line="357" w:lineRule="auto"/>
        <w:ind w:left="620" w:right="222" w:hanging="480"/>
        <w:jc w:val="left"/>
      </w:pPr>
      <w:r>
        <w:rPr/>
        <w:t>（6）投资管理的内部控制 </w:t>
      </w:r>
      <w:r>
        <w:rPr>
          <w:spacing w:val="-3"/>
        </w:rPr>
        <w:t>为严格控制投资风险，本公司建立了较科学的对外投资决策程序，实行重大投</w:t>
      </w:r>
    </w:p>
    <w:p>
      <w:pPr>
        <w:pStyle w:val="BodyText"/>
        <w:spacing w:line="357" w:lineRule="auto"/>
        <w:ind w:right="102"/>
        <w:jc w:val="left"/>
      </w:pPr>
      <w:r>
        <w:rPr>
          <w:spacing w:val="-3"/>
        </w:rPr>
        <w:t>资决策的责任制度，相应对外投资的权限集中于公司本部（采用不同的投资额分别</w:t>
      </w:r>
      <w:r>
        <w:rPr>
          <w:spacing w:val="-100"/>
        </w:rPr>
        <w:t> </w:t>
      </w:r>
      <w:r>
        <w:rPr>
          <w:spacing w:val="-100"/>
        </w:rPr>
      </w:r>
      <w:r>
        <w:rPr>
          <w:spacing w:val="-6"/>
        </w:rPr>
        <w:t>由公司不同层次的权力机构进行决策的机制）。对外投资项目的立项、评估、决策、</w:t>
      </w:r>
      <w:r>
        <w:rPr>
          <w:spacing w:val="-105"/>
        </w:rPr>
        <w:t> </w:t>
      </w:r>
      <w:r>
        <w:rPr>
          <w:spacing w:val="-105"/>
        </w:rPr>
      </w:r>
      <w:r>
        <w:rPr>
          <w:spacing w:val="-3"/>
        </w:rPr>
        <w:t>实施、管理、收益、投资处置等环节的管理较强。公司没有偏离公司投资政策和程</w:t>
      </w:r>
      <w:r>
        <w:rPr>
          <w:spacing w:val="-100"/>
        </w:rPr>
        <w:t> </w:t>
      </w:r>
      <w:r>
        <w:rPr>
          <w:spacing w:val="-100"/>
        </w:rPr>
      </w:r>
      <w:r>
        <w:rPr/>
        <w:t>序的行为。</w:t>
      </w:r>
    </w:p>
    <w:p>
      <w:pPr>
        <w:pStyle w:val="BodyText"/>
        <w:spacing w:line="357" w:lineRule="auto"/>
        <w:ind w:left="620" w:right="222" w:hanging="480"/>
        <w:jc w:val="left"/>
      </w:pPr>
      <w:r>
        <w:rPr/>
        <w:t>（7）关联交易的内部控制 </w:t>
      </w:r>
      <w:r>
        <w:rPr>
          <w:spacing w:val="-3"/>
        </w:rPr>
        <w:t>公司制定了《关联交易管理办法》，对发生关联交易的审批权限和决策程序等</w:t>
      </w:r>
    </w:p>
    <w:p>
      <w:pPr>
        <w:pStyle w:val="BodyText"/>
        <w:spacing w:line="357" w:lineRule="auto"/>
        <w:ind w:right="223"/>
        <w:jc w:val="both"/>
      </w:pPr>
      <w:r>
        <w:rPr>
          <w:spacing w:val="-3"/>
        </w:rPr>
        <w:t>作了明确的规定，规范了关联方的交易行为，力求遵循诚实信用、公正、公平、公</w:t>
      </w:r>
      <w:r>
        <w:rPr>
          <w:spacing w:val="-97"/>
        </w:rPr>
        <w:t> </w:t>
      </w:r>
      <w:r>
        <w:rPr>
          <w:spacing w:val="-97"/>
        </w:rPr>
      </w:r>
      <w:r>
        <w:rPr/>
        <w:t>开的原则，保护公司及中小股东的利益。</w:t>
      </w:r>
    </w:p>
    <w:p>
      <w:pPr>
        <w:pStyle w:val="BodyText"/>
        <w:spacing w:line="357" w:lineRule="auto"/>
        <w:ind w:left="620" w:right="222" w:hanging="480"/>
        <w:jc w:val="left"/>
      </w:pPr>
      <w:r>
        <w:rPr/>
        <w:t>（8）担保与融资的内部控制 </w:t>
      </w:r>
      <w:r>
        <w:rPr>
          <w:spacing w:val="-3"/>
        </w:rPr>
        <w:t>公司制定了《对外担保管理办法》，对公司发生对外担保行为时的担保对象、</w:t>
      </w:r>
    </w:p>
    <w:p>
      <w:pPr>
        <w:spacing w:after="0" w:line="357" w:lineRule="auto"/>
        <w:jc w:val="left"/>
        <w:sectPr>
          <w:pgSz w:w="11900" w:h="16840"/>
          <w:pgMar w:header="874" w:footer="983" w:top="1040" w:bottom="1180" w:left="1540" w:right="1440"/>
        </w:sectPr>
      </w:pPr>
    </w:p>
    <w:p>
      <w:pPr>
        <w:spacing w:line="240" w:lineRule="auto" w:before="0"/>
        <w:rPr>
          <w:rFonts w:ascii="宋体" w:hAnsi="宋体" w:cs="宋体" w:eastAsia="宋体" w:hint="default"/>
          <w:sz w:val="20"/>
          <w:szCs w:val="20"/>
        </w:rPr>
      </w:pPr>
    </w:p>
    <w:p>
      <w:pPr>
        <w:pStyle w:val="BodyText"/>
        <w:spacing w:line="357" w:lineRule="auto" w:before="160"/>
        <w:ind w:right="224"/>
        <w:jc w:val="both"/>
      </w:pPr>
      <w:r>
        <w:rPr>
          <w:spacing w:val="-3"/>
        </w:rPr>
        <w:t>审批权限和决策程序、安全措施等作了详细的规定。截至目前，公司未对下属子公</w:t>
      </w:r>
      <w:r>
        <w:rPr>
          <w:spacing w:val="-99"/>
        </w:rPr>
        <w:t> </w:t>
      </w:r>
      <w:r>
        <w:rPr>
          <w:spacing w:val="-99"/>
        </w:rPr>
      </w:r>
      <w:r>
        <w:rPr/>
        <w:t>司提供担保，没有对外单位提供担保。</w:t>
      </w:r>
    </w:p>
    <w:p>
      <w:pPr>
        <w:pStyle w:val="BodyText"/>
        <w:spacing w:line="357" w:lineRule="auto"/>
        <w:ind w:left="620" w:right="222" w:hanging="480"/>
        <w:jc w:val="left"/>
      </w:pPr>
      <w:r>
        <w:rPr/>
        <w:t>（9）募集资金管理的内部控制 </w:t>
      </w:r>
      <w:r>
        <w:rPr>
          <w:spacing w:val="-3"/>
        </w:rPr>
        <w:t>公司制定了《募集资金管理办法》，对募集资金专户存储，使用及审批程序、</w:t>
      </w:r>
    </w:p>
    <w:p>
      <w:pPr>
        <w:pStyle w:val="BodyText"/>
        <w:spacing w:line="357" w:lineRule="auto"/>
        <w:ind w:right="224"/>
        <w:jc w:val="both"/>
      </w:pPr>
      <w:r>
        <w:rPr>
          <w:spacing w:val="-3"/>
        </w:rPr>
        <w:t>用途调整与变更、管理监督和责任追究等方面进行明确规定，以保证募集资金专款</w:t>
      </w:r>
      <w:r>
        <w:rPr>
          <w:spacing w:val="-100"/>
        </w:rPr>
        <w:t> </w:t>
      </w:r>
      <w:r>
        <w:rPr>
          <w:spacing w:val="-100"/>
        </w:rPr>
      </w:r>
      <w:r>
        <w:rPr/>
        <w:t>专用。</w:t>
      </w:r>
    </w:p>
    <w:p>
      <w:pPr>
        <w:pStyle w:val="BodyText"/>
        <w:spacing w:line="357" w:lineRule="auto"/>
        <w:ind w:left="620" w:right="222" w:hanging="480"/>
        <w:jc w:val="left"/>
      </w:pPr>
      <w:r>
        <w:rPr/>
        <w:t>（10）人事管理的内部控制 </w:t>
      </w:r>
      <w:r>
        <w:rPr>
          <w:spacing w:val="-3"/>
        </w:rPr>
        <w:t>公司根据经营和发展战略，制定了较完善的员工行为守则，制订培训计划，建</w:t>
      </w:r>
    </w:p>
    <w:p>
      <w:pPr>
        <w:pStyle w:val="BodyText"/>
        <w:spacing w:line="357" w:lineRule="auto"/>
        <w:ind w:right="102"/>
        <w:jc w:val="left"/>
      </w:pPr>
      <w:r>
        <w:rPr>
          <w:spacing w:val="-6"/>
        </w:rPr>
        <w:t>立员工职业发展制度，制定了员工薪资及社会福利制度，制定了员工晋升考核制度、</w:t>
      </w:r>
      <w:r>
        <w:rPr>
          <w:spacing w:val="-106"/>
        </w:rPr>
        <w:t> </w:t>
      </w:r>
      <w:r>
        <w:rPr>
          <w:spacing w:val="-106"/>
        </w:rPr>
      </w:r>
      <w:r>
        <w:rPr/>
        <w:t>员工考勤管理制度等，在人力资源上为公司经营目标的实现提供了保障。</w:t>
      </w:r>
    </w:p>
    <w:p>
      <w:pPr>
        <w:pStyle w:val="BodyText"/>
        <w:spacing w:line="357" w:lineRule="auto"/>
        <w:ind w:left="620" w:right="222" w:hanging="480"/>
        <w:jc w:val="left"/>
      </w:pPr>
      <w:r>
        <w:rPr/>
        <w:t>（11）信息披露的内部控制 </w:t>
      </w:r>
      <w:r>
        <w:rPr>
          <w:spacing w:val="-3"/>
        </w:rPr>
        <w:t>为进一步规范本公司的信息披露行为，维护投资者利益，公司建立健全了公司</w:t>
      </w:r>
    </w:p>
    <w:p>
      <w:pPr>
        <w:pStyle w:val="BodyText"/>
        <w:spacing w:line="357" w:lineRule="auto"/>
        <w:ind w:right="223"/>
        <w:jc w:val="both"/>
      </w:pPr>
      <w:r>
        <w:rPr>
          <w:spacing w:val="-3"/>
        </w:rPr>
        <w:t>《信息披露管理制度》，在信息披露机构和人员、信息披露文件和事务管理、披露</w:t>
      </w:r>
      <w:r>
        <w:rPr>
          <w:spacing w:val="-107"/>
        </w:rPr>
        <w:t> </w:t>
      </w:r>
      <w:r>
        <w:rPr>
          <w:spacing w:val="-107"/>
        </w:rPr>
      </w:r>
      <w:r>
        <w:rPr>
          <w:spacing w:val="-3"/>
        </w:rPr>
        <w:t>程序、信息报告、保密措施、档案管理、责任追究等方面作了详细规定，对本公司</w:t>
      </w:r>
      <w:r>
        <w:rPr>
          <w:spacing w:val="-97"/>
        </w:rPr>
        <w:t> </w:t>
      </w:r>
      <w:r>
        <w:rPr>
          <w:spacing w:val="-97"/>
        </w:rPr>
      </w:r>
      <w:r>
        <w:rPr/>
        <w:t>公开信息披露和重大内部信息沟通进行全程、有效的控制。</w:t>
      </w:r>
    </w:p>
    <w:p>
      <w:pPr>
        <w:pStyle w:val="BodyText"/>
        <w:spacing w:line="357" w:lineRule="auto"/>
        <w:ind w:left="644" w:right="209" w:hanging="504"/>
        <w:jc w:val="left"/>
      </w:pPr>
      <w:r>
        <w:rPr/>
        <w:t>（12）对控股子公司的控制管理 </w:t>
      </w:r>
      <w:r>
        <w:rPr>
          <w:spacing w:val="-4"/>
        </w:rPr>
        <w:t>报告期内，公司制订了《控股子公司管理办法》，规范了对控股子公司的控制</w:t>
      </w:r>
    </w:p>
    <w:p>
      <w:pPr>
        <w:pStyle w:val="BodyText"/>
        <w:spacing w:line="357" w:lineRule="auto"/>
        <w:ind w:right="224"/>
        <w:jc w:val="both"/>
      </w:pPr>
      <w:r>
        <w:rPr>
          <w:spacing w:val="-3"/>
        </w:rPr>
        <w:t>政策及程序，明确了公司委派董事监事及高级管理人员的选人方式和职权，监督控</w:t>
      </w:r>
      <w:r>
        <w:rPr>
          <w:spacing w:val="-100"/>
        </w:rPr>
        <w:t> </w:t>
      </w:r>
      <w:r>
        <w:rPr>
          <w:spacing w:val="-100"/>
        </w:rPr>
      </w:r>
      <w:r>
        <w:rPr/>
        <w:t>股子公司规范运作，控制风险。</w:t>
      </w:r>
    </w:p>
    <w:p>
      <w:pPr>
        <w:spacing w:line="240" w:lineRule="auto" w:before="0"/>
        <w:rPr>
          <w:rFonts w:ascii="宋体" w:hAnsi="宋体" w:cs="宋体" w:eastAsia="宋体" w:hint="default"/>
          <w:sz w:val="24"/>
          <w:szCs w:val="24"/>
        </w:rPr>
      </w:pPr>
    </w:p>
    <w:p>
      <w:pPr>
        <w:spacing w:line="357" w:lineRule="auto" w:before="190"/>
        <w:ind w:left="620" w:right="222" w:hanging="480"/>
        <w:jc w:val="left"/>
        <w:rPr>
          <w:rFonts w:ascii="宋体" w:hAnsi="宋体" w:cs="宋体" w:eastAsia="宋体" w:hint="default"/>
          <w:sz w:val="24"/>
          <w:szCs w:val="24"/>
        </w:rPr>
      </w:pPr>
      <w:r>
        <w:rPr>
          <w:rFonts w:ascii="宋体" w:hAnsi="宋体" w:cs="宋体" w:eastAsia="宋体" w:hint="default"/>
          <w:b/>
          <w:bCs/>
          <w:sz w:val="24"/>
          <w:szCs w:val="24"/>
        </w:rPr>
        <w:t>（二）内部控制检查监督部门的设置及检查监督情况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公司董事会下设的审计委员会是公司内部控制监督机构，审计委员会下设内审</w:t>
      </w:r>
    </w:p>
    <w:p>
      <w:pPr>
        <w:pStyle w:val="BodyText"/>
        <w:spacing w:line="357" w:lineRule="auto"/>
        <w:ind w:right="223"/>
        <w:jc w:val="both"/>
      </w:pPr>
      <w:r>
        <w:rPr>
          <w:spacing w:val="-3"/>
        </w:rPr>
        <w:t>部，独立于公司其他部门，直接对审计委员会负责，在董事会审计委员会的领导下</w:t>
      </w:r>
      <w:r>
        <w:rPr>
          <w:spacing w:val="-99"/>
        </w:rPr>
        <w:t> </w:t>
      </w:r>
      <w:r>
        <w:rPr>
          <w:spacing w:val="-99"/>
        </w:rPr>
      </w:r>
      <w:r>
        <w:rPr>
          <w:spacing w:val="-3"/>
        </w:rPr>
        <w:t>执行日常内部控制的监督和检查工作。公司已制定的《内部审计制度》明确界定了</w:t>
      </w:r>
      <w:r>
        <w:rPr>
          <w:spacing w:val="-99"/>
        </w:rPr>
        <w:t> </w:t>
      </w:r>
      <w:r>
        <w:rPr>
          <w:spacing w:val="-99"/>
        </w:rPr>
      </w:r>
      <w:r>
        <w:rPr>
          <w:spacing w:val="-3"/>
        </w:rPr>
        <w:t>内部审计监督的范围、内容、职权；制定了具体的工作程序、质量控制，以及奖励</w:t>
      </w:r>
      <w:r>
        <w:rPr>
          <w:spacing w:val="-97"/>
        </w:rPr>
        <w:t> </w:t>
      </w:r>
      <w:r>
        <w:rPr>
          <w:spacing w:val="-97"/>
        </w:rPr>
      </w:r>
      <w:r>
        <w:rPr>
          <w:spacing w:val="-3"/>
        </w:rPr>
        <w:t>和惩罚等条例；明确规定相关部门（包含各下属企业）及人员积极配合公司审计部</w:t>
      </w:r>
      <w:r>
        <w:rPr>
          <w:spacing w:val="-99"/>
        </w:rPr>
        <w:t> </w:t>
      </w:r>
      <w:r>
        <w:rPr>
          <w:spacing w:val="-99"/>
        </w:rPr>
      </w:r>
      <w:r>
        <w:rPr>
          <w:spacing w:val="-3"/>
        </w:rPr>
        <w:t>门检查监督的责任。报告期内，审计部开展内部控制的主要工作情况主要有以下内</w:t>
      </w:r>
      <w:r>
        <w:rPr>
          <w:spacing w:val="-100"/>
        </w:rPr>
        <w:t> </w:t>
      </w:r>
      <w:r>
        <w:rPr>
          <w:spacing w:val="-100"/>
        </w:rPr>
      </w:r>
      <w:r>
        <w:rPr/>
        <w:t>容：1）审计委员会和内部审计部门每季度对公司财务报告、募集资金使用情况进</w:t>
      </w:r>
      <w:r>
        <w:rPr>
          <w:spacing w:val="-95"/>
        </w:rPr>
        <w:t> </w:t>
      </w:r>
      <w:r>
        <w:rPr>
          <w:spacing w:val="-95"/>
        </w:rPr>
      </w:r>
      <w:r>
        <w:rPr/>
        <w:t>行审核。</w:t>
      </w:r>
      <w:r>
        <w:rPr>
          <w:spacing w:val="-87"/>
        </w:rPr>
        <w:t> </w:t>
      </w:r>
      <w:r>
        <w:rPr/>
        <w:t>2）内部审计部门对公司的内部控制的有效性进行了抽查，为公司内部制</w:t>
      </w:r>
    </w:p>
    <w:p>
      <w:pPr>
        <w:spacing w:after="0" w:line="357" w:lineRule="auto"/>
        <w:jc w:val="both"/>
        <w:sectPr>
          <w:pgSz w:w="11900" w:h="16840"/>
          <w:pgMar w:header="874" w:footer="983" w:top="1040" w:bottom="1180" w:left="1540" w:right="1440"/>
        </w:sectPr>
      </w:pPr>
    </w:p>
    <w:p>
      <w:pPr>
        <w:spacing w:line="240" w:lineRule="auto" w:before="0"/>
        <w:rPr>
          <w:rFonts w:ascii="宋体" w:hAnsi="宋体" w:cs="宋体" w:eastAsia="宋体" w:hint="default"/>
          <w:sz w:val="20"/>
          <w:szCs w:val="20"/>
        </w:rPr>
      </w:pPr>
    </w:p>
    <w:p>
      <w:pPr>
        <w:pStyle w:val="BodyText"/>
        <w:spacing w:line="357" w:lineRule="auto" w:before="160"/>
        <w:ind w:right="188"/>
        <w:jc w:val="left"/>
      </w:pPr>
      <w:r>
        <w:rPr/>
        <w:t>度的有效执行提供了保证。3）内部审计部门严格按照工作计划对公司以及子公司</w:t>
      </w:r>
      <w:r>
        <w:rPr>
          <w:spacing w:val="-95"/>
        </w:rPr>
        <w:t> </w:t>
      </w:r>
      <w:r>
        <w:rPr>
          <w:spacing w:val="-95"/>
        </w:rPr>
      </w:r>
      <w:r>
        <w:rPr>
          <w:spacing w:val="-3"/>
        </w:rPr>
        <w:t>进行定期检查，对公司资产进行核实。</w:t>
      </w:r>
      <w:r>
        <w:rPr>
          <w:spacing w:val="-47"/>
        </w:rPr>
        <w:t> </w:t>
      </w:r>
      <w:r>
        <w:rPr>
          <w:spacing w:val="-3"/>
        </w:rPr>
        <w:t>4）内部审计部门已向审计委员会提交</w:t>
      </w:r>
      <w:r>
        <w:rPr>
          <w:spacing w:val="-59"/>
        </w:rPr>
        <w:t> </w:t>
      </w:r>
      <w:r>
        <w:rPr/>
        <w:t>2010</w:t>
      </w:r>
    </w:p>
    <w:p>
      <w:pPr>
        <w:pStyle w:val="BodyText"/>
        <w:spacing w:line="240" w:lineRule="auto"/>
        <w:ind w:right="196"/>
        <w:jc w:val="left"/>
      </w:pPr>
      <w:r>
        <w:rPr/>
        <w:t>年度内部审计工作报告和</w:t>
      </w:r>
      <w:r>
        <w:rPr>
          <w:spacing w:val="-60"/>
        </w:rPr>
        <w:t> </w:t>
      </w:r>
      <w:r>
        <w:rPr/>
        <w:t>2011</w:t>
      </w:r>
      <w:r>
        <w:rPr>
          <w:spacing w:val="-60"/>
        </w:rPr>
        <w:t> </w:t>
      </w:r>
      <w:r>
        <w:rPr/>
        <w:t>年度内部审计工作计划。</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20" w:right="196" w:hanging="480"/>
        <w:jc w:val="left"/>
        <w:rPr>
          <w:rFonts w:ascii="宋体" w:hAnsi="宋体" w:cs="宋体" w:eastAsia="宋体" w:hint="default"/>
          <w:sz w:val="24"/>
          <w:szCs w:val="24"/>
        </w:rPr>
      </w:pPr>
      <w:r>
        <w:rPr>
          <w:rFonts w:ascii="宋体" w:hAnsi="宋体" w:cs="宋体" w:eastAsia="宋体" w:hint="default"/>
          <w:b/>
          <w:bCs/>
          <w:sz w:val="24"/>
          <w:szCs w:val="24"/>
        </w:rPr>
        <w:t>（三）公司董事会对</w:t>
      </w:r>
      <w:r>
        <w:rPr>
          <w:rFonts w:ascii="宋体" w:hAnsi="宋体" w:cs="宋体" w:eastAsia="宋体" w:hint="default"/>
          <w:b/>
          <w:bCs/>
          <w:spacing w:val="-62"/>
          <w:sz w:val="24"/>
          <w:szCs w:val="24"/>
        </w:rPr>
        <w:t> </w:t>
      </w:r>
      <w:r>
        <w:rPr>
          <w:rFonts w:ascii="宋体" w:hAnsi="宋体" w:cs="宋体" w:eastAsia="宋体" w:hint="default"/>
          <w:b/>
          <w:bCs/>
          <w:sz w:val="24"/>
          <w:szCs w:val="24"/>
        </w:rPr>
        <w:t>2010</w:t>
      </w:r>
      <w:r>
        <w:rPr>
          <w:rFonts w:ascii="宋体" w:hAnsi="宋体" w:cs="宋体" w:eastAsia="宋体" w:hint="default"/>
          <w:b/>
          <w:bCs/>
          <w:spacing w:val="-60"/>
          <w:sz w:val="24"/>
          <w:szCs w:val="24"/>
        </w:rPr>
        <w:t> </w:t>
      </w:r>
      <w:r>
        <w:rPr>
          <w:rFonts w:ascii="宋体" w:hAnsi="宋体" w:cs="宋体" w:eastAsia="宋体" w:hint="default"/>
          <w:b/>
          <w:bCs/>
          <w:sz w:val="24"/>
          <w:szCs w:val="24"/>
        </w:rPr>
        <w:t>年度公司内部控制的自我评价</w:t>
      </w:r>
      <w:r>
        <w:rPr>
          <w:rFonts w:ascii="宋体" w:hAnsi="宋体" w:cs="宋体" w:eastAsia="宋体" w:hint="default"/>
          <w:b/>
          <w:bCs/>
          <w:w w:val="99"/>
          <w:sz w:val="24"/>
          <w:szCs w:val="24"/>
        </w:rPr>
        <w:t> </w:t>
      </w:r>
      <w:r>
        <w:rPr>
          <w:rFonts w:ascii="宋体" w:hAnsi="宋体" w:cs="宋体" w:eastAsia="宋体" w:hint="default"/>
          <w:spacing w:val="3"/>
          <w:sz w:val="24"/>
          <w:szCs w:val="24"/>
        </w:rPr>
        <w:t>公司在不断完善企业经营体制和法人治理结构、创新企业内部管理模式的同</w:t>
      </w:r>
    </w:p>
    <w:p>
      <w:pPr>
        <w:pStyle w:val="BodyText"/>
        <w:spacing w:line="357" w:lineRule="auto"/>
        <w:ind w:right="196"/>
        <w:jc w:val="left"/>
      </w:pPr>
      <w:r>
        <w:rPr>
          <w:spacing w:val="-3"/>
        </w:rPr>
        <w:t>时，根据公司资产结构、经营方式并结合各经营单位和职能部门的具体情况，建立</w:t>
      </w:r>
      <w:r>
        <w:rPr>
          <w:spacing w:val="-99"/>
        </w:rPr>
        <w:t> </w:t>
      </w:r>
      <w:r>
        <w:rPr>
          <w:spacing w:val="-99"/>
        </w:rPr>
      </w:r>
      <w:r>
        <w:rPr/>
        <w:t>了一套较为完整的、合理的、有效的内部控制管理体系。</w:t>
      </w:r>
    </w:p>
    <w:p>
      <w:pPr>
        <w:pStyle w:val="BodyText"/>
        <w:spacing w:line="357" w:lineRule="auto"/>
        <w:ind w:right="100" w:firstLine="480"/>
        <w:jc w:val="left"/>
      </w:pPr>
      <w:r>
        <w:rPr>
          <w:spacing w:val="-3"/>
        </w:rPr>
        <w:t>公司现有的内部控制已覆盖了公司运营的各层面和各环节，形成了规范的管理</w:t>
      </w:r>
      <w:r>
        <w:rPr/>
        <w:t> </w:t>
      </w:r>
      <w:r>
        <w:rPr>
          <w:spacing w:val="-3"/>
        </w:rPr>
        <w:t>体系，能够预防并及时发现、纠正公司运营过程中可能出现的重要错误和舞弊，保</w:t>
      </w:r>
      <w:r>
        <w:rPr>
          <w:spacing w:val="-99"/>
        </w:rPr>
        <w:t> </w:t>
      </w:r>
      <w:r>
        <w:rPr>
          <w:spacing w:val="-99"/>
        </w:rPr>
      </w:r>
      <w:r>
        <w:rPr/>
        <w:t>护公司资产的安全与完整，保证会计记录和会计信息的真实性、准确性和及时性， </w:t>
      </w:r>
      <w:r>
        <w:rPr>
          <w:spacing w:val="-3"/>
        </w:rPr>
        <w:t>在完整性、合理性及有效性方面不存在重大缺陷。随着本公司业务职能的调整、外</w:t>
      </w:r>
      <w:r>
        <w:rPr>
          <w:spacing w:val="-99"/>
        </w:rPr>
        <w:t> </w:t>
      </w:r>
      <w:r>
        <w:rPr>
          <w:spacing w:val="-99"/>
        </w:rPr>
      </w:r>
      <w:r>
        <w:rPr/>
        <w:t>部环境的变化和管理要求的不断提高，公司内部控制制度还将不断修订和完善。</w:t>
      </w:r>
    </w:p>
    <w:p>
      <w:pPr>
        <w:pStyle w:val="BodyText"/>
        <w:spacing w:line="357" w:lineRule="auto"/>
        <w:ind w:right="482" w:firstLine="458"/>
        <w:jc w:val="left"/>
      </w:pPr>
      <w:r>
        <w:rPr/>
        <w:t>详见2011年4月13日刊登在巨潮资讯网上的《2010年度内部控制自我评价报 </w:t>
      </w:r>
      <w:r>
        <w:rPr>
          <w:spacing w:val="-40"/>
        </w:rPr>
        <w:t>告》。</w:t>
      </w:r>
    </w:p>
    <w:p>
      <w:pPr>
        <w:spacing w:line="240" w:lineRule="auto" w:before="0"/>
        <w:rPr>
          <w:rFonts w:ascii="宋体" w:hAnsi="宋体" w:cs="宋体" w:eastAsia="宋体" w:hint="default"/>
          <w:sz w:val="24"/>
          <w:szCs w:val="24"/>
        </w:rPr>
      </w:pPr>
    </w:p>
    <w:p>
      <w:pPr>
        <w:pStyle w:val="Heading3"/>
        <w:spacing w:line="240" w:lineRule="auto" w:before="190"/>
        <w:ind w:right="196"/>
        <w:jc w:val="left"/>
        <w:rPr>
          <w:b w:val="0"/>
          <w:bCs w:val="0"/>
        </w:rPr>
      </w:pPr>
      <w:r>
        <w:rPr/>
        <w:t>（四）公司监事会的审核意见</w:t>
      </w:r>
      <w:r>
        <w:rPr>
          <w:b w:val="0"/>
          <w:bCs w:val="0"/>
        </w:rPr>
      </w:r>
    </w:p>
    <w:p>
      <w:pPr>
        <w:pStyle w:val="BodyText"/>
        <w:spacing w:line="357" w:lineRule="auto" w:before="154"/>
        <w:ind w:right="204" w:firstLine="480"/>
        <w:jc w:val="both"/>
      </w:pPr>
      <w:r>
        <w:rPr/>
        <w:t>公司监事会对董事会关于公司《2010</w:t>
      </w:r>
      <w:r>
        <w:rPr>
          <w:spacing w:val="26"/>
        </w:rPr>
        <w:t> </w:t>
      </w:r>
      <w:r>
        <w:rPr/>
        <w:t>年度内部控制自我评价报告》进行了审</w:t>
      </w:r>
      <w:r>
        <w:rPr/>
        <w:t> </w:t>
      </w:r>
      <w:r>
        <w:rPr>
          <w:spacing w:val="-20"/>
        </w:rPr>
        <w:t>核，根据《公司法》、《证券法》和其他有关法律法规的规定，监事会认为：公司《2010</w:t>
      </w:r>
      <w:r>
        <w:rPr>
          <w:spacing w:val="-112"/>
        </w:rPr>
        <w:t> </w:t>
      </w:r>
      <w:r>
        <w:rPr>
          <w:spacing w:val="-112"/>
        </w:rPr>
      </w:r>
      <w:r>
        <w:rPr>
          <w:spacing w:val="-3"/>
        </w:rPr>
        <w:t>年度内部控制自我评价报告》客观、全面地反映了公司内部控制的真实情况，公司</w:t>
      </w:r>
      <w:r>
        <w:rPr>
          <w:spacing w:val="-99"/>
        </w:rPr>
        <w:t> </w:t>
      </w:r>
      <w:r>
        <w:rPr>
          <w:spacing w:val="-99"/>
        </w:rPr>
      </w:r>
      <w:r>
        <w:rPr>
          <w:spacing w:val="-3"/>
        </w:rPr>
        <w:t>已建立健全并有效执行了内部控制制度，对防止、发现、纠正公司在生产经营过程</w:t>
      </w:r>
      <w:r>
        <w:rPr>
          <w:spacing w:val="-99"/>
        </w:rPr>
        <w:t> </w:t>
      </w:r>
      <w:r>
        <w:rPr>
          <w:spacing w:val="-99"/>
        </w:rPr>
      </w:r>
      <w:r>
        <w:rPr>
          <w:spacing w:val="-3"/>
        </w:rPr>
        <w:t>中可能发生的错误和舞弊是有效的，保护了公司资产安全和完整，保证了会计记录</w:t>
      </w:r>
      <w:r>
        <w:rPr>
          <w:spacing w:val="-100"/>
        </w:rPr>
        <w:t> </w:t>
      </w:r>
      <w:r>
        <w:rPr>
          <w:spacing w:val="-100"/>
        </w:rPr>
      </w:r>
      <w:r>
        <w:rPr/>
        <w:t>和会计信息的真实、合法、完整。</w:t>
      </w:r>
    </w:p>
    <w:p>
      <w:pPr>
        <w:spacing w:line="240" w:lineRule="auto" w:before="0"/>
        <w:rPr>
          <w:rFonts w:ascii="宋体" w:hAnsi="宋体" w:cs="宋体" w:eastAsia="宋体" w:hint="default"/>
          <w:sz w:val="24"/>
          <w:szCs w:val="24"/>
        </w:rPr>
      </w:pPr>
    </w:p>
    <w:p>
      <w:pPr>
        <w:spacing w:line="357" w:lineRule="auto" w:before="190"/>
        <w:ind w:left="620" w:right="196" w:hanging="480"/>
        <w:jc w:val="left"/>
        <w:rPr>
          <w:rFonts w:ascii="宋体" w:hAnsi="宋体" w:cs="宋体" w:eastAsia="宋体" w:hint="default"/>
          <w:sz w:val="24"/>
          <w:szCs w:val="24"/>
        </w:rPr>
      </w:pPr>
      <w:r>
        <w:rPr>
          <w:rFonts w:ascii="宋体" w:hAnsi="宋体" w:cs="宋体" w:eastAsia="宋体" w:hint="default"/>
          <w:b/>
          <w:bCs/>
          <w:sz w:val="24"/>
          <w:szCs w:val="24"/>
        </w:rPr>
        <w:t>（五）公司独立董事的独立意见</w:t>
      </w:r>
      <w:r>
        <w:rPr>
          <w:rFonts w:ascii="宋体" w:hAnsi="宋体" w:cs="宋体" w:eastAsia="宋体" w:hint="default"/>
          <w:b/>
          <w:bCs/>
          <w:w w:val="99"/>
          <w:sz w:val="24"/>
          <w:szCs w:val="24"/>
        </w:rPr>
        <w:t> </w:t>
      </w:r>
      <w:r>
        <w:rPr>
          <w:rFonts w:ascii="宋体" w:hAnsi="宋体" w:cs="宋体" w:eastAsia="宋体" w:hint="default"/>
          <w:spacing w:val="-3"/>
          <w:sz w:val="24"/>
          <w:szCs w:val="24"/>
        </w:rPr>
        <w:t>经核查，公司已建立了较为完善的内部控制体系并能得到有效的执行，《2010</w:t>
      </w:r>
    </w:p>
    <w:p>
      <w:pPr>
        <w:pStyle w:val="BodyText"/>
        <w:spacing w:line="357" w:lineRule="auto"/>
        <w:ind w:right="196"/>
        <w:jc w:val="left"/>
      </w:pPr>
      <w:r>
        <w:rPr>
          <w:spacing w:val="-3"/>
        </w:rPr>
        <w:t>年度内部控制自我评价评价报告》真实、客观地反映了公司内部控制制度的建设及</w:t>
      </w:r>
      <w:r>
        <w:rPr>
          <w:spacing w:val="-100"/>
        </w:rPr>
        <w:t> </w:t>
      </w:r>
      <w:r>
        <w:rPr>
          <w:spacing w:val="-100"/>
        </w:rPr>
      </w:r>
      <w:r>
        <w:rPr/>
        <w:t>运行情况。</w:t>
      </w:r>
    </w:p>
    <w:p>
      <w:pPr>
        <w:pStyle w:val="BodyText"/>
        <w:spacing w:line="240" w:lineRule="auto"/>
        <w:ind w:left="620" w:right="100"/>
        <w:jc w:val="left"/>
      </w:pPr>
      <w:r>
        <w:rPr/>
        <w:t>详见</w:t>
      </w:r>
      <w:r>
        <w:rPr>
          <w:spacing w:val="-56"/>
        </w:rPr>
        <w:t> </w:t>
      </w:r>
      <w:r>
        <w:rPr/>
        <w:t>2011</w:t>
      </w:r>
      <w:r>
        <w:rPr>
          <w:spacing w:val="-56"/>
        </w:rPr>
        <w:t> </w:t>
      </w:r>
      <w:r>
        <w:rPr/>
        <w:t>年</w:t>
      </w:r>
      <w:r>
        <w:rPr>
          <w:spacing w:val="-56"/>
        </w:rPr>
        <w:t> </w:t>
      </w:r>
      <w:r>
        <w:rPr/>
        <w:t>4</w:t>
      </w:r>
      <w:r>
        <w:rPr>
          <w:spacing w:val="-53"/>
        </w:rPr>
        <w:t> </w:t>
      </w:r>
      <w:r>
        <w:rPr/>
        <w:t>月</w:t>
      </w:r>
      <w:r>
        <w:rPr>
          <w:spacing w:val="-53"/>
        </w:rPr>
        <w:t> </w:t>
      </w:r>
      <w:r>
        <w:rPr/>
        <w:t>13</w:t>
      </w:r>
      <w:r>
        <w:rPr>
          <w:spacing w:val="-56"/>
        </w:rPr>
        <w:t> </w:t>
      </w:r>
      <w:hyperlink r:id="rId9">
        <w:r>
          <w:rPr/>
          <w:t>日刊登在巨潮资讯网（www.cninfo.com.cn</w:t>
        </w:r>
      </w:hyperlink>
      <w:r>
        <w:rPr/>
        <w:t>）上的《独立</w:t>
      </w:r>
    </w:p>
    <w:p>
      <w:pPr>
        <w:spacing w:after="0" w:line="240" w:lineRule="auto"/>
        <w:jc w:val="left"/>
        <w:sectPr>
          <w:pgSz w:w="11900" w:h="16840"/>
          <w:pgMar w:header="874" w:footer="983" w:top="1040" w:bottom="1180" w:left="1540" w:right="1460"/>
        </w:sectPr>
      </w:pPr>
    </w:p>
    <w:p>
      <w:pPr>
        <w:spacing w:line="240" w:lineRule="auto" w:before="0"/>
        <w:rPr>
          <w:rFonts w:ascii="宋体" w:hAnsi="宋体" w:cs="宋体" w:eastAsia="宋体" w:hint="default"/>
          <w:sz w:val="20"/>
          <w:szCs w:val="20"/>
        </w:rPr>
      </w:pPr>
    </w:p>
    <w:p>
      <w:pPr>
        <w:pStyle w:val="BodyText"/>
        <w:spacing w:line="240" w:lineRule="auto" w:before="160"/>
        <w:ind w:left="500" w:right="362"/>
        <w:jc w:val="left"/>
      </w:pPr>
      <w:r>
        <w:rPr/>
        <w:t>董事关于第四届董事会第六次会议相关事项的独立意见</w:t>
      </w:r>
      <w:r>
        <w:rPr>
          <w:spacing w:val="-120"/>
        </w:rPr>
        <w:t>》</w:t>
      </w:r>
      <w:r>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980" w:right="362" w:hanging="480"/>
        <w:jc w:val="left"/>
        <w:rPr>
          <w:rFonts w:ascii="宋体" w:hAnsi="宋体" w:cs="宋体" w:eastAsia="宋体" w:hint="default"/>
          <w:sz w:val="24"/>
          <w:szCs w:val="24"/>
        </w:rPr>
      </w:pPr>
      <w:r>
        <w:rPr>
          <w:rFonts w:ascii="宋体" w:hAnsi="宋体" w:cs="宋体" w:eastAsia="宋体" w:hint="default"/>
          <w:b/>
          <w:bCs/>
          <w:sz w:val="24"/>
          <w:szCs w:val="24"/>
        </w:rPr>
        <w:t>五、公司对高级管理人员的考评和激励机制</w:t>
      </w:r>
      <w:r>
        <w:rPr>
          <w:rFonts w:ascii="宋体" w:hAnsi="宋体" w:cs="宋体" w:eastAsia="宋体" w:hint="default"/>
          <w:b/>
          <w:bCs/>
          <w:w w:val="99"/>
          <w:sz w:val="24"/>
          <w:szCs w:val="24"/>
        </w:rPr>
        <w:t> </w:t>
      </w:r>
      <w:r>
        <w:rPr>
          <w:rFonts w:ascii="宋体" w:hAnsi="宋体" w:cs="宋体" w:eastAsia="宋体" w:hint="default"/>
          <w:spacing w:val="-3"/>
          <w:sz w:val="24"/>
          <w:szCs w:val="24"/>
        </w:rPr>
        <w:t>公司建立了公正、有效的高级管理人员的绩效评价标准和激励约束机制，公司</w:t>
      </w:r>
    </w:p>
    <w:p>
      <w:pPr>
        <w:pStyle w:val="BodyText"/>
        <w:spacing w:line="357" w:lineRule="auto"/>
        <w:ind w:left="500" w:right="260"/>
        <w:jc w:val="left"/>
      </w:pPr>
      <w:r>
        <w:rPr/>
        <w:t>高级管理人员实行基本年薪与年终绩效考核相结合的薪酬制度。公司董事会提名、 </w:t>
      </w:r>
      <w:r>
        <w:rPr>
          <w:spacing w:val="-3"/>
        </w:rPr>
        <w:t>薪酬与考核委员会对高级管理人员进行了年度业绩考核，经过综合考评，根据本年</w:t>
      </w:r>
      <w:r>
        <w:rPr>
          <w:spacing w:val="-100"/>
        </w:rPr>
        <w:t> </w:t>
      </w:r>
      <w:r>
        <w:rPr>
          <w:spacing w:val="-100"/>
        </w:rPr>
      </w:r>
      <w:r>
        <w:rPr/>
        <w:t>度业绩情况确定了公司高管人员的薪酬。</w:t>
      </w:r>
    </w:p>
    <w:p>
      <w:pPr>
        <w:spacing w:line="240" w:lineRule="auto" w:before="0"/>
        <w:rPr>
          <w:rFonts w:ascii="宋体" w:hAnsi="宋体" w:cs="宋体" w:eastAsia="宋体" w:hint="default"/>
          <w:sz w:val="24"/>
          <w:szCs w:val="24"/>
        </w:rPr>
      </w:pPr>
    </w:p>
    <w:p>
      <w:pPr>
        <w:spacing w:line="357" w:lineRule="auto" w:before="190"/>
        <w:ind w:left="980" w:right="362" w:hanging="480"/>
        <w:jc w:val="left"/>
        <w:rPr>
          <w:rFonts w:ascii="宋体" w:hAnsi="宋体" w:cs="宋体" w:eastAsia="宋体" w:hint="default"/>
          <w:sz w:val="24"/>
          <w:szCs w:val="24"/>
        </w:rPr>
      </w:pPr>
      <w:r>
        <w:rPr>
          <w:rFonts w:ascii="宋体" w:hAnsi="宋体" w:cs="宋体" w:eastAsia="宋体" w:hint="default"/>
          <w:b/>
          <w:bCs/>
          <w:sz w:val="24"/>
          <w:szCs w:val="24"/>
        </w:rPr>
        <w:t>六、公司内部审计制度的建立和执行情况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公司根据深圳证券交易所《中小企业板块上市公司特别规定》要求，在上市后</w:t>
      </w:r>
    </w:p>
    <w:p>
      <w:pPr>
        <w:pStyle w:val="BodyText"/>
        <w:spacing w:line="357" w:lineRule="auto"/>
        <w:ind w:left="500" w:right="242"/>
        <w:jc w:val="left"/>
      </w:pPr>
      <w:r>
        <w:rPr>
          <w:spacing w:val="-3"/>
        </w:rPr>
        <w:t>及时建立了内部审计制度，设立内部审计部向董事会负责并报告工作。董事会下设</w:t>
      </w:r>
      <w:r>
        <w:rPr>
          <w:spacing w:val="-100"/>
        </w:rPr>
        <w:t> </w:t>
      </w:r>
      <w:r>
        <w:rPr>
          <w:spacing w:val="-100"/>
        </w:rPr>
      </w:r>
      <w:r>
        <w:rPr>
          <w:spacing w:val="-6"/>
        </w:rPr>
        <w:t>审计委员会，代表董事会执行审计监督职能。报告期内，内部审计部相关工作如下：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5210"/>
        <w:gridCol w:w="1440"/>
        <w:gridCol w:w="2520"/>
      </w:tblGrid>
      <w:tr>
        <w:trPr>
          <w:trHeight w:val="161" w:hRule="exact"/>
        </w:trPr>
        <w:tc>
          <w:tcPr>
            <w:tcW w:w="5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0" w:type="dxa"/>
            <w:vMerge w:val="restart"/>
            <w:tcBorders>
              <w:top w:val="single" w:sz="4" w:space="0" w:color="000000"/>
              <w:left w:val="single" w:sz="4" w:space="0" w:color="000000"/>
              <w:right w:val="single" w:sz="4" w:space="0" w:color="000000"/>
            </w:tcBorders>
            <w:shd w:val="clear" w:color="auto" w:fill="DBDBDB"/>
          </w:tcPr>
          <w:p>
            <w:pPr>
              <w:pStyle w:val="TableParagraph"/>
              <w:spacing w:line="256" w:lineRule="auto"/>
              <w:ind w:left="398" w:right="396" w:firstLine="45"/>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不适用</w:t>
            </w:r>
          </w:p>
        </w:tc>
        <w:tc>
          <w:tcPr>
            <w:tcW w:w="2520" w:type="dxa"/>
            <w:vMerge w:val="restart"/>
            <w:tcBorders>
              <w:top w:val="single" w:sz="4" w:space="0" w:color="000000"/>
              <w:left w:val="single" w:sz="4" w:space="0" w:color="000000"/>
              <w:right w:val="single" w:sz="4" w:space="0" w:color="000000"/>
            </w:tcBorders>
            <w:shd w:val="clear" w:color="auto" w:fill="DBDBDB"/>
          </w:tcPr>
          <w:p>
            <w:pPr>
              <w:pStyle w:val="TableParagraph"/>
              <w:spacing w:line="256" w:lineRule="auto"/>
              <w:ind w:left="100" w:right="65" w:hanging="29"/>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说明（如选择否或不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适用，请说明具体原因）</w:t>
            </w:r>
          </w:p>
        </w:tc>
      </w:tr>
      <w:tr>
        <w:trPr>
          <w:trHeight w:val="312" w:hRule="exact"/>
        </w:trPr>
        <w:tc>
          <w:tcPr>
            <w:tcW w:w="5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440" w:type="dxa"/>
            <w:vMerge/>
            <w:tcBorders>
              <w:left w:val="single" w:sz="4" w:space="0" w:color="000000"/>
              <w:right w:val="single" w:sz="4" w:space="0" w:color="000000"/>
            </w:tcBorders>
            <w:shd w:val="clear" w:color="auto" w:fill="DBDBDB"/>
          </w:tcPr>
          <w:p>
            <w:pPr/>
          </w:p>
        </w:tc>
        <w:tc>
          <w:tcPr>
            <w:tcW w:w="2520" w:type="dxa"/>
            <w:vMerge/>
            <w:tcBorders>
              <w:left w:val="single" w:sz="4" w:space="0" w:color="000000"/>
              <w:right w:val="single" w:sz="4" w:space="0" w:color="000000"/>
            </w:tcBorders>
            <w:shd w:val="clear" w:color="auto" w:fill="DBDBDB"/>
          </w:tcPr>
          <w:p>
            <w:pPr/>
          </w:p>
        </w:tc>
      </w:tr>
      <w:tr>
        <w:trPr>
          <w:trHeight w:val="166" w:hRule="exact"/>
        </w:trPr>
        <w:tc>
          <w:tcPr>
            <w:tcW w:w="5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0" w:type="dxa"/>
            <w:vMerge/>
            <w:tcBorders>
              <w:left w:val="single" w:sz="4" w:space="0" w:color="000000"/>
              <w:bottom w:val="single" w:sz="4" w:space="0" w:color="000000"/>
              <w:right w:val="single" w:sz="4" w:space="0" w:color="000000"/>
            </w:tcBorders>
            <w:shd w:val="clear" w:color="auto" w:fill="DBDBDB"/>
          </w:tcPr>
          <w:p>
            <w:pPr/>
          </w:p>
        </w:tc>
        <w:tc>
          <w:tcPr>
            <w:tcW w:w="2520" w:type="dxa"/>
            <w:vMerge/>
            <w:tcBorders>
              <w:left w:val="single" w:sz="4" w:space="0" w:color="000000"/>
              <w:bottom w:val="single" w:sz="4" w:space="0" w:color="000000"/>
              <w:right w:val="single" w:sz="4" w:space="0" w:color="000000"/>
            </w:tcBorders>
            <w:shd w:val="clear" w:color="auto" w:fill="DBDBDB"/>
          </w:tcPr>
          <w:p>
            <w:pPr/>
          </w:p>
        </w:tc>
      </w:tr>
      <w:tr>
        <w:trPr>
          <w:trHeight w:val="312"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640"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2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．公司是否建立内部审计制度，内部审计制度是否经公</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司董事会审议通过</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8"/>
              <w:ind w:left="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2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．公司董事会是否设立审计委员会，公司是否设立独立</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于财务部门的内部审计部门</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4"/>
              <w:ind w:left="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4" w:lineRule="auto"/>
              <w:ind w:left="24" w:right="19"/>
              <w:jc w:val="both"/>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3</w:t>
            </w: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）审计委员会成员是否全部由董事组成，独立董事</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6"/>
                <w:w w:val="100"/>
                <w:sz w:val="21"/>
                <w:szCs w:val="21"/>
              </w:rPr>
              <w:t>占半数以上并担任召集人，且至少有一名独立董事为会计</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专业人士</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2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）内部审计部门是否配置三名以上（含三名）专职人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员从事内部审计工作</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left="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125"/>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）内部审计部门负责人是否专职，由审计委员会提名</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董事会任免</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03"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15" w:lineRule="exact"/>
              <w:ind w:left="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44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640"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2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．公司是否根据相关规定出具年度内部控制自我评价报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告</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8"/>
              <w:ind w:left="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2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．内部控制自我评价报告结论是否为内部控制有效（如</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为内部控制无效，请说明内部控制存在的重大缺陷）</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4"/>
              <w:ind w:left="9"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5210" w:type="dxa"/>
            <w:tcBorders>
              <w:top w:val="single" w:sz="4" w:space="0" w:color="000000"/>
              <w:left w:val="single" w:sz="4" w:space="0" w:color="000000"/>
              <w:bottom w:val="nil" w:sz="6" w:space="0" w:color="auto"/>
              <w:right w:val="single" w:sz="4" w:space="0" w:color="000000"/>
            </w:tcBorders>
            <w:shd w:val="clear" w:color="auto" w:fill="DBDBDB"/>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520" w:type="dxa"/>
            <w:vMerge w:val="restart"/>
            <w:tcBorders>
              <w:top w:val="single" w:sz="4" w:space="0" w:color="000000"/>
              <w:left w:val="single" w:sz="4" w:space="0" w:color="000000"/>
              <w:right w:val="single" w:sz="4" w:space="0" w:color="000000"/>
            </w:tcBorders>
          </w:tcPr>
          <w:p>
            <w:pPr>
              <w:pStyle w:val="TableParagraph"/>
              <w:spacing w:line="273" w:lineRule="auto"/>
              <w:ind w:left="23" w:right="172"/>
              <w:jc w:val="both"/>
              <w:rPr>
                <w:rFonts w:ascii="宋体" w:hAnsi="宋体" w:cs="宋体" w:eastAsia="宋体" w:hint="default"/>
                <w:sz w:val="21"/>
                <w:szCs w:val="21"/>
              </w:rPr>
            </w:pPr>
            <w:r>
              <w:rPr>
                <w:rFonts w:ascii="宋体" w:hAnsi="宋体" w:cs="宋体" w:eastAsia="宋体" w:hint="default"/>
                <w:spacing w:val="-1"/>
                <w:sz w:val="21"/>
                <w:szCs w:val="21"/>
              </w:rPr>
              <w:t>2009年度会计师事务所对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公司内部控制有效性已出</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具审计报告</w:t>
            </w:r>
          </w:p>
        </w:tc>
      </w:tr>
      <w:tr>
        <w:trPr>
          <w:trHeight w:val="624" w:hRule="exact"/>
        </w:trPr>
        <w:tc>
          <w:tcPr>
            <w:tcW w:w="521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56" w:lineRule="auto"/>
              <w:ind w:left="24" w:right="2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．本年度是否聘请会计师事务所对内部控制有效性出具</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审计报告</w:t>
            </w:r>
          </w:p>
        </w:tc>
        <w:tc>
          <w:tcPr>
            <w:tcW w:w="1440" w:type="dxa"/>
            <w:vMerge/>
            <w:tcBorders>
              <w:left w:val="single" w:sz="4" w:space="0" w:color="000000"/>
              <w:right w:val="single" w:sz="4" w:space="0" w:color="000000"/>
            </w:tcBorders>
          </w:tcPr>
          <w:p>
            <w:pPr/>
          </w:p>
        </w:tc>
        <w:tc>
          <w:tcPr>
            <w:tcW w:w="2520" w:type="dxa"/>
            <w:vMerge/>
            <w:tcBorders>
              <w:left w:val="single" w:sz="4" w:space="0" w:color="000000"/>
              <w:right w:val="single" w:sz="4" w:space="0" w:color="000000"/>
            </w:tcBorders>
          </w:tcPr>
          <w:p>
            <w:pPr/>
          </w:p>
        </w:tc>
      </w:tr>
      <w:tr>
        <w:trPr>
          <w:trHeight w:val="161" w:hRule="exact"/>
        </w:trPr>
        <w:tc>
          <w:tcPr>
            <w:tcW w:w="5210" w:type="dxa"/>
            <w:tcBorders>
              <w:top w:val="nil" w:sz="6" w:space="0" w:color="auto"/>
              <w:left w:val="single" w:sz="4" w:space="0" w:color="000000"/>
              <w:bottom w:val="single" w:sz="4" w:space="0" w:color="000000"/>
              <w:right w:val="single" w:sz="4" w:space="0" w:color="000000"/>
            </w:tcBorders>
            <w:shd w:val="clear" w:color="auto" w:fill="DBDBDB"/>
          </w:tcPr>
          <w:p>
            <w:pPr/>
          </w:p>
        </w:tc>
        <w:tc>
          <w:tcPr>
            <w:tcW w:w="1440" w:type="dxa"/>
            <w:vMerge/>
            <w:tcBorders>
              <w:left w:val="single" w:sz="4" w:space="0" w:color="000000"/>
              <w:bottom w:val="single" w:sz="4" w:space="0" w:color="000000"/>
              <w:right w:val="single" w:sz="4" w:space="0" w:color="000000"/>
            </w:tcBorders>
          </w:tcPr>
          <w:p>
            <w:pPr/>
          </w:p>
        </w:tc>
        <w:tc>
          <w:tcPr>
            <w:tcW w:w="2520" w:type="dxa"/>
            <w:vMerge/>
            <w:tcBorders>
              <w:left w:val="single" w:sz="4" w:space="0" w:color="000000"/>
              <w:bottom w:val="single" w:sz="4" w:space="0" w:color="000000"/>
              <w:right w:val="single" w:sz="4" w:space="0" w:color="000000"/>
            </w:tcBorders>
          </w:tcPr>
          <w:p>
            <w:pPr/>
          </w:p>
        </w:tc>
      </w:tr>
      <w:tr>
        <w:trPr>
          <w:trHeight w:val="634" w:hRule="exact"/>
        </w:trPr>
        <w:tc>
          <w:tcPr>
            <w:tcW w:w="52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．会计师事务所对公司内部控制有效性是否出具标准审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6"/>
                <w:w w:val="100"/>
                <w:sz w:val="21"/>
                <w:szCs w:val="21"/>
              </w:rPr>
              <w:t>计报告。如出具非标准审计报告或指出公司非财务报告内</w:t>
            </w:r>
          </w:p>
        </w:tc>
        <w:tc>
          <w:tcPr>
            <w:tcW w:w="1440"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left="9"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2"/>
              <w:jc w:val="left"/>
              <w:rPr>
                <w:rFonts w:ascii="宋体" w:hAnsi="宋体" w:cs="宋体" w:eastAsia="宋体" w:hint="default"/>
                <w:sz w:val="21"/>
                <w:szCs w:val="21"/>
              </w:rPr>
            </w:pPr>
            <w:r>
              <w:rPr>
                <w:rFonts w:ascii="宋体" w:hAnsi="宋体" w:cs="宋体" w:eastAsia="宋体" w:hint="default"/>
                <w:spacing w:val="-1"/>
                <w:sz w:val="21"/>
                <w:szCs w:val="21"/>
              </w:rPr>
              <w:t>2009年度会计师事务所对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公司内部控制有效性已出</w:t>
            </w:r>
          </w:p>
        </w:tc>
      </w:tr>
    </w:tbl>
    <w:p>
      <w:pPr>
        <w:spacing w:after="0" w:line="273" w:lineRule="auto"/>
        <w:jc w:val="left"/>
        <w:rPr>
          <w:rFonts w:ascii="宋体" w:hAnsi="宋体" w:cs="宋体" w:eastAsia="宋体" w:hint="default"/>
          <w:sz w:val="21"/>
          <w:szCs w:val="21"/>
        </w:rPr>
        <w:sectPr>
          <w:footerReference w:type="default" r:id="rId14"/>
          <w:pgSz w:w="11900" w:h="16840"/>
          <w:pgMar w:footer="983" w:header="874" w:top="1040" w:bottom="1180" w:left="1180" w:right="130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5198"/>
        <w:gridCol w:w="1452"/>
        <w:gridCol w:w="2520"/>
      </w:tblGrid>
      <w:tr>
        <w:trPr>
          <w:trHeight w:val="634" w:hRule="exact"/>
        </w:trPr>
        <w:tc>
          <w:tcPr>
            <w:tcW w:w="51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4" w:right="7"/>
              <w:jc w:val="left"/>
              <w:rPr>
                <w:rFonts w:ascii="宋体" w:hAnsi="宋体" w:cs="宋体" w:eastAsia="宋体" w:hint="default"/>
                <w:sz w:val="21"/>
                <w:szCs w:val="21"/>
              </w:rPr>
            </w:pPr>
            <w:r>
              <w:rPr>
                <w:rFonts w:ascii="宋体" w:hAnsi="宋体" w:cs="宋体" w:eastAsia="宋体" w:hint="default"/>
                <w:spacing w:val="-6"/>
                <w:sz w:val="21"/>
                <w:szCs w:val="21"/>
              </w:rPr>
              <w:t>部控制存在重大缺陷的，公司董事会、监事会是否针对所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涉及事项做出专项说明</w:t>
            </w:r>
          </w:p>
        </w:tc>
        <w:tc>
          <w:tcPr>
            <w:tcW w:w="1452" w:type="dxa"/>
            <w:tcBorders>
              <w:top w:val="single" w:sz="4" w:space="0" w:color="000000"/>
              <w:left w:val="single" w:sz="13" w:space="0" w:color="DBDBDB"/>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具审计报告</w:t>
            </w:r>
          </w:p>
        </w:tc>
      </w:tr>
      <w:tr>
        <w:trPr>
          <w:trHeight w:val="634" w:hRule="exact"/>
        </w:trPr>
        <w:tc>
          <w:tcPr>
            <w:tcW w:w="51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6" w:lineRule="auto"/>
              <w:ind w:left="24" w:right="1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．独立董事、监事会是否出具明确同意意见（如为异议</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意见，请说明）</w:t>
            </w:r>
          </w:p>
        </w:tc>
        <w:tc>
          <w:tcPr>
            <w:tcW w:w="1452"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51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．保荐机构和保荐代表人是否出具明确同意的核查意见</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（如适用）</w:t>
            </w:r>
          </w:p>
        </w:tc>
        <w:tc>
          <w:tcPr>
            <w:tcW w:w="1452"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已过保荐期</w:t>
            </w:r>
          </w:p>
        </w:tc>
      </w:tr>
      <w:tr>
        <w:trPr>
          <w:trHeight w:val="317" w:hRule="exact"/>
        </w:trPr>
        <w:tc>
          <w:tcPr>
            <w:tcW w:w="917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10306" w:hRule="exact"/>
        </w:trPr>
        <w:tc>
          <w:tcPr>
            <w:tcW w:w="9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4" w:right="17" w:firstLine="316"/>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年度，董事会审计委员会共召开</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次会议，主要工作为每季度均对内部审计部门提交的当</w:t>
            </w:r>
            <w:r>
              <w:rPr>
                <w:rFonts w:ascii="宋体" w:hAnsi="宋体" w:cs="宋体" w:eastAsia="宋体" w:hint="default"/>
                <w:w w:val="100"/>
                <w:sz w:val="21"/>
                <w:szCs w:val="21"/>
              </w:rPr>
              <w:t> </w:t>
            </w:r>
            <w:r>
              <w:rPr>
                <w:rFonts w:ascii="宋体" w:hAnsi="宋体" w:cs="宋体" w:eastAsia="宋体" w:hint="default"/>
                <w:sz w:val="21"/>
                <w:szCs w:val="21"/>
              </w:rPr>
              <w:t>期内审工作报告进行审议，并在审议后向董事会报告内部审计工作的进展和执行情况。同时还审议</w:t>
            </w:r>
            <w:r>
              <w:rPr>
                <w:rFonts w:ascii="宋体" w:hAnsi="宋体" w:cs="宋体" w:eastAsia="宋体" w:hint="default"/>
                <w:w w:val="100"/>
                <w:sz w:val="21"/>
                <w:szCs w:val="21"/>
              </w:rPr>
              <w:t> </w:t>
            </w:r>
            <w:r>
              <w:rPr>
                <w:rFonts w:ascii="宋体" w:hAnsi="宋体" w:cs="宋体" w:eastAsia="宋体" w:hint="default"/>
                <w:spacing w:val="-2"/>
                <w:w w:val="100"/>
                <w:sz w:val="21"/>
                <w:szCs w:val="21"/>
              </w:rPr>
              <w:t>了《</w:t>
            </w:r>
            <w:r>
              <w:rPr>
                <w:rFonts w:ascii="Times New Roman" w:hAnsi="Times New Roman" w:cs="Times New Roman" w:eastAsia="Times New Roman" w:hint="default"/>
                <w:spacing w:val="-2"/>
                <w:w w:val="100"/>
                <w:sz w:val="21"/>
                <w:szCs w:val="21"/>
              </w:rPr>
              <w:t>2009</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5"/>
                <w:w w:val="100"/>
                <w:sz w:val="21"/>
                <w:szCs w:val="21"/>
              </w:rPr>
              <w:t>年度内审部工作报告》、《</w:t>
            </w:r>
            <w:r>
              <w:rPr>
                <w:rFonts w:ascii="Times New Roman" w:hAnsi="Times New Roman" w:cs="Times New Roman" w:eastAsia="Times New Roman" w:hint="default"/>
                <w:spacing w:val="-15"/>
                <w:w w:val="100"/>
                <w:sz w:val="21"/>
                <w:szCs w:val="21"/>
              </w:rPr>
              <w:t>2010</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年度内审部工作计划》和《公司</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3"/>
                <w:w w:val="100"/>
                <w:sz w:val="21"/>
                <w:szCs w:val="21"/>
              </w:rPr>
              <w:t>年度业绩快报》、按年</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2"/>
                <w:sz w:val="21"/>
                <w:szCs w:val="21"/>
              </w:rPr>
              <w:t>报审计工作规程，与独立董事一起，积极与会计事务所对</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年的年报审计工作进行沟通。并审议</w:t>
            </w: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pacing w:val="-5"/>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告及</w:t>
            </w:r>
            <w:r>
              <w:rPr>
                <w:rFonts w:ascii="宋体" w:hAnsi="宋体" w:cs="宋体" w:eastAsia="宋体" w:hint="default"/>
                <w:w w:val="100"/>
                <w:sz w:val="21"/>
                <w:szCs w:val="21"/>
              </w:rPr>
              <w:t>摘要</w:t>
            </w:r>
            <w:r>
              <w:rPr>
                <w:rFonts w:ascii="宋体" w:hAnsi="宋体" w:cs="宋体" w:eastAsia="宋体" w:hint="default"/>
                <w:spacing w:val="-7"/>
                <w:w w:val="100"/>
                <w:sz w:val="21"/>
                <w:szCs w:val="21"/>
              </w:rPr>
              <w:t>》</w:t>
            </w:r>
            <w:r>
              <w:rPr>
                <w:rFonts w:ascii="宋体" w:hAnsi="宋体" w:cs="宋体" w:eastAsia="宋体" w:hint="default"/>
                <w:w w:val="100"/>
                <w:sz w:val="21"/>
                <w:szCs w:val="21"/>
              </w:rPr>
              <w:t>等</w:t>
            </w:r>
            <w:r>
              <w:rPr>
                <w:rFonts w:ascii="宋体" w:hAnsi="宋体" w:cs="宋体" w:eastAsia="宋体" w:hint="default"/>
                <w:spacing w:val="-3"/>
                <w:w w:val="100"/>
                <w:sz w:val="21"/>
                <w:szCs w:val="21"/>
              </w:rPr>
              <w:t>一</w:t>
            </w:r>
            <w:r>
              <w:rPr>
                <w:rFonts w:ascii="宋体" w:hAnsi="宋体" w:cs="宋体" w:eastAsia="宋体" w:hint="default"/>
                <w:w w:val="100"/>
                <w:sz w:val="21"/>
                <w:szCs w:val="21"/>
              </w:rPr>
              <w:t>系</w:t>
            </w:r>
            <w:r>
              <w:rPr>
                <w:rFonts w:ascii="宋体" w:hAnsi="宋体" w:cs="宋体" w:eastAsia="宋体" w:hint="default"/>
                <w:spacing w:val="-3"/>
                <w:w w:val="100"/>
                <w:sz w:val="21"/>
                <w:szCs w:val="21"/>
              </w:rPr>
              <w:t>列</w:t>
            </w:r>
            <w:r>
              <w:rPr>
                <w:rFonts w:ascii="宋体" w:hAnsi="宋体" w:cs="宋体" w:eastAsia="宋体" w:hint="default"/>
                <w:w w:val="100"/>
                <w:sz w:val="21"/>
                <w:szCs w:val="21"/>
              </w:rPr>
              <w:t>年</w:t>
            </w:r>
            <w:r>
              <w:rPr>
                <w:rFonts w:ascii="宋体" w:hAnsi="宋体" w:cs="宋体" w:eastAsia="宋体" w:hint="default"/>
                <w:spacing w:val="-3"/>
                <w:w w:val="100"/>
                <w:sz w:val="21"/>
                <w:szCs w:val="21"/>
              </w:rPr>
              <w:t>报</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文件</w:t>
            </w:r>
            <w:r>
              <w:rPr>
                <w:rFonts w:ascii="宋体" w:hAnsi="宋体" w:cs="宋体" w:eastAsia="宋体" w:hint="default"/>
                <w:spacing w:val="-7"/>
                <w:w w:val="100"/>
                <w:sz w:val="21"/>
                <w:szCs w:val="21"/>
              </w:rPr>
              <w:t>；</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spacing w:val="-5"/>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快</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7"/>
                <w:w w:val="100"/>
                <w:sz w:val="21"/>
                <w:szCs w:val="21"/>
              </w:rPr>
              <w:t>；</w:t>
            </w:r>
            <w:r>
              <w:rPr>
                <w:rFonts w:ascii="宋体" w:hAnsi="宋体" w:cs="宋体" w:eastAsia="宋体" w:hint="default"/>
                <w:w w:val="100"/>
                <w:sz w:val="21"/>
                <w:szCs w:val="21"/>
              </w:rPr>
              <w:t>审</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议了《公司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年度内审计划》等。</w:t>
            </w:r>
          </w:p>
          <w:p>
            <w:pPr>
              <w:pStyle w:val="TableParagraph"/>
              <w:spacing w:line="264" w:lineRule="auto" w:before="21"/>
              <w:ind w:left="24" w:right="17" w:firstLine="316"/>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9"/>
                <w:sz w:val="21"/>
                <w:szCs w:val="21"/>
              </w:rPr>
              <w:t> </w:t>
            </w:r>
            <w:r>
              <w:rPr>
                <w:rFonts w:ascii="宋体" w:hAnsi="宋体" w:cs="宋体" w:eastAsia="宋体" w:hint="default"/>
                <w:spacing w:val="-4"/>
                <w:sz w:val="21"/>
                <w:szCs w:val="21"/>
              </w:rPr>
              <w:t>年度，公司内审部每季度均对公司的对外投资、对外担保、购买出售资产、关联交易、募集</w:t>
            </w:r>
            <w:r>
              <w:rPr>
                <w:rFonts w:ascii="宋体" w:hAnsi="宋体" w:cs="宋体" w:eastAsia="宋体" w:hint="default"/>
                <w:w w:val="100"/>
                <w:sz w:val="21"/>
                <w:szCs w:val="21"/>
              </w:rPr>
              <w:t> </w:t>
            </w:r>
            <w:r>
              <w:rPr>
                <w:rFonts w:ascii="宋体" w:hAnsi="宋体" w:cs="宋体" w:eastAsia="宋体" w:hint="default"/>
                <w:sz w:val="21"/>
                <w:szCs w:val="21"/>
              </w:rPr>
              <w:t>资金使用情况及信息披露事务管理情况进行核查，并向董事会审计委员会提交报告。具体工作重点</w:t>
            </w:r>
            <w:r>
              <w:rPr>
                <w:rFonts w:ascii="宋体" w:hAnsi="宋体" w:cs="宋体" w:eastAsia="宋体" w:hint="default"/>
                <w:w w:val="100"/>
                <w:sz w:val="21"/>
                <w:szCs w:val="21"/>
              </w:rPr>
              <w:t> </w:t>
            </w:r>
            <w:r>
              <w:rPr>
                <w:rFonts w:ascii="宋体" w:hAnsi="宋体" w:cs="宋体" w:eastAsia="宋体" w:hint="default"/>
                <w:sz w:val="21"/>
                <w:szCs w:val="21"/>
              </w:rPr>
              <w:t>如下：</w:t>
            </w:r>
          </w:p>
          <w:p>
            <w:pPr>
              <w:pStyle w:val="TableParagraph"/>
              <w:spacing w:line="256" w:lineRule="auto" w:before="16"/>
              <w:ind w:left="446" w:right="1936"/>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积极推动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CMMI4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的认证工作</w:t>
            </w:r>
            <w:r>
              <w:rPr>
                <w:rFonts w:ascii="宋体" w:hAnsi="宋体" w:cs="宋体" w:eastAsia="宋体" w:hint="default"/>
                <w:w w:val="100"/>
                <w:sz w:val="21"/>
                <w:szCs w:val="21"/>
              </w:rPr>
              <w:t> </w:t>
            </w:r>
            <w:r>
              <w:rPr>
                <w:rFonts w:ascii="宋体" w:hAnsi="宋体" w:cs="宋体" w:eastAsia="宋体" w:hint="default"/>
                <w:sz w:val="21"/>
                <w:szCs w:val="21"/>
              </w:rPr>
              <w:t>为了加强对开发项目的质量控制，公司于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年通过了</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CMMI4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的认证。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完善审计体系建设</w:t>
            </w:r>
          </w:p>
          <w:p>
            <w:pPr>
              <w:pStyle w:val="TableParagraph"/>
              <w:spacing w:line="240" w:lineRule="auto" w:before="5"/>
              <w:ind w:left="446" w:right="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制</w:t>
            </w:r>
            <w:r>
              <w:rPr>
                <w:rFonts w:ascii="宋体" w:hAnsi="宋体" w:cs="宋体" w:eastAsia="宋体" w:hint="default"/>
                <w:w w:val="100"/>
                <w:sz w:val="21"/>
                <w:szCs w:val="21"/>
              </w:rPr>
              <w:t>定</w:t>
            </w:r>
            <w:r>
              <w:rPr>
                <w:rFonts w:ascii="宋体" w:hAnsi="宋体" w:cs="宋体" w:eastAsia="宋体" w:hint="default"/>
                <w:spacing w:val="-3"/>
                <w:w w:val="100"/>
                <w:sz w:val="21"/>
                <w:szCs w:val="21"/>
              </w:rPr>
              <w:t>《</w:t>
            </w:r>
            <w:r>
              <w:rPr>
                <w:rFonts w:ascii="宋体" w:hAnsi="宋体" w:cs="宋体" w:eastAsia="宋体" w:hint="default"/>
                <w:w w:val="100"/>
                <w:sz w:val="21"/>
                <w:szCs w:val="21"/>
              </w:rPr>
              <w:t>控</w:t>
            </w:r>
            <w:r>
              <w:rPr>
                <w:rFonts w:ascii="宋体" w:hAnsi="宋体" w:cs="宋体" w:eastAsia="宋体" w:hint="default"/>
                <w:spacing w:val="-3"/>
                <w:w w:val="100"/>
                <w:sz w:val="21"/>
                <w:szCs w:val="21"/>
              </w:rPr>
              <w:t>股</w:t>
            </w:r>
            <w:r>
              <w:rPr>
                <w:rFonts w:ascii="宋体" w:hAnsi="宋体" w:cs="宋体" w:eastAsia="宋体" w:hint="default"/>
                <w:w w:val="100"/>
                <w:sz w:val="21"/>
                <w:szCs w:val="21"/>
              </w:rPr>
              <w:t>子</w:t>
            </w:r>
            <w:r>
              <w:rPr>
                <w:rFonts w:ascii="宋体" w:hAnsi="宋体" w:cs="宋体" w:eastAsia="宋体" w:hint="default"/>
                <w:spacing w:val="-3"/>
                <w:w w:val="100"/>
                <w:sz w:val="21"/>
                <w:szCs w:val="21"/>
              </w:rPr>
              <w:t>公司</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办</w:t>
            </w:r>
            <w:r>
              <w:rPr>
                <w:rFonts w:ascii="宋体" w:hAnsi="宋体" w:cs="宋体" w:eastAsia="宋体" w:hint="default"/>
                <w:w w:val="100"/>
                <w:sz w:val="21"/>
                <w:szCs w:val="21"/>
              </w:rPr>
              <w:t>法</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21"/>
              <w:ind w:left="446" w:right="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制</w:t>
            </w:r>
            <w:r>
              <w:rPr>
                <w:rFonts w:ascii="宋体" w:hAnsi="宋体" w:cs="宋体" w:eastAsia="宋体" w:hint="default"/>
                <w:w w:val="100"/>
                <w:sz w:val="21"/>
                <w:szCs w:val="21"/>
              </w:rPr>
              <w:t>定</w:t>
            </w:r>
            <w:r>
              <w:rPr>
                <w:rFonts w:ascii="宋体" w:hAnsi="宋体" w:cs="宋体" w:eastAsia="宋体" w:hint="default"/>
                <w:spacing w:val="-3"/>
                <w:w w:val="100"/>
                <w:sz w:val="21"/>
                <w:szCs w:val="21"/>
              </w:rPr>
              <w:t>《</w:t>
            </w:r>
            <w:r>
              <w:rPr>
                <w:rFonts w:ascii="宋体" w:hAnsi="宋体" w:cs="宋体" w:eastAsia="宋体" w:hint="default"/>
                <w:w w:val="100"/>
                <w:sz w:val="21"/>
                <w:szCs w:val="21"/>
              </w:rPr>
              <w:t>内</w:t>
            </w:r>
            <w:r>
              <w:rPr>
                <w:rFonts w:ascii="宋体" w:hAnsi="宋体" w:cs="宋体" w:eastAsia="宋体" w:hint="default"/>
                <w:spacing w:val="-3"/>
                <w:w w:val="100"/>
                <w:sz w:val="21"/>
                <w:szCs w:val="21"/>
              </w:rPr>
              <w:t>幕</w:t>
            </w:r>
            <w:r>
              <w:rPr>
                <w:rFonts w:ascii="宋体" w:hAnsi="宋体" w:cs="宋体" w:eastAsia="宋体" w:hint="default"/>
                <w:w w:val="100"/>
                <w:sz w:val="21"/>
                <w:szCs w:val="21"/>
              </w:rPr>
              <w:t>信</w:t>
            </w:r>
            <w:r>
              <w:rPr>
                <w:rFonts w:ascii="宋体" w:hAnsi="宋体" w:cs="宋体" w:eastAsia="宋体" w:hint="default"/>
                <w:spacing w:val="-3"/>
                <w:w w:val="100"/>
                <w:sz w:val="21"/>
                <w:szCs w:val="21"/>
              </w:rPr>
              <w:t>息知</w:t>
            </w:r>
            <w:r>
              <w:rPr>
                <w:rFonts w:ascii="宋体" w:hAnsi="宋体" w:cs="宋体" w:eastAsia="宋体" w:hint="default"/>
                <w:w w:val="100"/>
                <w:sz w:val="21"/>
                <w:szCs w:val="21"/>
              </w:rPr>
              <w:t>情人</w:t>
            </w:r>
            <w:r>
              <w:rPr>
                <w:rFonts w:ascii="宋体" w:hAnsi="宋体" w:cs="宋体" w:eastAsia="宋体" w:hint="default"/>
                <w:spacing w:val="-3"/>
                <w:w w:val="100"/>
                <w:sz w:val="21"/>
                <w:szCs w:val="21"/>
              </w:rPr>
              <w:t>登</w:t>
            </w:r>
            <w:r>
              <w:rPr>
                <w:rFonts w:ascii="宋体" w:hAnsi="宋体" w:cs="宋体" w:eastAsia="宋体" w:hint="default"/>
                <w:w w:val="100"/>
                <w:sz w:val="21"/>
                <w:szCs w:val="21"/>
              </w:rPr>
              <w:t>记</w:t>
            </w:r>
            <w:r>
              <w:rPr>
                <w:rFonts w:ascii="宋体" w:hAnsi="宋体" w:cs="宋体" w:eastAsia="宋体" w:hint="default"/>
                <w:spacing w:val="-3"/>
                <w:w w:val="100"/>
                <w:sz w:val="21"/>
                <w:szCs w:val="21"/>
              </w:rPr>
              <w:t>备</w:t>
            </w:r>
            <w:r>
              <w:rPr>
                <w:rFonts w:ascii="宋体" w:hAnsi="宋体" w:cs="宋体" w:eastAsia="宋体" w:hint="default"/>
                <w:w w:val="100"/>
                <w:sz w:val="21"/>
                <w:szCs w:val="21"/>
              </w:rPr>
              <w:t>案</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40" w:lineRule="auto" w:before="21"/>
              <w:ind w:left="446" w:right="0"/>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3</w:t>
            </w:r>
            <w:r>
              <w:rPr>
                <w:rFonts w:ascii="宋体" w:hAnsi="宋体" w:cs="宋体" w:eastAsia="宋体" w:hint="default"/>
                <w:w w:val="100"/>
                <w:sz w:val="21"/>
                <w:szCs w:val="21"/>
              </w:rPr>
              <w:t>、</w:t>
            </w:r>
            <w:r>
              <w:rPr>
                <w:rFonts w:ascii="宋体" w:hAnsi="宋体" w:cs="宋体" w:eastAsia="宋体" w:hint="default"/>
                <w:spacing w:val="-3"/>
                <w:w w:val="100"/>
                <w:sz w:val="21"/>
                <w:szCs w:val="21"/>
              </w:rPr>
              <w:t>制</w:t>
            </w:r>
            <w:r>
              <w:rPr>
                <w:rFonts w:ascii="宋体" w:hAnsi="宋体" w:cs="宋体" w:eastAsia="宋体" w:hint="default"/>
                <w:w w:val="100"/>
                <w:sz w:val="21"/>
                <w:szCs w:val="21"/>
              </w:rPr>
              <w:t>定</w:t>
            </w:r>
            <w:r>
              <w:rPr>
                <w:rFonts w:ascii="宋体" w:hAnsi="宋体" w:cs="宋体" w:eastAsia="宋体" w:hint="default"/>
                <w:spacing w:val="-3"/>
                <w:w w:val="100"/>
                <w:sz w:val="21"/>
                <w:szCs w:val="21"/>
              </w:rPr>
              <w:t>《</w:t>
            </w:r>
            <w:r>
              <w:rPr>
                <w:rFonts w:ascii="宋体" w:hAnsi="宋体" w:cs="宋体" w:eastAsia="宋体" w:hint="default"/>
                <w:w w:val="100"/>
                <w:sz w:val="21"/>
                <w:szCs w:val="21"/>
              </w:rPr>
              <w:t>年</w:t>
            </w:r>
            <w:r>
              <w:rPr>
                <w:rFonts w:ascii="宋体" w:hAnsi="宋体" w:cs="宋体" w:eastAsia="宋体" w:hint="default"/>
                <w:spacing w:val="-3"/>
                <w:w w:val="100"/>
                <w:sz w:val="21"/>
                <w:szCs w:val="21"/>
              </w:rPr>
              <w:t>报</w:t>
            </w:r>
            <w:r>
              <w:rPr>
                <w:rFonts w:ascii="宋体" w:hAnsi="宋体" w:cs="宋体" w:eastAsia="宋体" w:hint="default"/>
                <w:w w:val="100"/>
                <w:sz w:val="21"/>
                <w:szCs w:val="21"/>
              </w:rPr>
              <w:t>信</w:t>
            </w:r>
            <w:r>
              <w:rPr>
                <w:rFonts w:ascii="宋体" w:hAnsi="宋体" w:cs="宋体" w:eastAsia="宋体" w:hint="default"/>
                <w:spacing w:val="-3"/>
                <w:w w:val="100"/>
                <w:sz w:val="21"/>
                <w:szCs w:val="21"/>
              </w:rPr>
              <w:t>息披</w:t>
            </w:r>
            <w:r>
              <w:rPr>
                <w:rFonts w:ascii="宋体" w:hAnsi="宋体" w:cs="宋体" w:eastAsia="宋体" w:hint="default"/>
                <w:w w:val="100"/>
                <w:sz w:val="21"/>
                <w:szCs w:val="21"/>
              </w:rPr>
              <w:t>露重</w:t>
            </w:r>
            <w:r>
              <w:rPr>
                <w:rFonts w:ascii="宋体" w:hAnsi="宋体" w:cs="宋体" w:eastAsia="宋体" w:hint="default"/>
                <w:spacing w:val="-3"/>
                <w:w w:val="100"/>
                <w:sz w:val="21"/>
                <w:szCs w:val="21"/>
              </w:rPr>
              <w:t>大</w:t>
            </w:r>
            <w:r>
              <w:rPr>
                <w:rFonts w:ascii="宋体" w:hAnsi="宋体" w:cs="宋体" w:eastAsia="宋体" w:hint="default"/>
                <w:w w:val="100"/>
                <w:sz w:val="21"/>
                <w:szCs w:val="21"/>
              </w:rPr>
              <w:t>差</w:t>
            </w:r>
            <w:r>
              <w:rPr>
                <w:rFonts w:ascii="宋体" w:hAnsi="宋体" w:cs="宋体" w:eastAsia="宋体" w:hint="default"/>
                <w:spacing w:val="-3"/>
                <w:w w:val="100"/>
                <w:sz w:val="21"/>
                <w:szCs w:val="21"/>
              </w:rPr>
              <w:t>错</w:t>
            </w:r>
            <w:r>
              <w:rPr>
                <w:rFonts w:ascii="宋体" w:hAnsi="宋体" w:cs="宋体" w:eastAsia="宋体" w:hint="default"/>
                <w:w w:val="100"/>
                <w:sz w:val="21"/>
                <w:szCs w:val="21"/>
              </w:rPr>
              <w:t>责</w:t>
            </w:r>
            <w:r>
              <w:rPr>
                <w:rFonts w:ascii="宋体" w:hAnsi="宋体" w:cs="宋体" w:eastAsia="宋体" w:hint="default"/>
                <w:spacing w:val="-3"/>
                <w:w w:val="100"/>
                <w:sz w:val="21"/>
                <w:szCs w:val="21"/>
              </w:rPr>
              <w:t>任</w:t>
            </w:r>
            <w:r>
              <w:rPr>
                <w:rFonts w:ascii="宋体" w:hAnsi="宋体" w:cs="宋体" w:eastAsia="宋体" w:hint="default"/>
                <w:w w:val="100"/>
                <w:sz w:val="21"/>
                <w:szCs w:val="21"/>
              </w:rPr>
              <w:t>追</w:t>
            </w:r>
            <w:r>
              <w:rPr>
                <w:rFonts w:ascii="宋体" w:hAnsi="宋体" w:cs="宋体" w:eastAsia="宋体" w:hint="default"/>
                <w:spacing w:val="-3"/>
                <w:w w:val="100"/>
                <w:sz w:val="21"/>
                <w:szCs w:val="21"/>
              </w:rPr>
              <w:t>究</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56" w:lineRule="auto" w:before="21"/>
              <w:ind w:left="446" w:right="41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、修正了《关联交易管理办法》内不完善部分。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三</w:t>
            </w:r>
            <w:r>
              <w:rPr>
                <w:rFonts w:ascii="Times New Roman" w:hAnsi="Times New Roman" w:cs="Times New Roman" w:eastAsia="Times New Roman" w:hint="default"/>
                <w:sz w:val="21"/>
                <w:szCs w:val="21"/>
              </w:rPr>
              <w:t>)</w:t>
            </w:r>
            <w:r>
              <w:rPr>
                <w:rFonts w:ascii="宋体" w:hAnsi="宋体" w:cs="宋体" w:eastAsia="宋体" w:hint="default"/>
                <w:sz w:val="21"/>
                <w:szCs w:val="21"/>
              </w:rPr>
              <w:t>募投资金的使用</w:t>
            </w:r>
          </w:p>
          <w:p>
            <w:pPr>
              <w:pStyle w:val="TableParagraph"/>
              <w:spacing w:line="273" w:lineRule="auto" w:before="5"/>
              <w:ind w:left="24" w:right="100" w:firstLine="422"/>
              <w:jc w:val="both"/>
              <w:rPr>
                <w:rFonts w:ascii="宋体" w:hAnsi="宋体" w:cs="宋体" w:eastAsia="宋体" w:hint="default"/>
                <w:sz w:val="21"/>
                <w:szCs w:val="21"/>
              </w:rPr>
            </w:pPr>
            <w:r>
              <w:rPr>
                <w:rFonts w:ascii="宋体" w:hAnsi="宋体" w:cs="宋体" w:eastAsia="宋体" w:hint="default"/>
                <w:spacing w:val="-2"/>
                <w:sz w:val="21"/>
                <w:szCs w:val="21"/>
              </w:rPr>
              <w:t>公司对募投资金进行专户存储管理，与开户银行签订募集资金专用账户管理协议，掌握募集资</w:t>
            </w:r>
            <w:r>
              <w:rPr>
                <w:rFonts w:ascii="宋体" w:hAnsi="宋体" w:cs="宋体" w:eastAsia="宋体" w:hint="default"/>
                <w:w w:val="100"/>
                <w:sz w:val="21"/>
                <w:szCs w:val="21"/>
              </w:rPr>
              <w:t> </w:t>
            </w:r>
            <w:r>
              <w:rPr>
                <w:rFonts w:ascii="宋体" w:hAnsi="宋体" w:cs="宋体" w:eastAsia="宋体" w:hint="default"/>
                <w:spacing w:val="-2"/>
                <w:sz w:val="21"/>
                <w:szCs w:val="21"/>
              </w:rPr>
              <w:t>金专用账户的资金动态，制定严格的募集资金使用审批程序和管理流程，保证募集资金按照招股说</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明书所列资金用途使用，按项目预算投入募集资金投资项目。并跟踪项目进度和募集资金的使用情</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况，确保投资项目按公司承诺计划实施。</w:t>
            </w:r>
          </w:p>
          <w:p>
            <w:pPr>
              <w:pStyle w:val="TableParagraph"/>
              <w:spacing w:line="273" w:lineRule="auto" w:before="7"/>
              <w:ind w:left="24" w:right="17" w:firstLine="422"/>
              <w:jc w:val="both"/>
              <w:rPr>
                <w:rFonts w:ascii="宋体" w:hAnsi="宋体" w:cs="宋体" w:eastAsia="宋体" w:hint="default"/>
                <w:sz w:val="21"/>
                <w:szCs w:val="21"/>
              </w:rPr>
            </w:pPr>
            <w:r>
              <w:rPr>
                <w:rFonts w:ascii="宋体" w:hAnsi="宋体" w:cs="宋体" w:eastAsia="宋体" w:hint="default"/>
                <w:sz w:val="21"/>
                <w:szCs w:val="21"/>
              </w:rPr>
              <w:t>公司定期由内审部对募集资金的使用与存放情况进行检查，并将检查结果向董事会审计委员会</w:t>
            </w:r>
            <w:r>
              <w:rPr>
                <w:rFonts w:ascii="宋体" w:hAnsi="宋体" w:cs="宋体" w:eastAsia="宋体" w:hint="default"/>
                <w:w w:val="100"/>
                <w:sz w:val="21"/>
                <w:szCs w:val="21"/>
              </w:rPr>
              <w:t> </w:t>
            </w:r>
            <w:r>
              <w:rPr>
                <w:rFonts w:ascii="宋体" w:hAnsi="宋体" w:cs="宋体" w:eastAsia="宋体" w:hint="default"/>
                <w:spacing w:val="-3"/>
                <w:sz w:val="21"/>
                <w:szCs w:val="21"/>
              </w:rPr>
              <w:t>报告。经内审部与财务部共同核实，公司</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年度募集资金的存放和使用符合深圳证券交易所《中</w:t>
            </w:r>
          </w:p>
          <w:p>
            <w:pPr>
              <w:pStyle w:val="TableParagraph"/>
              <w:spacing w:line="256" w:lineRule="auto"/>
              <w:ind w:left="24" w:right="17"/>
              <w:jc w:val="left"/>
              <w:rPr>
                <w:rFonts w:ascii="宋体" w:hAnsi="宋体" w:cs="宋体" w:eastAsia="宋体" w:hint="default"/>
                <w:sz w:val="21"/>
                <w:szCs w:val="21"/>
              </w:rPr>
            </w:pPr>
            <w:r>
              <w:rPr>
                <w:rFonts w:ascii="宋体" w:hAnsi="宋体" w:cs="宋体" w:eastAsia="宋体" w:hint="default"/>
                <w:sz w:val="21"/>
                <w:szCs w:val="21"/>
              </w:rPr>
              <w:t>小企业板上市公司规范运作指引》及公司《募集资金管理办法》的相关规定。公司</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年度未发生</w:t>
            </w:r>
            <w:r>
              <w:rPr>
                <w:rFonts w:ascii="宋体" w:hAnsi="宋体" w:cs="宋体" w:eastAsia="宋体" w:hint="default"/>
                <w:w w:val="100"/>
                <w:sz w:val="21"/>
                <w:szCs w:val="21"/>
              </w:rPr>
              <w:t> </w:t>
            </w:r>
            <w:r>
              <w:rPr>
                <w:rFonts w:ascii="宋体" w:hAnsi="宋体" w:cs="宋体" w:eastAsia="宋体" w:hint="default"/>
                <w:sz w:val="21"/>
                <w:szCs w:val="21"/>
              </w:rPr>
              <w:t>变更募集资金投资项目的情况。</w:t>
            </w:r>
          </w:p>
          <w:p>
            <w:pPr>
              <w:pStyle w:val="TableParagraph"/>
              <w:spacing w:line="256" w:lineRule="auto" w:before="22"/>
              <w:ind w:left="24" w:right="17"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四</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密切关注各开发部门的开工率及人员配置的合理性，配合开发部门和人事部门做好人员的调</w:t>
            </w:r>
            <w:r>
              <w:rPr>
                <w:rFonts w:ascii="宋体" w:hAnsi="宋体" w:cs="宋体" w:eastAsia="宋体" w:hint="default"/>
                <w:w w:val="100"/>
                <w:sz w:val="21"/>
                <w:szCs w:val="21"/>
              </w:rPr>
              <w:t> </w:t>
            </w:r>
            <w:r>
              <w:rPr>
                <w:rFonts w:ascii="宋体" w:hAnsi="宋体" w:cs="宋体" w:eastAsia="宋体" w:hint="default"/>
                <w:sz w:val="21"/>
                <w:szCs w:val="21"/>
              </w:rPr>
              <w:t>配工作。</w:t>
            </w:r>
          </w:p>
          <w:p>
            <w:pPr>
              <w:pStyle w:val="TableParagraph"/>
              <w:spacing w:line="273" w:lineRule="auto" w:before="22"/>
              <w:ind w:left="24" w:right="100" w:firstLine="422"/>
              <w:jc w:val="both"/>
              <w:rPr>
                <w:rFonts w:ascii="宋体" w:hAnsi="宋体" w:cs="宋体" w:eastAsia="宋体" w:hint="default"/>
                <w:sz w:val="21"/>
                <w:szCs w:val="21"/>
              </w:rPr>
            </w:pPr>
            <w:r>
              <w:rPr>
                <w:rFonts w:ascii="宋体" w:hAnsi="宋体" w:cs="宋体" w:eastAsia="宋体" w:hint="default"/>
                <w:spacing w:val="-2"/>
                <w:sz w:val="21"/>
                <w:szCs w:val="21"/>
              </w:rPr>
              <w:t>每季度内审工作会议上，协助人事部门对开工率不足及开工率过高的部门进行协调，以提高人</w:t>
            </w:r>
            <w:r>
              <w:rPr>
                <w:rFonts w:ascii="宋体" w:hAnsi="宋体" w:cs="宋体" w:eastAsia="宋体" w:hint="default"/>
                <w:w w:val="100"/>
                <w:sz w:val="21"/>
                <w:szCs w:val="21"/>
              </w:rPr>
              <w:t> </w:t>
            </w:r>
            <w:r>
              <w:rPr>
                <w:rFonts w:ascii="宋体" w:hAnsi="宋体" w:cs="宋体" w:eastAsia="宋体" w:hint="default"/>
                <w:sz w:val="21"/>
                <w:szCs w:val="21"/>
              </w:rPr>
              <w:t>员的生产效率。</w:t>
            </w:r>
          </w:p>
          <w:p>
            <w:pPr>
              <w:pStyle w:val="TableParagraph"/>
              <w:spacing w:line="256" w:lineRule="auto" w:before="7"/>
              <w:ind w:left="24" w:right="17"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五</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每季度出具内审部工作报告，包括但不限于内部审计计划的执行情况以及内部审计工作监督</w:t>
            </w:r>
            <w:r>
              <w:rPr>
                <w:rFonts w:ascii="宋体" w:hAnsi="宋体" w:cs="宋体" w:eastAsia="宋体" w:hint="default"/>
                <w:w w:val="100"/>
                <w:sz w:val="21"/>
                <w:szCs w:val="21"/>
              </w:rPr>
              <w:t> </w:t>
            </w:r>
            <w:r>
              <w:rPr>
                <w:rFonts w:ascii="宋体" w:hAnsi="宋体" w:cs="宋体" w:eastAsia="宋体" w:hint="default"/>
                <w:sz w:val="21"/>
                <w:szCs w:val="21"/>
              </w:rPr>
              <w:t>情况。</w:t>
            </w:r>
          </w:p>
          <w:p>
            <w:pPr>
              <w:pStyle w:val="TableParagraph"/>
              <w:spacing w:line="256" w:lineRule="auto" w:before="22"/>
              <w:ind w:left="24" w:right="55"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年度，结合审计工作总目标，以及资本运营总部的总体工作安排。审计部继续将工作重点</w:t>
            </w:r>
            <w:r>
              <w:rPr>
                <w:rFonts w:ascii="宋体" w:hAnsi="宋体" w:cs="宋体" w:eastAsia="宋体" w:hint="default"/>
                <w:w w:val="100"/>
                <w:sz w:val="21"/>
                <w:szCs w:val="21"/>
              </w:rPr>
              <w:t> </w:t>
            </w:r>
            <w:r>
              <w:rPr>
                <w:rFonts w:ascii="宋体" w:hAnsi="宋体" w:cs="宋体" w:eastAsia="宋体" w:hint="default"/>
                <w:sz w:val="21"/>
                <w:szCs w:val="21"/>
              </w:rPr>
              <w:t>主要划分为风险控制、提升效益、投资支持三大方面。</w:t>
            </w:r>
          </w:p>
        </w:tc>
      </w:tr>
      <w:tr>
        <w:trPr>
          <w:trHeight w:val="322" w:hRule="exact"/>
        </w:trPr>
        <w:tc>
          <w:tcPr>
            <w:tcW w:w="917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w:t>
            </w:r>
          </w:p>
        </w:tc>
      </w:tr>
      <w:tr>
        <w:trPr>
          <w:trHeight w:val="322" w:hRule="exact"/>
        </w:trPr>
        <w:tc>
          <w:tcPr>
            <w:tcW w:w="91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2" w:lineRule="exact"/>
        <w:jc w:val="left"/>
        <w:rPr>
          <w:rFonts w:ascii="宋体" w:hAnsi="宋体" w:cs="宋体" w:eastAsia="宋体" w:hint="default"/>
          <w:sz w:val="21"/>
          <w:szCs w:val="21"/>
        </w:rPr>
        <w:sectPr>
          <w:pgSz w:w="11900" w:h="16840"/>
          <w:pgMar w:header="874" w:footer="983" w:top="1040" w:bottom="1180" w:left="1180" w:right="130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91"/>
        <w:ind w:right="280"/>
        <w:jc w:val="left"/>
        <w:rPr>
          <w:b w:val="0"/>
          <w:bCs w:val="0"/>
        </w:rPr>
      </w:pPr>
      <w:r>
        <w:rPr/>
        <w:t>七、2010</w:t>
      </w:r>
      <w:r>
        <w:rPr>
          <w:spacing w:val="-64"/>
        </w:rPr>
        <w:t> </w:t>
      </w:r>
      <w:r>
        <w:rPr/>
        <w:t>年加强公司专项治理成果的情况</w:t>
      </w:r>
      <w:r>
        <w:rPr>
          <w:b w:val="0"/>
          <w:bCs w:val="0"/>
        </w:rPr>
      </w:r>
    </w:p>
    <w:p>
      <w:pPr>
        <w:pStyle w:val="BodyText"/>
        <w:spacing w:line="357" w:lineRule="auto" w:before="154"/>
        <w:ind w:right="144" w:firstLine="504"/>
        <w:jc w:val="both"/>
      </w:pPr>
      <w:r>
        <w:rPr/>
        <w:t>报告期内，公司在</w:t>
      </w:r>
      <w:r>
        <w:rPr>
          <w:spacing w:val="-56"/>
        </w:rPr>
        <w:t> </w:t>
      </w:r>
      <w:r>
        <w:rPr/>
        <w:t>2009</w:t>
      </w:r>
      <w:r>
        <w:rPr>
          <w:spacing w:val="-56"/>
        </w:rPr>
        <w:t> </w:t>
      </w:r>
      <w:r>
        <w:rPr/>
        <w:t>年度公司治理专项活动成果的基础上，严格执行内控</w:t>
      </w:r>
      <w:r>
        <w:rPr/>
        <w:t> </w:t>
      </w:r>
      <w:r>
        <w:rPr>
          <w:spacing w:val="-3"/>
        </w:rPr>
        <w:t>管理制度，继续加强对董事、监事和高级管理人员的培训工作，提高公司规范运作</w:t>
      </w:r>
      <w:r>
        <w:rPr>
          <w:spacing w:val="-99"/>
        </w:rPr>
        <w:t> </w:t>
      </w:r>
      <w:r>
        <w:rPr>
          <w:spacing w:val="-99"/>
        </w:rPr>
      </w:r>
      <w:r>
        <w:rPr>
          <w:spacing w:val="-3"/>
        </w:rPr>
        <w:t>的水平，进行了持续深入的改善活动。同时加强了公司的督促机能，促进各方加强</w:t>
      </w:r>
      <w:r>
        <w:rPr>
          <w:spacing w:val="-99"/>
        </w:rPr>
        <w:t> </w:t>
      </w:r>
      <w:r>
        <w:rPr>
          <w:spacing w:val="-99"/>
        </w:rPr>
      </w:r>
      <w:r>
        <w:rPr/>
        <w:t>执行力，在原有的基础上进一步提高了公司的治理水平。</w:t>
      </w:r>
    </w:p>
    <w:p>
      <w:pPr>
        <w:pStyle w:val="BodyText"/>
        <w:spacing w:line="240" w:lineRule="auto"/>
        <w:ind w:left="615" w:right="280"/>
        <w:jc w:val="left"/>
      </w:pPr>
      <w:r>
        <w:rPr/>
        <w:t>目前，公司不存在尚未解决的治理问题。</w:t>
      </w:r>
    </w:p>
    <w:p>
      <w:pPr>
        <w:spacing w:after="0" w:line="240" w:lineRule="auto"/>
        <w:jc w:val="left"/>
        <w:sectPr>
          <w:pgSz w:w="11900" w:h="16840"/>
          <w:pgMar w:header="874" w:footer="983" w:top="1040" w:bottom="1180" w:left="1540" w:right="152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pt;height:.75pt;mso-position-horizontal-relative:char;mso-position-vertical-relative:line" coordorigin="0,0" coordsize="8378,15">
            <v:group style="position:absolute;left:7;top:7;width:8364;height:2" coordorigin="7,7" coordsize="8364,2">
              <v:shape style="position:absolute;left:7;top:7;width:8364;height:2" coordorigin="7,7" coordsize="8364,0" path="m7,7l8371,7e" filled="false" stroked="true" strokeweight=".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7"/>
          <w:szCs w:val="27"/>
        </w:rPr>
      </w:pPr>
    </w:p>
    <w:p>
      <w:pPr>
        <w:pStyle w:val="Heading1"/>
        <w:tabs>
          <w:tab w:pos="3651" w:val="left" w:leader="none"/>
        </w:tabs>
        <w:spacing w:line="240" w:lineRule="auto"/>
        <w:ind w:left="2364" w:right="96"/>
        <w:jc w:val="left"/>
        <w:rPr>
          <w:b w:val="0"/>
          <w:bCs w:val="0"/>
        </w:rPr>
      </w:pPr>
      <w:r>
        <w:rPr/>
        <w:pict>
          <v:shape style="position:absolute;margin-left:90pt;margin-top:-30.86249pt;width:38.28pt;height:7.92pt;mso-position-horizontal-relative:page;mso-position-vertical-relative:paragraph;z-index:1192" type="#_x0000_t75" stroked="false">
            <v:imagedata r:id="rId15" o:title=""/>
          </v:shape>
        </w:pict>
      </w:r>
      <w:bookmarkStart w:name="_TOC_250005" w:id="6"/>
      <w:r>
        <w:rPr>
          <w:w w:val="95"/>
        </w:rPr>
        <w:t>第六节</w:t>
        <w:tab/>
      </w:r>
      <w:r>
        <w:rPr/>
        <w:t>股东大会情况介绍</w:t>
      </w:r>
      <w:bookmarkEnd w:id="6"/>
      <w:r>
        <w:rPr>
          <w:b w:val="0"/>
          <w:bCs w:val="0"/>
        </w:rPr>
      </w:r>
    </w:p>
    <w:p>
      <w:pPr>
        <w:pStyle w:val="BodyText"/>
        <w:spacing w:line="357" w:lineRule="auto" w:before="193"/>
        <w:ind w:right="4200" w:firstLine="480"/>
        <w:jc w:val="left"/>
      </w:pPr>
      <w:r>
        <w:rPr/>
        <w:t>报告期内公司共召开一次股东大会。 一、2009</w:t>
      </w:r>
      <w:r>
        <w:rPr>
          <w:spacing w:val="-60"/>
        </w:rPr>
        <w:t> </w:t>
      </w:r>
      <w:r>
        <w:rPr/>
        <w:t>年度股东大会召开情况</w:t>
      </w:r>
    </w:p>
    <w:p>
      <w:pPr>
        <w:pStyle w:val="BodyText"/>
        <w:spacing w:line="357" w:lineRule="auto"/>
        <w:ind w:right="216" w:firstLine="480"/>
        <w:jc w:val="left"/>
      </w:pPr>
      <w:r>
        <w:rPr/>
        <w:t>2010</w:t>
      </w:r>
      <w:r>
        <w:rPr>
          <w:spacing w:val="-48"/>
        </w:rPr>
        <w:t> </w:t>
      </w:r>
      <w:r>
        <w:rPr/>
        <w:t>年</w:t>
      </w:r>
      <w:r>
        <w:rPr>
          <w:spacing w:val="-48"/>
        </w:rPr>
        <w:t> </w:t>
      </w:r>
      <w:r>
        <w:rPr/>
        <w:t>5</w:t>
      </w:r>
      <w:r>
        <w:rPr>
          <w:spacing w:val="-48"/>
        </w:rPr>
        <w:t> </w:t>
      </w:r>
      <w:r>
        <w:rPr/>
        <w:t>月</w:t>
      </w:r>
      <w:r>
        <w:rPr>
          <w:spacing w:val="-48"/>
        </w:rPr>
        <w:t> </w:t>
      </w:r>
      <w:r>
        <w:rPr/>
        <w:t>12</w:t>
      </w:r>
      <w:r>
        <w:rPr>
          <w:spacing w:val="-48"/>
        </w:rPr>
        <w:t> </w:t>
      </w:r>
      <w:r>
        <w:rPr/>
        <w:t>日召开了公司</w:t>
      </w:r>
      <w:r>
        <w:rPr>
          <w:spacing w:val="-48"/>
        </w:rPr>
        <w:t> </w:t>
      </w:r>
      <w:r>
        <w:rPr/>
        <w:t>2009</w:t>
      </w:r>
      <w:r>
        <w:rPr>
          <w:spacing w:val="-48"/>
        </w:rPr>
        <w:t> </w:t>
      </w:r>
      <w:r>
        <w:rPr/>
        <w:t>年度股东大会。会议逐项审议并以记名</w:t>
      </w:r>
      <w:r>
        <w:rPr/>
        <w:t> 投票表决的方式通过了以下议案：</w:t>
      </w:r>
    </w:p>
    <w:p>
      <w:pPr>
        <w:pStyle w:val="BodyText"/>
        <w:spacing w:line="240" w:lineRule="auto"/>
        <w:ind w:left="620" w:right="96"/>
        <w:jc w:val="left"/>
      </w:pPr>
      <w:r>
        <w:rPr/>
        <w:t>1、审议并通过《公司</w:t>
      </w:r>
      <w:r>
        <w:rPr>
          <w:spacing w:val="-60"/>
        </w:rPr>
        <w:t> </w:t>
      </w:r>
      <w:r>
        <w:rPr/>
        <w:t>2009</w:t>
      </w:r>
      <w:r>
        <w:rPr>
          <w:spacing w:val="-60"/>
        </w:rPr>
        <w:t> </w:t>
      </w:r>
      <w:r>
        <w:rPr/>
        <w:t>年度报告及摘要</w:t>
      </w:r>
      <w:r>
        <w:rPr>
          <w:spacing w:val="-120"/>
        </w:rPr>
        <w:t>》</w:t>
      </w:r>
      <w:r>
        <w:rPr/>
        <w:t>；</w:t>
      </w:r>
    </w:p>
    <w:p>
      <w:pPr>
        <w:pStyle w:val="BodyText"/>
        <w:spacing w:line="240" w:lineRule="auto" w:before="154"/>
        <w:ind w:left="620" w:right="96"/>
        <w:jc w:val="left"/>
      </w:pPr>
      <w:r>
        <w:rPr/>
        <w:t>2、审议并通过《公司</w:t>
      </w:r>
      <w:r>
        <w:rPr>
          <w:spacing w:val="-60"/>
        </w:rPr>
        <w:t> </w:t>
      </w:r>
      <w:r>
        <w:rPr/>
        <w:t>2009</w:t>
      </w:r>
      <w:r>
        <w:rPr>
          <w:spacing w:val="-60"/>
        </w:rPr>
        <w:t> </w:t>
      </w:r>
      <w:r>
        <w:rPr/>
        <w:t>年度董事会工作报告</w:t>
      </w:r>
      <w:r>
        <w:rPr>
          <w:spacing w:val="-120"/>
        </w:rPr>
        <w:t>》</w:t>
      </w:r>
      <w:r>
        <w:rPr/>
        <w:t>；</w:t>
      </w:r>
    </w:p>
    <w:p>
      <w:pPr>
        <w:pStyle w:val="BodyText"/>
        <w:spacing w:line="240" w:lineRule="auto" w:before="154"/>
        <w:ind w:left="620" w:right="96"/>
        <w:jc w:val="left"/>
      </w:pPr>
      <w:r>
        <w:rPr/>
        <w:t>3、审议并通过《公司</w:t>
      </w:r>
      <w:r>
        <w:rPr>
          <w:spacing w:val="-60"/>
        </w:rPr>
        <w:t> </w:t>
      </w:r>
      <w:r>
        <w:rPr/>
        <w:t>2009</w:t>
      </w:r>
      <w:r>
        <w:rPr>
          <w:spacing w:val="-60"/>
        </w:rPr>
        <w:t> </w:t>
      </w:r>
      <w:r>
        <w:rPr/>
        <w:t>年度监事会工作报告</w:t>
      </w:r>
      <w:r>
        <w:rPr>
          <w:spacing w:val="-120"/>
        </w:rPr>
        <w:t>》</w:t>
      </w:r>
      <w:r>
        <w:rPr/>
        <w:t>；</w:t>
      </w:r>
    </w:p>
    <w:p>
      <w:pPr>
        <w:pStyle w:val="BodyText"/>
        <w:spacing w:line="240" w:lineRule="auto" w:before="154"/>
        <w:ind w:left="620" w:right="96"/>
        <w:jc w:val="left"/>
      </w:pPr>
      <w:r>
        <w:rPr/>
        <w:t>4、审议并通过《公司</w:t>
      </w:r>
      <w:r>
        <w:rPr>
          <w:spacing w:val="-60"/>
        </w:rPr>
        <w:t> </w:t>
      </w:r>
      <w:r>
        <w:rPr/>
        <w:t>2009</w:t>
      </w:r>
      <w:r>
        <w:rPr>
          <w:spacing w:val="-60"/>
        </w:rPr>
        <w:t> </w:t>
      </w:r>
      <w:r>
        <w:rPr/>
        <w:t>年度财务决算报告</w:t>
      </w:r>
      <w:r>
        <w:rPr>
          <w:spacing w:val="-120"/>
        </w:rPr>
        <w:t>》</w:t>
      </w:r>
      <w:r>
        <w:rPr/>
        <w:t>；</w:t>
      </w:r>
    </w:p>
    <w:p>
      <w:pPr>
        <w:pStyle w:val="BodyText"/>
        <w:spacing w:line="240" w:lineRule="auto" w:before="154"/>
        <w:ind w:left="620" w:right="96"/>
        <w:jc w:val="left"/>
      </w:pPr>
      <w:r>
        <w:rPr/>
        <w:t>5、审议并通过《公司</w:t>
      </w:r>
      <w:r>
        <w:rPr>
          <w:spacing w:val="-60"/>
        </w:rPr>
        <w:t> </w:t>
      </w:r>
      <w:r>
        <w:rPr/>
        <w:t>2009</w:t>
      </w:r>
      <w:r>
        <w:rPr>
          <w:spacing w:val="-60"/>
        </w:rPr>
        <w:t> </w:t>
      </w:r>
      <w:r>
        <w:rPr/>
        <w:t>年度利润分配预案</w:t>
      </w:r>
      <w:r>
        <w:rPr>
          <w:spacing w:val="-120"/>
        </w:rPr>
        <w:t>》</w:t>
      </w:r>
      <w:r>
        <w:rPr/>
        <w:t>；</w:t>
      </w:r>
    </w:p>
    <w:p>
      <w:pPr>
        <w:pStyle w:val="BodyText"/>
        <w:spacing w:line="240" w:lineRule="auto" w:before="154"/>
        <w:ind w:left="620" w:right="96"/>
        <w:jc w:val="left"/>
      </w:pPr>
      <w:r>
        <w:rPr/>
        <w:t>6、审议并通过《关于续聘会计师事务所的议案</w:t>
      </w:r>
      <w:r>
        <w:rPr>
          <w:spacing w:val="-120"/>
        </w:rPr>
        <w:t>》</w:t>
      </w:r>
      <w:r>
        <w:rPr/>
        <w:t>；</w:t>
      </w:r>
    </w:p>
    <w:p>
      <w:pPr>
        <w:pStyle w:val="BodyText"/>
        <w:spacing w:line="240" w:lineRule="auto" w:before="154"/>
        <w:ind w:left="620" w:right="96"/>
        <w:jc w:val="left"/>
      </w:pPr>
      <w:r>
        <w:rPr/>
        <w:t>7、审议并通过《关于修改公司&lt;关联交易管理办法&gt;的议案</w:t>
      </w:r>
      <w:r>
        <w:rPr>
          <w:spacing w:val="-120"/>
        </w:rPr>
        <w:t>》</w:t>
      </w:r>
      <w:r>
        <w:rPr/>
        <w:t>；</w:t>
      </w:r>
    </w:p>
    <w:p>
      <w:pPr>
        <w:pStyle w:val="BodyText"/>
        <w:spacing w:line="357" w:lineRule="auto" w:before="154"/>
        <w:ind w:right="102" w:firstLine="480"/>
        <w:jc w:val="left"/>
      </w:pPr>
      <w:r>
        <w:rPr>
          <w:spacing w:val="-3"/>
        </w:rPr>
        <w:t>8、经股东大会审议，采用累积投票制的方式选举包叔平先生、唐长钧先生、</w:t>
      </w:r>
      <w:r>
        <w:rPr/>
        <w:t> </w:t>
      </w:r>
      <w:r>
        <w:rPr>
          <w:spacing w:val="-5"/>
        </w:rPr>
        <w:t>潘世雷先生、陆庆先生、朱玉旭先生、张怡方女士等</w:t>
      </w:r>
      <w:r>
        <w:rPr>
          <w:spacing w:val="-56"/>
        </w:rPr>
        <w:t> </w:t>
      </w:r>
      <w:r>
        <w:rPr/>
        <w:t>6</w:t>
      </w:r>
      <w:r>
        <w:rPr>
          <w:spacing w:val="-56"/>
        </w:rPr>
        <w:t> </w:t>
      </w:r>
      <w:r>
        <w:rPr/>
        <w:t>人为公司第四届董事会非</w:t>
      </w:r>
      <w:r>
        <w:rPr>
          <w:spacing w:val="-111"/>
        </w:rPr>
        <w:t> </w:t>
      </w:r>
      <w:r>
        <w:rPr>
          <w:spacing w:val="-111"/>
        </w:rPr>
      </w:r>
      <w:r>
        <w:rPr/>
        <w:t>独立董事，任期三年。分项表决结果如下：</w:t>
      </w:r>
    </w:p>
    <w:p>
      <w:pPr>
        <w:pStyle w:val="BodyText"/>
        <w:spacing w:line="240" w:lineRule="auto"/>
        <w:ind w:left="500" w:right="96"/>
        <w:jc w:val="left"/>
      </w:pPr>
      <w:r>
        <w:rPr/>
        <w:t>（1）选举包叔平先生为公司第四届董事会非独立董事。</w:t>
      </w:r>
    </w:p>
    <w:p>
      <w:pPr>
        <w:pStyle w:val="BodyText"/>
        <w:spacing w:line="240" w:lineRule="auto" w:before="154"/>
        <w:ind w:left="500" w:right="96"/>
        <w:jc w:val="left"/>
      </w:pPr>
      <w:r>
        <w:rPr/>
        <w:t>（2）选举唐长钧先生为公司第四届董事会非独立董事。</w:t>
      </w:r>
    </w:p>
    <w:p>
      <w:pPr>
        <w:pStyle w:val="BodyText"/>
        <w:spacing w:line="240" w:lineRule="auto" w:before="154"/>
        <w:ind w:left="500" w:right="96"/>
        <w:jc w:val="left"/>
      </w:pPr>
      <w:r>
        <w:rPr/>
        <w:t>（3）选举潘世雷先生为公司第四届董事会非独立董事。</w:t>
      </w:r>
    </w:p>
    <w:p>
      <w:pPr>
        <w:pStyle w:val="BodyText"/>
        <w:spacing w:line="240" w:lineRule="auto" w:before="154"/>
        <w:ind w:left="500" w:right="96"/>
        <w:jc w:val="left"/>
      </w:pPr>
      <w:r>
        <w:rPr/>
        <w:t>（4）选举陆庆先生为公司第四届董事会非独立董事。</w:t>
      </w:r>
    </w:p>
    <w:p>
      <w:pPr>
        <w:pStyle w:val="BodyText"/>
        <w:spacing w:line="240" w:lineRule="auto" w:before="154"/>
        <w:ind w:left="500" w:right="96"/>
        <w:jc w:val="left"/>
      </w:pPr>
      <w:r>
        <w:rPr/>
        <w:t>（5）选举朱玉旭先生为公司第四届董事会非独立董事。</w:t>
      </w:r>
    </w:p>
    <w:p>
      <w:pPr>
        <w:pStyle w:val="BodyText"/>
        <w:spacing w:line="357" w:lineRule="auto" w:before="154"/>
        <w:ind w:left="620" w:right="102" w:hanging="120"/>
        <w:jc w:val="left"/>
      </w:pPr>
      <w:r>
        <w:rPr/>
        <w:t>（6）选举张怡方女士为公司第四届董事会非独立董事。 </w:t>
      </w:r>
      <w:r>
        <w:rPr>
          <w:spacing w:val="-3"/>
        </w:rPr>
        <w:t>9、经股东大会审议，采用累积投票制的方式选举何积丰先生、陈乐波先生、</w:t>
      </w:r>
    </w:p>
    <w:p>
      <w:pPr>
        <w:pStyle w:val="BodyText"/>
        <w:spacing w:line="240" w:lineRule="auto"/>
        <w:ind w:left="0" w:right="1619"/>
        <w:jc w:val="center"/>
      </w:pPr>
      <w:r>
        <w:rPr/>
        <w:t>高美萍女士等 3</w:t>
      </w:r>
      <w:r>
        <w:rPr>
          <w:spacing w:val="-60"/>
        </w:rPr>
        <w:t> </w:t>
      </w:r>
      <w:r>
        <w:rPr/>
        <w:t>人为独立董事，任期三年。分项表决结果如下：</w:t>
      </w:r>
    </w:p>
    <w:p>
      <w:pPr>
        <w:pStyle w:val="BodyText"/>
        <w:spacing w:line="240" w:lineRule="auto" w:before="154"/>
        <w:ind w:left="500" w:right="96"/>
        <w:jc w:val="left"/>
      </w:pPr>
      <w:r>
        <w:rPr/>
        <w:t>（1）选举何积丰先生为公司第四届董事会独立董事。</w:t>
      </w:r>
    </w:p>
    <w:p>
      <w:pPr>
        <w:pStyle w:val="BodyText"/>
        <w:spacing w:line="240" w:lineRule="auto" w:before="154"/>
        <w:ind w:left="500" w:right="96"/>
        <w:jc w:val="left"/>
      </w:pPr>
      <w:r>
        <w:rPr/>
        <w:t>（2）选举陈乐波先生为公司第四届董事会独立董事。</w:t>
      </w:r>
    </w:p>
    <w:p>
      <w:pPr>
        <w:pStyle w:val="BodyText"/>
        <w:spacing w:line="357" w:lineRule="auto" w:before="154"/>
        <w:ind w:left="620" w:right="222" w:hanging="120"/>
        <w:jc w:val="left"/>
      </w:pPr>
      <w:r>
        <w:rPr/>
        <w:t>（3）选举高美萍女士为公司第四届董事会独立董事。 </w:t>
      </w:r>
      <w:r>
        <w:rPr>
          <w:spacing w:val="-3"/>
        </w:rPr>
        <w:t>10、经股东大会审议，采用累积投票制的方式选举周颖先生和梁恭杰先生为</w:t>
      </w:r>
    </w:p>
    <w:p>
      <w:pPr>
        <w:pStyle w:val="BodyText"/>
        <w:spacing w:line="357" w:lineRule="auto"/>
        <w:ind w:right="225"/>
        <w:jc w:val="left"/>
      </w:pPr>
      <w:r>
        <w:rPr>
          <w:spacing w:val="-3"/>
        </w:rPr>
        <w:t>公司第四届监事会非职工代表监事，与职工代表监事王彬先生共同组成公司第四</w:t>
      </w:r>
      <w:r>
        <w:rPr>
          <w:spacing w:val="-109"/>
        </w:rPr>
        <w:t> </w:t>
      </w:r>
      <w:r>
        <w:rPr>
          <w:spacing w:val="-109"/>
        </w:rPr>
      </w:r>
      <w:r>
        <w:rPr/>
        <w:t>届监事会，任期三年。分项表决结果如下：</w:t>
      </w:r>
    </w:p>
    <w:p>
      <w:pPr>
        <w:spacing w:after="0" w:line="357" w:lineRule="auto"/>
        <w:jc w:val="left"/>
        <w:sectPr>
          <w:pgSz w:w="11900" w:h="16840"/>
          <w:pgMar w:header="874" w:footer="983" w:top="1040" w:bottom="1180" w:left="1660" w:right="1560"/>
        </w:sectPr>
      </w:pPr>
    </w:p>
    <w:p>
      <w:pPr>
        <w:spacing w:line="240" w:lineRule="auto" w:before="0"/>
        <w:rPr>
          <w:rFonts w:ascii="宋体" w:hAnsi="宋体" w:cs="宋体" w:eastAsia="宋体" w:hint="default"/>
          <w:sz w:val="20"/>
          <w:szCs w:val="20"/>
        </w:rPr>
      </w:pPr>
    </w:p>
    <w:p>
      <w:pPr>
        <w:pStyle w:val="BodyText"/>
        <w:spacing w:line="240" w:lineRule="auto" w:before="160"/>
        <w:ind w:left="500" w:right="0"/>
        <w:jc w:val="left"/>
      </w:pPr>
      <w:r>
        <w:rPr/>
        <w:t>（1）选举周颖先生为公司第四届监事会非职工代表监事。</w:t>
      </w:r>
    </w:p>
    <w:p>
      <w:pPr>
        <w:pStyle w:val="BodyText"/>
        <w:spacing w:line="357" w:lineRule="auto" w:before="154"/>
        <w:ind w:left="620" w:right="139" w:hanging="120"/>
        <w:jc w:val="left"/>
      </w:pPr>
      <w:r>
        <w:rPr/>
        <w:t>（2）选举梁恭杰先生为公司第四届监事会非职工代表监事。 </w:t>
      </w:r>
      <w:r>
        <w:rPr>
          <w:spacing w:val="-3"/>
        </w:rPr>
        <w:t>在本次年度股东大会上，公司独立董事何积丰先生、干春晖先生、高美萍女</w:t>
      </w:r>
    </w:p>
    <w:p>
      <w:pPr>
        <w:pStyle w:val="BodyText"/>
        <w:spacing w:line="357" w:lineRule="auto"/>
        <w:ind w:left="620" w:right="139" w:hanging="480"/>
        <w:jc w:val="left"/>
      </w:pPr>
      <w:r>
        <w:rPr>
          <w:spacing w:val="-4"/>
        </w:rPr>
        <w:t>士分别进行述职报告，并向股东大会提交了《独立董事述职报告》。</w:t>
      </w:r>
      <w:r>
        <w:rPr/>
        <w:t> </w:t>
      </w:r>
      <w:r>
        <w:rPr>
          <w:spacing w:val="-3"/>
        </w:rPr>
        <w:t>北京市天银律师事务所彭山涛律师是本次会议的见证律师，认为上海海隆软</w:t>
      </w:r>
    </w:p>
    <w:p>
      <w:pPr>
        <w:pStyle w:val="BodyText"/>
        <w:spacing w:line="357" w:lineRule="auto"/>
        <w:ind w:right="151"/>
        <w:jc w:val="both"/>
      </w:pPr>
      <w:r>
        <w:rPr/>
        <w:t>件股份有限公司 2009</w:t>
      </w:r>
      <w:r>
        <w:rPr>
          <w:spacing w:val="-94"/>
        </w:rPr>
        <w:t> </w:t>
      </w:r>
      <w:r>
        <w:rPr/>
        <w:t>年度股东大会的召集召开程序、召集人及出席人员、表决</w:t>
      </w:r>
      <w:r>
        <w:rPr/>
        <w:t> </w:t>
      </w:r>
      <w:r>
        <w:rPr>
          <w:spacing w:val="-10"/>
        </w:rPr>
        <w:t>程序均符合《公司法》、《上市公司股东大会规则》和《公司章程》的规定，本次</w:t>
      </w:r>
      <w:r>
        <w:rPr>
          <w:spacing w:val="-96"/>
        </w:rPr>
        <w:t> </w:t>
      </w:r>
      <w:r>
        <w:rPr>
          <w:spacing w:val="-96"/>
        </w:rPr>
      </w:r>
      <w:r>
        <w:rPr/>
        <w:t>股东大会作出的决议合法有效。</w:t>
      </w:r>
    </w:p>
    <w:p>
      <w:pPr>
        <w:pStyle w:val="BodyText"/>
        <w:spacing w:line="357" w:lineRule="auto"/>
        <w:ind w:right="144" w:firstLine="480"/>
        <w:jc w:val="left"/>
      </w:pPr>
      <w:r>
        <w:rPr/>
        <w:t>公司</w:t>
      </w:r>
      <w:r>
        <w:rPr>
          <w:spacing w:val="-58"/>
        </w:rPr>
        <w:t> </w:t>
      </w:r>
      <w:r>
        <w:rPr/>
        <w:t>2009</w:t>
      </w:r>
      <w:r>
        <w:rPr>
          <w:spacing w:val="-58"/>
        </w:rPr>
        <w:t> </w:t>
      </w:r>
      <w:r>
        <w:rPr/>
        <w:t>年度股东大会的决议公告见</w:t>
      </w:r>
      <w:r>
        <w:rPr>
          <w:spacing w:val="-58"/>
        </w:rPr>
        <w:t> </w:t>
      </w:r>
      <w:r>
        <w:rPr/>
        <w:t>2010</w:t>
      </w:r>
      <w:r>
        <w:rPr>
          <w:spacing w:val="-58"/>
        </w:rPr>
        <w:t> </w:t>
      </w:r>
      <w:r>
        <w:rPr/>
        <w:t>年</w:t>
      </w:r>
      <w:r>
        <w:rPr>
          <w:spacing w:val="-58"/>
        </w:rPr>
        <w:t> </w:t>
      </w:r>
      <w:r>
        <w:rPr/>
        <w:t>5</w:t>
      </w:r>
      <w:r>
        <w:rPr>
          <w:spacing w:val="-58"/>
        </w:rPr>
        <w:t> </w:t>
      </w:r>
      <w:r>
        <w:rPr/>
        <w:t>月</w:t>
      </w:r>
      <w:r>
        <w:rPr>
          <w:spacing w:val="-58"/>
        </w:rPr>
        <w:t> </w:t>
      </w:r>
      <w:r>
        <w:rPr/>
        <w:t>13</w:t>
      </w:r>
      <w:r>
        <w:rPr>
          <w:spacing w:val="-58"/>
        </w:rPr>
        <w:t> </w:t>
      </w:r>
      <w:r>
        <w:rPr/>
        <w:t>日《中国证券报》及</w:t>
      </w:r>
      <w:r>
        <w:rPr/>
        <w:t> 巨潮资讯网。</w:t>
      </w:r>
    </w:p>
    <w:p>
      <w:pPr>
        <w:spacing w:after="0" w:line="357" w:lineRule="auto"/>
        <w:jc w:val="left"/>
        <w:sectPr>
          <w:pgSz w:w="11900" w:h="16840"/>
          <w:pgMar w:header="874" w:footer="983" w:top="1040" w:bottom="1180" w:left="1660" w:right="1640"/>
        </w:sectPr>
      </w:pPr>
    </w:p>
    <w:p>
      <w:pPr>
        <w:spacing w:line="240" w:lineRule="auto" w:before="6"/>
        <w:rPr>
          <w:rFonts w:ascii="宋体" w:hAnsi="宋体" w:cs="宋体" w:eastAsia="宋体" w:hint="default"/>
          <w:sz w:val="28"/>
          <w:szCs w:val="28"/>
        </w:rPr>
      </w:pPr>
    </w:p>
    <w:p>
      <w:pPr>
        <w:pStyle w:val="Heading1"/>
        <w:tabs>
          <w:tab w:pos="1286" w:val="left" w:leader="none"/>
        </w:tabs>
        <w:spacing w:line="240" w:lineRule="auto"/>
        <w:ind w:right="177"/>
        <w:jc w:val="center"/>
        <w:rPr>
          <w:b w:val="0"/>
          <w:bCs w:val="0"/>
        </w:rPr>
      </w:pPr>
      <w:bookmarkStart w:name="_TOC_250004" w:id="7"/>
      <w:r>
        <w:rPr>
          <w:w w:val="95"/>
        </w:rPr>
        <w:t>第七节</w:t>
        <w:tab/>
      </w:r>
      <w:r>
        <w:rPr/>
        <w:t>董事会报告</w:t>
      </w:r>
      <w:bookmarkEnd w:id="7"/>
      <w:r>
        <w:rPr>
          <w:b w:val="0"/>
          <w:bCs w:val="0"/>
        </w:rPr>
      </w:r>
    </w:p>
    <w:p>
      <w:pPr>
        <w:spacing w:line="357" w:lineRule="auto" w:before="193"/>
        <w:ind w:left="138" w:right="5227" w:firstLine="0"/>
        <w:jc w:val="left"/>
        <w:rPr>
          <w:rFonts w:ascii="宋体" w:hAnsi="宋体" w:cs="宋体" w:eastAsia="宋体" w:hint="default"/>
          <w:sz w:val="24"/>
          <w:szCs w:val="24"/>
        </w:rPr>
      </w:pPr>
      <w:r>
        <w:rPr>
          <w:rFonts w:ascii="宋体" w:hAnsi="宋体" w:cs="宋体" w:eastAsia="宋体" w:hint="default"/>
          <w:b/>
          <w:bCs/>
          <w:sz w:val="24"/>
          <w:szCs w:val="24"/>
        </w:rPr>
        <w:t>一、报告期内公司总体经营情况回顾</w:t>
      </w:r>
      <w:r>
        <w:rPr>
          <w:rFonts w:ascii="宋体" w:hAnsi="宋体" w:cs="宋体" w:eastAsia="宋体" w:hint="default"/>
          <w:b/>
          <w:bCs/>
          <w:w w:val="99"/>
          <w:sz w:val="24"/>
          <w:szCs w:val="24"/>
        </w:rPr>
        <w:t> </w:t>
      </w:r>
      <w:r>
        <w:rPr>
          <w:rFonts w:ascii="宋体" w:hAnsi="宋体" w:cs="宋体" w:eastAsia="宋体" w:hint="default"/>
          <w:sz w:val="24"/>
          <w:szCs w:val="24"/>
        </w:rPr>
        <w:t>1、报告期内公司总体经营情况</w:t>
      </w:r>
    </w:p>
    <w:p>
      <w:pPr>
        <w:pStyle w:val="BodyText"/>
        <w:spacing w:line="357" w:lineRule="auto"/>
        <w:ind w:left="138" w:right="106" w:firstLine="480"/>
        <w:jc w:val="left"/>
      </w:pPr>
      <w:r>
        <w:rPr>
          <w:spacing w:val="-4"/>
        </w:rPr>
        <w:t>公司的主营业务为面向海外的软件外包服务，公司的主要客户均是金融、制造业、</w:t>
      </w:r>
      <w:r>
        <w:rPr/>
        <w:t> 大型系统集成商等海外的一流企业。</w:t>
      </w:r>
    </w:p>
    <w:p>
      <w:pPr>
        <w:pStyle w:val="BodyText"/>
        <w:spacing w:line="357" w:lineRule="auto"/>
        <w:ind w:left="138" w:right="98" w:firstLine="480"/>
        <w:jc w:val="left"/>
      </w:pPr>
      <w:r>
        <w:rPr/>
        <w:t>2010</w:t>
      </w:r>
      <w:r>
        <w:rPr>
          <w:spacing w:val="-54"/>
        </w:rPr>
        <w:t> </w:t>
      </w:r>
      <w:r>
        <w:rPr>
          <w:spacing w:val="-3"/>
        </w:rPr>
        <w:t>年度，公司经营管理层遵照董事会制定的经营方针，充分利用公司长期积累</w:t>
      </w:r>
      <w:r>
        <w:rPr/>
        <w:t> 的科技研发实力、营销管理能力及稳定优质的开发人员，发挥公司的潜在优势，积极 拓展海外多方位市场。在努力稳固长年的日本市场的大型稳定客户群的同时，继续开 拓新的客户。尽管发生自</w:t>
      </w:r>
      <w:r>
        <w:rPr>
          <w:spacing w:val="-68"/>
        </w:rPr>
        <w:t> </w:t>
      </w:r>
      <w:r>
        <w:rPr/>
        <w:t>2008</w:t>
      </w:r>
      <w:r>
        <w:rPr>
          <w:spacing w:val="-68"/>
        </w:rPr>
        <w:t> </w:t>
      </w:r>
      <w:r>
        <w:rPr/>
        <w:t>年的全球范围的经济危机依然留下了一定程度的阴影，</w:t>
      </w:r>
      <w:r>
        <w:rPr/>
        <w:t> 且因通货膨胀、上海居住成本高腾、大范围人力资源竞争，给公司的人力成本带来巨 </w:t>
      </w:r>
      <w:r>
        <w:rPr>
          <w:spacing w:val="-4"/>
        </w:rPr>
        <w:t>大压力，但公司通过不懈的经营努力，在大幅提高了常年固定客户的经营业绩的同时，</w:t>
      </w:r>
      <w:r>
        <w:rPr>
          <w:spacing w:val="-104"/>
        </w:rPr>
        <w:t> </w:t>
      </w:r>
      <w:r>
        <w:rPr>
          <w:spacing w:val="-104"/>
        </w:rPr>
      </w:r>
      <w:r>
        <w:rPr/>
        <w:t>带动了具有潜力的客户的业务规模增长，使得 2010</w:t>
      </w:r>
      <w:r>
        <w:rPr>
          <w:spacing w:val="-16"/>
        </w:rPr>
        <w:t> </w:t>
      </w:r>
      <w:r>
        <w:rPr/>
        <w:t>年度的经营业绩取得了优秀的成</w:t>
      </w:r>
      <w:r>
        <w:rPr/>
        <w:t> 果。</w:t>
      </w:r>
    </w:p>
    <w:p>
      <w:pPr>
        <w:pStyle w:val="BodyText"/>
        <w:spacing w:line="357" w:lineRule="auto"/>
        <w:ind w:left="138" w:right="106" w:firstLine="480"/>
        <w:jc w:val="left"/>
      </w:pPr>
      <w:r>
        <w:rPr>
          <w:spacing w:val="-4"/>
        </w:rPr>
        <w:t>报告期内，面对公司最大的海外市场——日本，继续坚持“行业多元，客户一流”</w:t>
      </w:r>
      <w:r>
        <w:rPr/>
        <w:t> 的一贯服务方针，集中公司的优质资源，服务于具有长期发展潜力的一流客户，建立 起了良好的客户行业分布结构，分散了受制于某一特殊行业的经营风险。长年的经营 结果，形成了公司优质的客户资源，公司服务的客户群不仅横跨证券、银行、保险、 </w:t>
      </w:r>
      <w:r>
        <w:rPr>
          <w:spacing w:val="-10"/>
        </w:rPr>
        <w:t>制造业（嵌入式软件）、3G</w:t>
      </w:r>
      <w:r>
        <w:rPr>
          <w:spacing w:val="-11"/>
        </w:rPr>
        <w:t> </w:t>
      </w:r>
      <w:r>
        <w:rPr/>
        <w:t>手机内容服务业、电子商务等多个行业，且均是各行业中</w:t>
      </w:r>
      <w:r>
        <w:rPr>
          <w:spacing w:val="-115"/>
        </w:rPr>
        <w:t> </w:t>
      </w:r>
      <w:r>
        <w:rPr>
          <w:spacing w:val="-115"/>
        </w:rPr>
      </w:r>
      <w:r>
        <w:rPr/>
        <w:t>的一流企业。公司长年经营积累下来的人才、技术、管理经验等，造就了公司强韧的</w:t>
      </w:r>
      <w:r>
        <w:rPr/>
        <w:t> 体质，因此适时地占住了金融危机后大环境开始复苏局势下的先机，迎来了公司业绩 全面增长的局面。</w:t>
      </w:r>
    </w:p>
    <w:p>
      <w:pPr>
        <w:pStyle w:val="BodyText"/>
        <w:spacing w:line="357" w:lineRule="auto"/>
        <w:ind w:left="138" w:right="106" w:firstLine="480"/>
        <w:jc w:val="left"/>
      </w:pPr>
      <w:r>
        <w:rPr>
          <w:spacing w:val="6"/>
        </w:rPr>
        <w:t>在业务状况走向良好发展的趋势下，公司加快了募投项目各研发中心的研发投</w:t>
      </w:r>
      <w:r>
        <w:rPr/>
        <w:t> 入，并积极协商购入开发中心建设所用场地，为公司未来进一步的发展奠定基础。</w:t>
      </w:r>
    </w:p>
    <w:p>
      <w:pPr>
        <w:pStyle w:val="BodyText"/>
        <w:spacing w:line="240" w:lineRule="auto"/>
        <w:ind w:left="618" w:right="106"/>
        <w:jc w:val="left"/>
      </w:pPr>
      <w:r>
        <w:rPr/>
        <w:t>同时，为长期有效地控制人力成本，公司</w:t>
      </w:r>
      <w:r>
        <w:rPr>
          <w:spacing w:val="-46"/>
        </w:rPr>
        <w:t> </w:t>
      </w:r>
      <w:r>
        <w:rPr/>
        <w:t>2010 年</w:t>
      </w:r>
      <w:r>
        <w:rPr>
          <w:spacing w:val="-46"/>
        </w:rPr>
        <w:t> </w:t>
      </w:r>
      <w:r>
        <w:rPr/>
        <w:t>6 月</w:t>
      </w:r>
      <w:r>
        <w:rPr>
          <w:spacing w:val="-46"/>
        </w:rPr>
        <w:t> </w:t>
      </w:r>
      <w:r>
        <w:rPr/>
        <w:t>18 日召开第四届董事会</w:t>
      </w:r>
    </w:p>
    <w:p>
      <w:pPr>
        <w:pStyle w:val="BodyText"/>
        <w:spacing w:line="357" w:lineRule="auto" w:before="154"/>
        <w:ind w:left="138" w:right="235"/>
        <w:jc w:val="both"/>
      </w:pPr>
      <w:r>
        <w:rPr/>
        <w:t>第二次会议，根据公司 2007</w:t>
      </w:r>
      <w:r>
        <w:rPr>
          <w:spacing w:val="-16"/>
        </w:rPr>
        <w:t> </w:t>
      </w:r>
      <w:r>
        <w:rPr/>
        <w:t>年《首次公开发行股票招股意向书》募集资金投资项目</w:t>
      </w:r>
      <w:r>
        <w:rPr/>
        <w:t> </w:t>
      </w:r>
      <w:r>
        <w:rPr>
          <w:spacing w:val="-1"/>
        </w:rPr>
        <w:t>“软件外包后方开发基地”的规划，结合公司发展及市场状况，在经过一系列可行性</w:t>
      </w:r>
      <w:r>
        <w:rPr>
          <w:spacing w:val="-98"/>
        </w:rPr>
        <w:t> </w:t>
      </w:r>
      <w:r>
        <w:rPr>
          <w:spacing w:val="-98"/>
        </w:rPr>
      </w:r>
      <w:r>
        <w:rPr>
          <w:spacing w:val="-1"/>
        </w:rPr>
        <w:t>方案的论证后，决定设立江苏海隆软件技术有限公司。江苏海隆依托南京地区大量高</w:t>
      </w:r>
      <w:r>
        <w:rPr>
          <w:spacing w:val="-99"/>
        </w:rPr>
        <w:t> </w:t>
      </w:r>
      <w:r>
        <w:rPr>
          <w:spacing w:val="-99"/>
        </w:rPr>
      </w:r>
      <w:r>
        <w:rPr>
          <w:spacing w:val="-1"/>
        </w:rPr>
        <w:t>素质但又相对较低成本的计算机行业人才，以及当地政府对软件外包行业的充分重视</w:t>
      </w:r>
      <w:r>
        <w:rPr>
          <w:spacing w:val="-98"/>
        </w:rPr>
        <w:t> </w:t>
      </w:r>
      <w:r>
        <w:rPr>
          <w:spacing w:val="-98"/>
        </w:rPr>
      </w:r>
      <w:r>
        <w:rPr>
          <w:spacing w:val="-1"/>
        </w:rPr>
        <w:t>与众多优惠政策，依靠公司已建立较高信任基础的原有固定客户业务增长与新开拓客</w:t>
      </w:r>
    </w:p>
    <w:p>
      <w:pPr>
        <w:spacing w:after="0" w:line="357" w:lineRule="auto"/>
        <w:jc w:val="both"/>
        <w:sectPr>
          <w:headerReference w:type="default" r:id="rId16"/>
          <w:pgSz w:w="11900" w:h="16840"/>
          <w:pgMar w:header="874" w:footer="983" w:top="1100" w:bottom="1180" w:left="1280" w:right="1380"/>
        </w:sectPr>
      </w:pPr>
    </w:p>
    <w:p>
      <w:pPr>
        <w:spacing w:line="240" w:lineRule="auto" w:before="7"/>
        <w:rPr>
          <w:rFonts w:ascii="宋体" w:hAnsi="宋体" w:cs="宋体" w:eastAsia="宋体" w:hint="default"/>
          <w:sz w:val="25"/>
          <w:szCs w:val="25"/>
        </w:rPr>
      </w:pPr>
    </w:p>
    <w:p>
      <w:pPr>
        <w:pStyle w:val="BodyText"/>
        <w:spacing w:line="240" w:lineRule="auto" w:before="26"/>
        <w:ind w:left="138" w:right="0"/>
        <w:jc w:val="left"/>
      </w:pPr>
      <w:r>
        <w:rPr/>
        <w:t>户，顺利进入了正常经营轨道。</w:t>
      </w:r>
    </w:p>
    <w:p>
      <w:pPr>
        <w:pStyle w:val="BodyText"/>
        <w:spacing w:line="357" w:lineRule="auto" w:before="154"/>
        <w:ind w:left="138" w:right="111" w:firstLine="480"/>
        <w:jc w:val="both"/>
      </w:pPr>
      <w:r>
        <w:rPr/>
        <w:t>面对美国市场，在 2009</w:t>
      </w:r>
      <w:r>
        <w:rPr>
          <w:spacing w:val="-16"/>
        </w:rPr>
        <w:t> </w:t>
      </w:r>
      <w:r>
        <w:rPr/>
        <w:t>年度建立起数十人规模的开发团队的基础上，进一步强</w:t>
      </w:r>
      <w:r>
        <w:rPr/>
        <w:t> </w:t>
      </w:r>
      <w:r>
        <w:rPr>
          <w:spacing w:val="-1"/>
        </w:rPr>
        <w:t>化、扩展开发队伍，稳固扩大了面对美国市场的业务规模。同时，针对美国市场的特</w:t>
      </w:r>
      <w:r>
        <w:rPr>
          <w:spacing w:val="-99"/>
        </w:rPr>
        <w:t> </w:t>
      </w:r>
      <w:r>
        <w:rPr>
          <w:spacing w:val="-99"/>
        </w:rPr>
      </w:r>
      <w:r>
        <w:rPr>
          <w:spacing w:val="-1"/>
        </w:rPr>
        <w:t>点，继续探索强化有效的营销体制，扩大营销范围，努力寻求新的增长点，以期为未</w:t>
      </w:r>
      <w:r>
        <w:rPr>
          <w:spacing w:val="-98"/>
        </w:rPr>
        <w:t> </w:t>
      </w:r>
      <w:r>
        <w:rPr>
          <w:spacing w:val="-98"/>
        </w:rPr>
      </w:r>
      <w:r>
        <w:rPr/>
        <w:t>来的持续发展布好基石。</w:t>
      </w:r>
    </w:p>
    <w:p>
      <w:pPr>
        <w:pStyle w:val="BodyText"/>
        <w:spacing w:line="357" w:lineRule="auto"/>
        <w:ind w:left="138" w:right="115" w:firstLine="480"/>
        <w:jc w:val="both"/>
      </w:pPr>
      <w:r>
        <w:rPr>
          <w:spacing w:val="-1"/>
        </w:rPr>
        <w:t>面向国内市场，按照公司董事会制定的经营方针，积极摸索适合国内市场的新业</w:t>
      </w:r>
      <w:r>
        <w:rPr/>
        <w:t> 务模式，发展以 IT</w:t>
      </w:r>
      <w:r>
        <w:rPr>
          <w:spacing w:val="-16"/>
        </w:rPr>
        <w:t> </w:t>
      </w:r>
      <w:r>
        <w:rPr/>
        <w:t>服务为中心的高附加值业务，抓住关键因素，提高自身的核心竞</w:t>
      </w:r>
      <w:r>
        <w:rPr/>
        <w:t> 争力。作为实施国内市场布局的第一步，公司与日本</w:t>
      </w:r>
      <w:r>
        <w:rPr>
          <w:spacing w:val="-68"/>
        </w:rPr>
        <w:t> </w:t>
      </w:r>
      <w:r>
        <w:rPr/>
        <w:t>MTI</w:t>
      </w:r>
      <w:r>
        <w:rPr>
          <w:spacing w:val="-68"/>
        </w:rPr>
        <w:t> </w:t>
      </w:r>
      <w:r>
        <w:rPr/>
        <w:t>株式会社合资成立的上海海</w:t>
      </w:r>
      <w:r>
        <w:rPr/>
        <w:t> 隆宜通信息技术有限公司已于</w:t>
      </w:r>
      <w:r>
        <w:rPr>
          <w:spacing w:val="-34"/>
        </w:rPr>
        <w:t> </w:t>
      </w:r>
      <w:r>
        <w:rPr/>
        <w:t>2010</w:t>
      </w:r>
      <w:r>
        <w:rPr>
          <w:spacing w:val="-34"/>
        </w:rPr>
        <w:t> </w:t>
      </w:r>
      <w:r>
        <w:rPr/>
        <w:t>年</w:t>
      </w:r>
      <w:r>
        <w:rPr>
          <w:spacing w:val="-34"/>
        </w:rPr>
        <w:t> </w:t>
      </w:r>
      <w:r>
        <w:rPr/>
        <w:t>7</w:t>
      </w:r>
      <w:r>
        <w:rPr>
          <w:spacing w:val="-34"/>
        </w:rPr>
        <w:t> </w:t>
      </w:r>
      <w:r>
        <w:rPr/>
        <w:t>月完成工商登记。海隆宜通将利用公司长年</w:t>
      </w:r>
      <w:r>
        <w:rPr/>
        <w:t> 开发</w:t>
      </w:r>
      <w:r>
        <w:rPr>
          <w:spacing w:val="-64"/>
        </w:rPr>
        <w:t> </w:t>
      </w:r>
      <w:r>
        <w:rPr/>
        <w:t>3G</w:t>
      </w:r>
      <w:r>
        <w:rPr>
          <w:spacing w:val="-64"/>
        </w:rPr>
        <w:t> </w:t>
      </w:r>
      <w:r>
        <w:rPr/>
        <w:t>手机内容的技术人才优势，积极把握国内</w:t>
      </w:r>
      <w:r>
        <w:rPr>
          <w:spacing w:val="-64"/>
        </w:rPr>
        <w:t> </w:t>
      </w:r>
      <w:r>
        <w:rPr/>
        <w:t>3G</w:t>
      </w:r>
      <w:r>
        <w:rPr>
          <w:spacing w:val="-64"/>
        </w:rPr>
        <w:t> </w:t>
      </w:r>
      <w:r>
        <w:rPr/>
        <w:t>市场带来的巨大商机，成为公司</w:t>
      </w:r>
      <w:r>
        <w:rPr/>
        <w:t> 拓展国内市场业务的先锋。</w:t>
      </w:r>
    </w:p>
    <w:p>
      <w:pPr>
        <w:pStyle w:val="BodyText"/>
        <w:spacing w:line="357" w:lineRule="auto"/>
        <w:ind w:left="138" w:right="115" w:firstLine="480"/>
        <w:jc w:val="both"/>
      </w:pPr>
      <w:r>
        <w:rPr>
          <w:spacing w:val="-1"/>
        </w:rPr>
        <w:t>目前从全球整体的经济形势来看，各个行业的恢复情况还存在着一定的差异，对</w:t>
      </w:r>
      <w:r>
        <w:rPr/>
        <w:t> </w:t>
      </w:r>
      <w:r>
        <w:rPr>
          <w:spacing w:val="-1"/>
        </w:rPr>
        <w:t>公司的局部业务也仍存在一定的影响。但公司长年秉持有效的经营方针，不断的经营</w:t>
      </w:r>
      <w:r>
        <w:rPr>
          <w:spacing w:val="-99"/>
        </w:rPr>
        <w:t> </w:t>
      </w:r>
      <w:r>
        <w:rPr>
          <w:spacing w:val="-99"/>
        </w:rPr>
      </w:r>
      <w:r>
        <w:rPr>
          <w:spacing w:val="-1"/>
        </w:rPr>
        <w:t>努力，稳定优质的客户群加上公司多年积累的人力资源、技术管理水平等等优势，使</w:t>
      </w:r>
      <w:r>
        <w:rPr>
          <w:spacing w:val="-98"/>
        </w:rPr>
        <w:t> </w:t>
      </w:r>
      <w:r>
        <w:rPr>
          <w:spacing w:val="-98"/>
        </w:rPr>
      </w:r>
      <w:r>
        <w:rPr/>
        <w:t>得报告期内取得了优异的成效，盈利规模同期相比增长了</w:t>
      </w:r>
      <w:r>
        <w:rPr>
          <w:spacing w:val="-60"/>
        </w:rPr>
        <w:t> </w:t>
      </w:r>
      <w:r>
        <w:rPr/>
        <w:t>122.96%。</w:t>
      </w:r>
    </w:p>
    <w:p>
      <w:pPr>
        <w:pStyle w:val="BodyText"/>
        <w:spacing w:line="357" w:lineRule="auto"/>
        <w:ind w:left="138" w:right="115" w:firstLine="480"/>
        <w:jc w:val="both"/>
      </w:pPr>
      <w:r>
        <w:rPr>
          <w:spacing w:val="-1"/>
        </w:rPr>
        <w:t>为保持和持续提高公司在国内外市场的核心竞争力，针对软件外包服务业的特点</w:t>
      </w:r>
      <w:r>
        <w:rPr/>
        <w:t> </w:t>
      </w:r>
      <w:r>
        <w:rPr>
          <w:spacing w:val="-1"/>
        </w:rPr>
        <w:t>和要求，公司长期以来持续投入，不断地巩固提高软件开发管理水平。报告期内，公</w:t>
      </w:r>
      <w:r>
        <w:rPr>
          <w:spacing w:val="-99"/>
        </w:rPr>
        <w:t> </w:t>
      </w:r>
      <w:r>
        <w:rPr>
          <w:spacing w:val="-99"/>
        </w:rPr>
      </w:r>
      <w:r>
        <w:rPr/>
        <w:t>司积极推行软件成熟度集成</w:t>
      </w:r>
      <w:r>
        <w:rPr>
          <w:spacing w:val="-48"/>
        </w:rPr>
        <w:t> </w:t>
      </w:r>
      <w:r>
        <w:rPr/>
        <w:t>CMMI</w:t>
      </w:r>
      <w:r>
        <w:rPr>
          <w:spacing w:val="-48"/>
        </w:rPr>
        <w:t> </w:t>
      </w:r>
      <w:r>
        <w:rPr/>
        <w:t>的推行工作，通过了</w:t>
      </w:r>
      <w:r>
        <w:rPr>
          <w:spacing w:val="-48"/>
        </w:rPr>
        <w:t> </w:t>
      </w:r>
      <w:r>
        <w:rPr/>
        <w:t>CMMI4</w:t>
      </w:r>
      <w:r>
        <w:rPr>
          <w:spacing w:val="-48"/>
        </w:rPr>
        <w:t> </w:t>
      </w:r>
      <w:r>
        <w:rPr/>
        <w:t>评估，于</w:t>
      </w:r>
      <w:r>
        <w:rPr>
          <w:spacing w:val="-48"/>
        </w:rPr>
        <w:t> </w:t>
      </w:r>
      <w:r>
        <w:rPr/>
        <w:t>2010</w:t>
      </w:r>
      <w:r>
        <w:rPr>
          <w:spacing w:val="-48"/>
        </w:rPr>
        <w:t> </w:t>
      </w:r>
      <w:r>
        <w:rPr/>
        <w:t>年</w:t>
      </w:r>
      <w:r>
        <w:rPr>
          <w:spacing w:val="-48"/>
        </w:rPr>
        <w:t> </w:t>
      </w:r>
      <w:r>
        <w:rPr/>
        <w:t>10</w:t>
      </w:r>
      <w:r>
        <w:rPr>
          <w:spacing w:val="-48"/>
        </w:rPr>
        <w:t> </w:t>
      </w:r>
      <w:r>
        <w:rPr/>
        <w:t>月</w:t>
      </w:r>
      <w:r>
        <w:rPr/>
        <w:t> 获得了</w:t>
      </w:r>
      <w:r>
        <w:rPr>
          <w:spacing w:val="-64"/>
        </w:rPr>
        <w:t> </w:t>
      </w:r>
      <w:r>
        <w:rPr/>
        <w:t>CMMI4</w:t>
      </w:r>
      <w:r>
        <w:rPr>
          <w:spacing w:val="-64"/>
        </w:rPr>
        <w:t> </w:t>
      </w:r>
      <w:r>
        <w:rPr/>
        <w:t>的认证。在此基础上，公司仍将持续努力，争取尽快达到</w:t>
      </w:r>
      <w:r>
        <w:rPr>
          <w:spacing w:val="-64"/>
        </w:rPr>
        <w:t> </w:t>
      </w:r>
      <w:r>
        <w:rPr/>
        <w:t>CMMI5</w:t>
      </w:r>
      <w:r>
        <w:rPr>
          <w:spacing w:val="-64"/>
        </w:rPr>
        <w:t> </w:t>
      </w:r>
      <w:r>
        <w:rPr/>
        <w:t>级管理</w:t>
      </w:r>
      <w:r>
        <w:rPr/>
        <w:t> </w:t>
      </w:r>
      <w:r>
        <w:rPr>
          <w:spacing w:val="-4"/>
        </w:rPr>
        <w:t>水平。同时，ISO27001</w:t>
      </w:r>
      <w:r>
        <w:rPr>
          <w:spacing w:val="-79"/>
        </w:rPr>
        <w:t> </w:t>
      </w:r>
      <w:r>
        <w:rPr/>
        <w:t>信息安全国际认证的年度复审也顺利通过，标志着公司持续高</w:t>
      </w:r>
      <w:r>
        <w:rPr/>
        <w:t> 水准的信息安全管理水平。</w:t>
      </w:r>
    </w:p>
    <w:p>
      <w:pPr>
        <w:pStyle w:val="BodyText"/>
        <w:spacing w:line="240" w:lineRule="auto"/>
        <w:ind w:left="618" w:right="0"/>
        <w:jc w:val="left"/>
      </w:pPr>
      <w:r>
        <w:rPr/>
        <w:t>2010</w:t>
      </w:r>
      <w:r>
        <w:rPr>
          <w:spacing w:val="-41"/>
        </w:rPr>
        <w:t> </w:t>
      </w:r>
      <w:r>
        <w:rPr>
          <w:spacing w:val="-3"/>
        </w:rPr>
        <w:t>年度，公司连续第九次被授予“国家规划布局内重点软件企业”称号。从国</w:t>
      </w:r>
    </w:p>
    <w:p>
      <w:pPr>
        <w:pStyle w:val="BodyText"/>
        <w:spacing w:line="240" w:lineRule="auto" w:before="154"/>
        <w:ind w:left="138" w:right="0"/>
        <w:jc w:val="left"/>
      </w:pPr>
      <w:r>
        <w:rPr/>
        <w:t>家开始授予此称号至今，是少数连续</w:t>
      </w:r>
      <w:r>
        <w:rPr>
          <w:spacing w:val="-60"/>
        </w:rPr>
        <w:t> </w:t>
      </w:r>
      <w:r>
        <w:rPr/>
        <w:t>9</w:t>
      </w:r>
      <w:r>
        <w:rPr>
          <w:spacing w:val="-60"/>
        </w:rPr>
        <w:t> </w:t>
      </w:r>
      <w:r>
        <w:rPr/>
        <w:t>年获得此称号的企业之一。</w:t>
      </w:r>
    </w:p>
    <w:p>
      <w:pPr>
        <w:pStyle w:val="BodyText"/>
        <w:spacing w:line="357" w:lineRule="auto" w:before="154"/>
        <w:ind w:left="138" w:right="115" w:firstLine="480"/>
        <w:jc w:val="both"/>
      </w:pPr>
      <w:r>
        <w:rPr/>
        <w:t>2010</w:t>
      </w:r>
      <w:r>
        <w:rPr>
          <w:spacing w:val="-41"/>
        </w:rPr>
        <w:t> </w:t>
      </w:r>
      <w:r>
        <w:rPr>
          <w:spacing w:val="-3"/>
        </w:rPr>
        <w:t>年度的业务大幅度增长，为新一年的业务发展带来了良好的势头。公司董事</w:t>
      </w:r>
      <w:r>
        <w:rPr/>
        <w:t> </w:t>
      </w:r>
      <w:r>
        <w:rPr>
          <w:spacing w:val="-1"/>
        </w:rPr>
        <w:t>会及经营管理层将在新的一年继续努力稳固业务发展趋势，保持公司稳定发展的良好</w:t>
      </w:r>
      <w:r>
        <w:rPr>
          <w:spacing w:val="-98"/>
        </w:rPr>
        <w:t> </w:t>
      </w:r>
      <w:r>
        <w:rPr>
          <w:spacing w:val="-98"/>
        </w:rPr>
      </w:r>
      <w:r>
        <w:rPr/>
        <w:t>经营状态。</w:t>
      </w:r>
    </w:p>
    <w:p>
      <w:pPr>
        <w:spacing w:after="0" w:line="357" w:lineRule="auto"/>
        <w:jc w:val="both"/>
        <w:sectPr>
          <w:pgSz w:w="11900" w:h="16840"/>
          <w:pgMar w:header="874" w:footer="983" w:top="1100" w:bottom="1180" w:left="1280" w:right="1500"/>
        </w:sect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74" w:footer="983" w:top="1100" w:bottom="1180" w:left="860" w:right="1420"/>
        </w:sectPr>
      </w:pPr>
    </w:p>
    <w:p>
      <w:pPr>
        <w:pStyle w:val="BodyText"/>
        <w:spacing w:line="240" w:lineRule="auto" w:before="26"/>
        <w:ind w:left="558" w:right="-20"/>
        <w:jc w:val="left"/>
      </w:pPr>
      <w:r>
        <w:rPr/>
        <w:t>2、近三年主要会计数据及财务指标变动情况及说明</w:t>
      </w:r>
    </w:p>
    <w:p>
      <w:pPr>
        <w:spacing w:line="240" w:lineRule="auto" w:before="10"/>
        <w:rPr>
          <w:rFonts w:ascii="宋体" w:hAnsi="宋体" w:cs="宋体" w:eastAsia="宋体" w:hint="default"/>
          <w:sz w:val="25"/>
          <w:szCs w:val="25"/>
        </w:rPr>
      </w:pPr>
      <w:r>
        <w:rPr/>
        <w:br w:type="column"/>
      </w:r>
      <w:r>
        <w:rPr>
          <w:rFonts w:ascii="宋体"/>
          <w:sz w:val="25"/>
        </w:rPr>
      </w:r>
    </w:p>
    <w:p>
      <w:pPr>
        <w:spacing w:before="0"/>
        <w:ind w:left="558"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00" w:h="16840"/>
          <w:pgMar w:top="1040" w:bottom="1180" w:left="860" w:right="1420"/>
          <w:cols w:num="2" w:equalWidth="0">
            <w:col w:w="5959" w:space="2031"/>
            <w:col w:w="1630"/>
          </w:cols>
        </w:sectPr>
      </w:pPr>
    </w:p>
    <w:tbl>
      <w:tblPr>
        <w:tblW w:w="0" w:type="auto"/>
        <w:jc w:val="left"/>
        <w:tblInd w:w="104" w:type="dxa"/>
        <w:tblLayout w:type="fixed"/>
        <w:tblCellMar>
          <w:top w:w="0" w:type="dxa"/>
          <w:left w:w="0" w:type="dxa"/>
          <w:bottom w:w="0" w:type="dxa"/>
          <w:right w:w="0" w:type="dxa"/>
        </w:tblCellMar>
        <w:tblLook w:val="01E0"/>
      </w:tblPr>
      <w:tblGrid>
        <w:gridCol w:w="3012"/>
        <w:gridCol w:w="1791"/>
        <w:gridCol w:w="1749"/>
        <w:gridCol w:w="1205"/>
        <w:gridCol w:w="1637"/>
      </w:tblGrid>
      <w:tr>
        <w:trPr>
          <w:trHeight w:val="161" w:hRule="exact"/>
        </w:trPr>
        <w:tc>
          <w:tcPr>
            <w:tcW w:w="3012" w:type="dxa"/>
            <w:tcBorders>
              <w:top w:val="single" w:sz="4" w:space="0" w:color="000000"/>
              <w:left w:val="single" w:sz="4" w:space="0" w:color="000000"/>
              <w:bottom w:val="nil" w:sz="6" w:space="0" w:color="auto"/>
              <w:right w:val="single" w:sz="4" w:space="0" w:color="000000"/>
            </w:tcBorders>
            <w:shd w:val="clear" w:color="auto" w:fill="DBDBDB"/>
          </w:tcPr>
          <w:p>
            <w:pPr/>
          </w:p>
        </w:tc>
        <w:tc>
          <w:tcPr>
            <w:tcW w:w="1791"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34"/>
              <w:ind w:left="530"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74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34"/>
              <w:ind w:left="2" w:right="0"/>
              <w:jc w:val="center"/>
              <w:rPr>
                <w:rFonts w:ascii="宋体" w:hAnsi="宋体" w:cs="宋体" w:eastAsia="宋体" w:hint="default"/>
                <w:sz w:val="22"/>
                <w:szCs w:val="22"/>
              </w:rPr>
            </w:pPr>
            <w:r>
              <w:rPr>
                <w:rFonts w:ascii="宋体"/>
                <w:sz w:val="22"/>
              </w:rPr>
              <w:t>2009</w:t>
            </w:r>
          </w:p>
        </w:tc>
        <w:tc>
          <w:tcPr>
            <w:tcW w:w="1205" w:type="dxa"/>
            <w:vMerge w:val="restart"/>
            <w:tcBorders>
              <w:top w:val="single" w:sz="4" w:space="0" w:color="000000"/>
              <w:left w:val="single" w:sz="4" w:space="0" w:color="000000"/>
              <w:right w:val="single" w:sz="4" w:space="0" w:color="000000"/>
            </w:tcBorders>
            <w:shd w:val="clear" w:color="auto" w:fill="DBDBDB"/>
          </w:tcPr>
          <w:p>
            <w:pPr>
              <w:pStyle w:val="TableParagraph"/>
              <w:spacing w:line="266" w:lineRule="exact"/>
              <w:ind w:left="45" w:right="0" w:hanging="24"/>
              <w:jc w:val="left"/>
              <w:rPr>
                <w:rFonts w:ascii="宋体" w:hAnsi="宋体" w:cs="宋体" w:eastAsia="宋体" w:hint="default"/>
                <w:sz w:val="22"/>
                <w:szCs w:val="22"/>
              </w:rPr>
            </w:pPr>
            <w:r>
              <w:rPr>
                <w:rFonts w:ascii="宋体" w:hAnsi="宋体" w:cs="宋体" w:eastAsia="宋体" w:hint="default"/>
                <w:sz w:val="22"/>
                <w:szCs w:val="22"/>
              </w:rPr>
              <w:t>本年比上年</w:t>
            </w:r>
          </w:p>
          <w:p>
            <w:pPr>
              <w:pStyle w:val="TableParagraph"/>
              <w:spacing w:line="240" w:lineRule="auto" w:before="24"/>
              <w:ind w:left="45" w:right="0"/>
              <w:jc w:val="left"/>
              <w:rPr>
                <w:rFonts w:ascii="宋体" w:hAnsi="宋体" w:cs="宋体" w:eastAsia="宋体" w:hint="default"/>
                <w:sz w:val="22"/>
                <w:szCs w:val="22"/>
              </w:rPr>
            </w:pPr>
            <w:r>
              <w:rPr>
                <w:rFonts w:ascii="宋体" w:hAnsi="宋体" w:cs="宋体" w:eastAsia="宋体" w:hint="default"/>
                <w:sz w:val="22"/>
                <w:szCs w:val="22"/>
              </w:rPr>
              <w:t>增减（％）</w:t>
            </w:r>
          </w:p>
        </w:tc>
        <w:tc>
          <w:tcPr>
            <w:tcW w:w="1637"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34"/>
              <w:ind w:left="45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4"/>
                <w:sz w:val="22"/>
                <w:szCs w:val="22"/>
              </w:rPr>
              <w:t> </w:t>
            </w:r>
            <w:r>
              <w:rPr>
                <w:rFonts w:ascii="宋体" w:hAnsi="宋体" w:cs="宋体" w:eastAsia="宋体" w:hint="default"/>
                <w:sz w:val="22"/>
                <w:szCs w:val="22"/>
              </w:rPr>
              <w:t>年</w:t>
            </w:r>
          </w:p>
        </w:tc>
      </w:tr>
      <w:tr>
        <w:trPr>
          <w:trHeight w:val="312" w:hRule="exact"/>
        </w:trPr>
        <w:tc>
          <w:tcPr>
            <w:tcW w:w="3012" w:type="dxa"/>
            <w:tcBorders>
              <w:top w:val="nil" w:sz="6" w:space="0" w:color="auto"/>
              <w:left w:val="single" w:sz="4" w:space="0" w:color="000000"/>
              <w:bottom w:val="nil" w:sz="6" w:space="0" w:color="auto"/>
              <w:right w:val="single" w:sz="4" w:space="0" w:color="000000"/>
            </w:tcBorders>
            <w:shd w:val="clear" w:color="auto" w:fill="DBDBDB"/>
          </w:tcPr>
          <w:p>
            <w:pPr/>
          </w:p>
        </w:tc>
        <w:tc>
          <w:tcPr>
            <w:tcW w:w="1791" w:type="dxa"/>
            <w:vMerge/>
            <w:tcBorders>
              <w:left w:val="single" w:sz="4" w:space="0" w:color="000000"/>
              <w:right w:val="single" w:sz="4" w:space="0" w:color="000000"/>
            </w:tcBorders>
            <w:shd w:val="clear" w:color="auto" w:fill="DBDBDB"/>
          </w:tcPr>
          <w:p>
            <w:pPr/>
          </w:p>
        </w:tc>
        <w:tc>
          <w:tcPr>
            <w:tcW w:w="1749" w:type="dxa"/>
            <w:vMerge/>
            <w:tcBorders>
              <w:left w:val="single" w:sz="4" w:space="0" w:color="000000"/>
              <w:right w:val="single" w:sz="4" w:space="0" w:color="000000"/>
            </w:tcBorders>
            <w:shd w:val="clear" w:color="auto" w:fill="DBDBDB"/>
          </w:tcPr>
          <w:p>
            <w:pPr/>
          </w:p>
        </w:tc>
        <w:tc>
          <w:tcPr>
            <w:tcW w:w="1205" w:type="dxa"/>
            <w:vMerge/>
            <w:tcBorders>
              <w:left w:val="single" w:sz="4" w:space="0" w:color="000000"/>
              <w:right w:val="single" w:sz="4" w:space="0" w:color="000000"/>
            </w:tcBorders>
            <w:shd w:val="clear" w:color="auto" w:fill="DBDBDB"/>
          </w:tcPr>
          <w:p>
            <w:pPr/>
          </w:p>
        </w:tc>
        <w:tc>
          <w:tcPr>
            <w:tcW w:w="1637" w:type="dxa"/>
            <w:vMerge/>
            <w:tcBorders>
              <w:left w:val="single" w:sz="4" w:space="0" w:color="000000"/>
              <w:right w:val="single" w:sz="4" w:space="0" w:color="000000"/>
            </w:tcBorders>
            <w:shd w:val="clear" w:color="auto" w:fill="DBDBDB"/>
          </w:tcPr>
          <w:p>
            <w:pPr/>
          </w:p>
        </w:tc>
      </w:tr>
      <w:tr>
        <w:trPr>
          <w:trHeight w:val="161" w:hRule="exact"/>
        </w:trPr>
        <w:tc>
          <w:tcPr>
            <w:tcW w:w="3012" w:type="dxa"/>
            <w:tcBorders>
              <w:top w:val="nil" w:sz="6" w:space="0" w:color="auto"/>
              <w:left w:val="single" w:sz="4" w:space="0" w:color="000000"/>
              <w:bottom w:val="single" w:sz="4" w:space="0" w:color="000000"/>
              <w:right w:val="single" w:sz="4" w:space="0" w:color="000000"/>
            </w:tcBorders>
            <w:shd w:val="clear" w:color="auto" w:fill="DBDBDB"/>
          </w:tcPr>
          <w:p>
            <w:pPr/>
          </w:p>
        </w:tc>
        <w:tc>
          <w:tcPr>
            <w:tcW w:w="1791" w:type="dxa"/>
            <w:vMerge/>
            <w:tcBorders>
              <w:left w:val="single" w:sz="4" w:space="0" w:color="000000"/>
              <w:bottom w:val="single" w:sz="4" w:space="0" w:color="000000"/>
              <w:right w:val="single" w:sz="4" w:space="0" w:color="000000"/>
            </w:tcBorders>
            <w:shd w:val="clear" w:color="auto" w:fill="DBDBDB"/>
          </w:tcPr>
          <w:p>
            <w:pPr/>
          </w:p>
        </w:tc>
        <w:tc>
          <w:tcPr>
            <w:tcW w:w="1749" w:type="dxa"/>
            <w:vMerge/>
            <w:tcBorders>
              <w:left w:val="single" w:sz="4" w:space="0" w:color="000000"/>
              <w:bottom w:val="single" w:sz="4" w:space="0" w:color="000000"/>
              <w:right w:val="single" w:sz="4" w:space="0" w:color="000000"/>
            </w:tcBorders>
            <w:shd w:val="clear" w:color="auto" w:fill="DBDBDB"/>
          </w:tcPr>
          <w:p>
            <w:pPr/>
          </w:p>
        </w:tc>
        <w:tc>
          <w:tcPr>
            <w:tcW w:w="1205" w:type="dxa"/>
            <w:vMerge/>
            <w:tcBorders>
              <w:left w:val="single" w:sz="4" w:space="0" w:color="000000"/>
              <w:bottom w:val="single" w:sz="4" w:space="0" w:color="000000"/>
              <w:right w:val="single" w:sz="4" w:space="0" w:color="000000"/>
            </w:tcBorders>
            <w:shd w:val="clear" w:color="auto" w:fill="DBDBDB"/>
          </w:tcPr>
          <w:p>
            <w:pPr/>
          </w:p>
        </w:tc>
        <w:tc>
          <w:tcPr>
            <w:tcW w:w="1637" w:type="dxa"/>
            <w:vMerge/>
            <w:tcBorders>
              <w:left w:val="single" w:sz="4" w:space="0" w:color="000000"/>
              <w:bottom w:val="single" w:sz="4" w:space="0" w:color="000000"/>
              <w:right w:val="single" w:sz="4" w:space="0" w:color="000000"/>
            </w:tcBorders>
            <w:shd w:val="clear" w:color="auto" w:fill="DBDBDB"/>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营业收入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spacing w:val="-1"/>
                <w:sz w:val="22"/>
              </w:rPr>
              <w:t>294,250,120.89</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192,961,837.63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sz w:val="22"/>
              </w:rPr>
              <w:t>52.49%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175,960,944.25</w:t>
            </w: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营业利润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44,813,549.38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spacing w:val="-1"/>
                <w:sz w:val="22"/>
              </w:rPr>
              <w:t>16,658,797.34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sz w:val="22"/>
              </w:rPr>
              <w:t>169.01%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spacing w:val="-1"/>
                <w:sz w:val="22"/>
              </w:rPr>
              <w:t>27,263,940.52</w:t>
            </w:r>
          </w:p>
        </w:tc>
      </w:tr>
      <w:tr>
        <w:trPr>
          <w:trHeight w:val="324"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8" w:lineRule="exact"/>
              <w:ind w:left="1" w:right="0"/>
              <w:jc w:val="center"/>
              <w:rPr>
                <w:rFonts w:ascii="宋体" w:hAnsi="宋体" w:cs="宋体" w:eastAsia="宋体" w:hint="default"/>
                <w:sz w:val="22"/>
                <w:szCs w:val="22"/>
              </w:rPr>
            </w:pPr>
            <w:r>
              <w:rPr>
                <w:rFonts w:ascii="宋体" w:hAnsi="宋体" w:cs="宋体" w:eastAsia="宋体" w:hint="default"/>
                <w:sz w:val="22"/>
                <w:szCs w:val="22"/>
              </w:rPr>
              <w:t>利润总额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pacing w:val="-1"/>
                <w:sz w:val="22"/>
              </w:rPr>
              <w:t>53,926,503.80</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pacing w:val="-1"/>
                <w:sz w:val="22"/>
              </w:rPr>
              <w:t>23,437,064.73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2"/>
              <w:jc w:val="right"/>
              <w:rPr>
                <w:rFonts w:ascii="宋体" w:hAnsi="宋体" w:cs="宋体" w:eastAsia="宋体" w:hint="default"/>
                <w:sz w:val="22"/>
                <w:szCs w:val="22"/>
              </w:rPr>
            </w:pPr>
            <w:r>
              <w:rPr>
                <w:rFonts w:ascii="宋体"/>
                <w:sz w:val="22"/>
              </w:rPr>
              <w:t>130.09%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pacing w:val="-1"/>
                <w:sz w:val="22"/>
              </w:rPr>
              <w:t>33,022,364.20</w:t>
            </w: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45,202,806.42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20,274,036.09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sz w:val="22"/>
              </w:rPr>
              <w:t>122.96%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29,160,099.99</w:t>
            </w: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42,890,745.78</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25,446,412.28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sz w:val="22"/>
              </w:rPr>
              <w:t>68.55%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37,413,497.28</w:t>
            </w: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24" w:right="0"/>
              <w:jc w:val="left"/>
              <w:rPr>
                <w:rFonts w:ascii="宋体" w:hAnsi="宋体" w:cs="宋体" w:eastAsia="宋体" w:hint="default"/>
                <w:sz w:val="22"/>
                <w:szCs w:val="22"/>
              </w:rPr>
            </w:pPr>
            <w:r>
              <w:rPr>
                <w:rFonts w:ascii="宋体" w:hAnsi="宋体" w:cs="宋体" w:eastAsia="宋体" w:hint="default"/>
                <w:sz w:val="22"/>
                <w:szCs w:val="22"/>
              </w:rPr>
              <w:t>基本每股收益（元/股）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0.6057733</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0.271697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sz w:val="22"/>
              </w:rPr>
              <w:t>122.96%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1"/>
              <w:jc w:val="right"/>
              <w:rPr>
                <w:rFonts w:ascii="宋体" w:hAnsi="宋体" w:cs="宋体" w:eastAsia="宋体" w:hint="default"/>
                <w:sz w:val="22"/>
                <w:szCs w:val="22"/>
              </w:rPr>
            </w:pPr>
            <w:r>
              <w:rPr>
                <w:rFonts w:ascii="宋体"/>
                <w:sz w:val="22"/>
              </w:rPr>
              <w:t>0.39</w:t>
            </w:r>
          </w:p>
        </w:tc>
      </w:tr>
      <w:tr>
        <w:trPr>
          <w:trHeight w:val="161" w:hRule="exact"/>
        </w:trPr>
        <w:tc>
          <w:tcPr>
            <w:tcW w:w="3012" w:type="dxa"/>
            <w:tcBorders>
              <w:top w:val="single" w:sz="4" w:space="0" w:color="000000"/>
              <w:left w:val="single" w:sz="4" w:space="0" w:color="000000"/>
              <w:bottom w:val="nil" w:sz="6" w:space="0" w:color="auto"/>
              <w:right w:val="single" w:sz="4" w:space="0" w:color="000000"/>
            </w:tcBorders>
            <w:shd w:val="clear" w:color="auto" w:fill="DBDBDB"/>
          </w:tcPr>
          <w:p>
            <w:pPr/>
          </w:p>
        </w:tc>
        <w:tc>
          <w:tcPr>
            <w:tcW w:w="1791"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20"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3"/>
                <w:sz w:val="22"/>
                <w:szCs w:val="22"/>
              </w:rPr>
              <w:t> </w:t>
            </w:r>
            <w:r>
              <w:rPr>
                <w:rFonts w:ascii="宋体" w:hAnsi="宋体" w:cs="宋体" w:eastAsia="宋体" w:hint="default"/>
                <w:sz w:val="22"/>
                <w:szCs w:val="22"/>
              </w:rPr>
              <w:t>年末</w:t>
            </w:r>
          </w:p>
        </w:tc>
        <w:tc>
          <w:tcPr>
            <w:tcW w:w="174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00"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年末</w:t>
            </w:r>
          </w:p>
        </w:tc>
        <w:tc>
          <w:tcPr>
            <w:tcW w:w="1205" w:type="dxa"/>
            <w:vMerge w:val="restart"/>
            <w:tcBorders>
              <w:top w:val="single" w:sz="4" w:space="0" w:color="000000"/>
              <w:left w:val="single" w:sz="4" w:space="0" w:color="000000"/>
              <w:right w:val="single" w:sz="4" w:space="0" w:color="000000"/>
            </w:tcBorders>
            <w:shd w:val="clear" w:color="auto" w:fill="DBDBDB"/>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pacing w:val="8"/>
                <w:sz w:val="22"/>
                <w:szCs w:val="22"/>
              </w:rPr>
              <w:t>本年末比上</w:t>
            </w:r>
          </w:p>
          <w:p>
            <w:pPr>
              <w:pStyle w:val="TableParagraph"/>
              <w:spacing w:line="240" w:lineRule="auto" w:before="24"/>
              <w:ind w:left="21" w:right="0"/>
              <w:jc w:val="left"/>
              <w:rPr>
                <w:rFonts w:ascii="宋体" w:hAnsi="宋体" w:cs="宋体" w:eastAsia="宋体" w:hint="default"/>
                <w:sz w:val="22"/>
                <w:szCs w:val="22"/>
              </w:rPr>
            </w:pPr>
            <w:r>
              <w:rPr>
                <w:rFonts w:ascii="宋体" w:hAnsi="宋体" w:cs="宋体" w:eastAsia="宋体" w:hint="default"/>
                <w:sz w:val="22"/>
                <w:szCs w:val="22"/>
              </w:rPr>
              <w:t>年 末 增</w:t>
            </w:r>
            <w:r>
              <w:rPr>
                <w:rFonts w:ascii="宋体" w:hAnsi="宋体" w:cs="宋体" w:eastAsia="宋体" w:hint="default"/>
                <w:spacing w:val="-61"/>
                <w:sz w:val="22"/>
                <w:szCs w:val="22"/>
              </w:rPr>
              <w:t> </w:t>
            </w:r>
            <w:r>
              <w:rPr>
                <w:rFonts w:ascii="宋体" w:hAnsi="宋体" w:cs="宋体" w:eastAsia="宋体" w:hint="default"/>
                <w:sz w:val="22"/>
                <w:szCs w:val="22"/>
              </w:rPr>
              <w:t>减</w:t>
            </w:r>
          </w:p>
          <w:p>
            <w:pPr>
              <w:pStyle w:val="TableParagraph"/>
              <w:spacing w:line="240" w:lineRule="auto" w:before="24"/>
              <w:ind w:left="21" w:right="0"/>
              <w:jc w:val="left"/>
              <w:rPr>
                <w:rFonts w:ascii="宋体" w:hAnsi="宋体" w:cs="宋体" w:eastAsia="宋体" w:hint="default"/>
                <w:sz w:val="22"/>
                <w:szCs w:val="22"/>
              </w:rPr>
            </w:pPr>
            <w:r>
              <w:rPr>
                <w:rFonts w:ascii="宋体" w:hAnsi="宋体" w:cs="宋体" w:eastAsia="宋体" w:hint="default"/>
                <w:sz w:val="22"/>
                <w:szCs w:val="22"/>
              </w:rPr>
              <w:t>（％）</w:t>
            </w:r>
          </w:p>
        </w:tc>
        <w:tc>
          <w:tcPr>
            <w:tcW w:w="1637"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43"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3"/>
                <w:sz w:val="22"/>
                <w:szCs w:val="22"/>
              </w:rPr>
              <w:t> </w:t>
            </w:r>
            <w:r>
              <w:rPr>
                <w:rFonts w:ascii="宋体" w:hAnsi="宋体" w:cs="宋体" w:eastAsia="宋体" w:hint="default"/>
                <w:sz w:val="22"/>
                <w:szCs w:val="22"/>
              </w:rPr>
              <w:t>年末</w:t>
            </w:r>
          </w:p>
        </w:tc>
      </w:tr>
      <w:tr>
        <w:trPr>
          <w:trHeight w:val="624" w:hRule="exact"/>
        </w:trPr>
        <w:tc>
          <w:tcPr>
            <w:tcW w:w="3012" w:type="dxa"/>
            <w:tcBorders>
              <w:top w:val="nil" w:sz="6" w:space="0" w:color="auto"/>
              <w:left w:val="single" w:sz="4" w:space="0" w:color="000000"/>
              <w:bottom w:val="nil" w:sz="6" w:space="0" w:color="auto"/>
              <w:right w:val="single" w:sz="4" w:space="0" w:color="000000"/>
            </w:tcBorders>
            <w:shd w:val="clear" w:color="auto" w:fill="DBDBDB"/>
          </w:tcPr>
          <w:p>
            <w:pPr/>
          </w:p>
        </w:tc>
        <w:tc>
          <w:tcPr>
            <w:tcW w:w="1791" w:type="dxa"/>
            <w:vMerge/>
            <w:tcBorders>
              <w:left w:val="single" w:sz="4" w:space="0" w:color="000000"/>
              <w:right w:val="single" w:sz="4" w:space="0" w:color="000000"/>
            </w:tcBorders>
            <w:shd w:val="clear" w:color="auto" w:fill="DBDBDB"/>
          </w:tcPr>
          <w:p>
            <w:pPr/>
          </w:p>
        </w:tc>
        <w:tc>
          <w:tcPr>
            <w:tcW w:w="1749" w:type="dxa"/>
            <w:vMerge/>
            <w:tcBorders>
              <w:left w:val="single" w:sz="4" w:space="0" w:color="000000"/>
              <w:right w:val="single" w:sz="4" w:space="0" w:color="000000"/>
            </w:tcBorders>
            <w:shd w:val="clear" w:color="auto" w:fill="DBDBDB"/>
          </w:tcPr>
          <w:p>
            <w:pPr/>
          </w:p>
        </w:tc>
        <w:tc>
          <w:tcPr>
            <w:tcW w:w="1205" w:type="dxa"/>
            <w:vMerge/>
            <w:tcBorders>
              <w:left w:val="single" w:sz="4" w:space="0" w:color="000000"/>
              <w:right w:val="single" w:sz="4" w:space="0" w:color="000000"/>
            </w:tcBorders>
            <w:shd w:val="clear" w:color="auto" w:fill="DBDBDB"/>
          </w:tcPr>
          <w:p>
            <w:pPr/>
          </w:p>
        </w:tc>
        <w:tc>
          <w:tcPr>
            <w:tcW w:w="1637" w:type="dxa"/>
            <w:vMerge/>
            <w:tcBorders>
              <w:left w:val="single" w:sz="4" w:space="0" w:color="000000"/>
              <w:right w:val="single" w:sz="4" w:space="0" w:color="000000"/>
            </w:tcBorders>
            <w:shd w:val="clear" w:color="auto" w:fill="DBDBDB"/>
          </w:tcPr>
          <w:p>
            <w:pPr/>
          </w:p>
        </w:tc>
      </w:tr>
      <w:tr>
        <w:trPr>
          <w:trHeight w:val="161" w:hRule="exact"/>
        </w:trPr>
        <w:tc>
          <w:tcPr>
            <w:tcW w:w="3012" w:type="dxa"/>
            <w:tcBorders>
              <w:top w:val="nil" w:sz="6" w:space="0" w:color="auto"/>
              <w:left w:val="single" w:sz="4" w:space="0" w:color="000000"/>
              <w:bottom w:val="single" w:sz="4" w:space="0" w:color="000000"/>
              <w:right w:val="single" w:sz="4" w:space="0" w:color="000000"/>
            </w:tcBorders>
            <w:shd w:val="clear" w:color="auto" w:fill="DBDBDB"/>
          </w:tcPr>
          <w:p>
            <w:pPr/>
          </w:p>
        </w:tc>
        <w:tc>
          <w:tcPr>
            <w:tcW w:w="1791" w:type="dxa"/>
            <w:vMerge/>
            <w:tcBorders>
              <w:left w:val="single" w:sz="4" w:space="0" w:color="000000"/>
              <w:bottom w:val="single" w:sz="4" w:space="0" w:color="000000"/>
              <w:right w:val="single" w:sz="4" w:space="0" w:color="000000"/>
            </w:tcBorders>
            <w:shd w:val="clear" w:color="auto" w:fill="DBDBDB"/>
          </w:tcPr>
          <w:p>
            <w:pPr/>
          </w:p>
        </w:tc>
        <w:tc>
          <w:tcPr>
            <w:tcW w:w="1749" w:type="dxa"/>
            <w:vMerge/>
            <w:tcBorders>
              <w:left w:val="single" w:sz="4" w:space="0" w:color="000000"/>
              <w:bottom w:val="single" w:sz="4" w:space="0" w:color="000000"/>
              <w:right w:val="single" w:sz="4" w:space="0" w:color="000000"/>
            </w:tcBorders>
            <w:shd w:val="clear" w:color="auto" w:fill="DBDBDB"/>
          </w:tcPr>
          <w:p>
            <w:pPr/>
          </w:p>
        </w:tc>
        <w:tc>
          <w:tcPr>
            <w:tcW w:w="1205" w:type="dxa"/>
            <w:vMerge/>
            <w:tcBorders>
              <w:left w:val="single" w:sz="4" w:space="0" w:color="000000"/>
              <w:bottom w:val="single" w:sz="4" w:space="0" w:color="000000"/>
              <w:right w:val="single" w:sz="4" w:space="0" w:color="000000"/>
            </w:tcBorders>
            <w:shd w:val="clear" w:color="auto" w:fill="DBDBDB"/>
          </w:tcPr>
          <w:p>
            <w:pPr/>
          </w:p>
        </w:tc>
        <w:tc>
          <w:tcPr>
            <w:tcW w:w="1637" w:type="dxa"/>
            <w:vMerge/>
            <w:tcBorders>
              <w:left w:val="single" w:sz="4" w:space="0" w:color="000000"/>
              <w:bottom w:val="single" w:sz="4" w:space="0" w:color="000000"/>
              <w:right w:val="single" w:sz="4" w:space="0" w:color="000000"/>
            </w:tcBorders>
            <w:shd w:val="clear" w:color="auto" w:fill="DBDBDB"/>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总资产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358,889,318.01</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314,805,245.41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2"/>
              <w:jc w:val="right"/>
              <w:rPr>
                <w:rFonts w:ascii="宋体" w:hAnsi="宋体" w:cs="宋体" w:eastAsia="宋体" w:hint="default"/>
                <w:sz w:val="22"/>
                <w:szCs w:val="22"/>
              </w:rPr>
            </w:pPr>
            <w:r>
              <w:rPr>
                <w:rFonts w:ascii="宋体"/>
                <w:sz w:val="22"/>
              </w:rPr>
              <w:t>14.00%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290,778,588.32</w:t>
            </w:r>
          </w:p>
        </w:tc>
      </w:tr>
      <w:tr>
        <w:trPr>
          <w:trHeight w:val="324"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8" w:lineRule="exact"/>
              <w:ind w:left="180" w:right="0"/>
              <w:jc w:val="left"/>
              <w:rPr>
                <w:rFonts w:ascii="宋体" w:hAnsi="宋体" w:cs="宋体" w:eastAsia="宋体" w:hint="default"/>
                <w:sz w:val="22"/>
                <w:szCs w:val="22"/>
              </w:rPr>
            </w:pPr>
            <w:r>
              <w:rPr>
                <w:rFonts w:ascii="宋体" w:hAnsi="宋体" w:cs="宋体" w:eastAsia="宋体" w:hint="default"/>
                <w:sz w:val="22"/>
                <w:szCs w:val="22"/>
              </w:rPr>
              <w:t>所有者权益（或股东权益）</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pacing w:val="-1"/>
                <w:sz w:val="22"/>
              </w:rPr>
              <w:t>305,786,338.42</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pacing w:val="-1"/>
                <w:sz w:val="22"/>
              </w:rPr>
              <w:t>267,686,166.01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2"/>
              <w:jc w:val="right"/>
              <w:rPr>
                <w:rFonts w:ascii="宋体" w:hAnsi="宋体" w:cs="宋体" w:eastAsia="宋体" w:hint="default"/>
                <w:sz w:val="22"/>
                <w:szCs w:val="22"/>
              </w:rPr>
            </w:pPr>
            <w:r>
              <w:rPr>
                <w:rFonts w:ascii="宋体"/>
                <w:sz w:val="22"/>
              </w:rPr>
              <w:t>14.23%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pacing w:val="-1"/>
                <w:sz w:val="22"/>
              </w:rPr>
              <w:t>254,946,994.42</w:t>
            </w:r>
          </w:p>
        </w:tc>
      </w:tr>
      <w:tr>
        <w:trPr>
          <w:trHeight w:val="321" w:hRule="exact"/>
        </w:trPr>
        <w:tc>
          <w:tcPr>
            <w:tcW w:w="3012"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157"/>
        <w:ind w:left="558" w:right="3403"/>
        <w:jc w:val="left"/>
      </w:pPr>
      <w:r>
        <w:rPr/>
        <w:t>主要财务指标变动情况说明：</w:t>
      </w:r>
    </w:p>
    <w:p>
      <w:pPr>
        <w:pStyle w:val="BodyText"/>
        <w:spacing w:line="357" w:lineRule="auto" w:before="154"/>
        <w:ind w:left="920" w:right="3403" w:hanging="363"/>
        <w:jc w:val="left"/>
      </w:pPr>
      <w:r>
        <w:rPr/>
        <w:t>（1）公司营业收入同期比增长52.49%，主要原因为： A.公司业务规模增长；</w:t>
      </w:r>
    </w:p>
    <w:p>
      <w:pPr>
        <w:pStyle w:val="BodyText"/>
        <w:spacing w:line="357" w:lineRule="auto"/>
        <w:ind w:left="666" w:right="400" w:firstLine="254"/>
        <w:jc w:val="left"/>
      </w:pPr>
      <w:r>
        <w:rPr/>
        <w:t>B.华钟公司自2009年9月起进入公司合并报表范围，报告期内并入其全年营业收 入；</w:t>
      </w:r>
    </w:p>
    <w:p>
      <w:pPr>
        <w:pStyle w:val="BodyText"/>
        <w:spacing w:line="240" w:lineRule="auto"/>
        <w:ind w:left="558" w:right="400"/>
        <w:jc w:val="left"/>
      </w:pPr>
      <w:r>
        <w:rPr/>
        <w:t>（2）营业利润同期比上升169.01%,主要由于业务规模增加所致。</w:t>
      </w:r>
    </w:p>
    <w:p>
      <w:pPr>
        <w:pStyle w:val="BodyText"/>
        <w:spacing w:line="357" w:lineRule="auto" w:before="154"/>
        <w:ind w:left="1088" w:right="403" w:hanging="531"/>
        <w:jc w:val="left"/>
      </w:pPr>
      <w:r>
        <w:rPr/>
        <w:t>（3）利润总额、归属于上市公司股东的净利润同期比分别增加130.09%、122.96%, 主要由于营业利润同期比上升所致。</w:t>
      </w:r>
    </w:p>
    <w:p>
      <w:pPr>
        <w:pStyle w:val="BodyText"/>
        <w:spacing w:line="357" w:lineRule="auto"/>
        <w:ind w:left="1088" w:right="283" w:hanging="531"/>
        <w:jc w:val="left"/>
      </w:pPr>
      <w:r>
        <w:rPr/>
        <w:t>（4）经营活动产生的现金流量净额上升68.55%，主要因为营业收入增加，且账款正 常回收所致。</w:t>
      </w:r>
    </w:p>
    <w:p>
      <w:pPr>
        <w:pStyle w:val="BodyText"/>
        <w:spacing w:line="357" w:lineRule="auto"/>
        <w:ind w:left="1088" w:right="0" w:hanging="531"/>
        <w:jc w:val="left"/>
      </w:pPr>
      <w:r>
        <w:rPr>
          <w:spacing w:val="-3"/>
        </w:rPr>
        <w:t>（5）基本每股收益增加122.96%，主要系报告期内归属于上市公司股东的净利润同期</w:t>
      </w:r>
      <w:r>
        <w:rPr>
          <w:spacing w:val="-89"/>
        </w:rPr>
        <w:t> </w:t>
      </w:r>
      <w:r>
        <w:rPr>
          <w:spacing w:val="-89"/>
        </w:rPr>
      </w:r>
      <w:r>
        <w:rPr/>
        <w:t>比上升所致。</w:t>
      </w:r>
    </w:p>
    <w:p>
      <w:pPr>
        <w:spacing w:line="240" w:lineRule="auto" w:before="3"/>
        <w:rPr>
          <w:rFonts w:ascii="宋体" w:hAnsi="宋体" w:cs="宋体" w:eastAsia="宋体" w:hint="default"/>
          <w:sz w:val="24"/>
          <w:szCs w:val="24"/>
        </w:rPr>
      </w:pPr>
    </w:p>
    <w:p>
      <w:pPr>
        <w:pStyle w:val="Heading3"/>
        <w:spacing w:line="240" w:lineRule="auto" w:before="0"/>
        <w:ind w:left="558" w:right="3403"/>
        <w:jc w:val="left"/>
        <w:rPr>
          <w:rFonts w:ascii="Malgun Gothic" w:hAnsi="Malgun Gothic" w:cs="Malgun Gothic" w:eastAsia="Malgun Gothic" w:hint="default"/>
          <w:b w:val="0"/>
          <w:bCs w:val="0"/>
        </w:rPr>
      </w:pPr>
      <w:r>
        <w:rPr/>
        <w:t>实现盈利预测的情况</w:t>
      </w:r>
      <w:r>
        <w:rPr>
          <w:rFonts w:ascii="Malgun Gothic" w:hAnsi="Malgun Gothic" w:cs="Malgun Gothic" w:eastAsia="Malgun Gothic" w:hint="default"/>
        </w:rPr>
        <w:t>：</w:t>
      </w:r>
      <w:r>
        <w:rPr>
          <w:rFonts w:ascii="Malgun Gothic" w:hAnsi="Malgun Gothic" w:cs="Malgun Gothic" w:eastAsia="Malgun Gothic" w:hint="default"/>
          <w:b w:val="0"/>
          <w:bCs w:val="0"/>
        </w:rPr>
      </w:r>
    </w:p>
    <w:p>
      <w:pPr>
        <w:pStyle w:val="BodyText"/>
        <w:spacing w:line="240" w:lineRule="auto" w:before="129"/>
        <w:ind w:left="1038" w:right="0"/>
        <w:jc w:val="left"/>
      </w:pPr>
      <w:r>
        <w:rPr/>
        <w:t>公司在</w:t>
      </w:r>
      <w:r>
        <w:rPr>
          <w:spacing w:val="-58"/>
        </w:rPr>
        <w:t> </w:t>
      </w:r>
      <w:r>
        <w:rPr/>
        <w:t>2011</w:t>
      </w:r>
      <w:r>
        <w:rPr>
          <w:spacing w:val="-58"/>
        </w:rPr>
        <w:t> </w:t>
      </w:r>
      <w:r>
        <w:rPr/>
        <w:t>年</w:t>
      </w:r>
      <w:r>
        <w:rPr>
          <w:spacing w:val="-56"/>
        </w:rPr>
        <w:t> </w:t>
      </w:r>
      <w:r>
        <w:rPr/>
        <w:t>1</w:t>
      </w:r>
      <w:r>
        <w:rPr>
          <w:spacing w:val="-58"/>
        </w:rPr>
        <w:t> </w:t>
      </w:r>
      <w:r>
        <w:rPr/>
        <w:t>月</w:t>
      </w:r>
      <w:r>
        <w:rPr>
          <w:spacing w:val="-58"/>
        </w:rPr>
        <w:t> </w:t>
      </w:r>
      <w:r>
        <w:rPr/>
        <w:t>21</w:t>
      </w:r>
      <w:r>
        <w:rPr>
          <w:spacing w:val="-56"/>
        </w:rPr>
        <w:t> </w:t>
      </w:r>
      <w:r>
        <w:rPr/>
        <w:t>日披露的《关于</w:t>
      </w:r>
      <w:r>
        <w:rPr>
          <w:spacing w:val="-58"/>
        </w:rPr>
        <w:t> </w:t>
      </w:r>
      <w:r>
        <w:rPr/>
        <w:t>2010</w:t>
      </w:r>
      <w:r>
        <w:rPr>
          <w:spacing w:val="-56"/>
        </w:rPr>
        <w:t> </w:t>
      </w:r>
      <w:r>
        <w:rPr/>
        <w:t>年度业绩预告的修正公告》中，预</w:t>
      </w:r>
    </w:p>
    <w:p>
      <w:pPr>
        <w:pStyle w:val="BodyText"/>
        <w:spacing w:line="357" w:lineRule="auto" w:before="154"/>
        <w:ind w:left="558" w:right="270"/>
        <w:jc w:val="both"/>
      </w:pPr>
      <w:r>
        <w:rPr/>
        <w:t>测为：归属于母公司所有者的净利润比去年同期增长 110-125%。经审计，公司</w:t>
      </w:r>
      <w:r>
        <w:rPr>
          <w:spacing w:val="-92"/>
        </w:rPr>
        <w:t> </w:t>
      </w:r>
      <w:r>
        <w:rPr/>
        <w:t>2010</w:t>
      </w:r>
      <w:r>
        <w:rPr/>
        <w:t> 年全年属于母公司所有者的净利润为</w:t>
      </w:r>
      <w:r>
        <w:rPr>
          <w:spacing w:val="-66"/>
        </w:rPr>
        <w:t> </w:t>
      </w:r>
      <w:r>
        <w:rPr/>
        <w:t>45,202,806.42</w:t>
      </w:r>
      <w:r>
        <w:rPr>
          <w:spacing w:val="-66"/>
        </w:rPr>
        <w:t> </w:t>
      </w:r>
      <w:r>
        <w:rPr>
          <w:spacing w:val="-3"/>
        </w:rPr>
        <w:t>元，同比增长</w:t>
      </w:r>
      <w:r>
        <w:rPr>
          <w:spacing w:val="-66"/>
        </w:rPr>
        <w:t> </w:t>
      </w:r>
      <w:r>
        <w:rPr/>
        <w:t>122.96%，达到了</w:t>
      </w:r>
      <w:r>
        <w:rPr/>
        <w:t> 预测的盈利目标。</w:t>
      </w:r>
    </w:p>
    <w:p>
      <w:pPr>
        <w:spacing w:after="0" w:line="357" w:lineRule="auto"/>
        <w:jc w:val="both"/>
        <w:sectPr>
          <w:type w:val="continuous"/>
          <w:pgSz w:w="11900" w:h="16840"/>
          <w:pgMar w:top="1040" w:bottom="1180" w:left="860" w:right="1420"/>
        </w:sectPr>
      </w:pPr>
    </w:p>
    <w:p>
      <w:pPr>
        <w:spacing w:line="240" w:lineRule="auto" w:before="7"/>
        <w:rPr>
          <w:rFonts w:ascii="宋体" w:hAnsi="宋体" w:cs="宋体" w:eastAsia="宋体" w:hint="default"/>
          <w:sz w:val="25"/>
          <w:szCs w:val="25"/>
        </w:rPr>
      </w:pPr>
    </w:p>
    <w:p>
      <w:pPr>
        <w:pStyle w:val="BodyText"/>
        <w:spacing w:line="357" w:lineRule="auto" w:before="26"/>
        <w:ind w:left="618" w:right="842" w:hanging="480"/>
        <w:jc w:val="left"/>
      </w:pPr>
      <w:r>
        <w:rPr/>
        <w:t>3、公司主营业务分行业、产品、地区分布情况 公司主营业务按照产品分类、按行业分类、按地区分类的构成如下表所示：</w:t>
      </w:r>
    </w:p>
    <w:p>
      <w:pPr>
        <w:pStyle w:val="BodyText"/>
        <w:spacing w:line="240" w:lineRule="auto" w:before="5"/>
        <w:ind w:left="138" w:right="842"/>
        <w:jc w:val="left"/>
      </w:pPr>
      <w:r>
        <w:rPr/>
        <w:t>(1)按产品分类情况</w:t>
      </w:r>
    </w:p>
    <w:p>
      <w:pPr>
        <w:spacing w:line="258" w:lineRule="exact" w:before="0"/>
        <w:ind w:left="0" w:right="473" w:firstLine="0"/>
        <w:jc w:val="right"/>
        <w:rPr>
          <w:rFonts w:ascii="宋体" w:hAnsi="宋体" w:cs="宋体" w:eastAsia="宋体" w:hint="default"/>
          <w:sz w:val="20"/>
          <w:szCs w:val="20"/>
        </w:rPr>
      </w:pPr>
      <w:r>
        <w:rPr/>
        <w:pict>
          <v:shape style="position:absolute;margin-left:380.040009pt;margin-top:14.402488pt;width:69.25pt;height:31.2pt;mso-position-horizontal-relative:page;mso-position-vertical-relative:paragraph;z-index:-554392" type="#_x0000_t202" filled="false" stroked="false">
            <v:textbox inset="0,0,0,0">
              <w:txbxContent>
                <w:p>
                  <w:pPr>
                    <w:spacing w:line="240" w:lineRule="auto" w:before="11"/>
                    <w:rPr>
                      <w:rFonts w:ascii="宋体" w:hAnsi="宋体" w:cs="宋体" w:eastAsia="宋体" w:hint="default"/>
                      <w:sz w:val="22"/>
                      <w:szCs w:val="22"/>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443.040009pt;margin-top:14.402488pt;width:77.650pt;height:31.2pt;mso-position-horizontal-relative:page;mso-position-vertical-relative:paragraph;z-index:-554368" type="#_x0000_t202" filled="false" stroked="false">
            <v:textbox inset="0,0,0,0">
              <w:txbxContent>
                <w:p>
                  <w:pPr>
                    <w:spacing w:line="240" w:lineRule="auto" w:before="11"/>
                    <w:rPr>
                      <w:rFonts w:ascii="宋体" w:hAnsi="宋体" w:cs="宋体" w:eastAsia="宋体" w:hint="default"/>
                      <w:sz w:val="22"/>
                      <w:szCs w:val="22"/>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w w:val="95"/>
          <w:sz w:val="20"/>
          <w:szCs w:val="20"/>
        </w:rPr>
        <w:t>单位：万元</w:t>
      </w:r>
      <w:r>
        <w:rPr>
          <w:rFonts w:ascii="宋体" w:hAnsi="宋体" w:cs="宋体" w:eastAsia="宋体" w:hint="default"/>
          <w:sz w:val="20"/>
          <w:szCs w:val="20"/>
        </w:rPr>
      </w:r>
    </w:p>
    <w:tbl>
      <w:tblPr>
        <w:tblW w:w="0" w:type="auto"/>
        <w:jc w:val="left"/>
        <w:tblInd w:w="133" w:type="dxa"/>
        <w:tblLayout w:type="fixed"/>
        <w:tblCellMar>
          <w:top w:w="0" w:type="dxa"/>
          <w:left w:w="0" w:type="dxa"/>
          <w:bottom w:w="0" w:type="dxa"/>
          <w:right w:w="0" w:type="dxa"/>
        </w:tblCellMar>
        <w:tblLook w:val="01E0"/>
      </w:tblPr>
      <w:tblGrid>
        <w:gridCol w:w="1176"/>
        <w:gridCol w:w="1330"/>
        <w:gridCol w:w="1387"/>
        <w:gridCol w:w="1118"/>
        <w:gridCol w:w="1301"/>
        <w:gridCol w:w="1260"/>
        <w:gridCol w:w="1428"/>
      </w:tblGrid>
      <w:tr>
        <w:trPr>
          <w:trHeight w:val="634" w:hRule="exact"/>
        </w:trPr>
        <w:tc>
          <w:tcPr>
            <w:tcW w:w="117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6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33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3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396" w:right="28" w:hanging="370"/>
              <w:jc w:val="left"/>
              <w:rPr>
                <w:rFonts w:ascii="宋体" w:hAnsi="宋体" w:cs="宋体" w:eastAsia="宋体" w:hint="default"/>
                <w:sz w:val="21"/>
                <w:szCs w:val="21"/>
              </w:rPr>
            </w:pPr>
            <w:r>
              <w:rPr>
                <w:rFonts w:ascii="宋体" w:hAnsi="宋体" w:cs="宋体" w:eastAsia="宋体" w:hint="default"/>
                <w:sz w:val="21"/>
                <w:szCs w:val="21"/>
              </w:rPr>
              <w:t>营业毛利率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3" w:right="115" w:firstLine="96"/>
              <w:jc w:val="left"/>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pacing w:val="-4"/>
                <w:sz w:val="21"/>
                <w:szCs w:val="21"/>
              </w:rPr>
              <w:t>上年增减（%</w:t>
            </w:r>
          </w:p>
        </w:tc>
        <w:tc>
          <w:tcPr>
            <w:tcW w:w="12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3" w:right="94" w:firstLine="76"/>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1"/>
                <w:sz w:val="21"/>
                <w:szCs w:val="21"/>
              </w:rPr>
              <w:t>上年增减（%</w:t>
            </w:r>
          </w:p>
        </w:tc>
        <w:tc>
          <w:tcPr>
            <w:tcW w:w="14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6" w:right="22" w:firstLine="52"/>
              <w:jc w:val="left"/>
              <w:rPr>
                <w:rFonts w:ascii="宋体" w:hAnsi="宋体" w:cs="宋体" w:eastAsia="宋体" w:hint="default"/>
                <w:sz w:val="21"/>
                <w:szCs w:val="21"/>
              </w:rPr>
            </w:pPr>
            <w:r>
              <w:rPr>
                <w:rFonts w:ascii="宋体" w:hAnsi="宋体" w:cs="宋体" w:eastAsia="宋体" w:hint="default"/>
                <w:sz w:val="21"/>
                <w:szCs w:val="21"/>
              </w:rPr>
              <w:t>营业毛利率比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tc>
      </w:tr>
      <w:tr>
        <w:trPr>
          <w:trHeight w:val="32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软件服务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26,194.99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15,268.20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41.71%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z w:val="22"/>
              </w:rPr>
              <w:t>46.82%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z w:val="22"/>
              </w:rPr>
              <w:t>34.61%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z w:val="22"/>
              </w:rPr>
              <w:t>5.28%</w:t>
            </w:r>
          </w:p>
        </w:tc>
      </w:tr>
      <w:tr>
        <w:trPr>
          <w:trHeight w:val="322"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3,191.68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2,296.19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28.06%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z w:val="22"/>
              </w:rPr>
              <w:t>124.34%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z w:val="22"/>
              </w:rPr>
              <w:t>99.85%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7"/>
              <w:jc w:val="right"/>
              <w:rPr>
                <w:rFonts w:ascii="宋体" w:hAnsi="宋体" w:cs="宋体" w:eastAsia="宋体" w:hint="default"/>
                <w:sz w:val="22"/>
                <w:szCs w:val="22"/>
              </w:rPr>
            </w:pPr>
            <w:r>
              <w:rPr>
                <w:rFonts w:ascii="宋体"/>
                <w:sz w:val="22"/>
              </w:rPr>
              <w:t>8.82%</w:t>
            </w:r>
          </w:p>
        </w:tc>
      </w:tr>
      <w:tr>
        <w:trPr>
          <w:trHeight w:val="32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z w:val="22"/>
              </w:rPr>
              <w:t>29,386.67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z w:val="22"/>
              </w:rPr>
              <w:t>17,564.39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z w:val="22"/>
              </w:rPr>
              <w:t>40.23%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7"/>
              <w:jc w:val="right"/>
              <w:rPr>
                <w:rFonts w:ascii="宋体" w:hAnsi="宋体" w:cs="宋体" w:eastAsia="宋体" w:hint="default"/>
                <w:sz w:val="22"/>
                <w:szCs w:val="22"/>
              </w:rPr>
            </w:pPr>
            <w:r>
              <w:rPr>
                <w:rFonts w:ascii="宋体"/>
                <w:sz w:val="22"/>
              </w:rPr>
              <w:t>52.54%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28"/>
              <w:jc w:val="right"/>
              <w:rPr>
                <w:rFonts w:ascii="宋体" w:hAnsi="宋体" w:cs="宋体" w:eastAsia="宋体" w:hint="default"/>
                <w:sz w:val="22"/>
                <w:szCs w:val="22"/>
              </w:rPr>
            </w:pPr>
            <w:r>
              <w:rPr>
                <w:rFonts w:ascii="宋体"/>
                <w:sz w:val="22"/>
              </w:rPr>
              <w:t>40.61%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7"/>
              <w:jc w:val="right"/>
              <w:rPr>
                <w:rFonts w:ascii="宋体" w:hAnsi="宋体" w:cs="宋体" w:eastAsia="宋体" w:hint="default"/>
                <w:sz w:val="22"/>
                <w:szCs w:val="22"/>
              </w:rPr>
            </w:pPr>
            <w:r>
              <w:rPr>
                <w:rFonts w:ascii="宋体"/>
                <w:sz w:val="22"/>
              </w:rPr>
              <w:t>5.07%</w:t>
            </w:r>
          </w:p>
        </w:tc>
      </w:tr>
    </w:tbl>
    <w:p>
      <w:pPr>
        <w:spacing w:line="240" w:lineRule="auto" w:before="9"/>
        <w:rPr>
          <w:rFonts w:ascii="宋体" w:hAnsi="宋体" w:cs="宋体" w:eastAsia="宋体" w:hint="default"/>
          <w:sz w:val="27"/>
          <w:szCs w:val="27"/>
        </w:rPr>
      </w:pPr>
    </w:p>
    <w:p>
      <w:pPr>
        <w:pStyle w:val="BodyText"/>
        <w:spacing w:line="240" w:lineRule="auto" w:before="26"/>
        <w:ind w:left="138" w:right="842"/>
        <w:jc w:val="left"/>
      </w:pPr>
      <w:r>
        <w:rPr/>
        <w:pict>
          <v:shape style="position:absolute;margin-left:456.959991pt;margin-top:19.405655pt;width:65.9pt;height:46.8pt;mso-position-horizontal-relative:page;mso-position-vertical-relative:paragraph;z-index:-55434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(2)主营业务按行业分类情况</w:t>
      </w: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2227"/>
        <w:gridCol w:w="1176"/>
        <w:gridCol w:w="1035"/>
        <w:gridCol w:w="938"/>
        <w:gridCol w:w="1188"/>
        <w:gridCol w:w="1289"/>
        <w:gridCol w:w="1190"/>
      </w:tblGrid>
      <w:tr>
        <w:trPr>
          <w:trHeight w:val="946" w:hRule="exact"/>
        </w:trPr>
        <w:tc>
          <w:tcPr>
            <w:tcW w:w="22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7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3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1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01" w:right="0"/>
              <w:jc w:val="left"/>
              <w:rPr>
                <w:rFonts w:ascii="宋体" w:hAnsi="宋体" w:cs="宋体" w:eastAsia="宋体" w:hint="default"/>
                <w:sz w:val="21"/>
                <w:szCs w:val="21"/>
              </w:rPr>
            </w:pPr>
            <w:r>
              <w:rPr>
                <w:rFonts w:ascii="宋体" w:hAnsi="宋体" w:cs="宋体" w:eastAsia="宋体" w:hint="default"/>
                <w:sz w:val="21"/>
                <w:szCs w:val="21"/>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62" w:right="60"/>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23" w:right="112" w:firstLine="88"/>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6"/>
                <w:sz w:val="21"/>
                <w:szCs w:val="21"/>
              </w:rPr>
              <w:t>上年增减（%</w:t>
            </w:r>
          </w:p>
        </w:tc>
        <w:tc>
          <w:tcPr>
            <w:tcW w:w="11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3"/>
              <w:ind w:left="23" w:right="0" w:firstLine="40"/>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p>
        </w:tc>
      </w:tr>
      <w:tr>
        <w:trPr>
          <w:trHeight w:val="32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金融信息服务业</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16,031.93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9,107.18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43.19%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104.84%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87.45%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5.26%</w:t>
            </w:r>
          </w:p>
        </w:tc>
      </w:tr>
      <w:tr>
        <w:trPr>
          <w:trHeight w:val="32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嵌入式软件业务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4,086.78</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2,695.52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34.04%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-1.32%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-6.10%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3.36%</w:t>
            </w:r>
          </w:p>
        </w:tc>
      </w:tr>
      <w:tr>
        <w:trPr>
          <w:trHeight w:val="63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91"/>
              <w:jc w:val="left"/>
              <w:rPr>
                <w:rFonts w:ascii="宋体" w:hAnsi="宋体" w:cs="宋体" w:eastAsia="宋体" w:hint="default"/>
                <w:sz w:val="21"/>
                <w:szCs w:val="21"/>
              </w:rPr>
            </w:pPr>
            <w:r>
              <w:rPr>
                <w:rFonts w:ascii="宋体" w:hAnsi="宋体" w:cs="宋体" w:eastAsia="宋体" w:hint="default"/>
                <w:spacing w:val="-2"/>
                <w:sz w:val="21"/>
                <w:szCs w:val="21"/>
              </w:rPr>
              <w:t>移动电话内容服务及移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动电话相关软件业务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3,908.42</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2,346.55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39.96%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47.26%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50.95%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-1.47%</w:t>
            </w:r>
          </w:p>
        </w:tc>
      </w:tr>
      <w:tr>
        <w:trPr>
          <w:trHeight w:val="324"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流通行业软件</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2,860.57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1,716.29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40.00%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96.70%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83.17%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4.44%</w:t>
            </w:r>
          </w:p>
        </w:tc>
      </w:tr>
      <w:tr>
        <w:trPr>
          <w:trHeight w:val="32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CAD</w:t>
            </w:r>
            <w:r>
              <w:rPr>
                <w:rFonts w:ascii="宋体" w:hAnsi="宋体" w:cs="宋体" w:eastAsia="宋体" w:hint="default"/>
                <w:spacing w:val="-51"/>
                <w:sz w:val="21"/>
                <w:szCs w:val="21"/>
              </w:rPr>
              <w:t> </w:t>
            </w:r>
            <w:r>
              <w:rPr>
                <w:rFonts w:ascii="宋体" w:hAnsi="宋体" w:cs="宋体" w:eastAsia="宋体" w:hint="default"/>
                <w:sz w:val="21"/>
                <w:szCs w:val="21"/>
              </w:rPr>
              <w:t>软件包</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834.76</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536.50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35.73%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11.66%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9.54%</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1.24%</w:t>
            </w:r>
          </w:p>
        </w:tc>
      </w:tr>
      <w:tr>
        <w:trPr>
          <w:trHeight w:val="32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电子商务及其他</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1,664.21</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1,162.35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30.16%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w w:val="100"/>
                <w:sz w:val="21"/>
              </w:rPr>
              <w:t>-</w:t>
            </w:r>
          </w:p>
        </w:tc>
      </w:tr>
      <w:tr>
        <w:trPr>
          <w:trHeight w:val="32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29,386.67</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17,564.39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40.23%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52.54%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6" w:right="0"/>
              <w:jc w:val="left"/>
              <w:rPr>
                <w:rFonts w:ascii="宋体" w:hAnsi="宋体" w:cs="宋体" w:eastAsia="宋体" w:hint="default"/>
                <w:sz w:val="21"/>
                <w:szCs w:val="21"/>
              </w:rPr>
            </w:pPr>
            <w:r>
              <w:rPr>
                <w:rFonts w:ascii="宋体"/>
                <w:sz w:val="21"/>
              </w:rPr>
              <w:t>40.61%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5.07%</w:t>
            </w:r>
          </w:p>
        </w:tc>
      </w:tr>
    </w:tbl>
    <w:p>
      <w:pPr>
        <w:pStyle w:val="BodyText"/>
        <w:spacing w:line="357" w:lineRule="auto" w:before="38"/>
        <w:ind w:left="138" w:right="465" w:firstLine="482"/>
        <w:jc w:val="left"/>
      </w:pPr>
      <w:r>
        <w:rPr>
          <w:spacing w:val="-3"/>
        </w:rPr>
        <w:t>金融信息服务业营业收入增长主要来自证券、银行行业业务规模扩大及华钟公司</w:t>
      </w:r>
      <w:r>
        <w:rPr/>
        <w:t> 金融行业营业收入全年进入公司合并报表范围所致。</w:t>
      </w:r>
    </w:p>
    <w:p>
      <w:pPr>
        <w:pStyle w:val="BodyText"/>
        <w:spacing w:line="357" w:lineRule="auto"/>
        <w:ind w:left="138" w:right="465" w:firstLine="482"/>
        <w:jc w:val="left"/>
      </w:pPr>
      <w:r>
        <w:rPr>
          <w:spacing w:val="3"/>
        </w:rPr>
        <w:t>流通行业软件营业收入增长主要因华钟公司流通软件行业营业收入全年进入公</w:t>
      </w:r>
      <w:r>
        <w:rPr/>
        <w:t> 司合并报表范围所致</w:t>
      </w:r>
    </w:p>
    <w:p>
      <w:pPr>
        <w:pStyle w:val="BodyText"/>
        <w:spacing w:line="240" w:lineRule="auto"/>
        <w:ind w:left="620" w:right="842"/>
        <w:jc w:val="left"/>
      </w:pPr>
      <w:r>
        <w:rPr/>
        <w:t>嵌入式软件营业收入基本维持前期水平。</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74" w:footer="983" w:top="1100" w:bottom="1180" w:left="1280" w:right="1220"/>
        </w:sectPr>
      </w:pPr>
    </w:p>
    <w:p>
      <w:pPr>
        <w:pStyle w:val="BodyText"/>
        <w:spacing w:line="240" w:lineRule="auto" w:before="26"/>
        <w:ind w:left="138" w:right="-20"/>
        <w:jc w:val="left"/>
      </w:pPr>
      <w:r>
        <w:rPr/>
        <w:t>（3）按地区分类情况</w:t>
      </w:r>
    </w:p>
    <w:p>
      <w:pPr>
        <w:spacing w:line="240" w:lineRule="auto" w:before="10"/>
        <w:rPr>
          <w:rFonts w:ascii="宋体" w:hAnsi="宋体" w:cs="宋体" w:eastAsia="宋体" w:hint="default"/>
          <w:sz w:val="25"/>
          <w:szCs w:val="25"/>
        </w:rPr>
      </w:pPr>
      <w:r>
        <w:rPr/>
        <w:br w:type="column"/>
      </w:r>
      <w:r>
        <w:rPr>
          <w:rFonts w:ascii="宋体"/>
          <w:sz w:val="25"/>
        </w:rPr>
      </w:r>
    </w:p>
    <w:p>
      <w:pPr>
        <w:spacing w:before="0"/>
        <w:ind w:left="138" w:right="0" w:firstLine="0"/>
        <w:jc w:val="left"/>
        <w:rPr>
          <w:rFonts w:ascii="宋体" w:hAnsi="宋体" w:cs="宋体" w:eastAsia="宋体" w:hint="default"/>
          <w:sz w:val="20"/>
          <w:szCs w:val="20"/>
        </w:rPr>
      </w:pPr>
      <w:r>
        <w:rPr/>
        <w:pict>
          <v:shape style="position:absolute;margin-left:446.399994pt;margin-top:14.569681pt;width:81.25pt;height:36pt;mso-position-horizontal-relative:page;mso-position-vertical-relative:paragraph;z-index:-554320" type="#_x0000_t202" filled="false" stroked="false">
            <v:textbox inset="0,0,0,0">
              <w:txbxContent>
                <w:p>
                  <w:pPr>
                    <w:spacing w:line="240" w:lineRule="auto" w:before="0"/>
                    <w:rPr>
                      <w:rFonts w:ascii="宋体" w:hAnsi="宋体" w:cs="宋体" w:eastAsia="宋体" w:hint="default"/>
                      <w:sz w:val="20"/>
                      <w:szCs w:val="20"/>
                    </w:rPr>
                  </w:pPr>
                </w:p>
                <w:p>
                  <w:pPr>
                    <w:spacing w:before="141"/>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rFonts w:ascii="宋体" w:hAnsi="宋体" w:cs="宋体" w:eastAsia="宋体" w:hint="default"/>
          <w:sz w:val="20"/>
          <w:szCs w:val="20"/>
        </w:rPr>
        <w:t>单位：万元</w:t>
      </w:r>
    </w:p>
    <w:p>
      <w:pPr>
        <w:spacing w:after="0"/>
        <w:jc w:val="left"/>
        <w:rPr>
          <w:rFonts w:ascii="宋体" w:hAnsi="宋体" w:cs="宋体" w:eastAsia="宋体" w:hint="default"/>
          <w:sz w:val="20"/>
          <w:szCs w:val="20"/>
        </w:rPr>
        <w:sectPr>
          <w:type w:val="continuous"/>
          <w:pgSz w:w="11900" w:h="16840"/>
          <w:pgMar w:top="1040" w:bottom="1180" w:left="1280" w:right="1220"/>
          <w:cols w:num="2" w:equalWidth="0">
            <w:col w:w="2419" w:space="5369"/>
            <w:col w:w="1612"/>
          </w:cols>
        </w:sectPr>
      </w:pPr>
    </w:p>
    <w:tbl>
      <w:tblPr>
        <w:tblW w:w="0" w:type="auto"/>
        <w:jc w:val="left"/>
        <w:tblInd w:w="133" w:type="dxa"/>
        <w:tblLayout w:type="fixed"/>
        <w:tblCellMar>
          <w:top w:w="0" w:type="dxa"/>
          <w:left w:w="0" w:type="dxa"/>
          <w:bottom w:w="0" w:type="dxa"/>
          <w:right w:w="0" w:type="dxa"/>
        </w:tblCellMar>
        <w:tblLook w:val="01E0"/>
      </w:tblPr>
      <w:tblGrid>
        <w:gridCol w:w="1231"/>
        <w:gridCol w:w="1320"/>
        <w:gridCol w:w="1214"/>
        <w:gridCol w:w="1106"/>
        <w:gridCol w:w="1507"/>
        <w:gridCol w:w="1265"/>
        <w:gridCol w:w="1498"/>
      </w:tblGrid>
      <w:tr>
        <w:trPr>
          <w:trHeight w:val="729" w:hRule="exact"/>
        </w:trPr>
        <w:tc>
          <w:tcPr>
            <w:tcW w:w="123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分地区</w:t>
            </w:r>
          </w:p>
        </w:tc>
        <w:tc>
          <w:tcPr>
            <w:tcW w:w="132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14"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0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4" w:lineRule="auto" w:before="42"/>
              <w:ind w:left="391" w:right="17" w:hanging="368"/>
              <w:jc w:val="left"/>
              <w:rPr>
                <w:rFonts w:ascii="宋体" w:hAnsi="宋体" w:cs="宋体" w:eastAsia="宋体" w:hint="default"/>
                <w:sz w:val="21"/>
                <w:szCs w:val="21"/>
              </w:rPr>
            </w:pPr>
            <w:r>
              <w:rPr>
                <w:rFonts w:ascii="宋体" w:hAnsi="宋体" w:cs="宋体" w:eastAsia="宋体" w:hint="default"/>
                <w:sz w:val="21"/>
                <w:szCs w:val="21"/>
              </w:rPr>
              <w:t>营业毛利率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p>
        </w:tc>
        <w:tc>
          <w:tcPr>
            <w:tcW w:w="150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4" w:lineRule="auto" w:before="42"/>
              <w:ind w:left="170" w:right="115" w:hanging="53"/>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年增减（%）</w:t>
            </w:r>
          </w:p>
        </w:tc>
        <w:tc>
          <w:tcPr>
            <w:tcW w:w="126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4" w:lineRule="auto" w:before="42"/>
              <w:ind w:left="21" w:right="101" w:firstLine="76"/>
              <w:jc w:val="left"/>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pacing w:val="-10"/>
                <w:sz w:val="21"/>
                <w:szCs w:val="21"/>
              </w:rPr>
              <w:t>上年增减（%</w:t>
            </w:r>
          </w:p>
        </w:tc>
        <w:tc>
          <w:tcPr>
            <w:tcW w:w="14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14" w:lineRule="auto" w:before="42"/>
              <w:ind w:left="60" w:right="58" w:firstLine="52"/>
              <w:jc w:val="left"/>
              <w:rPr>
                <w:rFonts w:ascii="宋体" w:hAnsi="宋体" w:cs="宋体" w:eastAsia="宋体" w:hint="default"/>
                <w:sz w:val="21"/>
                <w:szCs w:val="21"/>
              </w:rPr>
            </w:pPr>
            <w:r>
              <w:rPr>
                <w:rFonts w:ascii="宋体" w:hAnsi="宋体" w:cs="宋体" w:eastAsia="宋体" w:hint="default"/>
                <w:sz w:val="21"/>
                <w:szCs w:val="21"/>
              </w:rPr>
              <w:t>营业毛利率比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tc>
      </w:tr>
      <w:tr>
        <w:trPr>
          <w:trHeight w:val="37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日</w:t>
              <w:tab/>
              <w:t>本</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spacing w:val="-1"/>
                <w:sz w:val="21"/>
              </w:rPr>
              <w:t>22,903.59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pacing w:val="-1"/>
                <w:sz w:val="21"/>
              </w:rPr>
              <w:t>13,043.38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
              <w:jc w:val="right"/>
              <w:rPr>
                <w:rFonts w:ascii="宋体" w:hAnsi="宋体" w:cs="宋体" w:eastAsia="宋体" w:hint="default"/>
                <w:sz w:val="21"/>
                <w:szCs w:val="21"/>
              </w:rPr>
            </w:pPr>
            <w:r>
              <w:rPr>
                <w:rFonts w:ascii="宋体"/>
                <w:sz w:val="21"/>
              </w:rPr>
              <w:t>43.05%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宋体" w:hAnsi="宋体" w:cs="宋体" w:eastAsia="宋体" w:hint="default"/>
                <w:sz w:val="21"/>
                <w:szCs w:val="21"/>
              </w:rPr>
            </w:pPr>
            <w:r>
              <w:rPr>
                <w:rFonts w:ascii="宋体"/>
                <w:sz w:val="21"/>
              </w:rPr>
              <w:t>43.82%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宋体" w:hAnsi="宋体" w:cs="宋体" w:eastAsia="宋体" w:hint="default"/>
                <w:sz w:val="21"/>
                <w:szCs w:val="21"/>
              </w:rPr>
            </w:pPr>
            <w:r>
              <w:rPr>
                <w:rFonts w:ascii="宋体"/>
                <w:sz w:val="21"/>
              </w:rPr>
              <w:t>31.02%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59"/>
              <w:jc w:val="right"/>
              <w:rPr>
                <w:rFonts w:ascii="宋体" w:hAnsi="宋体" w:cs="宋体" w:eastAsia="宋体" w:hint="default"/>
                <w:sz w:val="21"/>
                <w:szCs w:val="21"/>
              </w:rPr>
            </w:pPr>
            <w:r>
              <w:rPr>
                <w:rFonts w:ascii="宋体"/>
                <w:sz w:val="21"/>
              </w:rPr>
              <w:t>5.57%</w:t>
            </w:r>
          </w:p>
        </w:tc>
      </w:tr>
      <w:tr>
        <w:trPr>
          <w:trHeight w:val="370"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中</w:t>
              <w:tab/>
              <w:t>国</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21"/>
                <w:szCs w:val="21"/>
              </w:rPr>
            </w:pPr>
            <w:r>
              <w:rPr>
                <w:rFonts w:ascii="宋体"/>
                <w:spacing w:val="-1"/>
                <w:sz w:val="21"/>
              </w:rPr>
              <w:t>5,272.77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21"/>
                <w:szCs w:val="21"/>
              </w:rPr>
            </w:pPr>
            <w:r>
              <w:rPr>
                <w:rFonts w:ascii="宋体"/>
                <w:spacing w:val="-1"/>
                <w:sz w:val="21"/>
              </w:rPr>
              <w:t>3,792.59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21"/>
                <w:szCs w:val="21"/>
              </w:rPr>
            </w:pPr>
            <w:r>
              <w:rPr>
                <w:rFonts w:ascii="宋体"/>
                <w:sz w:val="21"/>
              </w:rPr>
              <w:t>28.07%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21"/>
                <w:szCs w:val="21"/>
              </w:rPr>
            </w:pPr>
            <w:r>
              <w:rPr>
                <w:rFonts w:ascii="宋体"/>
                <w:sz w:val="21"/>
              </w:rPr>
              <w:t>74.79%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21"/>
                <w:szCs w:val="21"/>
              </w:rPr>
            </w:pPr>
            <w:r>
              <w:rPr>
                <w:rFonts w:ascii="宋体"/>
                <w:sz w:val="21"/>
              </w:rPr>
              <w:t>65.51%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9"/>
              <w:jc w:val="right"/>
              <w:rPr>
                <w:rFonts w:ascii="宋体" w:hAnsi="宋体" w:cs="宋体" w:eastAsia="宋体" w:hint="default"/>
                <w:sz w:val="21"/>
                <w:szCs w:val="21"/>
              </w:rPr>
            </w:pPr>
            <w:r>
              <w:rPr>
                <w:rFonts w:ascii="宋体"/>
                <w:sz w:val="21"/>
              </w:rPr>
              <w:t>5.91%</w:t>
            </w:r>
          </w:p>
        </w:tc>
      </w:tr>
      <w:tr>
        <w:trPr>
          <w:trHeight w:val="370"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美</w:t>
              <w:tab/>
              <w:t>国</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21"/>
                <w:szCs w:val="21"/>
              </w:rPr>
            </w:pPr>
            <w:r>
              <w:rPr>
                <w:rFonts w:ascii="宋体"/>
                <w:spacing w:val="-1"/>
                <w:sz w:val="21"/>
              </w:rPr>
              <w:t>1,210.31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21"/>
                <w:szCs w:val="21"/>
              </w:rPr>
            </w:pPr>
            <w:r>
              <w:rPr>
                <w:rFonts w:ascii="宋体"/>
                <w:sz w:val="21"/>
              </w:rPr>
              <w:t>728.42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21"/>
                <w:szCs w:val="21"/>
              </w:rPr>
            </w:pPr>
            <w:r>
              <w:rPr>
                <w:rFonts w:ascii="宋体"/>
                <w:sz w:val="21"/>
              </w:rPr>
              <w:t>39.82%</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21"/>
                <w:szCs w:val="21"/>
              </w:rPr>
            </w:pPr>
            <w:r>
              <w:rPr>
                <w:rFonts w:ascii="宋体"/>
                <w:spacing w:val="-1"/>
                <w:sz w:val="21"/>
              </w:rPr>
              <w:t>274.32%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21"/>
                <w:szCs w:val="21"/>
              </w:rPr>
            </w:pPr>
            <w:r>
              <w:rPr>
                <w:rFonts w:ascii="宋体"/>
                <w:spacing w:val="-1"/>
                <w:sz w:val="21"/>
              </w:rPr>
              <w:t>287.78%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59"/>
              <w:jc w:val="right"/>
              <w:rPr>
                <w:rFonts w:ascii="宋体" w:hAnsi="宋体" w:cs="宋体" w:eastAsia="宋体" w:hint="default"/>
                <w:sz w:val="21"/>
                <w:szCs w:val="21"/>
              </w:rPr>
            </w:pPr>
            <w:r>
              <w:rPr>
                <w:rFonts w:ascii="宋体"/>
                <w:sz w:val="21"/>
              </w:rPr>
              <w:t>-2.06%</w:t>
            </w:r>
          </w:p>
        </w:tc>
      </w:tr>
      <w:tr>
        <w:trPr>
          <w:trHeight w:val="370"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
              <w:jc w:val="right"/>
              <w:rPr>
                <w:rFonts w:ascii="宋体" w:hAnsi="宋体" w:cs="宋体" w:eastAsia="宋体" w:hint="default"/>
                <w:sz w:val="22"/>
                <w:szCs w:val="22"/>
              </w:rPr>
            </w:pPr>
            <w:r>
              <w:rPr>
                <w:rFonts w:ascii="宋体"/>
                <w:sz w:val="22"/>
              </w:rPr>
              <w:t>29,386.67</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z w:val="22"/>
              </w:rPr>
              <w:t>17,564.39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7"/>
              <w:jc w:val="right"/>
              <w:rPr>
                <w:rFonts w:ascii="宋体" w:hAnsi="宋体" w:cs="宋体" w:eastAsia="宋体" w:hint="default"/>
                <w:sz w:val="22"/>
                <w:szCs w:val="22"/>
              </w:rPr>
            </w:pPr>
            <w:r>
              <w:rPr>
                <w:rFonts w:ascii="宋体"/>
                <w:sz w:val="22"/>
              </w:rPr>
              <w:t>40.23%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z w:val="22"/>
              </w:rPr>
              <w:t>52.54%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宋体" w:hAnsi="宋体" w:cs="宋体" w:eastAsia="宋体" w:hint="default"/>
                <w:sz w:val="22"/>
                <w:szCs w:val="22"/>
              </w:rPr>
            </w:pPr>
            <w:r>
              <w:rPr>
                <w:rFonts w:ascii="宋体"/>
                <w:sz w:val="22"/>
              </w:rPr>
              <w:t>40.61%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9"/>
              <w:jc w:val="right"/>
              <w:rPr>
                <w:rFonts w:ascii="宋体" w:hAnsi="宋体" w:cs="宋体" w:eastAsia="宋体" w:hint="default"/>
                <w:sz w:val="22"/>
                <w:szCs w:val="22"/>
              </w:rPr>
            </w:pPr>
            <w:r>
              <w:rPr>
                <w:rFonts w:ascii="宋体"/>
                <w:sz w:val="22"/>
              </w:rPr>
              <w:t>5.07%</w:t>
            </w:r>
          </w:p>
        </w:tc>
      </w:tr>
    </w:tbl>
    <w:p>
      <w:pPr>
        <w:spacing w:after="0" w:line="240" w:lineRule="auto"/>
        <w:jc w:val="right"/>
        <w:rPr>
          <w:rFonts w:ascii="宋体" w:hAnsi="宋体" w:cs="宋体" w:eastAsia="宋体" w:hint="default"/>
          <w:sz w:val="22"/>
          <w:szCs w:val="22"/>
        </w:rPr>
        <w:sectPr>
          <w:type w:val="continuous"/>
          <w:pgSz w:w="11900" w:h="16840"/>
          <w:pgMar w:top="1040" w:bottom="1180" w:left="1280" w:right="1220"/>
        </w:sectPr>
      </w:pPr>
    </w:p>
    <w:p>
      <w:pPr>
        <w:spacing w:line="240" w:lineRule="auto" w:before="7"/>
        <w:rPr>
          <w:rFonts w:ascii="宋体" w:hAnsi="宋体" w:cs="宋体" w:eastAsia="宋体" w:hint="default"/>
          <w:sz w:val="25"/>
          <w:szCs w:val="25"/>
        </w:rPr>
      </w:pPr>
    </w:p>
    <w:p>
      <w:pPr>
        <w:pStyle w:val="BodyText"/>
        <w:spacing w:line="357" w:lineRule="auto" w:before="26"/>
        <w:ind w:left="590" w:right="427" w:hanging="372"/>
        <w:jc w:val="left"/>
      </w:pPr>
      <w:r>
        <w:rPr/>
        <w:t>4、订单的获取和执行情况 </w:t>
      </w:r>
      <w:r>
        <w:rPr>
          <w:spacing w:val="-1"/>
        </w:rPr>
        <w:t>因公司营销业绩良好，报告期内获取订单的金额与前年同期比增加了约50%，订单</w:t>
      </w:r>
    </w:p>
    <w:p>
      <w:pPr>
        <w:pStyle w:val="BodyText"/>
        <w:spacing w:line="357" w:lineRule="auto"/>
        <w:ind w:left="110" w:right="510"/>
        <w:jc w:val="left"/>
      </w:pPr>
      <w:r>
        <w:rPr/>
        <w:t>签署条件较上年未发生重大变化。订单均得到了良好的执行，应收账款风险得到有效 控制。</w:t>
      </w:r>
    </w:p>
    <w:p>
      <w:pPr>
        <w:pStyle w:val="BodyText"/>
        <w:spacing w:line="357" w:lineRule="auto"/>
        <w:ind w:left="218" w:right="507" w:firstLine="480"/>
        <w:jc w:val="left"/>
      </w:pPr>
      <w:r>
        <w:rPr>
          <w:spacing w:val="-3"/>
        </w:rPr>
        <w:t>公司各个年度均会不同程度地存在一定量需要跨年度执行的订单，主要原因在于</w:t>
      </w:r>
      <w:r>
        <w:rPr/>
        <w:t> 一些软件系统的开发期间跨年度。</w:t>
      </w:r>
    </w:p>
    <w:p>
      <w:pPr>
        <w:pStyle w:val="BodyText"/>
        <w:spacing w:line="357" w:lineRule="auto"/>
        <w:ind w:left="674" w:right="606" w:hanging="456"/>
        <w:jc w:val="left"/>
      </w:pPr>
      <w:r>
        <w:rPr/>
        <w:t>5、产品的销售和积压情况 公司产品销售情况良好，不存在积压情况。报告期末公司存货为</w:t>
      </w:r>
      <w:r>
        <w:rPr>
          <w:spacing w:val="-60"/>
        </w:rPr>
        <w:t> </w:t>
      </w:r>
      <w:r>
        <w:rPr/>
        <w:t>1,357,967.49</w:t>
      </w:r>
    </w:p>
    <w:p>
      <w:pPr>
        <w:pStyle w:val="BodyText"/>
        <w:spacing w:line="357" w:lineRule="auto"/>
        <w:ind w:left="218" w:right="4722"/>
        <w:jc w:val="left"/>
      </w:pPr>
      <w:r>
        <w:rPr/>
        <w:t>元，系华钟公司系统集成业务在产品库存。 6、主要产品及原材料价格变动情况</w:t>
      </w:r>
    </w:p>
    <w:p>
      <w:pPr>
        <w:pStyle w:val="BodyText"/>
        <w:spacing w:line="357" w:lineRule="auto"/>
        <w:ind w:left="218" w:right="427" w:firstLine="396"/>
        <w:jc w:val="left"/>
      </w:pPr>
      <w:r>
        <w:rPr>
          <w:spacing w:val="-1"/>
        </w:rPr>
        <w:t>公司主要产品为软件系统，报告期内价格稳定，未发生异常变动。公司主营业务</w:t>
      </w:r>
      <w:r>
        <w:rPr/>
        <w:t> 无主要原材料。</w:t>
      </w:r>
    </w:p>
    <w:p>
      <w:pPr>
        <w:pStyle w:val="BodyText"/>
        <w:spacing w:line="240" w:lineRule="auto"/>
        <w:ind w:left="218" w:right="427"/>
        <w:jc w:val="left"/>
      </w:pPr>
      <w:r>
        <w:rPr/>
        <w:t>7、主要产品的销售毛利率变动情况</w:t>
      </w:r>
    </w:p>
    <w:p>
      <w:pPr>
        <w:spacing w:line="240" w:lineRule="auto" w:before="11"/>
        <w:rPr>
          <w:rFonts w:ascii="宋体" w:hAnsi="宋体" w:cs="宋体" w:eastAsia="宋体" w:hint="default"/>
          <w:sz w:val="8"/>
          <w:szCs w:val="8"/>
        </w:rPr>
      </w:pPr>
    </w:p>
    <w:tbl>
      <w:tblPr>
        <w:tblW w:w="0" w:type="auto"/>
        <w:jc w:val="left"/>
        <w:tblInd w:w="280" w:type="dxa"/>
        <w:tblLayout w:type="fixed"/>
        <w:tblCellMar>
          <w:top w:w="0" w:type="dxa"/>
          <w:left w:w="0" w:type="dxa"/>
          <w:bottom w:w="0" w:type="dxa"/>
          <w:right w:w="0" w:type="dxa"/>
        </w:tblCellMar>
        <w:tblLook w:val="01E0"/>
      </w:tblPr>
      <w:tblGrid>
        <w:gridCol w:w="1356"/>
        <w:gridCol w:w="1548"/>
        <w:gridCol w:w="1238"/>
        <w:gridCol w:w="1274"/>
        <w:gridCol w:w="1987"/>
        <w:gridCol w:w="1692"/>
      </w:tblGrid>
      <w:tr>
        <w:trPr>
          <w:trHeight w:val="331" w:hRule="exact"/>
        </w:trPr>
        <w:tc>
          <w:tcPr>
            <w:tcW w:w="1356" w:type="dxa"/>
            <w:tcBorders>
              <w:top w:val="single" w:sz="8" w:space="0" w:color="000000"/>
              <w:left w:val="single" w:sz="8" w:space="0" w:color="000000"/>
              <w:bottom w:val="single" w:sz="8" w:space="0" w:color="000000"/>
              <w:right w:val="single" w:sz="8" w:space="0" w:color="000000"/>
            </w:tcBorders>
            <w:shd w:val="clear" w:color="auto" w:fill="DDDDDD"/>
          </w:tcPr>
          <w:p>
            <w:pPr/>
          </w:p>
        </w:tc>
        <w:tc>
          <w:tcPr>
            <w:tcW w:w="154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left="2" w:right="0"/>
              <w:jc w:val="center"/>
              <w:rPr>
                <w:rFonts w:ascii="宋体" w:hAnsi="宋体" w:cs="宋体" w:eastAsia="宋体" w:hint="default"/>
                <w:sz w:val="21"/>
                <w:szCs w:val="21"/>
              </w:rPr>
            </w:pPr>
            <w:r>
              <w:rPr>
                <w:rFonts w:ascii="宋体"/>
                <w:sz w:val="21"/>
              </w:rPr>
              <w:t>2010</w:t>
            </w:r>
          </w:p>
        </w:tc>
        <w:tc>
          <w:tcPr>
            <w:tcW w:w="123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sz w:val="21"/>
              </w:rPr>
              <w:t>2009</w:t>
            </w:r>
          </w:p>
        </w:tc>
        <w:tc>
          <w:tcPr>
            <w:tcW w:w="1274"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left="2" w:right="0"/>
              <w:jc w:val="center"/>
              <w:rPr>
                <w:rFonts w:ascii="宋体" w:hAnsi="宋体" w:cs="宋体" w:eastAsia="宋体" w:hint="default"/>
                <w:sz w:val="21"/>
                <w:szCs w:val="21"/>
              </w:rPr>
            </w:pPr>
            <w:r>
              <w:rPr>
                <w:rFonts w:ascii="宋体"/>
                <w:sz w:val="21"/>
              </w:rPr>
              <w:t>2008</w:t>
            </w:r>
          </w:p>
        </w:tc>
        <w:tc>
          <w:tcPr>
            <w:tcW w:w="1987"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right="4"/>
              <w:jc w:val="center"/>
              <w:rPr>
                <w:rFonts w:ascii="宋体" w:hAnsi="宋体" w:cs="宋体" w:eastAsia="宋体" w:hint="default"/>
                <w:sz w:val="21"/>
                <w:szCs w:val="21"/>
              </w:rPr>
            </w:pPr>
            <w:r>
              <w:rPr>
                <w:rFonts w:ascii="宋体" w:hAnsi="宋体" w:cs="宋体" w:eastAsia="宋体" w:hint="default"/>
                <w:sz w:val="21"/>
                <w:szCs w:val="21"/>
              </w:rPr>
              <w:t>比上年增减幅度</w:t>
            </w:r>
          </w:p>
        </w:tc>
        <w:tc>
          <w:tcPr>
            <w:tcW w:w="169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与同行业相比</w:t>
            </w:r>
          </w:p>
        </w:tc>
      </w:tr>
      <w:tr>
        <w:trPr>
          <w:trHeight w:val="509" w:hRule="exact"/>
        </w:trPr>
        <w:tc>
          <w:tcPr>
            <w:tcW w:w="135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40.23%</w:t>
            </w:r>
          </w:p>
        </w:tc>
        <w:tc>
          <w:tcPr>
            <w:tcW w:w="1238"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35.21%</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40.77%</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增加5.01个百分点</w:t>
            </w:r>
          </w:p>
        </w:tc>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无重大差异</w:t>
            </w:r>
          </w:p>
        </w:tc>
      </w:tr>
    </w:tbl>
    <w:p>
      <w:pPr>
        <w:pStyle w:val="BodyText"/>
        <w:spacing w:line="357" w:lineRule="auto" w:before="39"/>
        <w:ind w:left="218" w:right="496" w:firstLine="420"/>
        <w:jc w:val="left"/>
      </w:pPr>
      <w:r>
        <w:rPr/>
        <w:t>报告期内销售毛利率同期比增加了 5.01</w:t>
      </w:r>
      <w:r>
        <w:rPr>
          <w:spacing w:val="-34"/>
        </w:rPr>
        <w:t> </w:t>
      </w:r>
      <w:r>
        <w:rPr/>
        <w:t>个百分点，主要因为全年开工率上升及</w:t>
      </w:r>
      <w:r>
        <w:rPr/>
        <w:t> 日元对人民币汇率走高所致。</w:t>
      </w:r>
    </w:p>
    <w:p>
      <w:pPr>
        <w:pStyle w:val="BodyText"/>
        <w:spacing w:line="357" w:lineRule="auto"/>
        <w:ind w:left="700" w:right="2320" w:hanging="483"/>
        <w:jc w:val="left"/>
      </w:pPr>
      <w:r>
        <w:rPr/>
        <w:t>8、公司主要供应商及客户情况 公司主营业务为软件外包服务，无主要原材料和设备供应商。</w:t>
      </w:r>
    </w:p>
    <w:p>
      <w:pPr>
        <w:spacing w:line="240" w:lineRule="auto" w:before="12"/>
        <w:rPr>
          <w:rFonts w:ascii="宋体" w:hAnsi="宋体" w:cs="宋体" w:eastAsia="宋体" w:hint="default"/>
          <w:sz w:val="27"/>
          <w:szCs w:val="27"/>
        </w:rPr>
      </w:pPr>
    </w:p>
    <w:p>
      <w:pPr>
        <w:pStyle w:val="BodyText"/>
        <w:spacing w:line="240" w:lineRule="auto" w:before="0"/>
        <w:ind w:left="700" w:right="427"/>
        <w:jc w:val="left"/>
      </w:pPr>
      <w:r>
        <w:rPr/>
        <w:t>公司近三年对前</w:t>
      </w:r>
      <w:r>
        <w:rPr>
          <w:spacing w:val="-60"/>
        </w:rPr>
        <w:t> </w:t>
      </w:r>
      <w:r>
        <w:rPr/>
        <w:t>5</w:t>
      </w:r>
      <w:r>
        <w:rPr>
          <w:spacing w:val="-60"/>
        </w:rPr>
        <w:t> </w:t>
      </w:r>
      <w:r>
        <w:rPr/>
        <w:t>名客户销售情况如下：</w:t>
      </w:r>
    </w:p>
    <w:p>
      <w:pPr>
        <w:spacing w:line="240" w:lineRule="auto" w:before="12"/>
        <w:rPr>
          <w:rFonts w:ascii="宋体" w:hAnsi="宋体" w:cs="宋体" w:eastAsia="宋体" w:hint="default"/>
          <w:sz w:val="2"/>
          <w:szCs w:val="2"/>
        </w:rPr>
      </w:pPr>
    </w:p>
    <w:tbl>
      <w:tblPr>
        <w:tblW w:w="0" w:type="auto"/>
        <w:jc w:val="left"/>
        <w:tblInd w:w="280" w:type="dxa"/>
        <w:tblLayout w:type="fixed"/>
        <w:tblCellMar>
          <w:top w:w="0" w:type="dxa"/>
          <w:left w:w="0" w:type="dxa"/>
          <w:bottom w:w="0" w:type="dxa"/>
          <w:right w:w="0" w:type="dxa"/>
        </w:tblCellMar>
        <w:tblLook w:val="01E0"/>
      </w:tblPr>
      <w:tblGrid>
        <w:gridCol w:w="1301"/>
        <w:gridCol w:w="2016"/>
        <w:gridCol w:w="1526"/>
        <w:gridCol w:w="1860"/>
        <w:gridCol w:w="1987"/>
      </w:tblGrid>
      <w:tr>
        <w:trPr>
          <w:trHeight w:val="643" w:hRule="exact"/>
        </w:trPr>
        <w:tc>
          <w:tcPr>
            <w:tcW w:w="130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年度</w:t>
            </w:r>
          </w:p>
        </w:tc>
        <w:tc>
          <w:tcPr>
            <w:tcW w:w="201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right="112"/>
              <w:jc w:val="right"/>
              <w:rPr>
                <w:rFonts w:ascii="宋体" w:hAnsi="宋体" w:cs="宋体" w:eastAsia="宋体" w:hint="default"/>
                <w:sz w:val="21"/>
                <w:szCs w:val="21"/>
              </w:rPr>
            </w:pPr>
            <w:r>
              <w:rPr>
                <w:rFonts w:ascii="宋体" w:hAnsi="宋体" w:cs="宋体" w:eastAsia="宋体" w:hint="default"/>
                <w:spacing w:val="-1"/>
                <w:sz w:val="21"/>
                <w:szCs w:val="21"/>
              </w:rPr>
              <w:t>前5名客户销售金额</w:t>
            </w:r>
          </w:p>
        </w:tc>
        <w:tc>
          <w:tcPr>
            <w:tcW w:w="152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73" w:lineRule="auto"/>
              <w:ind w:left="95" w:right="96"/>
              <w:jc w:val="left"/>
              <w:rPr>
                <w:rFonts w:ascii="宋体" w:hAnsi="宋体" w:cs="宋体" w:eastAsia="宋体" w:hint="default"/>
                <w:sz w:val="21"/>
                <w:szCs w:val="21"/>
              </w:rPr>
            </w:pPr>
            <w:r>
              <w:rPr>
                <w:rFonts w:ascii="宋体" w:hAnsi="宋体" w:cs="宋体" w:eastAsia="宋体" w:hint="default"/>
                <w:spacing w:val="6"/>
                <w:sz w:val="21"/>
                <w:szCs w:val="21"/>
              </w:rPr>
              <w:t>占年度销售总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金额的比例</w:t>
            </w:r>
          </w:p>
        </w:tc>
        <w:tc>
          <w:tcPr>
            <w:tcW w:w="186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2" w:lineRule="exact"/>
              <w:ind w:left="96" w:right="0"/>
              <w:jc w:val="left"/>
              <w:rPr>
                <w:rFonts w:ascii="宋体" w:hAnsi="宋体" w:cs="宋体" w:eastAsia="宋体" w:hint="default"/>
                <w:sz w:val="21"/>
                <w:szCs w:val="21"/>
              </w:rPr>
            </w:pPr>
            <w:r>
              <w:rPr>
                <w:rFonts w:ascii="宋体" w:hAnsi="宋体" w:cs="宋体" w:eastAsia="宋体" w:hint="default"/>
                <w:sz w:val="21"/>
                <w:szCs w:val="21"/>
              </w:rPr>
              <w:t>应收账款的余额</w:t>
            </w:r>
          </w:p>
        </w:tc>
        <w:tc>
          <w:tcPr>
            <w:tcW w:w="1987"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73" w:lineRule="auto"/>
              <w:ind w:left="98" w:right="94"/>
              <w:jc w:val="left"/>
              <w:rPr>
                <w:rFonts w:ascii="宋体" w:hAnsi="宋体" w:cs="宋体" w:eastAsia="宋体" w:hint="default"/>
                <w:sz w:val="21"/>
                <w:szCs w:val="21"/>
              </w:rPr>
            </w:pPr>
            <w:r>
              <w:rPr>
                <w:rFonts w:ascii="宋体" w:hAnsi="宋体" w:cs="宋体" w:eastAsia="宋体" w:hint="default"/>
                <w:spacing w:val="9"/>
                <w:sz w:val="21"/>
                <w:szCs w:val="21"/>
              </w:rPr>
              <w:t>占公司应收账款总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余额的比例</w:t>
            </w:r>
          </w:p>
        </w:tc>
      </w:tr>
      <w:tr>
        <w:trPr>
          <w:trHeight w:val="334" w:hRule="exact"/>
        </w:trPr>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2010年</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2"/>
                <w:szCs w:val="22"/>
              </w:rPr>
            </w:pPr>
            <w:r>
              <w:rPr>
                <w:rFonts w:ascii="宋体" w:hAnsi="宋体" w:cs="宋体" w:eastAsia="宋体" w:hint="default"/>
                <w:spacing w:val="-1"/>
                <w:sz w:val="22"/>
                <w:szCs w:val="22"/>
              </w:rPr>
              <w:t>18,229万元</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2"/>
                <w:szCs w:val="22"/>
              </w:rPr>
            </w:pPr>
            <w:r>
              <w:rPr>
                <w:rFonts w:ascii="宋体" w:hAnsi="宋体" w:cs="宋体" w:eastAsia="宋体" w:hint="default"/>
                <w:sz w:val="22"/>
                <w:szCs w:val="22"/>
              </w:rPr>
              <w:t>62％</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2"/>
                <w:szCs w:val="22"/>
              </w:rPr>
            </w:pPr>
            <w:r>
              <w:rPr>
                <w:rFonts w:ascii="宋体"/>
                <w:spacing w:val="-1"/>
                <w:sz w:val="22"/>
              </w:rPr>
              <w:t>21,431,462.92</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6"/>
              <w:jc w:val="right"/>
              <w:rPr>
                <w:rFonts w:ascii="宋体" w:hAnsi="宋体" w:cs="宋体" w:eastAsia="宋体" w:hint="default"/>
                <w:sz w:val="22"/>
                <w:szCs w:val="22"/>
              </w:rPr>
            </w:pPr>
            <w:r>
              <w:rPr>
                <w:rFonts w:ascii="宋体"/>
                <w:sz w:val="22"/>
              </w:rPr>
              <w:t>84%</w:t>
            </w:r>
          </w:p>
        </w:tc>
      </w:tr>
      <w:tr>
        <w:trPr>
          <w:trHeight w:val="331" w:hRule="exact"/>
        </w:trPr>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2009年</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hAnsi="宋体" w:cs="宋体" w:eastAsia="宋体" w:hint="default"/>
                <w:spacing w:val="-1"/>
                <w:sz w:val="22"/>
                <w:szCs w:val="22"/>
              </w:rPr>
              <w:t>11,168万元</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hAnsi="宋体" w:cs="宋体" w:eastAsia="宋体" w:hint="default"/>
                <w:sz w:val="22"/>
                <w:szCs w:val="22"/>
              </w:rPr>
              <w:t>58％</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5,585,620.93</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36%</w:t>
            </w:r>
          </w:p>
        </w:tc>
      </w:tr>
      <w:tr>
        <w:trPr>
          <w:trHeight w:val="334" w:hRule="exact"/>
        </w:trPr>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2008年</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hAnsi="宋体" w:cs="宋体" w:eastAsia="宋体" w:hint="default"/>
                <w:spacing w:val="-1"/>
                <w:sz w:val="22"/>
                <w:szCs w:val="22"/>
              </w:rPr>
              <w:t>11,802万元</w:t>
            </w:r>
          </w:p>
        </w:tc>
        <w:tc>
          <w:tcPr>
            <w:tcW w:w="152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hAnsi="宋体" w:cs="宋体" w:eastAsia="宋体" w:hint="default"/>
                <w:sz w:val="22"/>
                <w:szCs w:val="22"/>
              </w:rPr>
              <w:t>67％</w:t>
            </w:r>
          </w:p>
        </w:tc>
        <w:tc>
          <w:tcPr>
            <w:tcW w:w="186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9"/>
              <w:jc w:val="right"/>
              <w:rPr>
                <w:rFonts w:ascii="宋体" w:hAnsi="宋体" w:cs="宋体" w:eastAsia="宋体" w:hint="default"/>
                <w:sz w:val="22"/>
                <w:szCs w:val="22"/>
              </w:rPr>
            </w:pPr>
            <w:r>
              <w:rPr>
                <w:rFonts w:ascii="宋体"/>
                <w:spacing w:val="-1"/>
                <w:sz w:val="22"/>
              </w:rPr>
              <w:t>5,684,292.21</w:t>
            </w:r>
          </w:p>
        </w:tc>
        <w:tc>
          <w:tcPr>
            <w:tcW w:w="198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61%</w:t>
            </w:r>
          </w:p>
        </w:tc>
      </w:tr>
    </w:tbl>
    <w:p>
      <w:pPr>
        <w:pStyle w:val="BodyText"/>
        <w:spacing w:line="357" w:lineRule="auto" w:before="39"/>
        <w:ind w:left="218" w:right="377" w:firstLine="482"/>
        <w:jc w:val="left"/>
      </w:pPr>
      <w:r>
        <w:rPr/>
        <w:t>公司</w:t>
      </w:r>
      <w:r>
        <w:rPr>
          <w:spacing w:val="-59"/>
        </w:rPr>
        <w:t> </w:t>
      </w:r>
      <w:r>
        <w:rPr/>
        <w:t>2010</w:t>
      </w:r>
      <w:r>
        <w:rPr>
          <w:spacing w:val="-59"/>
        </w:rPr>
        <w:t> </w:t>
      </w:r>
      <w:r>
        <w:rPr/>
        <w:t>年对前</w:t>
      </w:r>
      <w:r>
        <w:rPr>
          <w:spacing w:val="-59"/>
        </w:rPr>
        <w:t> </w:t>
      </w:r>
      <w:r>
        <w:rPr/>
        <w:t>5</w:t>
      </w:r>
      <w:r>
        <w:rPr>
          <w:spacing w:val="-59"/>
        </w:rPr>
        <w:t> </w:t>
      </w:r>
      <w:r>
        <w:rPr/>
        <w:t>名客户的销售总额为</w:t>
      </w:r>
      <w:r>
        <w:rPr>
          <w:spacing w:val="-59"/>
        </w:rPr>
        <w:t> </w:t>
      </w:r>
      <w:r>
        <w:rPr/>
        <w:t>18,229</w:t>
      </w:r>
      <w:r>
        <w:rPr>
          <w:spacing w:val="-59"/>
        </w:rPr>
        <w:t> </w:t>
      </w:r>
      <w:r>
        <w:rPr>
          <w:spacing w:val="-4"/>
        </w:rPr>
        <w:t>万元，占公司营业收入的</w:t>
      </w:r>
      <w:r>
        <w:rPr>
          <w:spacing w:val="-59"/>
        </w:rPr>
        <w:t> </w:t>
      </w:r>
      <w:r>
        <w:rPr/>
        <w:t>62％；</w:t>
      </w:r>
      <w:r>
        <w:rPr/>
        <w:t> 截止报告期末，对前</w:t>
      </w:r>
      <w:r>
        <w:rPr>
          <w:spacing w:val="-67"/>
        </w:rPr>
        <w:t> </w:t>
      </w:r>
      <w:r>
        <w:rPr/>
        <w:t>5</w:t>
      </w:r>
      <w:r>
        <w:rPr>
          <w:spacing w:val="-67"/>
        </w:rPr>
        <w:t> </w:t>
      </w:r>
      <w:r>
        <w:rPr/>
        <w:t>名客户的应收账款余额为</w:t>
      </w:r>
      <w:r>
        <w:rPr>
          <w:spacing w:val="-67"/>
        </w:rPr>
        <w:t> </w:t>
      </w:r>
      <w:r>
        <w:rPr/>
        <w:t>21,431,462.92，占公司应收账款余</w:t>
      </w:r>
      <w:r>
        <w:rPr/>
        <w:t> 额的</w:t>
      </w:r>
      <w:r>
        <w:rPr>
          <w:spacing w:val="-60"/>
        </w:rPr>
        <w:t> </w:t>
      </w:r>
      <w:r>
        <w:rPr/>
        <w:t>84%。</w:t>
      </w:r>
    </w:p>
    <w:p>
      <w:pPr>
        <w:pStyle w:val="BodyText"/>
        <w:spacing w:line="357" w:lineRule="auto"/>
        <w:ind w:left="700" w:right="505"/>
        <w:jc w:val="left"/>
      </w:pPr>
      <w:r>
        <w:rPr/>
        <w:t>公司未对单一客户销售比例超过</w:t>
      </w:r>
      <w:r>
        <w:rPr>
          <w:spacing w:val="-60"/>
        </w:rPr>
        <w:t> </w:t>
      </w:r>
      <w:r>
        <w:rPr/>
        <w:t>30%，不存在过度依赖单一客户的风险。</w:t>
      </w:r>
      <w:r>
        <w:rPr/>
        <w:t> </w:t>
      </w:r>
      <w:r>
        <w:rPr>
          <w:spacing w:val="-3"/>
        </w:rPr>
        <w:t>公司与前五名客户不存在关联关系。公司董事、监事、高级管理人员、核心技术</w:t>
      </w:r>
    </w:p>
    <w:p>
      <w:pPr>
        <w:pStyle w:val="BodyText"/>
        <w:spacing w:line="240" w:lineRule="auto"/>
        <w:ind w:left="218" w:right="427"/>
        <w:jc w:val="left"/>
      </w:pPr>
      <w:r>
        <w:rPr/>
        <w:t>人员、持股</w:t>
      </w:r>
      <w:r>
        <w:rPr>
          <w:spacing w:val="-60"/>
        </w:rPr>
        <w:t> </w:t>
      </w:r>
      <w:r>
        <w:rPr/>
        <w:t>5%以上股东、实际控制人在主要客户中不直接或间接拥有权益。</w:t>
      </w:r>
    </w:p>
    <w:p>
      <w:pPr>
        <w:spacing w:after="0" w:line="240" w:lineRule="auto"/>
        <w:jc w:val="left"/>
        <w:sectPr>
          <w:pgSz w:w="11900" w:h="16840"/>
          <w:pgMar w:header="874" w:footer="983" w:top="1100" w:bottom="1180" w:left="1200" w:right="1180"/>
        </w:sectPr>
      </w:pPr>
    </w:p>
    <w:p>
      <w:pPr>
        <w:spacing w:line="240" w:lineRule="auto" w:before="7"/>
        <w:rPr>
          <w:rFonts w:ascii="宋体" w:hAnsi="宋体" w:cs="宋体" w:eastAsia="宋体" w:hint="default"/>
          <w:sz w:val="19"/>
          <w:szCs w:val="19"/>
        </w:rPr>
      </w:pPr>
    </w:p>
    <w:p>
      <w:pPr>
        <w:pStyle w:val="BodyText"/>
        <w:spacing w:line="240" w:lineRule="auto" w:before="26"/>
        <w:ind w:left="138" w:right="742"/>
        <w:jc w:val="left"/>
      </w:pPr>
      <w:r>
        <w:rPr/>
        <w:t>9、非经常性损益</w:t>
      </w:r>
    </w:p>
    <w:p>
      <w:pPr>
        <w:spacing w:line="240" w:lineRule="auto" w:before="12"/>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5201"/>
        <w:gridCol w:w="2218"/>
        <w:gridCol w:w="1512"/>
      </w:tblGrid>
      <w:tr>
        <w:trPr>
          <w:trHeight w:val="321" w:hRule="exact"/>
        </w:trPr>
        <w:tc>
          <w:tcPr>
            <w:tcW w:w="52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2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9" w:right="0"/>
              <w:jc w:val="center"/>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-47,352.73</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2"/>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计入当期损益的政府补助，但与公司正常经营业务密切</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相关，符合国家政策规定、按照一定标准定额或定量持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续享受的政府补助除外</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9,386,179.00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-225,871.85</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-331,980.13</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-996,242.37</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7,784,731.92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22"/>
          <w:szCs w:val="22"/>
        </w:rPr>
      </w:pPr>
    </w:p>
    <w:p>
      <w:pPr>
        <w:pStyle w:val="BodyText"/>
        <w:spacing w:line="276" w:lineRule="auto" w:before="26"/>
        <w:ind w:left="138" w:right="742"/>
        <w:jc w:val="left"/>
      </w:pPr>
      <w:r>
        <w:rPr/>
        <w:t>本年度计入当期损益的政府补助达到净利润绝对值10％以上，其近三年变化情况如 下：</w:t>
      </w:r>
    </w:p>
    <w:p>
      <w:pPr>
        <w:spacing w:line="222" w:lineRule="exact" w:before="0"/>
        <w:ind w:left="0" w:right="613"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0" w:right="116" w:firstLine="0"/>
        <w:jc w:val="right"/>
        <w:rPr>
          <w:rFonts w:ascii="宋体" w:hAnsi="宋体" w:cs="宋体" w:eastAsia="宋体" w:hint="default"/>
          <w:sz w:val="22"/>
          <w:szCs w:val="22"/>
        </w:rPr>
      </w:pPr>
      <w:r>
        <w:rPr/>
        <w:pict>
          <v:shape style="position:absolute;margin-left:70.680pt;margin-top:-100.542336pt;width:462pt;height:166.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3"/>
                    <w:gridCol w:w="1709"/>
                    <w:gridCol w:w="1454"/>
                    <w:gridCol w:w="1567"/>
                    <w:gridCol w:w="3053"/>
                  </w:tblGrid>
                  <w:tr>
                    <w:trPr>
                      <w:trHeight w:val="321" w:hRule="exact"/>
                    </w:trPr>
                    <w:tc>
                      <w:tcPr>
                        <w:tcW w:w="14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489"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4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362"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156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left="422"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305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说明</w:t>
                        </w:r>
                      </w:p>
                    </w:tc>
                  </w:tr>
                  <w:tr>
                    <w:trPr>
                      <w:trHeight w:val="948"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0"/>
                          <w:jc w:val="left"/>
                          <w:rPr>
                            <w:rFonts w:ascii="宋体" w:hAnsi="宋体" w:cs="宋体" w:eastAsia="宋体" w:hint="default"/>
                            <w:sz w:val="22"/>
                            <w:szCs w:val="22"/>
                          </w:rPr>
                        </w:pPr>
                        <w:r>
                          <w:rPr>
                            <w:rFonts w:ascii="宋体" w:hAnsi="宋体" w:cs="宋体" w:eastAsia="宋体" w:hint="default"/>
                            <w:sz w:val="22"/>
                            <w:szCs w:val="22"/>
                          </w:rPr>
                          <w:t>财政贴息</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3"/>
                          <w:jc w:val="right"/>
                          <w:rPr>
                            <w:rFonts w:ascii="宋体" w:hAnsi="宋体" w:cs="宋体" w:eastAsia="宋体" w:hint="default"/>
                            <w:sz w:val="22"/>
                            <w:szCs w:val="22"/>
                          </w:rPr>
                        </w:pPr>
                        <w:r>
                          <w:rPr>
                            <w:rFonts w:ascii="宋体"/>
                            <w:spacing w:val="-1"/>
                            <w:sz w:val="22"/>
                          </w:rPr>
                          <w:t>1,641,700.00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2"/>
                          <w:jc w:val="right"/>
                          <w:rPr>
                            <w:rFonts w:ascii="宋体" w:hAnsi="宋体" w:cs="宋体" w:eastAsia="宋体" w:hint="default"/>
                            <w:sz w:val="22"/>
                            <w:szCs w:val="22"/>
                          </w:rPr>
                        </w:pPr>
                        <w:r>
                          <w:rPr>
                            <w:rFonts w:ascii="宋体"/>
                            <w:spacing w:val="-1"/>
                            <w:sz w:val="22"/>
                          </w:rPr>
                          <w:t>759,400.00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pacing w:val="-1"/>
                            <w:sz w:val="22"/>
                          </w:rPr>
                          <w:t>930,600.00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2"/>
                            <w:szCs w:val="22"/>
                          </w:rPr>
                        </w:pPr>
                        <w:r>
                          <w:rPr>
                            <w:rFonts w:ascii="宋体" w:hAnsi="宋体" w:cs="宋体" w:eastAsia="宋体" w:hint="default"/>
                            <w:spacing w:val="10"/>
                            <w:sz w:val="22"/>
                            <w:szCs w:val="22"/>
                          </w:rPr>
                          <w:t>系徐汇区财政部门拨付的财政</w:t>
                        </w:r>
                      </w:p>
                      <w:p>
                        <w:pPr>
                          <w:pStyle w:val="TableParagraph"/>
                          <w:spacing w:line="259" w:lineRule="auto" w:before="24"/>
                          <w:ind w:left="23" w:right="4"/>
                          <w:jc w:val="left"/>
                          <w:rPr>
                            <w:rFonts w:ascii="宋体" w:hAnsi="宋体" w:cs="宋体" w:eastAsia="宋体" w:hint="default"/>
                            <w:sz w:val="22"/>
                            <w:szCs w:val="22"/>
                          </w:rPr>
                        </w:pPr>
                        <w:r>
                          <w:rPr>
                            <w:rFonts w:ascii="宋体" w:hAnsi="宋体" w:cs="宋体" w:eastAsia="宋体" w:hint="default"/>
                            <w:spacing w:val="-6"/>
                            <w:sz w:val="22"/>
                            <w:szCs w:val="22"/>
                          </w:rPr>
                          <w:t>贴息、产业扶持等资金；财政部</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年度技术出口贴息</w:t>
                        </w:r>
                      </w:p>
                    </w:tc>
                  </w:tr>
                  <w:tr>
                    <w:trPr>
                      <w:trHeight w:val="75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政府奖励</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spacing w:val="-1"/>
                            <w:sz w:val="22"/>
                          </w:rPr>
                          <w:t>4,709,579.00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spacing w:val="-1"/>
                            <w:sz w:val="22"/>
                          </w:rPr>
                          <w:t>2,510,000.00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1,705,000.00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pacing w:val="-7"/>
                            <w:sz w:val="22"/>
                            <w:szCs w:val="22"/>
                          </w:rPr>
                          <w:t>著名商标企业奖励、徐汇区科技</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小巨人工程奖励等</w:t>
                        </w:r>
                      </w:p>
                    </w:tc>
                  </w:tr>
                  <w:tr>
                    <w:trPr>
                      <w:trHeight w:val="94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1" w:right="0"/>
                          <w:jc w:val="left"/>
                          <w:rPr>
                            <w:rFonts w:ascii="宋体" w:hAnsi="宋体" w:cs="宋体" w:eastAsia="宋体" w:hint="default"/>
                            <w:sz w:val="22"/>
                            <w:szCs w:val="22"/>
                          </w:rPr>
                        </w:pPr>
                        <w:r>
                          <w:rPr>
                            <w:rFonts w:ascii="宋体" w:hAnsi="宋体" w:cs="宋体" w:eastAsia="宋体" w:hint="default"/>
                            <w:sz w:val="22"/>
                            <w:szCs w:val="22"/>
                          </w:rPr>
                          <w:t>补贴收入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3"/>
                          <w:jc w:val="right"/>
                          <w:rPr>
                            <w:rFonts w:ascii="宋体" w:hAnsi="宋体" w:cs="宋体" w:eastAsia="宋体" w:hint="default"/>
                            <w:sz w:val="22"/>
                            <w:szCs w:val="22"/>
                          </w:rPr>
                        </w:pPr>
                        <w:r>
                          <w:rPr>
                            <w:rFonts w:ascii="宋体"/>
                            <w:spacing w:val="-1"/>
                            <w:sz w:val="22"/>
                          </w:rPr>
                          <w:t>3,034,900.00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2"/>
                            <w:szCs w:val="22"/>
                          </w:rPr>
                        </w:pPr>
                        <w:r>
                          <w:rPr>
                            <w:rFonts w:ascii="宋体"/>
                            <w:spacing w:val="-1"/>
                            <w:sz w:val="22"/>
                          </w:rPr>
                          <w:t>3,581,020.20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pacing w:val="-1"/>
                            <w:sz w:val="22"/>
                          </w:rPr>
                          <w:t>3,107,700.00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服务外包贸易发展及人才资金</w:t>
                        </w:r>
                      </w:p>
                      <w:p>
                        <w:pPr>
                          <w:pStyle w:val="TableParagraph"/>
                          <w:spacing w:line="259" w:lineRule="auto" w:before="24"/>
                          <w:ind w:left="23" w:right="19"/>
                          <w:jc w:val="left"/>
                          <w:rPr>
                            <w:rFonts w:ascii="宋体" w:hAnsi="宋体" w:cs="宋体" w:eastAsia="宋体" w:hint="default"/>
                            <w:sz w:val="22"/>
                            <w:szCs w:val="22"/>
                          </w:rPr>
                        </w:pPr>
                        <w:r>
                          <w:rPr>
                            <w:rFonts w:ascii="宋体" w:hAnsi="宋体" w:cs="宋体" w:eastAsia="宋体" w:hint="default"/>
                            <w:spacing w:val="8"/>
                            <w:sz w:val="22"/>
                            <w:szCs w:val="22"/>
                          </w:rPr>
                          <w:t>科技发展自主创新项目补助资</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金、服务外包补贴等</w:t>
                        </w:r>
                      </w:p>
                    </w:tc>
                  </w:tr>
                  <w:tr>
                    <w:trPr>
                      <w:trHeight w:val="358"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3"/>
                          <w:jc w:val="right"/>
                          <w:rPr>
                            <w:rFonts w:ascii="宋体" w:hAnsi="宋体" w:cs="宋体" w:eastAsia="宋体" w:hint="default"/>
                            <w:sz w:val="22"/>
                            <w:szCs w:val="22"/>
                          </w:rPr>
                        </w:pPr>
                        <w:r>
                          <w:rPr>
                            <w:rFonts w:ascii="宋体"/>
                            <w:spacing w:val="-1"/>
                            <w:sz w:val="22"/>
                          </w:rPr>
                          <w:t>9,386,179.00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pacing w:val="-1"/>
                            <w:sz w:val="21"/>
                          </w:rPr>
                          <w:t>6,850,420.20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8"/>
                          <w:jc w:val="right"/>
                          <w:rPr>
                            <w:rFonts w:ascii="宋体" w:hAnsi="宋体" w:cs="宋体" w:eastAsia="宋体" w:hint="default"/>
                            <w:sz w:val="22"/>
                            <w:szCs w:val="22"/>
                          </w:rPr>
                        </w:pPr>
                        <w:r>
                          <w:rPr>
                            <w:rFonts w:ascii="宋体"/>
                            <w:spacing w:val="-1"/>
                            <w:sz w:val="22"/>
                          </w:rPr>
                          <w:t>5,743,300.00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22"/>
                          <w:jc w:val="right"/>
                          <w:rPr>
                            <w:rFonts w:ascii="宋体" w:hAnsi="宋体" w:cs="宋体" w:eastAsia="宋体" w:hint="default"/>
                            <w:sz w:val="22"/>
                            <w:szCs w:val="22"/>
                          </w:rPr>
                        </w:pPr>
                        <w:r>
                          <w:rPr>
                            <w:rFonts w:ascii="宋体"/>
                            <w:w w:val="100"/>
                            <w:sz w:val="22"/>
                          </w:rPr>
                          <w:t>-</w:t>
                        </w:r>
                      </w:p>
                    </w:tc>
                  </w:tr>
                </w:tbl>
                <w:p>
                  <w:pPr/>
                </w:p>
              </w:txbxContent>
            </v:textbox>
            <w10:wrap type="none"/>
          </v:shape>
        </w:pict>
      </w:r>
      <w:r>
        <w:rPr>
          <w:rFonts w:ascii="宋体" w:hAnsi="宋体" w:cs="宋体" w:eastAsia="宋体" w:hint="default"/>
          <w:w w:val="100"/>
          <w:sz w:val="22"/>
          <w:szCs w:val="22"/>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26"/>
        <w:ind w:left="138" w:right="742"/>
        <w:jc w:val="left"/>
      </w:pPr>
      <w:r>
        <w:rPr/>
        <w:t>10、薪酬分析</w:t>
      </w:r>
    </w:p>
    <w:p>
      <w:pPr>
        <w:pStyle w:val="BodyText"/>
        <w:spacing w:line="240" w:lineRule="auto" w:before="154"/>
        <w:ind w:left="738" w:right="742"/>
        <w:jc w:val="left"/>
      </w:pPr>
      <w:r>
        <w:rPr/>
        <w:t>报告期内，公司董事、监事和高级管理人员的薪酬情况如下：</w:t>
      </w:r>
    </w:p>
    <w:p>
      <w:pPr>
        <w:spacing w:line="240" w:lineRule="auto" w:before="1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59"/>
        <w:gridCol w:w="1781"/>
        <w:gridCol w:w="1946"/>
        <w:gridCol w:w="2071"/>
        <w:gridCol w:w="1973"/>
      </w:tblGrid>
      <w:tr>
        <w:trPr>
          <w:trHeight w:val="946" w:hRule="exact"/>
        </w:trPr>
        <w:tc>
          <w:tcPr>
            <w:tcW w:w="11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姓名</w:t>
            </w:r>
          </w:p>
        </w:tc>
        <w:tc>
          <w:tcPr>
            <w:tcW w:w="178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职务</w:t>
            </w:r>
          </w:p>
        </w:tc>
        <w:tc>
          <w:tcPr>
            <w:tcW w:w="19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报告期内从公司领</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取的报酬总额</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100"/>
                <w:sz w:val="22"/>
                <w:szCs w:val="22"/>
              </w:rPr>
              <w:t>（万元</w:t>
            </w:r>
            <w:r>
              <w:rPr>
                <w:rFonts w:ascii="宋体" w:hAnsi="宋体" w:cs="宋体" w:eastAsia="宋体" w:hint="default"/>
                <w:spacing w:val="-111"/>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税前）</w:t>
            </w:r>
          </w:p>
        </w:tc>
        <w:tc>
          <w:tcPr>
            <w:tcW w:w="207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75"/>
                <w:sz w:val="22"/>
                <w:szCs w:val="22"/>
              </w:rPr>
              <w:t> </w:t>
            </w:r>
            <w:r>
              <w:rPr>
                <w:rFonts w:ascii="宋体" w:hAnsi="宋体" w:cs="宋体" w:eastAsia="宋体" w:hint="default"/>
                <w:sz w:val="22"/>
                <w:szCs w:val="22"/>
              </w:rPr>
              <w:t>年度从公司领取</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的报酬总额（万元）</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（税前）</w:t>
            </w:r>
          </w:p>
        </w:tc>
        <w:tc>
          <w:tcPr>
            <w:tcW w:w="197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9" w:lineRule="auto" w:before="134"/>
              <w:ind w:left="21" w:right="508"/>
              <w:jc w:val="left"/>
              <w:rPr>
                <w:rFonts w:ascii="宋体" w:hAnsi="宋体" w:cs="宋体" w:eastAsia="宋体" w:hint="default"/>
                <w:sz w:val="22"/>
                <w:szCs w:val="22"/>
              </w:rPr>
            </w:pPr>
            <w:r>
              <w:rPr>
                <w:rFonts w:ascii="宋体" w:hAnsi="宋体" w:cs="宋体" w:eastAsia="宋体" w:hint="default"/>
                <w:sz w:val="22"/>
                <w:szCs w:val="22"/>
              </w:rPr>
              <w:t>薪酬总额</w:t>
            </w:r>
            <w:r>
              <w:rPr>
                <w:rFonts w:ascii="宋体" w:hAnsi="宋体" w:cs="宋体" w:eastAsia="宋体" w:hint="default"/>
                <w:spacing w:val="-108"/>
                <w:sz w:val="22"/>
                <w:szCs w:val="22"/>
              </w:rPr>
              <w:t> </w:t>
            </w:r>
            <w:r>
              <w:rPr>
                <w:rFonts w:ascii="宋体" w:hAnsi="宋体" w:cs="宋体" w:eastAsia="宋体" w:hint="default"/>
                <w:sz w:val="22"/>
                <w:szCs w:val="22"/>
              </w:rPr>
              <w:t>同比增减（%）</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包叔平</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董事长、总经理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108.50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103.70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4.63%</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唐长钧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47.14</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47.14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z w:val="22"/>
                <w:szCs w:val="22"/>
              </w:rPr>
              <w:t>无变化</w:t>
            </w:r>
          </w:p>
        </w:tc>
      </w:tr>
      <w:tr>
        <w:trPr>
          <w:trHeight w:val="32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2"/>
                <w:szCs w:val="22"/>
              </w:rPr>
            </w:pPr>
            <w:r>
              <w:rPr>
                <w:rFonts w:ascii="宋体" w:hAnsi="宋体" w:cs="宋体" w:eastAsia="宋体" w:hint="default"/>
                <w:sz w:val="22"/>
                <w:szCs w:val="22"/>
              </w:rPr>
              <w:t>潘世雷</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董事、副总经理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59.29</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58.31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0"/>
              <w:jc w:val="right"/>
              <w:rPr>
                <w:rFonts w:ascii="宋体" w:hAnsi="宋体" w:cs="宋体" w:eastAsia="宋体" w:hint="default"/>
                <w:sz w:val="22"/>
                <w:szCs w:val="22"/>
              </w:rPr>
            </w:pPr>
            <w:r>
              <w:rPr>
                <w:rFonts w:ascii="宋体"/>
                <w:sz w:val="22"/>
              </w:rPr>
              <w:t>1.68%</w:t>
            </w:r>
          </w:p>
        </w:tc>
      </w:tr>
      <w:tr>
        <w:trPr>
          <w:trHeight w:val="63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40" w:lineRule="auto" w:before="134"/>
              <w:ind w:right="0"/>
              <w:jc w:val="center"/>
              <w:rPr>
                <w:rFonts w:ascii="宋体" w:hAnsi="宋体" w:cs="宋体" w:eastAsia="宋体" w:hint="default"/>
                <w:sz w:val="22"/>
                <w:szCs w:val="22"/>
              </w:rPr>
            </w:pPr>
            <w:r>
              <w:rPr>
                <w:rFonts w:ascii="宋体" w:hAnsi="宋体" w:cs="宋体" w:eastAsia="宋体" w:hint="default"/>
                <w:sz w:val="22"/>
                <w:szCs w:val="22"/>
              </w:rPr>
              <w:t>陆</w:t>
              <w:tab/>
              <w:t>庆</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董事、副总经理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39.05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49.06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168" w:right="0"/>
              <w:jc w:val="left"/>
              <w:rPr>
                <w:rFonts w:ascii="宋体" w:hAnsi="宋体" w:cs="宋体" w:eastAsia="宋体" w:hint="default"/>
                <w:sz w:val="22"/>
                <w:szCs w:val="22"/>
              </w:rPr>
            </w:pPr>
            <w:r>
              <w:rPr>
                <w:rFonts w:ascii="宋体"/>
                <w:sz w:val="22"/>
              </w:rPr>
              <w:t>-20.40%</w:t>
            </w:r>
          </w:p>
          <w:p>
            <w:pPr>
              <w:pStyle w:val="TableParagraph"/>
              <w:spacing w:line="240" w:lineRule="auto" w:before="24"/>
              <w:ind w:left="729" w:right="0"/>
              <w:jc w:val="left"/>
              <w:rPr>
                <w:rFonts w:ascii="宋体" w:hAnsi="宋体" w:cs="宋体" w:eastAsia="宋体" w:hint="default"/>
                <w:sz w:val="22"/>
                <w:szCs w:val="22"/>
              </w:rPr>
            </w:pPr>
            <w:r>
              <w:rPr>
                <w:rFonts w:ascii="宋体" w:hAnsi="宋体" w:cs="宋体" w:eastAsia="宋体" w:hint="default"/>
                <w:sz w:val="22"/>
                <w:szCs w:val="22"/>
              </w:rPr>
              <w:t>（因病休养)</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朱玉旭</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z w:val="22"/>
                <w:szCs w:val="22"/>
              </w:rPr>
              <w:t>无变化</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张怡方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z w:val="22"/>
                <w:szCs w:val="22"/>
              </w:rPr>
              <w:t>无变化</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何积丰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3.60（税后）</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3.60（税后）</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z w:val="22"/>
                <w:szCs w:val="22"/>
              </w:rPr>
              <w:t>无变化</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干春晖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1.50（税后）</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3.60（税后）</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月离任</w:t>
            </w:r>
          </w:p>
        </w:tc>
      </w:tr>
      <w:tr>
        <w:trPr>
          <w:trHeight w:val="32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2"/>
                <w:szCs w:val="22"/>
              </w:rPr>
            </w:pPr>
            <w:r>
              <w:rPr>
                <w:rFonts w:ascii="宋体" w:hAnsi="宋体" w:cs="宋体" w:eastAsia="宋体" w:hint="default"/>
                <w:sz w:val="22"/>
                <w:szCs w:val="22"/>
              </w:rPr>
              <w:t>高美萍</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3.60（税后）</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3.60（税后）</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9"/>
              <w:jc w:val="right"/>
              <w:rPr>
                <w:rFonts w:ascii="宋体" w:hAnsi="宋体" w:cs="宋体" w:eastAsia="宋体" w:hint="default"/>
                <w:sz w:val="22"/>
                <w:szCs w:val="22"/>
              </w:rPr>
            </w:pPr>
            <w:r>
              <w:rPr>
                <w:rFonts w:ascii="宋体" w:hAnsi="宋体" w:cs="宋体" w:eastAsia="宋体" w:hint="default"/>
                <w:sz w:val="22"/>
                <w:szCs w:val="22"/>
              </w:rPr>
              <w:t>无变化</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陈乐波</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2.40（税后）</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月新任</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周</w:t>
              <w:tab/>
              <w:t>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监事会主席</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z w:val="22"/>
                <w:szCs w:val="22"/>
              </w:rPr>
              <w:t>无变化</w:t>
            </w:r>
          </w:p>
        </w:tc>
      </w:tr>
    </w:tbl>
    <w:p>
      <w:pPr>
        <w:spacing w:after="0" w:line="266" w:lineRule="exact"/>
        <w:jc w:val="right"/>
        <w:rPr>
          <w:rFonts w:ascii="宋体" w:hAnsi="宋体" w:cs="宋体" w:eastAsia="宋体" w:hint="default"/>
          <w:sz w:val="22"/>
          <w:szCs w:val="22"/>
        </w:rPr>
        <w:sectPr>
          <w:footerReference w:type="default" r:id="rId17"/>
          <w:pgSz w:w="11900" w:h="16840"/>
          <w:pgMar w:footer="983" w:header="874" w:top="1100" w:bottom="1180" w:left="1280" w:right="1080"/>
          <w:pgNumType w:start="40"/>
        </w:sectPr>
      </w:pPr>
    </w:p>
    <w:p>
      <w:pPr>
        <w:spacing w:line="240" w:lineRule="auto" w:before="8"/>
        <w:rPr>
          <w:rFonts w:ascii="宋体" w:hAnsi="宋体" w:cs="宋体" w:eastAsia="宋体" w:hint="default"/>
          <w:sz w:val="24"/>
          <w:szCs w:val="24"/>
        </w:rPr>
      </w:pPr>
    </w:p>
    <w:tbl>
      <w:tblPr>
        <w:tblW w:w="0" w:type="auto"/>
        <w:jc w:val="left"/>
        <w:tblInd w:w="213" w:type="dxa"/>
        <w:tblLayout w:type="fixed"/>
        <w:tblCellMar>
          <w:top w:w="0" w:type="dxa"/>
          <w:left w:w="0" w:type="dxa"/>
          <w:bottom w:w="0" w:type="dxa"/>
          <w:right w:w="0" w:type="dxa"/>
        </w:tblCellMar>
        <w:tblLook w:val="01E0"/>
      </w:tblPr>
      <w:tblGrid>
        <w:gridCol w:w="1159"/>
        <w:gridCol w:w="1781"/>
        <w:gridCol w:w="1946"/>
        <w:gridCol w:w="2071"/>
        <w:gridCol w:w="1973"/>
      </w:tblGrid>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王</w:t>
              <w:tab/>
              <w:t>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43.18</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42.18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2.39%</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梁恭杰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1.80（税后）</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1.80（税后）</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2"/>
                <w:szCs w:val="22"/>
              </w:rPr>
            </w:pPr>
            <w:r>
              <w:rPr>
                <w:rFonts w:ascii="宋体" w:hAnsi="宋体" w:cs="宋体" w:eastAsia="宋体" w:hint="default"/>
                <w:sz w:val="22"/>
                <w:szCs w:val="22"/>
              </w:rPr>
              <w:t>无变化</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张再雄</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副总经理</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49.35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50.35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-1.99%</w:t>
            </w:r>
          </w:p>
        </w:tc>
      </w:tr>
      <w:tr>
        <w:trPr>
          <w:trHeight w:val="636"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40" w:lineRule="auto" w:before="136"/>
              <w:ind w:right="0"/>
              <w:jc w:val="center"/>
              <w:rPr>
                <w:rFonts w:ascii="宋体" w:hAnsi="宋体" w:cs="宋体" w:eastAsia="宋体" w:hint="default"/>
                <w:sz w:val="22"/>
                <w:szCs w:val="22"/>
              </w:rPr>
            </w:pPr>
            <w:r>
              <w:rPr>
                <w:rFonts w:ascii="宋体" w:hAnsi="宋体" w:cs="宋体" w:eastAsia="宋体" w:hint="default"/>
                <w:sz w:val="22"/>
                <w:szCs w:val="22"/>
              </w:rPr>
              <w:t>李</w:t>
              <w:tab/>
              <w:t>静</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3" w:right="0"/>
              <w:jc w:val="left"/>
              <w:rPr>
                <w:rFonts w:ascii="宋体" w:hAnsi="宋体" w:cs="宋体" w:eastAsia="宋体" w:hint="default"/>
                <w:sz w:val="22"/>
                <w:szCs w:val="22"/>
              </w:rPr>
            </w:pPr>
            <w:r>
              <w:rPr>
                <w:rFonts w:ascii="宋体" w:hAnsi="宋体" w:cs="宋体" w:eastAsia="宋体" w:hint="default"/>
                <w:spacing w:val="-6"/>
                <w:sz w:val="22"/>
                <w:szCs w:val="22"/>
              </w:rPr>
              <w:t>副总经理、董事会</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秘书</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宋体" w:hAnsi="宋体" w:cs="宋体" w:eastAsia="宋体" w:hint="default"/>
                <w:sz w:val="21"/>
                <w:szCs w:val="21"/>
              </w:rPr>
            </w:pPr>
            <w:r>
              <w:rPr>
                <w:rFonts w:ascii="宋体"/>
                <w:sz w:val="21"/>
              </w:rPr>
              <w:t>35.02</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宋体" w:hAnsi="宋体" w:cs="宋体" w:eastAsia="宋体" w:hint="default"/>
                <w:sz w:val="21"/>
                <w:szCs w:val="21"/>
              </w:rPr>
            </w:pPr>
            <w:r>
              <w:rPr>
                <w:rFonts w:ascii="宋体"/>
                <w:sz w:val="21"/>
              </w:rPr>
              <w:t>33.52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22"/>
                <w:szCs w:val="22"/>
              </w:rPr>
            </w:pPr>
            <w:r>
              <w:rPr>
                <w:rFonts w:ascii="宋体"/>
                <w:sz w:val="22"/>
              </w:rPr>
              <w:t>4.47%</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tabs>
                <w:tab w:pos="441" w:val="left" w:leader="none"/>
              </w:tabs>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董</w:t>
              <w:tab/>
              <w:t>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财务负责人</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30.85</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28.81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sz w:val="22"/>
              </w:rPr>
              <w:t>7.08%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218" w:right="0"/>
        <w:jc w:val="left"/>
      </w:pPr>
      <w:r>
        <w:rPr/>
        <w:t>11．报告期内公司三项费用及所得税情况</w:t>
      </w:r>
    </w:p>
    <w:p>
      <w:pPr>
        <w:spacing w:line="240" w:lineRule="auto" w:before="1"/>
        <w:rPr>
          <w:rFonts w:ascii="宋体" w:hAnsi="宋体" w:cs="宋体" w:eastAsia="宋体" w:hint="default"/>
          <w:sz w:val="10"/>
          <w:szCs w:val="10"/>
        </w:rPr>
      </w:pPr>
    </w:p>
    <w:p>
      <w:pPr>
        <w:spacing w:before="37"/>
        <w:ind w:left="0" w:right="273"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5"/>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831"/>
        <w:gridCol w:w="2057"/>
        <w:gridCol w:w="1918"/>
        <w:gridCol w:w="1454"/>
        <w:gridCol w:w="1793"/>
      </w:tblGrid>
      <w:tr>
        <w:trPr>
          <w:trHeight w:val="372" w:hRule="exact"/>
        </w:trPr>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551" w:val="left" w:leader="none"/>
              </w:tabs>
              <w:spacing w:line="240" w:lineRule="auto" w:before="4"/>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205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left="554"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3"/>
                <w:sz w:val="22"/>
                <w:szCs w:val="22"/>
              </w:rPr>
              <w:t> </w:t>
            </w:r>
            <w:r>
              <w:rPr>
                <w:rFonts w:ascii="宋体" w:hAnsi="宋体" w:cs="宋体" w:eastAsia="宋体" w:hint="default"/>
                <w:sz w:val="22"/>
                <w:szCs w:val="22"/>
              </w:rPr>
              <w:t>年度</w:t>
            </w:r>
          </w:p>
        </w:tc>
        <w:tc>
          <w:tcPr>
            <w:tcW w:w="19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left="484"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年度</w:t>
            </w:r>
          </w:p>
        </w:tc>
        <w:tc>
          <w:tcPr>
            <w:tcW w:w="145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right="-12"/>
              <w:jc w:val="right"/>
              <w:rPr>
                <w:rFonts w:ascii="宋体" w:hAnsi="宋体" w:cs="宋体" w:eastAsia="宋体" w:hint="default"/>
                <w:sz w:val="22"/>
                <w:szCs w:val="22"/>
              </w:rPr>
            </w:pPr>
            <w:r>
              <w:rPr>
                <w:rFonts w:ascii="宋体" w:hAnsi="宋体" w:cs="宋体" w:eastAsia="宋体" w:hint="default"/>
                <w:spacing w:val="-12"/>
                <w:sz w:val="22"/>
                <w:szCs w:val="22"/>
              </w:rPr>
              <w:t>同比增减（%）</w:t>
            </w:r>
          </w:p>
        </w:tc>
        <w:tc>
          <w:tcPr>
            <w:tcW w:w="179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left="422"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3"/>
                <w:sz w:val="22"/>
                <w:szCs w:val="22"/>
              </w:rPr>
              <w:t> </w:t>
            </w:r>
            <w:r>
              <w:rPr>
                <w:rFonts w:ascii="宋体" w:hAnsi="宋体" w:cs="宋体" w:eastAsia="宋体" w:hint="default"/>
                <w:sz w:val="22"/>
                <w:szCs w:val="22"/>
              </w:rPr>
              <w:t>年度</w:t>
            </w:r>
          </w:p>
        </w:tc>
      </w:tr>
      <w:tr>
        <w:trPr>
          <w:trHeight w:val="403" w:hRule="exact"/>
        </w:trPr>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9"/>
              <w:ind w:right="1"/>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1"/>
                <w:sz w:val="22"/>
              </w:rPr>
              <w:t>13,693,061.69</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1"/>
                <w:sz w:val="22"/>
              </w:rPr>
              <w:t>11,121,347.56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2"/>
                <w:szCs w:val="22"/>
              </w:rPr>
            </w:pPr>
            <w:r>
              <w:rPr>
                <w:rFonts w:ascii="宋体"/>
                <w:sz w:val="22"/>
              </w:rPr>
              <w:t>23.12%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22"/>
                <w:szCs w:val="22"/>
              </w:rPr>
            </w:pPr>
            <w:r>
              <w:rPr>
                <w:rFonts w:ascii="宋体"/>
                <w:spacing w:val="-1"/>
                <w:sz w:val="22"/>
              </w:rPr>
              <w:t>12,151,053.19</w:t>
            </w:r>
          </w:p>
        </w:tc>
      </w:tr>
      <w:tr>
        <w:trPr>
          <w:trHeight w:val="334" w:hRule="exact"/>
        </w:trPr>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exact"/>
              <w:ind w:right="1"/>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61,519,913.66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43,194,968.62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z w:val="22"/>
              </w:rPr>
              <w:t>42.42%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2"/>
                <w:szCs w:val="22"/>
              </w:rPr>
            </w:pPr>
            <w:r>
              <w:rPr>
                <w:rFonts w:ascii="宋体"/>
                <w:spacing w:val="-1"/>
                <w:sz w:val="22"/>
              </w:rPr>
              <w:t>37,543,603.94</w:t>
            </w:r>
          </w:p>
        </w:tc>
      </w:tr>
      <w:tr>
        <w:trPr>
          <w:trHeight w:val="415" w:hRule="exact"/>
        </w:trPr>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6"/>
              <w:ind w:right="1"/>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2"/>
                <w:szCs w:val="22"/>
              </w:rPr>
            </w:pPr>
            <w:r>
              <w:rPr>
                <w:rFonts w:ascii="宋体"/>
                <w:spacing w:val="-1"/>
                <w:sz w:val="22"/>
              </w:rPr>
              <w:t>-1,886,313.64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2"/>
                <w:szCs w:val="22"/>
              </w:rPr>
            </w:pPr>
            <w:r>
              <w:rPr>
                <w:rFonts w:ascii="宋体"/>
                <w:spacing w:val="-1"/>
                <w:sz w:val="22"/>
              </w:rPr>
              <w:t>-3,057,838.30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7"/>
              <w:jc w:val="right"/>
              <w:rPr>
                <w:rFonts w:ascii="宋体" w:hAnsi="宋体" w:cs="宋体" w:eastAsia="宋体" w:hint="default"/>
                <w:sz w:val="22"/>
                <w:szCs w:val="22"/>
              </w:rPr>
            </w:pPr>
            <w:r>
              <w:rPr>
                <w:rFonts w:ascii="宋体"/>
                <w:sz w:val="22"/>
              </w:rPr>
              <w:t>-38.31%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2"/>
                <w:szCs w:val="22"/>
              </w:rPr>
            </w:pPr>
            <w:r>
              <w:rPr>
                <w:rFonts w:ascii="宋体"/>
                <w:spacing w:val="-1"/>
                <w:sz w:val="22"/>
              </w:rPr>
              <w:t>-4,660,357.89</w:t>
            </w:r>
          </w:p>
        </w:tc>
      </w:tr>
      <w:tr>
        <w:trPr>
          <w:trHeight w:val="334" w:hRule="exact"/>
        </w:trPr>
        <w:tc>
          <w:tcPr>
            <w:tcW w:w="183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所 得</w:t>
            </w:r>
            <w:r>
              <w:rPr>
                <w:rFonts w:ascii="宋体" w:hAnsi="宋体" w:cs="宋体" w:eastAsia="宋体" w:hint="default"/>
                <w:spacing w:val="1"/>
                <w:sz w:val="22"/>
                <w:szCs w:val="22"/>
              </w:rPr>
              <w:t> </w:t>
            </w:r>
            <w:r>
              <w:rPr>
                <w:rFonts w:ascii="宋体" w:hAnsi="宋体" w:cs="宋体" w:eastAsia="宋体" w:hint="default"/>
                <w:sz w:val="22"/>
                <w:szCs w:val="22"/>
              </w:rPr>
              <w:t>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99"/>
              <w:jc w:val="right"/>
              <w:rPr>
                <w:rFonts w:ascii="宋体" w:hAnsi="宋体" w:cs="宋体" w:eastAsia="宋体" w:hint="default"/>
                <w:sz w:val="22"/>
                <w:szCs w:val="22"/>
              </w:rPr>
            </w:pPr>
            <w:r>
              <w:rPr>
                <w:rFonts w:ascii="宋体"/>
                <w:spacing w:val="-1"/>
                <w:sz w:val="22"/>
              </w:rPr>
              <w:t>6,580,544.01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99"/>
              <w:jc w:val="right"/>
              <w:rPr>
                <w:rFonts w:ascii="宋体" w:hAnsi="宋体" w:cs="宋体" w:eastAsia="宋体" w:hint="default"/>
                <w:sz w:val="22"/>
                <w:szCs w:val="22"/>
              </w:rPr>
            </w:pPr>
            <w:r>
              <w:rPr>
                <w:rFonts w:ascii="宋体"/>
                <w:spacing w:val="-1"/>
                <w:sz w:val="22"/>
              </w:rPr>
              <w:t>2,455,508.20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97"/>
              <w:jc w:val="right"/>
              <w:rPr>
                <w:rFonts w:ascii="宋体" w:hAnsi="宋体" w:cs="宋体" w:eastAsia="宋体" w:hint="default"/>
                <w:sz w:val="22"/>
                <w:szCs w:val="22"/>
              </w:rPr>
            </w:pPr>
            <w:r>
              <w:rPr>
                <w:rFonts w:ascii="宋体"/>
                <w:sz w:val="22"/>
              </w:rPr>
              <w:t>167.99%</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99"/>
              <w:jc w:val="right"/>
              <w:rPr>
                <w:rFonts w:ascii="宋体" w:hAnsi="宋体" w:cs="宋体" w:eastAsia="宋体" w:hint="default"/>
                <w:sz w:val="22"/>
                <w:szCs w:val="22"/>
              </w:rPr>
            </w:pPr>
            <w:r>
              <w:rPr>
                <w:rFonts w:ascii="宋体"/>
                <w:spacing w:val="-1"/>
                <w:sz w:val="22"/>
              </w:rPr>
              <w:t>3,862,264.21</w:t>
            </w:r>
          </w:p>
        </w:tc>
      </w:tr>
    </w:tbl>
    <w:p>
      <w:pPr>
        <w:pStyle w:val="BodyText"/>
        <w:spacing w:line="357" w:lineRule="auto" w:before="38"/>
        <w:ind w:left="218" w:right="268"/>
        <w:jc w:val="both"/>
      </w:pPr>
      <w:r>
        <w:rPr/>
        <w:t>（1）销售费用同比增加</w:t>
      </w:r>
      <w:r>
        <w:rPr>
          <w:spacing w:val="-89"/>
        </w:rPr>
        <w:t> </w:t>
      </w:r>
      <w:r>
        <w:rPr/>
        <w:t>23.12%，主要系公司本年度营业收入增加，导致相关销售费</w:t>
      </w:r>
      <w:r>
        <w:rPr/>
        <w:t> 用增加，及自</w:t>
      </w:r>
      <w:r>
        <w:rPr>
          <w:spacing w:val="-53"/>
        </w:rPr>
        <w:t> </w:t>
      </w:r>
      <w:r>
        <w:rPr/>
        <w:t>2009</w:t>
      </w:r>
      <w:r>
        <w:rPr>
          <w:spacing w:val="-53"/>
        </w:rPr>
        <w:t> </w:t>
      </w:r>
      <w:r>
        <w:rPr/>
        <w:t>年</w:t>
      </w:r>
      <w:r>
        <w:rPr>
          <w:spacing w:val="-53"/>
        </w:rPr>
        <w:t> </w:t>
      </w:r>
      <w:r>
        <w:rPr/>
        <w:t>9</w:t>
      </w:r>
      <w:r>
        <w:rPr>
          <w:spacing w:val="-53"/>
        </w:rPr>
        <w:t> </w:t>
      </w:r>
      <w:r>
        <w:rPr/>
        <w:t>月起华钟公司进入公司合并报表范围，造成合并报表范围增</w:t>
      </w:r>
      <w:r>
        <w:rPr/>
        <w:t> 加所致。</w:t>
      </w:r>
    </w:p>
    <w:p>
      <w:pPr>
        <w:pStyle w:val="BodyText"/>
        <w:spacing w:line="357" w:lineRule="auto"/>
        <w:ind w:left="218" w:right="268"/>
        <w:jc w:val="both"/>
      </w:pPr>
      <w:r>
        <w:rPr/>
        <w:t>（2）管理费用同比增加</w:t>
      </w:r>
      <w:r>
        <w:rPr>
          <w:spacing w:val="-89"/>
        </w:rPr>
        <w:t> </w:t>
      </w:r>
      <w:r>
        <w:rPr/>
        <w:t>42.42%，主要系公司本年度营业收入增加，导致相关管理费</w:t>
      </w:r>
      <w:r>
        <w:rPr/>
        <w:t> 用增加。及自</w:t>
      </w:r>
      <w:r>
        <w:rPr>
          <w:spacing w:val="-53"/>
        </w:rPr>
        <w:t> </w:t>
      </w:r>
      <w:r>
        <w:rPr/>
        <w:t>2009</w:t>
      </w:r>
      <w:r>
        <w:rPr>
          <w:spacing w:val="-53"/>
        </w:rPr>
        <w:t> </w:t>
      </w:r>
      <w:r>
        <w:rPr/>
        <w:t>年</w:t>
      </w:r>
      <w:r>
        <w:rPr>
          <w:spacing w:val="-53"/>
        </w:rPr>
        <w:t> </w:t>
      </w:r>
      <w:r>
        <w:rPr/>
        <w:t>9</w:t>
      </w:r>
      <w:r>
        <w:rPr>
          <w:spacing w:val="-53"/>
        </w:rPr>
        <w:t> </w:t>
      </w:r>
      <w:r>
        <w:rPr/>
        <w:t>月起华钟公司进入公司合并报表范围，造成合并报表范围增</w:t>
      </w:r>
      <w:r>
        <w:rPr/>
        <w:t> 加所致。</w:t>
      </w:r>
    </w:p>
    <w:p>
      <w:pPr>
        <w:pStyle w:val="BodyText"/>
        <w:spacing w:line="240" w:lineRule="auto"/>
        <w:ind w:left="218" w:right="0"/>
        <w:jc w:val="both"/>
      </w:pPr>
      <w:r>
        <w:rPr/>
        <w:t>（3）财务费用同比减少</w:t>
      </w:r>
      <w:r>
        <w:rPr>
          <w:spacing w:val="-62"/>
        </w:rPr>
        <w:t> </w:t>
      </w:r>
      <w:r>
        <w:rPr>
          <w:sz w:val="22"/>
          <w:szCs w:val="22"/>
        </w:rPr>
        <w:t>38.31%</w:t>
      </w:r>
      <w:r>
        <w:rPr/>
        <w:t>，主要系存款利息收入减少所致。</w:t>
      </w:r>
    </w:p>
    <w:p>
      <w:pPr>
        <w:pStyle w:val="BodyText"/>
        <w:spacing w:line="240" w:lineRule="auto" w:before="154"/>
        <w:ind w:left="218" w:right="0"/>
        <w:jc w:val="both"/>
      </w:pPr>
      <w:r>
        <w:rPr/>
        <w:t>（4）所得税同比增加</w:t>
      </w:r>
      <w:r>
        <w:rPr>
          <w:spacing w:val="-60"/>
        </w:rPr>
        <w:t> </w:t>
      </w:r>
      <w:r>
        <w:rPr/>
        <w:t>167.99%，主要系公司本年利润总额增加所致。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218" w:right="0"/>
        <w:jc w:val="both"/>
      </w:pPr>
      <w:r>
        <w:rPr/>
        <w:t>12．现金流状况分析</w:t>
      </w:r>
    </w:p>
    <w:p>
      <w:pPr>
        <w:spacing w:before="169"/>
        <w:ind w:left="0" w:right="273"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5"/>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595"/>
        <w:gridCol w:w="1973"/>
        <w:gridCol w:w="1903"/>
        <w:gridCol w:w="1582"/>
      </w:tblGrid>
      <w:tr>
        <w:trPr>
          <w:trHeight w:val="410"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tabs>
                <w:tab w:pos="551" w:val="left" w:leader="none"/>
              </w:tabs>
              <w:spacing w:line="240" w:lineRule="auto" w:before="23"/>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97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511"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3"/>
                <w:sz w:val="22"/>
                <w:szCs w:val="22"/>
              </w:rPr>
              <w:t> </w:t>
            </w:r>
            <w:r>
              <w:rPr>
                <w:rFonts w:ascii="宋体" w:hAnsi="宋体" w:cs="宋体" w:eastAsia="宋体" w:hint="default"/>
                <w:sz w:val="22"/>
                <w:szCs w:val="22"/>
              </w:rPr>
              <w:t>年度</w:t>
            </w:r>
          </w:p>
        </w:tc>
        <w:tc>
          <w:tcPr>
            <w:tcW w:w="190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left="477"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年度</w:t>
            </w:r>
          </w:p>
        </w:tc>
        <w:tc>
          <w:tcPr>
            <w:tcW w:w="15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3"/>
              <w:ind w:right="34"/>
              <w:jc w:val="right"/>
              <w:rPr>
                <w:rFonts w:ascii="宋体" w:hAnsi="宋体" w:cs="宋体" w:eastAsia="宋体" w:hint="default"/>
                <w:sz w:val="22"/>
                <w:szCs w:val="22"/>
              </w:rPr>
            </w:pPr>
            <w:r>
              <w:rPr>
                <w:rFonts w:ascii="宋体" w:hAnsi="宋体" w:cs="宋体" w:eastAsia="宋体" w:hint="default"/>
                <w:spacing w:val="-1"/>
                <w:sz w:val="22"/>
                <w:szCs w:val="22"/>
              </w:rPr>
              <w:t>同比增减（%）</w:t>
            </w:r>
          </w:p>
        </w:tc>
      </w:tr>
      <w:tr>
        <w:trPr>
          <w:trHeight w:val="322"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一、经营活动产生的现金流量净额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2"/>
              <w:jc w:val="right"/>
              <w:rPr>
                <w:rFonts w:ascii="宋体" w:hAnsi="宋体" w:cs="宋体" w:eastAsia="宋体" w:hint="default"/>
                <w:sz w:val="22"/>
                <w:szCs w:val="22"/>
              </w:rPr>
            </w:pPr>
            <w:r>
              <w:rPr>
                <w:rFonts w:ascii="宋体"/>
                <w:spacing w:val="-1"/>
                <w:sz w:val="22"/>
              </w:rPr>
              <w:t>42,890,745.78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pacing w:val="-1"/>
                <w:sz w:val="22"/>
              </w:rPr>
              <w:t>25,446,412.28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9"/>
              <w:jc w:val="right"/>
              <w:rPr>
                <w:rFonts w:ascii="宋体" w:hAnsi="宋体" w:cs="宋体" w:eastAsia="宋体" w:hint="default"/>
                <w:sz w:val="22"/>
                <w:szCs w:val="22"/>
              </w:rPr>
            </w:pPr>
            <w:r>
              <w:rPr>
                <w:rFonts w:ascii="宋体"/>
                <w:sz w:val="22"/>
              </w:rPr>
              <w:t>68.55%</w:t>
            </w:r>
          </w:p>
        </w:tc>
      </w:tr>
      <w:tr>
        <w:trPr>
          <w:trHeight w:val="374"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4"/>
              <w:ind w:left="319" w:right="0"/>
              <w:jc w:val="left"/>
              <w:rPr>
                <w:rFonts w:ascii="宋体" w:hAnsi="宋体" w:cs="宋体" w:eastAsia="宋体" w:hint="default"/>
                <w:sz w:val="22"/>
                <w:szCs w:val="22"/>
              </w:rPr>
            </w:pPr>
            <w:r>
              <w:rPr>
                <w:rFonts w:ascii="宋体" w:hAnsi="宋体" w:cs="宋体" w:eastAsia="宋体" w:hint="default"/>
                <w:sz w:val="22"/>
                <w:szCs w:val="22"/>
              </w:rPr>
              <w:t>经营活动现金流入量</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2"/>
                <w:szCs w:val="22"/>
              </w:rPr>
            </w:pPr>
            <w:r>
              <w:rPr>
                <w:rFonts w:ascii="宋体"/>
                <w:spacing w:val="-1"/>
                <w:sz w:val="22"/>
              </w:rPr>
              <w:t>309,790,941.80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2"/>
                <w:szCs w:val="22"/>
              </w:rPr>
            </w:pPr>
            <w:r>
              <w:rPr>
                <w:rFonts w:ascii="宋体"/>
                <w:spacing w:val="-1"/>
                <w:sz w:val="22"/>
              </w:rPr>
              <w:t>197,265,379.53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2"/>
                <w:szCs w:val="22"/>
              </w:rPr>
            </w:pPr>
            <w:r>
              <w:rPr>
                <w:rFonts w:ascii="宋体"/>
                <w:sz w:val="22"/>
              </w:rPr>
              <w:t>57.04%</w:t>
            </w:r>
          </w:p>
        </w:tc>
      </w:tr>
      <w:tr>
        <w:trPr>
          <w:trHeight w:val="472"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319" w:right="0"/>
              <w:jc w:val="left"/>
              <w:rPr>
                <w:rFonts w:ascii="宋体" w:hAnsi="宋体" w:cs="宋体" w:eastAsia="宋体" w:hint="default"/>
                <w:sz w:val="22"/>
                <w:szCs w:val="22"/>
              </w:rPr>
            </w:pPr>
            <w:r>
              <w:rPr>
                <w:rFonts w:ascii="宋体" w:hAnsi="宋体" w:cs="宋体" w:eastAsia="宋体" w:hint="default"/>
                <w:sz w:val="22"/>
                <w:szCs w:val="22"/>
              </w:rPr>
              <w:t>经营活动现金流出量</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2"/>
                <w:szCs w:val="22"/>
              </w:rPr>
            </w:pPr>
            <w:r>
              <w:rPr>
                <w:rFonts w:ascii="宋体"/>
                <w:spacing w:val="-1"/>
                <w:sz w:val="22"/>
              </w:rPr>
              <w:t>266,900,196.02</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2"/>
                <w:szCs w:val="22"/>
              </w:rPr>
            </w:pPr>
            <w:r>
              <w:rPr>
                <w:rFonts w:ascii="宋体"/>
                <w:spacing w:val="-1"/>
                <w:sz w:val="22"/>
              </w:rPr>
              <w:t>171,818,967.25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2"/>
                <w:szCs w:val="22"/>
              </w:rPr>
            </w:pPr>
            <w:r>
              <w:rPr>
                <w:rFonts w:ascii="宋体"/>
                <w:sz w:val="22"/>
              </w:rPr>
              <w:t>55.34%</w:t>
            </w:r>
          </w:p>
        </w:tc>
      </w:tr>
      <w:tr>
        <w:trPr>
          <w:trHeight w:val="5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8"/>
              <w:ind w:left="103" w:right="0"/>
              <w:jc w:val="left"/>
              <w:rPr>
                <w:rFonts w:ascii="宋体" w:hAnsi="宋体" w:cs="宋体" w:eastAsia="宋体" w:hint="default"/>
                <w:sz w:val="22"/>
                <w:szCs w:val="22"/>
              </w:rPr>
            </w:pPr>
            <w:r>
              <w:rPr>
                <w:rFonts w:ascii="宋体" w:hAnsi="宋体" w:cs="宋体" w:eastAsia="宋体" w:hint="default"/>
                <w:sz w:val="22"/>
                <w:szCs w:val="22"/>
              </w:rPr>
              <w:t>二、投资活动产生的现金流量净额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22"/>
                <w:szCs w:val="22"/>
              </w:rPr>
            </w:pPr>
            <w:r>
              <w:rPr>
                <w:rFonts w:ascii="宋体"/>
                <w:spacing w:val="-1"/>
                <w:sz w:val="22"/>
              </w:rPr>
              <w:t>-10,917,350.61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22"/>
                <w:szCs w:val="22"/>
              </w:rPr>
            </w:pPr>
            <w:r>
              <w:rPr>
                <w:rFonts w:ascii="宋体"/>
                <w:spacing w:val="-1"/>
                <w:sz w:val="22"/>
              </w:rPr>
              <w:t>14,156,011.73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宋体" w:hAnsi="宋体" w:cs="宋体" w:eastAsia="宋体" w:hint="default"/>
                <w:sz w:val="22"/>
                <w:szCs w:val="22"/>
              </w:rPr>
            </w:pPr>
            <w:r>
              <w:rPr>
                <w:rFonts w:ascii="宋体"/>
                <w:sz w:val="22"/>
              </w:rPr>
              <w:t>-177.12%</w:t>
            </w:r>
          </w:p>
        </w:tc>
      </w:tr>
      <w:tr>
        <w:trPr>
          <w:trHeight w:val="485"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9"/>
              <w:ind w:left="319" w:right="0"/>
              <w:jc w:val="left"/>
              <w:rPr>
                <w:rFonts w:ascii="宋体" w:hAnsi="宋体" w:cs="宋体" w:eastAsia="宋体" w:hint="default"/>
                <w:sz w:val="22"/>
                <w:szCs w:val="22"/>
              </w:rPr>
            </w:pPr>
            <w:r>
              <w:rPr>
                <w:rFonts w:ascii="宋体" w:hAnsi="宋体" w:cs="宋体" w:eastAsia="宋体" w:hint="default"/>
                <w:sz w:val="22"/>
                <w:szCs w:val="22"/>
              </w:rPr>
              <w:t>投资活动现金流入量</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22"/>
                <w:szCs w:val="22"/>
              </w:rPr>
            </w:pPr>
            <w:r>
              <w:rPr>
                <w:rFonts w:ascii="宋体"/>
                <w:spacing w:val="-1"/>
                <w:sz w:val="22"/>
              </w:rPr>
              <w:t>151,940.74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2"/>
                <w:szCs w:val="22"/>
              </w:rPr>
            </w:pPr>
            <w:r>
              <w:rPr>
                <w:rFonts w:ascii="宋体"/>
                <w:spacing w:val="-1"/>
                <w:sz w:val="22"/>
              </w:rPr>
              <w:t>18,140,418.90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2"/>
                <w:szCs w:val="22"/>
              </w:rPr>
            </w:pPr>
            <w:r>
              <w:rPr>
                <w:rFonts w:ascii="宋体"/>
                <w:sz w:val="22"/>
              </w:rPr>
              <w:t>-99.16%</w:t>
            </w:r>
          </w:p>
        </w:tc>
      </w:tr>
      <w:tr>
        <w:trPr>
          <w:trHeight w:val="393"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4"/>
              <w:ind w:left="319" w:right="0"/>
              <w:jc w:val="left"/>
              <w:rPr>
                <w:rFonts w:ascii="宋体" w:hAnsi="宋体" w:cs="宋体" w:eastAsia="宋体" w:hint="default"/>
                <w:sz w:val="22"/>
                <w:szCs w:val="22"/>
              </w:rPr>
            </w:pPr>
            <w:r>
              <w:rPr>
                <w:rFonts w:ascii="宋体" w:hAnsi="宋体" w:cs="宋体" w:eastAsia="宋体" w:hint="default"/>
                <w:sz w:val="22"/>
                <w:szCs w:val="22"/>
              </w:rPr>
              <w:t>投资活动现金流出量</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2"/>
                <w:szCs w:val="22"/>
              </w:rPr>
            </w:pPr>
            <w:r>
              <w:rPr>
                <w:rFonts w:ascii="宋体"/>
                <w:spacing w:val="-1"/>
                <w:sz w:val="22"/>
              </w:rPr>
              <w:t>11,069,291.35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2"/>
                <w:szCs w:val="22"/>
              </w:rPr>
            </w:pPr>
            <w:r>
              <w:rPr>
                <w:rFonts w:ascii="宋体"/>
                <w:spacing w:val="-1"/>
                <w:sz w:val="22"/>
              </w:rPr>
              <w:t>3,984,407.17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宋体" w:hAnsi="宋体" w:cs="宋体" w:eastAsia="宋体" w:hint="default"/>
                <w:sz w:val="22"/>
                <w:szCs w:val="22"/>
              </w:rPr>
            </w:pPr>
            <w:r>
              <w:rPr>
                <w:rFonts w:ascii="宋体"/>
                <w:sz w:val="22"/>
              </w:rPr>
              <w:t>177.82%</w:t>
            </w:r>
          </w:p>
        </w:tc>
      </w:tr>
      <w:tr>
        <w:trPr>
          <w:trHeight w:val="550" w:hRule="exact"/>
        </w:trPr>
        <w:tc>
          <w:tcPr>
            <w:tcW w:w="35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93"/>
              <w:ind w:left="103" w:right="0"/>
              <w:jc w:val="left"/>
              <w:rPr>
                <w:rFonts w:ascii="宋体" w:hAnsi="宋体" w:cs="宋体" w:eastAsia="宋体" w:hint="default"/>
                <w:sz w:val="22"/>
                <w:szCs w:val="22"/>
              </w:rPr>
            </w:pPr>
            <w:r>
              <w:rPr>
                <w:rFonts w:ascii="宋体" w:hAnsi="宋体" w:cs="宋体" w:eastAsia="宋体" w:hint="default"/>
                <w:sz w:val="22"/>
                <w:szCs w:val="22"/>
              </w:rPr>
              <w:t>三、筹资活动产生的现金流量净额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22"/>
                <w:szCs w:val="22"/>
              </w:rPr>
            </w:pPr>
            <w:r>
              <w:rPr>
                <w:rFonts w:ascii="宋体"/>
                <w:spacing w:val="-1"/>
                <w:sz w:val="22"/>
              </w:rPr>
              <w:t>-9,718,338.90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22"/>
                <w:szCs w:val="22"/>
              </w:rPr>
            </w:pPr>
            <w:r>
              <w:rPr>
                <w:rFonts w:ascii="宋体"/>
                <w:spacing w:val="-1"/>
                <w:sz w:val="22"/>
              </w:rPr>
              <w:t>-10,575,779.54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宋体" w:hAnsi="宋体" w:cs="宋体" w:eastAsia="宋体" w:hint="default"/>
                <w:sz w:val="22"/>
                <w:szCs w:val="22"/>
              </w:rPr>
            </w:pPr>
            <w:r>
              <w:rPr>
                <w:rFonts w:ascii="宋体"/>
                <w:sz w:val="22"/>
              </w:rPr>
              <w:t>8.11%</w:t>
            </w:r>
          </w:p>
        </w:tc>
      </w:tr>
    </w:tbl>
    <w:p>
      <w:pPr>
        <w:spacing w:after="0" w:line="240" w:lineRule="auto"/>
        <w:jc w:val="right"/>
        <w:rPr>
          <w:rFonts w:ascii="宋体" w:hAnsi="宋体" w:cs="宋体" w:eastAsia="宋体" w:hint="default"/>
          <w:sz w:val="22"/>
          <w:szCs w:val="22"/>
        </w:rPr>
        <w:sectPr>
          <w:pgSz w:w="11900" w:h="16840"/>
          <w:pgMar w:header="874" w:footer="983" w:top="1100" w:bottom="1180" w:left="1200" w:right="142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594"/>
        <w:gridCol w:w="1974"/>
        <w:gridCol w:w="1903"/>
        <w:gridCol w:w="1582"/>
      </w:tblGrid>
      <w:tr>
        <w:trPr>
          <w:trHeight w:val="444" w:hRule="exact"/>
        </w:trPr>
        <w:tc>
          <w:tcPr>
            <w:tcW w:w="35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38"/>
              <w:ind w:left="319" w:right="0"/>
              <w:jc w:val="left"/>
              <w:rPr>
                <w:rFonts w:ascii="宋体" w:hAnsi="宋体" w:cs="宋体" w:eastAsia="宋体" w:hint="default"/>
                <w:sz w:val="22"/>
                <w:szCs w:val="22"/>
              </w:rPr>
            </w:pPr>
            <w:r>
              <w:rPr>
                <w:rFonts w:ascii="宋体" w:hAnsi="宋体" w:cs="宋体" w:eastAsia="宋体" w:hint="default"/>
                <w:sz w:val="22"/>
                <w:szCs w:val="22"/>
              </w:rPr>
              <w:t>筹资活动现金流入量</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2"/>
                <w:szCs w:val="22"/>
              </w:rPr>
            </w:pPr>
            <w:r>
              <w:rPr>
                <w:rFonts w:ascii="宋体"/>
                <w:spacing w:val="-1"/>
                <w:sz w:val="22"/>
              </w:rPr>
              <w:t>21,538,626.90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2"/>
                <w:szCs w:val="22"/>
              </w:rPr>
            </w:pPr>
            <w:r>
              <w:rPr>
                <w:rFonts w:ascii="宋体"/>
                <w:spacing w:val="-1"/>
                <w:sz w:val="22"/>
              </w:rPr>
              <w:t>18,853,840.00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2"/>
                <w:szCs w:val="22"/>
              </w:rPr>
            </w:pPr>
            <w:r>
              <w:rPr>
                <w:rFonts w:ascii="宋体"/>
                <w:sz w:val="22"/>
              </w:rPr>
              <w:t>14.24%</w:t>
            </w:r>
          </w:p>
        </w:tc>
      </w:tr>
      <w:tr>
        <w:trPr>
          <w:trHeight w:val="425" w:hRule="exact"/>
        </w:trPr>
        <w:tc>
          <w:tcPr>
            <w:tcW w:w="35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28"/>
              <w:ind w:left="319" w:right="0"/>
              <w:jc w:val="left"/>
              <w:rPr>
                <w:rFonts w:ascii="宋体" w:hAnsi="宋体" w:cs="宋体" w:eastAsia="宋体" w:hint="default"/>
                <w:sz w:val="22"/>
                <w:szCs w:val="22"/>
              </w:rPr>
            </w:pPr>
            <w:r>
              <w:rPr>
                <w:rFonts w:ascii="宋体" w:hAnsi="宋体" w:cs="宋体" w:eastAsia="宋体" w:hint="default"/>
                <w:sz w:val="22"/>
                <w:szCs w:val="22"/>
              </w:rPr>
              <w:t>筹资活动现金流出量</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22"/>
                <w:szCs w:val="22"/>
              </w:rPr>
            </w:pPr>
            <w:r>
              <w:rPr>
                <w:rFonts w:ascii="宋体"/>
                <w:spacing w:val="-1"/>
                <w:sz w:val="22"/>
              </w:rPr>
              <w:t>31,256,965.80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2"/>
                <w:szCs w:val="22"/>
              </w:rPr>
            </w:pPr>
            <w:r>
              <w:rPr>
                <w:rFonts w:ascii="宋体"/>
                <w:spacing w:val="-1"/>
                <w:sz w:val="22"/>
              </w:rPr>
              <w:t>29,429,619.54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2"/>
                <w:szCs w:val="22"/>
              </w:rPr>
            </w:pPr>
            <w:r>
              <w:rPr>
                <w:rFonts w:ascii="宋体"/>
                <w:sz w:val="22"/>
              </w:rPr>
              <w:t>6.21%</w:t>
            </w:r>
          </w:p>
        </w:tc>
      </w:tr>
      <w:tr>
        <w:trPr>
          <w:trHeight w:val="634" w:hRule="exact"/>
        </w:trPr>
        <w:tc>
          <w:tcPr>
            <w:tcW w:w="35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四、汇率变动对现金及现金等价物</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的影响</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22"/>
                <w:szCs w:val="22"/>
              </w:rPr>
            </w:pPr>
            <w:r>
              <w:rPr>
                <w:rFonts w:ascii="宋体"/>
                <w:spacing w:val="-1"/>
                <w:sz w:val="22"/>
              </w:rPr>
              <w:t>1,539,447.94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22"/>
                <w:szCs w:val="22"/>
              </w:rPr>
            </w:pPr>
            <w:r>
              <w:rPr>
                <w:rFonts w:ascii="宋体"/>
                <w:spacing w:val="-1"/>
                <w:sz w:val="22"/>
              </w:rPr>
              <w:t>-4,159,845.11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99"/>
              <w:jc w:val="right"/>
              <w:rPr>
                <w:rFonts w:ascii="宋体" w:hAnsi="宋体" w:cs="宋体" w:eastAsia="宋体" w:hint="default"/>
                <w:sz w:val="22"/>
                <w:szCs w:val="22"/>
              </w:rPr>
            </w:pPr>
            <w:r>
              <w:rPr>
                <w:rFonts w:ascii="宋体"/>
                <w:sz w:val="22"/>
              </w:rPr>
              <w:t>137.01%</w:t>
            </w:r>
          </w:p>
        </w:tc>
      </w:tr>
      <w:tr>
        <w:trPr>
          <w:trHeight w:val="389" w:hRule="exact"/>
        </w:trPr>
        <w:tc>
          <w:tcPr>
            <w:tcW w:w="35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22"/>
                <w:szCs w:val="22"/>
              </w:rPr>
            </w:pPr>
            <w:r>
              <w:rPr>
                <w:rFonts w:ascii="宋体" w:hAnsi="宋体" w:cs="宋体" w:eastAsia="宋体" w:hint="default"/>
                <w:sz w:val="22"/>
                <w:szCs w:val="22"/>
              </w:rPr>
              <w:t>五、现金及现金等价物净增加额</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2"/>
                <w:szCs w:val="22"/>
              </w:rPr>
            </w:pPr>
            <w:r>
              <w:rPr>
                <w:rFonts w:ascii="宋体"/>
                <w:spacing w:val="-1"/>
                <w:sz w:val="22"/>
              </w:rPr>
              <w:t>23,794,504.21</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2"/>
                <w:szCs w:val="22"/>
              </w:rPr>
            </w:pPr>
            <w:r>
              <w:rPr>
                <w:rFonts w:ascii="宋体"/>
                <w:spacing w:val="-1"/>
                <w:sz w:val="22"/>
              </w:rPr>
              <w:t>24,866,799.36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2"/>
                <w:szCs w:val="22"/>
              </w:rPr>
            </w:pPr>
            <w:r>
              <w:rPr>
                <w:rFonts w:ascii="宋体"/>
                <w:sz w:val="22"/>
              </w:rPr>
              <w:t>-4.31%</w:t>
            </w:r>
          </w:p>
        </w:tc>
      </w:tr>
    </w:tbl>
    <w:p>
      <w:pPr>
        <w:pStyle w:val="BodyText"/>
        <w:spacing w:line="274" w:lineRule="exact" w:before="0"/>
        <w:ind w:left="700" w:right="334"/>
        <w:jc w:val="left"/>
      </w:pPr>
      <w:r>
        <w:rPr/>
        <w:t>2010</w:t>
      </w:r>
      <w:r>
        <w:rPr>
          <w:spacing w:val="-60"/>
        </w:rPr>
        <w:t> </w:t>
      </w:r>
      <w:r>
        <w:rPr/>
        <w:t>年度公司经营活动产生的现金流量净额为</w:t>
      </w:r>
      <w:r>
        <w:rPr>
          <w:spacing w:val="-60"/>
        </w:rPr>
        <w:t> </w:t>
      </w:r>
      <w:r>
        <w:rPr/>
        <w:t>42,890,745.78</w:t>
      </w:r>
      <w:r>
        <w:rPr>
          <w:spacing w:val="-60"/>
        </w:rPr>
        <w:t> </w:t>
      </w:r>
      <w:r>
        <w:rPr/>
        <w:t>元，与税后净利</w:t>
      </w:r>
    </w:p>
    <w:p>
      <w:pPr>
        <w:pStyle w:val="BodyText"/>
        <w:spacing w:line="357" w:lineRule="auto" w:before="151"/>
        <w:ind w:left="700" w:right="334" w:hanging="483"/>
        <w:jc w:val="left"/>
      </w:pPr>
      <w:r>
        <w:rPr/>
        <w:t>润金额相当，表明公司经营状况良好，应收账款的回收情况也十分良好。 公司投资活动的现金流出增加</w:t>
      </w:r>
      <w:r>
        <w:rPr>
          <w:spacing w:val="-94"/>
        </w:rPr>
        <w:t> </w:t>
      </w:r>
      <w:r>
        <w:rPr/>
        <w:t>177.82%，主要为长期待摊费用、无形资产和开发</w:t>
      </w:r>
    </w:p>
    <w:p>
      <w:pPr>
        <w:pStyle w:val="BodyText"/>
        <w:spacing w:line="357" w:lineRule="auto" w:before="34"/>
        <w:ind w:left="700" w:right="345" w:hanging="483"/>
        <w:jc w:val="left"/>
      </w:pPr>
      <w:r>
        <w:rPr/>
        <w:t>支出增加所致。 </w:t>
      </w:r>
      <w:r>
        <w:rPr>
          <w:spacing w:val="-3"/>
        </w:rPr>
        <w:t>公司筹资活动的现金流入主要为取得借款，现金流出主要为偿还借款支付的现金</w:t>
      </w:r>
    </w:p>
    <w:p>
      <w:pPr>
        <w:pStyle w:val="BodyText"/>
        <w:spacing w:line="417" w:lineRule="auto" w:before="34"/>
        <w:ind w:left="218" w:right="5762"/>
        <w:jc w:val="left"/>
      </w:pPr>
      <w:r>
        <w:rPr/>
        <w:t>及分配股利、利润或偿付利息。 13、会计制度实施情况</w:t>
      </w:r>
    </w:p>
    <w:p>
      <w:pPr>
        <w:pStyle w:val="BodyText"/>
        <w:spacing w:line="290" w:lineRule="exact" w:before="0"/>
        <w:ind w:left="628" w:right="334"/>
        <w:jc w:val="left"/>
      </w:pPr>
      <w:r>
        <w:rPr/>
        <w:t>报告期内公司主要会计政策、会计估计及会计核算方法未发生重大变更。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218" w:right="4544" w:firstLine="0"/>
        <w:jc w:val="left"/>
        <w:rPr>
          <w:rFonts w:ascii="宋体" w:hAnsi="宋体" w:cs="宋体" w:eastAsia="宋体" w:hint="default"/>
          <w:sz w:val="24"/>
          <w:szCs w:val="24"/>
        </w:rPr>
      </w:pPr>
      <w:r>
        <w:rPr>
          <w:rFonts w:ascii="宋体" w:hAnsi="宋体" w:cs="宋体" w:eastAsia="宋体" w:hint="default"/>
          <w:b/>
          <w:bCs/>
          <w:sz w:val="24"/>
          <w:szCs w:val="24"/>
        </w:rPr>
        <w:t>二、报告期主要资产、负债及重大投资事项</w:t>
      </w:r>
      <w:r>
        <w:rPr>
          <w:rFonts w:ascii="宋体" w:hAnsi="宋体" w:cs="宋体" w:eastAsia="宋体" w:hint="default"/>
          <w:b/>
          <w:bCs/>
          <w:w w:val="99"/>
          <w:sz w:val="24"/>
          <w:szCs w:val="24"/>
        </w:rPr>
        <w:t> </w:t>
      </w:r>
      <w:r>
        <w:rPr>
          <w:rFonts w:ascii="宋体" w:hAnsi="宋体" w:cs="宋体" w:eastAsia="宋体" w:hint="default"/>
          <w:sz w:val="24"/>
          <w:szCs w:val="24"/>
        </w:rPr>
        <w:t>1、报告期资产构成情况说明 (1)重要固定资产情况</w:t>
      </w:r>
    </w:p>
    <w:tbl>
      <w:tblPr>
        <w:tblW w:w="0" w:type="auto"/>
        <w:jc w:val="left"/>
        <w:tblInd w:w="280" w:type="dxa"/>
        <w:tblLayout w:type="fixed"/>
        <w:tblCellMar>
          <w:top w:w="0" w:type="dxa"/>
          <w:left w:w="0" w:type="dxa"/>
          <w:bottom w:w="0" w:type="dxa"/>
          <w:right w:w="0" w:type="dxa"/>
        </w:tblCellMar>
        <w:tblLook w:val="01E0"/>
      </w:tblPr>
      <w:tblGrid>
        <w:gridCol w:w="1488"/>
        <w:gridCol w:w="3118"/>
        <w:gridCol w:w="1418"/>
        <w:gridCol w:w="1183"/>
        <w:gridCol w:w="1735"/>
      </w:tblGrid>
      <w:tr>
        <w:trPr>
          <w:trHeight w:val="643" w:hRule="exact"/>
        </w:trPr>
        <w:tc>
          <w:tcPr>
            <w:tcW w:w="148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tabs>
                <w:tab w:pos="844" w:val="left" w:leader="none"/>
              </w:tabs>
              <w:spacing w:line="264" w:lineRule="exact"/>
              <w:ind w:left="403" w:right="0"/>
              <w:jc w:val="left"/>
              <w:rPr>
                <w:rFonts w:ascii="宋体" w:hAnsi="宋体" w:cs="宋体" w:eastAsia="宋体" w:hint="default"/>
                <w:sz w:val="22"/>
                <w:szCs w:val="22"/>
              </w:rPr>
            </w:pPr>
            <w:r>
              <w:rPr>
                <w:rFonts w:ascii="宋体" w:hAnsi="宋体" w:cs="宋体" w:eastAsia="宋体" w:hint="default"/>
                <w:sz w:val="22"/>
                <w:szCs w:val="22"/>
              </w:rPr>
              <w:t>类</w:t>
              <w:tab/>
              <w:t>别</w:t>
            </w:r>
          </w:p>
        </w:tc>
        <w:tc>
          <w:tcPr>
            <w:tcW w:w="311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4" w:lineRule="exact"/>
              <w:ind w:left="2" w:right="0"/>
              <w:jc w:val="center"/>
              <w:rPr>
                <w:rFonts w:ascii="宋体" w:hAnsi="宋体" w:cs="宋体" w:eastAsia="宋体" w:hint="default"/>
                <w:sz w:val="22"/>
                <w:szCs w:val="22"/>
              </w:rPr>
            </w:pPr>
            <w:r>
              <w:rPr>
                <w:rFonts w:ascii="宋体" w:hAnsi="宋体" w:cs="宋体" w:eastAsia="宋体" w:hint="default"/>
                <w:sz w:val="22"/>
                <w:szCs w:val="22"/>
              </w:rPr>
              <w:t>地点</w:t>
            </w:r>
          </w:p>
        </w:tc>
        <w:tc>
          <w:tcPr>
            <w:tcW w:w="141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tabs>
                <w:tab w:pos="811" w:val="left" w:leader="none"/>
              </w:tabs>
              <w:spacing w:line="264" w:lineRule="exact"/>
              <w:ind w:left="369" w:right="0"/>
              <w:jc w:val="left"/>
              <w:rPr>
                <w:rFonts w:ascii="宋体" w:hAnsi="宋体" w:cs="宋体" w:eastAsia="宋体" w:hint="default"/>
                <w:sz w:val="22"/>
                <w:szCs w:val="22"/>
              </w:rPr>
            </w:pPr>
            <w:r>
              <w:rPr>
                <w:rFonts w:ascii="宋体" w:hAnsi="宋体" w:cs="宋体" w:eastAsia="宋体" w:hint="default"/>
                <w:sz w:val="22"/>
                <w:szCs w:val="22"/>
              </w:rPr>
              <w:t>状</w:t>
              <w:tab/>
              <w:t>态</w:t>
            </w:r>
          </w:p>
        </w:tc>
        <w:tc>
          <w:tcPr>
            <w:tcW w:w="1183"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tabs>
                <w:tab w:pos="443" w:val="left" w:leader="none"/>
              </w:tabs>
              <w:spacing w:line="264" w:lineRule="exact"/>
              <w:ind w:left="2" w:right="0"/>
              <w:jc w:val="center"/>
              <w:rPr>
                <w:rFonts w:ascii="宋体" w:hAnsi="宋体" w:cs="宋体" w:eastAsia="宋体" w:hint="default"/>
                <w:sz w:val="22"/>
                <w:szCs w:val="22"/>
              </w:rPr>
            </w:pPr>
            <w:r>
              <w:rPr>
                <w:rFonts w:ascii="宋体" w:hAnsi="宋体" w:cs="宋体" w:eastAsia="宋体" w:hint="default"/>
                <w:sz w:val="22"/>
                <w:szCs w:val="22"/>
              </w:rPr>
              <w:t>性</w:t>
              <w:tab/>
              <w:t>质</w:t>
            </w:r>
          </w:p>
        </w:tc>
        <w:tc>
          <w:tcPr>
            <w:tcW w:w="1735"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4" w:lineRule="exact"/>
              <w:ind w:left="98" w:right="0" w:firstLine="98"/>
              <w:jc w:val="left"/>
              <w:rPr>
                <w:rFonts w:ascii="宋体" w:hAnsi="宋体" w:cs="宋体" w:eastAsia="宋体" w:hint="default"/>
                <w:sz w:val="22"/>
                <w:szCs w:val="22"/>
              </w:rPr>
            </w:pPr>
            <w:r>
              <w:rPr>
                <w:rFonts w:ascii="宋体" w:hAnsi="宋体" w:cs="宋体" w:eastAsia="宋体" w:hint="default"/>
                <w:sz w:val="22"/>
                <w:szCs w:val="22"/>
              </w:rPr>
              <w:t>相关担保、诉</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pacing w:val="-4"/>
                <w:sz w:val="22"/>
                <w:szCs w:val="22"/>
              </w:rPr>
              <w:t>讼、仲裁等情况</w:t>
            </w:r>
          </w:p>
        </w:tc>
      </w:tr>
      <w:tr>
        <w:trPr>
          <w:trHeight w:val="643" w:hRule="exact"/>
        </w:trPr>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sz w:val="22"/>
                <w:szCs w:val="22"/>
              </w:rPr>
              <w:t>办公场所</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sz w:val="22"/>
                <w:szCs w:val="22"/>
              </w:rPr>
              <w:t>南京市山西路8号金山大厦B楼</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19层C、D、E、F、G座</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sz w:val="22"/>
                <w:szCs w:val="22"/>
              </w:rPr>
              <w:t>正常无风险</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right="82"/>
              <w:jc w:val="center"/>
              <w:rPr>
                <w:rFonts w:ascii="宋体" w:hAnsi="宋体" w:cs="宋体" w:eastAsia="宋体" w:hint="default"/>
                <w:sz w:val="22"/>
                <w:szCs w:val="22"/>
              </w:rPr>
            </w:pPr>
            <w:r>
              <w:rPr>
                <w:rFonts w:ascii="宋体" w:hAnsi="宋体" w:cs="宋体" w:eastAsia="宋体" w:hint="default"/>
                <w:sz w:val="22"/>
                <w:szCs w:val="22"/>
              </w:rPr>
              <w:t>生产经营</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64" w:lineRule="exact"/>
              <w:ind w:left="98" w:right="0"/>
              <w:jc w:val="left"/>
              <w:rPr>
                <w:rFonts w:ascii="宋体" w:hAnsi="宋体" w:cs="宋体" w:eastAsia="宋体" w:hint="default"/>
                <w:sz w:val="22"/>
                <w:szCs w:val="22"/>
              </w:rPr>
            </w:pPr>
            <w:r>
              <w:rPr>
                <w:rFonts w:ascii="宋体" w:hAnsi="宋体" w:cs="宋体" w:eastAsia="宋体" w:hint="default"/>
                <w:w w:val="100"/>
                <w:sz w:val="22"/>
                <w:szCs w:val="22"/>
              </w:rPr>
              <w:t>无</w:t>
            </w:r>
          </w:p>
        </w:tc>
      </w:tr>
      <w:tr>
        <w:trPr>
          <w:trHeight w:val="334" w:hRule="exact"/>
        </w:trPr>
        <w:tc>
          <w:tcPr>
            <w:tcW w:w="148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计算机设备</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公司内部</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正常无风险</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82"/>
              <w:jc w:val="center"/>
              <w:rPr>
                <w:rFonts w:ascii="宋体" w:hAnsi="宋体" w:cs="宋体" w:eastAsia="宋体" w:hint="default"/>
                <w:sz w:val="22"/>
                <w:szCs w:val="22"/>
              </w:rPr>
            </w:pPr>
            <w:r>
              <w:rPr>
                <w:rFonts w:ascii="宋体" w:hAnsi="宋体" w:cs="宋体" w:eastAsia="宋体" w:hint="default"/>
                <w:sz w:val="22"/>
                <w:szCs w:val="22"/>
              </w:rPr>
              <w:t>生产经营</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w w:val="100"/>
                <w:sz w:val="22"/>
                <w:szCs w:val="22"/>
              </w:rPr>
              <w:t>无</w:t>
            </w:r>
          </w:p>
        </w:tc>
      </w:tr>
    </w:tbl>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00" w:h="16840"/>
          <w:pgMar w:header="874" w:footer="983" w:top="1100" w:bottom="1180" w:left="1200" w:right="1340"/>
        </w:sectPr>
      </w:pPr>
    </w:p>
    <w:p>
      <w:pPr>
        <w:pStyle w:val="BodyText"/>
        <w:spacing w:line="240" w:lineRule="auto" w:before="26"/>
        <w:ind w:left="218" w:right="-20"/>
        <w:jc w:val="left"/>
      </w:pPr>
      <w:r>
        <w:rPr/>
        <w:t>(2)主要资产构成变动情况</w:t>
      </w:r>
    </w:p>
    <w:p>
      <w:pPr>
        <w:spacing w:line="240" w:lineRule="auto" w:before="0"/>
        <w:rPr>
          <w:rFonts w:ascii="宋体" w:hAnsi="宋体" w:cs="宋体" w:eastAsia="宋体" w:hint="default"/>
          <w:sz w:val="20"/>
          <w:szCs w:val="20"/>
        </w:rPr>
      </w:pPr>
      <w:r>
        <w:rPr/>
        <w:br w:type="column"/>
      </w:r>
      <w:r>
        <w:rPr>
          <w:rFonts w:ascii="宋体"/>
          <w:sz w:val="20"/>
        </w:rPr>
      </w:r>
    </w:p>
    <w:p>
      <w:pPr>
        <w:spacing w:before="171"/>
        <w:ind w:left="218"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00" w:h="16840"/>
          <w:pgMar w:top="1040" w:bottom="1180" w:left="1200" w:right="1340"/>
          <w:cols w:num="2" w:equalWidth="0">
            <w:col w:w="2979" w:space="5011"/>
            <w:col w:w="1370"/>
          </w:cols>
        </w:sectPr>
      </w:pPr>
    </w:p>
    <w:p>
      <w:pPr>
        <w:spacing w:line="240" w:lineRule="auto" w:before="5"/>
        <w:rPr>
          <w:rFonts w:ascii="宋体" w:hAnsi="宋体" w:cs="宋体" w:eastAsia="宋体" w:hint="default"/>
          <w:sz w:val="3"/>
          <w:szCs w:val="3"/>
        </w:rPr>
      </w:pPr>
    </w:p>
    <w:tbl>
      <w:tblPr>
        <w:tblW w:w="0" w:type="auto"/>
        <w:jc w:val="left"/>
        <w:tblInd w:w="280" w:type="dxa"/>
        <w:tblLayout w:type="fixed"/>
        <w:tblCellMar>
          <w:top w:w="0" w:type="dxa"/>
          <w:left w:w="0" w:type="dxa"/>
          <w:bottom w:w="0" w:type="dxa"/>
          <w:right w:w="0" w:type="dxa"/>
        </w:tblCellMar>
        <w:tblLook w:val="01E0"/>
      </w:tblPr>
      <w:tblGrid>
        <w:gridCol w:w="1411"/>
        <w:gridCol w:w="1937"/>
        <w:gridCol w:w="1270"/>
        <w:gridCol w:w="1778"/>
        <w:gridCol w:w="1246"/>
        <w:gridCol w:w="1246"/>
      </w:tblGrid>
      <w:tr>
        <w:trPr>
          <w:trHeight w:val="332" w:hRule="exact"/>
        </w:trPr>
        <w:tc>
          <w:tcPr>
            <w:tcW w:w="1411" w:type="dxa"/>
            <w:vMerge w:val="restart"/>
            <w:tcBorders>
              <w:top w:val="single" w:sz="8" w:space="0" w:color="000000"/>
              <w:left w:val="single" w:sz="8" w:space="0" w:color="000000"/>
              <w:right w:val="single" w:sz="8" w:space="0" w:color="000000"/>
            </w:tcBorders>
            <w:shd w:val="clear" w:color="auto" w:fill="DDDDDD"/>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54" w:right="0"/>
              <w:jc w:val="left"/>
              <w:rPr>
                <w:rFonts w:ascii="宋体" w:hAnsi="宋体" w:cs="宋体" w:eastAsia="宋体" w:hint="default"/>
                <w:sz w:val="22"/>
                <w:szCs w:val="22"/>
              </w:rPr>
            </w:pPr>
            <w:r>
              <w:rPr>
                <w:rFonts w:ascii="宋体" w:hAnsi="宋体" w:cs="宋体" w:eastAsia="宋体" w:hint="default"/>
                <w:sz w:val="22"/>
                <w:szCs w:val="22"/>
              </w:rPr>
              <w:t>资产项目</w:t>
            </w:r>
          </w:p>
        </w:tc>
        <w:tc>
          <w:tcPr>
            <w:tcW w:w="3206" w:type="dxa"/>
            <w:gridSpan w:val="2"/>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2010年末</w:t>
            </w:r>
          </w:p>
        </w:tc>
        <w:tc>
          <w:tcPr>
            <w:tcW w:w="3024" w:type="dxa"/>
            <w:gridSpan w:val="2"/>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2009年末</w:t>
            </w:r>
          </w:p>
        </w:tc>
        <w:tc>
          <w:tcPr>
            <w:tcW w:w="1246" w:type="dxa"/>
            <w:vMerge w:val="restart"/>
            <w:tcBorders>
              <w:top w:val="single" w:sz="8" w:space="0" w:color="000000"/>
              <w:left w:val="single" w:sz="8" w:space="0" w:color="000000"/>
              <w:right w:val="single" w:sz="8" w:space="0" w:color="000000"/>
            </w:tcBorders>
            <w:shd w:val="clear" w:color="auto" w:fill="DDDDDD"/>
          </w:tcPr>
          <w:p>
            <w:pPr>
              <w:pStyle w:val="TableParagraph"/>
              <w:spacing w:line="240" w:lineRule="auto" w:before="146"/>
              <w:ind w:right="0"/>
              <w:jc w:val="center"/>
              <w:rPr>
                <w:rFonts w:ascii="宋体" w:hAnsi="宋体" w:cs="宋体" w:eastAsia="宋体" w:hint="default"/>
                <w:sz w:val="22"/>
                <w:szCs w:val="22"/>
              </w:rPr>
            </w:pPr>
            <w:r>
              <w:rPr>
                <w:rFonts w:ascii="宋体" w:hAnsi="宋体" w:cs="宋体" w:eastAsia="宋体" w:hint="default"/>
                <w:sz w:val="22"/>
                <w:szCs w:val="22"/>
              </w:rPr>
              <w:t>同比增减</w:t>
            </w:r>
          </w:p>
          <w:p>
            <w:pPr>
              <w:pStyle w:val="TableParagraph"/>
              <w:spacing w:line="240" w:lineRule="auto" w:before="24"/>
              <w:ind w:left="2" w:right="0"/>
              <w:jc w:val="center"/>
              <w:rPr>
                <w:rFonts w:ascii="宋体" w:hAnsi="宋体" w:cs="宋体" w:eastAsia="宋体" w:hint="default"/>
                <w:sz w:val="22"/>
                <w:szCs w:val="22"/>
              </w:rPr>
            </w:pPr>
            <w:r>
              <w:rPr>
                <w:rFonts w:ascii="宋体" w:hAnsi="宋体" w:cs="宋体" w:eastAsia="宋体" w:hint="default"/>
                <w:sz w:val="22"/>
                <w:szCs w:val="22"/>
              </w:rPr>
              <w:t>（%）</w:t>
            </w:r>
          </w:p>
        </w:tc>
      </w:tr>
      <w:tr>
        <w:trPr>
          <w:trHeight w:val="644" w:hRule="exact"/>
        </w:trPr>
        <w:tc>
          <w:tcPr>
            <w:tcW w:w="1411" w:type="dxa"/>
            <w:vMerge/>
            <w:tcBorders>
              <w:left w:val="single" w:sz="8" w:space="0" w:color="000000"/>
              <w:bottom w:val="single" w:sz="8" w:space="0" w:color="000000"/>
              <w:right w:val="single" w:sz="8" w:space="0" w:color="000000"/>
            </w:tcBorders>
            <w:shd w:val="clear" w:color="auto" w:fill="DDDDDD"/>
          </w:tcPr>
          <w:p>
            <w:pPr/>
          </w:p>
        </w:tc>
        <w:tc>
          <w:tcPr>
            <w:tcW w:w="1937"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7" w:lineRule="exact"/>
              <w:ind w:left="2"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27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7" w:lineRule="exact"/>
              <w:ind w:left="2" w:right="0"/>
              <w:jc w:val="center"/>
              <w:rPr>
                <w:rFonts w:ascii="宋体" w:hAnsi="宋体" w:cs="宋体" w:eastAsia="宋体" w:hint="default"/>
                <w:sz w:val="22"/>
                <w:szCs w:val="22"/>
              </w:rPr>
            </w:pPr>
            <w:r>
              <w:rPr>
                <w:rFonts w:ascii="宋体" w:hAnsi="宋体" w:cs="宋体" w:eastAsia="宋体" w:hint="default"/>
                <w:sz w:val="22"/>
                <w:szCs w:val="22"/>
              </w:rPr>
              <w:t>占总资产</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的%</w:t>
            </w:r>
          </w:p>
        </w:tc>
        <w:tc>
          <w:tcPr>
            <w:tcW w:w="177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24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7" w:lineRule="exact"/>
              <w:ind w:right="0"/>
              <w:jc w:val="center"/>
              <w:rPr>
                <w:rFonts w:ascii="宋体" w:hAnsi="宋体" w:cs="宋体" w:eastAsia="宋体" w:hint="default"/>
                <w:sz w:val="22"/>
                <w:szCs w:val="22"/>
              </w:rPr>
            </w:pPr>
            <w:r>
              <w:rPr>
                <w:rFonts w:ascii="宋体" w:hAnsi="宋体" w:cs="宋体" w:eastAsia="宋体" w:hint="default"/>
                <w:sz w:val="22"/>
                <w:szCs w:val="22"/>
              </w:rPr>
              <w:t>占总资产</w:t>
            </w:r>
          </w:p>
          <w:p>
            <w:pPr>
              <w:pStyle w:val="TableParagraph"/>
              <w:spacing w:line="240" w:lineRule="auto" w:before="24"/>
              <w:ind w:right="5"/>
              <w:jc w:val="center"/>
              <w:rPr>
                <w:rFonts w:ascii="宋体" w:hAnsi="宋体" w:cs="宋体" w:eastAsia="宋体" w:hint="default"/>
                <w:sz w:val="22"/>
                <w:szCs w:val="22"/>
              </w:rPr>
            </w:pPr>
            <w:r>
              <w:rPr>
                <w:rFonts w:ascii="宋体" w:hAnsi="宋体" w:cs="宋体" w:eastAsia="宋体" w:hint="default"/>
                <w:sz w:val="22"/>
                <w:szCs w:val="22"/>
              </w:rPr>
              <w:t>的%</w:t>
            </w:r>
          </w:p>
        </w:tc>
        <w:tc>
          <w:tcPr>
            <w:tcW w:w="1246" w:type="dxa"/>
            <w:vMerge/>
            <w:tcBorders>
              <w:left w:val="single" w:sz="8" w:space="0" w:color="000000"/>
              <w:bottom w:val="single" w:sz="8" w:space="0" w:color="000000"/>
              <w:right w:val="single" w:sz="8" w:space="0" w:color="000000"/>
            </w:tcBorders>
            <w:shd w:val="clear" w:color="auto" w:fill="DDDDDD"/>
          </w:tcPr>
          <w:p>
            <w:pPr/>
          </w:p>
        </w:tc>
      </w:tr>
      <w:tr>
        <w:trPr>
          <w:trHeight w:val="331" w:hRule="exact"/>
        </w:trPr>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296,183,647.67</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295" w:right="0"/>
              <w:jc w:val="left"/>
              <w:rPr>
                <w:rFonts w:ascii="宋体" w:hAnsi="宋体" w:cs="宋体" w:eastAsia="宋体" w:hint="default"/>
                <w:sz w:val="22"/>
                <w:szCs w:val="22"/>
              </w:rPr>
            </w:pPr>
            <w:r>
              <w:rPr>
                <w:rFonts w:ascii="宋体"/>
                <w:sz w:val="22"/>
              </w:rPr>
              <w:t>82.53%</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272,389,143.46</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281" w:right="0"/>
              <w:jc w:val="left"/>
              <w:rPr>
                <w:rFonts w:ascii="宋体" w:hAnsi="宋体" w:cs="宋体" w:eastAsia="宋体" w:hint="default"/>
                <w:sz w:val="22"/>
                <w:szCs w:val="22"/>
              </w:rPr>
            </w:pPr>
            <w:r>
              <w:rPr>
                <w:rFonts w:ascii="宋体"/>
                <w:sz w:val="22"/>
              </w:rPr>
              <w:t>86.53%</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37" w:right="0"/>
              <w:jc w:val="left"/>
              <w:rPr>
                <w:rFonts w:ascii="宋体" w:hAnsi="宋体" w:cs="宋体" w:eastAsia="宋体" w:hint="default"/>
                <w:sz w:val="22"/>
                <w:szCs w:val="22"/>
              </w:rPr>
            </w:pPr>
            <w:r>
              <w:rPr>
                <w:rFonts w:ascii="宋体"/>
                <w:sz w:val="22"/>
              </w:rPr>
              <w:t>8.74%</w:t>
            </w:r>
          </w:p>
        </w:tc>
      </w:tr>
      <w:tr>
        <w:trPr>
          <w:trHeight w:val="331" w:hRule="exact"/>
        </w:trPr>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25,388,054.15</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50" w:right="0"/>
              <w:jc w:val="left"/>
              <w:rPr>
                <w:rFonts w:ascii="宋体" w:hAnsi="宋体" w:cs="宋体" w:eastAsia="宋体" w:hint="default"/>
                <w:sz w:val="22"/>
                <w:szCs w:val="22"/>
              </w:rPr>
            </w:pPr>
            <w:r>
              <w:rPr>
                <w:rFonts w:ascii="宋体"/>
                <w:sz w:val="22"/>
              </w:rPr>
              <w:t>7.07%</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15,303,085.21</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36" w:right="0"/>
              <w:jc w:val="left"/>
              <w:rPr>
                <w:rFonts w:ascii="宋体" w:hAnsi="宋体" w:cs="宋体" w:eastAsia="宋体" w:hint="default"/>
                <w:sz w:val="22"/>
                <w:szCs w:val="22"/>
              </w:rPr>
            </w:pPr>
            <w:r>
              <w:rPr>
                <w:rFonts w:ascii="宋体"/>
                <w:sz w:val="22"/>
              </w:rPr>
              <w:t>4.86%</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280"/>
              <w:jc w:val="right"/>
              <w:rPr>
                <w:rFonts w:ascii="宋体" w:hAnsi="宋体" w:cs="宋体" w:eastAsia="宋体" w:hint="default"/>
                <w:sz w:val="22"/>
                <w:szCs w:val="22"/>
              </w:rPr>
            </w:pPr>
            <w:r>
              <w:rPr>
                <w:rFonts w:ascii="宋体"/>
                <w:sz w:val="22"/>
              </w:rPr>
              <w:t>65.90%</w:t>
            </w:r>
          </w:p>
        </w:tc>
      </w:tr>
      <w:tr>
        <w:trPr>
          <w:trHeight w:val="334" w:hRule="exact"/>
        </w:trPr>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98"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5"/>
              <w:jc w:val="right"/>
              <w:rPr>
                <w:rFonts w:ascii="宋体" w:hAnsi="宋体" w:cs="宋体" w:eastAsia="宋体" w:hint="default"/>
                <w:sz w:val="22"/>
                <w:szCs w:val="22"/>
              </w:rPr>
            </w:pPr>
            <w:r>
              <w:rPr>
                <w:rFonts w:ascii="宋体"/>
                <w:spacing w:val="-1"/>
                <w:sz w:val="22"/>
              </w:rPr>
              <w:t>8,115,134.41</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350" w:right="0"/>
              <w:jc w:val="left"/>
              <w:rPr>
                <w:rFonts w:ascii="宋体" w:hAnsi="宋体" w:cs="宋体" w:eastAsia="宋体" w:hint="default"/>
                <w:sz w:val="22"/>
                <w:szCs w:val="22"/>
              </w:rPr>
            </w:pPr>
            <w:r>
              <w:rPr>
                <w:rFonts w:ascii="宋体"/>
                <w:sz w:val="22"/>
              </w:rPr>
              <w:t>2.26%</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8"/>
              <w:jc w:val="right"/>
              <w:rPr>
                <w:rFonts w:ascii="宋体" w:hAnsi="宋体" w:cs="宋体" w:eastAsia="宋体" w:hint="default"/>
                <w:sz w:val="22"/>
                <w:szCs w:val="22"/>
              </w:rPr>
            </w:pPr>
            <w:r>
              <w:rPr>
                <w:rFonts w:ascii="宋体"/>
                <w:spacing w:val="-1"/>
                <w:sz w:val="22"/>
              </w:rPr>
              <w:t>3,185,874.87</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336" w:right="0"/>
              <w:jc w:val="left"/>
              <w:rPr>
                <w:rFonts w:ascii="宋体" w:hAnsi="宋体" w:cs="宋体" w:eastAsia="宋体" w:hint="default"/>
                <w:sz w:val="22"/>
                <w:szCs w:val="22"/>
              </w:rPr>
            </w:pPr>
            <w:r>
              <w:rPr>
                <w:rFonts w:ascii="宋体"/>
                <w:sz w:val="22"/>
              </w:rPr>
              <w:t>1.01%</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225"/>
              <w:jc w:val="right"/>
              <w:rPr>
                <w:rFonts w:ascii="宋体" w:hAnsi="宋体" w:cs="宋体" w:eastAsia="宋体" w:hint="default"/>
                <w:sz w:val="22"/>
                <w:szCs w:val="22"/>
              </w:rPr>
            </w:pPr>
            <w:r>
              <w:rPr>
                <w:rFonts w:ascii="宋体"/>
                <w:sz w:val="22"/>
              </w:rPr>
              <w:t>154.72%</w:t>
            </w:r>
          </w:p>
        </w:tc>
      </w:tr>
      <w:tr>
        <w:trPr>
          <w:trHeight w:val="331" w:hRule="exact"/>
        </w:trPr>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93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14,062,094.49</w:t>
            </w: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50" w:right="0"/>
              <w:jc w:val="left"/>
              <w:rPr>
                <w:rFonts w:ascii="宋体" w:hAnsi="宋体" w:cs="宋体" w:eastAsia="宋体" w:hint="default"/>
                <w:sz w:val="22"/>
                <w:szCs w:val="22"/>
              </w:rPr>
            </w:pPr>
            <w:r>
              <w:rPr>
                <w:rFonts w:ascii="宋体"/>
                <w:sz w:val="22"/>
              </w:rPr>
              <w:t>3.92%</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13,769,748.66</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36" w:right="0"/>
              <w:jc w:val="left"/>
              <w:rPr>
                <w:rFonts w:ascii="宋体" w:hAnsi="宋体" w:cs="宋体" w:eastAsia="宋体" w:hint="default"/>
                <w:sz w:val="22"/>
                <w:szCs w:val="22"/>
              </w:rPr>
            </w:pPr>
            <w:r>
              <w:rPr>
                <w:rFonts w:ascii="宋体"/>
                <w:sz w:val="22"/>
              </w:rPr>
              <w:t>4.37%</w:t>
            </w:r>
          </w:p>
        </w:tc>
        <w:tc>
          <w:tcPr>
            <w:tcW w:w="124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337" w:right="0"/>
              <w:jc w:val="left"/>
              <w:rPr>
                <w:rFonts w:ascii="宋体" w:hAnsi="宋体" w:cs="宋体" w:eastAsia="宋体" w:hint="default"/>
                <w:sz w:val="22"/>
                <w:szCs w:val="22"/>
              </w:rPr>
            </w:pPr>
            <w:r>
              <w:rPr>
                <w:rFonts w:ascii="宋体"/>
                <w:sz w:val="22"/>
              </w:rPr>
              <w:t>2.12%</w:t>
            </w:r>
          </w:p>
        </w:tc>
      </w:tr>
    </w:tbl>
    <w:p>
      <w:pPr>
        <w:pStyle w:val="BodyText"/>
        <w:spacing w:line="274" w:lineRule="exact" w:before="0"/>
        <w:ind w:left="218" w:right="0" w:firstLine="480"/>
        <w:jc w:val="left"/>
      </w:pPr>
      <w:r>
        <w:rPr/>
        <w:t>公司</w:t>
      </w:r>
      <w:r>
        <w:rPr>
          <w:spacing w:val="-60"/>
        </w:rPr>
        <w:t> </w:t>
      </w:r>
      <w:r>
        <w:rPr/>
        <w:t>2010</w:t>
      </w:r>
      <w:r>
        <w:rPr>
          <w:spacing w:val="-60"/>
        </w:rPr>
        <w:t> </w:t>
      </w:r>
      <w:r>
        <w:rPr>
          <w:spacing w:val="-3"/>
        </w:rPr>
        <w:t>年底、2009</w:t>
      </w:r>
      <w:r>
        <w:rPr>
          <w:spacing w:val="-60"/>
        </w:rPr>
        <w:t> </w:t>
      </w:r>
      <w:r>
        <w:rPr/>
        <w:t>年底的总资产分别为</w:t>
      </w:r>
      <w:r>
        <w:rPr>
          <w:spacing w:val="-60"/>
        </w:rPr>
        <w:t> </w:t>
      </w:r>
      <w:r>
        <w:rPr/>
        <w:t>35,889</w:t>
      </w:r>
      <w:r>
        <w:rPr>
          <w:spacing w:val="-60"/>
        </w:rPr>
        <w:t> </w:t>
      </w:r>
      <w:r>
        <w:rPr/>
        <w:t>万元和</w:t>
      </w:r>
      <w:r>
        <w:rPr>
          <w:spacing w:val="-60"/>
        </w:rPr>
        <w:t> </w:t>
      </w:r>
      <w:r>
        <w:rPr/>
        <w:t>31,481</w:t>
      </w:r>
      <w:r>
        <w:rPr>
          <w:spacing w:val="-60"/>
        </w:rPr>
        <w:t> </w:t>
      </w:r>
      <w:r>
        <w:rPr>
          <w:spacing w:val="-3"/>
        </w:rPr>
        <w:t>万元，同比增</w:t>
      </w:r>
    </w:p>
    <w:p>
      <w:pPr>
        <w:pStyle w:val="BodyText"/>
        <w:spacing w:line="357" w:lineRule="auto" w:before="154"/>
        <w:ind w:left="218" w:right="335"/>
        <w:jc w:val="left"/>
      </w:pPr>
      <w:r>
        <w:rPr/>
        <w:t>加</w:t>
      </w:r>
      <w:r>
        <w:rPr>
          <w:spacing w:val="-93"/>
        </w:rPr>
        <w:t> </w:t>
      </w:r>
      <w:r>
        <w:rPr/>
        <w:t>14.00％；各项资产占总资产的比例与上年同期比未发生显著变化，表明公司各项</w:t>
      </w:r>
      <w:r>
        <w:rPr/>
        <w:t> 资产状态正常。</w:t>
      </w:r>
    </w:p>
    <w:p>
      <w:pPr>
        <w:spacing w:after="0" w:line="357" w:lineRule="auto"/>
        <w:jc w:val="left"/>
        <w:sectPr>
          <w:type w:val="continuous"/>
          <w:pgSz w:w="11900" w:h="16840"/>
          <w:pgMar w:top="1040" w:bottom="1180" w:left="1200" w:right="1340"/>
        </w:sectPr>
      </w:pPr>
    </w:p>
    <w:p>
      <w:pPr>
        <w:spacing w:line="240" w:lineRule="auto" w:before="7"/>
        <w:rPr>
          <w:rFonts w:ascii="宋体" w:hAnsi="宋体" w:cs="宋体" w:eastAsia="宋体" w:hint="default"/>
          <w:sz w:val="19"/>
          <w:szCs w:val="19"/>
        </w:rPr>
      </w:pPr>
    </w:p>
    <w:p>
      <w:pPr>
        <w:pStyle w:val="BodyText"/>
        <w:spacing w:line="240" w:lineRule="auto" w:before="26"/>
        <w:ind w:left="335" w:right="0"/>
        <w:jc w:val="left"/>
      </w:pPr>
      <w:r>
        <w:rPr/>
        <w:t>（1）货币资金同比增加</w:t>
      </w:r>
      <w:r>
        <w:rPr>
          <w:spacing w:val="-60"/>
        </w:rPr>
        <w:t> </w:t>
      </w:r>
      <w:r>
        <w:rPr/>
        <w:t>8.74%，主要原因是正常业务利润增加。</w:t>
      </w:r>
    </w:p>
    <w:p>
      <w:pPr>
        <w:pStyle w:val="BodyText"/>
        <w:spacing w:line="240" w:lineRule="auto" w:before="154"/>
        <w:ind w:left="335" w:right="0"/>
        <w:jc w:val="left"/>
      </w:pPr>
      <w:r>
        <w:rPr/>
        <w:t>（2）应收账款同比增加</w:t>
      </w:r>
      <w:r>
        <w:rPr>
          <w:spacing w:val="-60"/>
        </w:rPr>
        <w:t> </w:t>
      </w:r>
      <w:r>
        <w:rPr/>
        <w:t>65.90%，主要系营业收入增加及合并报表范围增加所致。</w:t>
      </w:r>
    </w:p>
    <w:p>
      <w:pPr>
        <w:pStyle w:val="BodyText"/>
        <w:spacing w:line="417" w:lineRule="auto" w:before="151"/>
        <w:ind w:left="138" w:right="2086" w:firstLine="196"/>
        <w:jc w:val="left"/>
      </w:pPr>
      <w:r>
        <w:rPr/>
        <w:t>（3）其他应收款同比增加</w:t>
      </w:r>
      <w:r>
        <w:rPr>
          <w:spacing w:val="-60"/>
        </w:rPr>
        <w:t> </w:t>
      </w:r>
      <w:r>
        <w:rPr/>
        <w:t>154.72%,主要系支付购房意向金所致。</w:t>
      </w:r>
      <w:r>
        <w:rPr/>
        <w:t> 2、核心资产使用、盈利能力及减值情况</w:t>
      </w:r>
    </w:p>
    <w:p>
      <w:pPr>
        <w:pStyle w:val="BodyText"/>
        <w:spacing w:line="290" w:lineRule="exact" w:before="0"/>
        <w:ind w:left="138" w:right="0" w:firstLine="480"/>
        <w:jc w:val="left"/>
      </w:pPr>
      <w:r>
        <w:rPr/>
        <w:t>报告期内，公司核心资产使用效率正常，未发生产能低于70%的情况。公司核心</w:t>
      </w:r>
    </w:p>
    <w:p>
      <w:pPr>
        <w:pStyle w:val="BodyText"/>
        <w:spacing w:line="357" w:lineRule="auto" w:before="154"/>
        <w:ind w:left="138" w:right="0"/>
        <w:jc w:val="left"/>
      </w:pPr>
      <w:r>
        <w:rPr>
          <w:spacing w:val="-3"/>
        </w:rPr>
        <w:t>资产的盈利能力没有发生变化，也没有出现替代资产或资产升级换代导致公司核心资</w:t>
      </w:r>
      <w:r>
        <w:rPr>
          <w:spacing w:val="-101"/>
        </w:rPr>
        <w:t> </w:t>
      </w:r>
      <w:r>
        <w:rPr>
          <w:spacing w:val="-101"/>
        </w:rPr>
      </w:r>
      <w:r>
        <w:rPr/>
        <w:t>产盈利能力降低的情况。报告期末，公司核心资产不存在减值迹象。 3、主要资产的计量</w:t>
      </w:r>
    </w:p>
    <w:p>
      <w:pPr>
        <w:pStyle w:val="BodyText"/>
        <w:spacing w:line="357" w:lineRule="auto"/>
        <w:ind w:left="138" w:right="4622" w:firstLine="480"/>
        <w:jc w:val="left"/>
      </w:pPr>
      <w:r>
        <w:rPr/>
        <w:t>报告期内主要资产均以历史成本计量。 4、债权债务变动</w:t>
      </w:r>
    </w:p>
    <w:p>
      <w:pPr>
        <w:spacing w:before="52"/>
        <w:ind w:left="0" w:right="815"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5"/>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291"/>
        <w:gridCol w:w="1454"/>
        <w:gridCol w:w="1692"/>
        <w:gridCol w:w="1694"/>
        <w:gridCol w:w="1190"/>
        <w:gridCol w:w="1764"/>
      </w:tblGrid>
      <w:tr>
        <w:trPr>
          <w:trHeight w:val="643" w:hRule="exact"/>
        </w:trPr>
        <w:tc>
          <w:tcPr>
            <w:tcW w:w="2746" w:type="dxa"/>
            <w:gridSpan w:val="2"/>
            <w:tcBorders>
              <w:top w:val="single" w:sz="8" w:space="0" w:color="000000"/>
              <w:left w:val="single" w:sz="8" w:space="0" w:color="000000"/>
              <w:bottom w:val="single" w:sz="8" w:space="0" w:color="000000"/>
              <w:right w:val="single" w:sz="8" w:space="0" w:color="000000"/>
            </w:tcBorders>
            <w:shd w:val="clear" w:color="auto" w:fill="DDDDDD"/>
          </w:tcPr>
          <w:p>
            <w:pPr>
              <w:pStyle w:val="TableParagraph"/>
              <w:tabs>
                <w:tab w:pos="662" w:val="left" w:leader="none"/>
              </w:tabs>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69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6" w:lineRule="exact"/>
              <w:ind w:left="393" w:right="0"/>
              <w:jc w:val="left"/>
              <w:rPr>
                <w:rFonts w:ascii="宋体" w:hAnsi="宋体" w:cs="宋体" w:eastAsia="宋体" w:hint="default"/>
                <w:sz w:val="22"/>
                <w:szCs w:val="22"/>
              </w:rPr>
            </w:pPr>
            <w:r>
              <w:rPr>
                <w:rFonts w:ascii="宋体" w:hAnsi="宋体" w:cs="宋体" w:eastAsia="宋体" w:hint="default"/>
                <w:sz w:val="22"/>
                <w:szCs w:val="22"/>
              </w:rPr>
              <w:t>2010年度</w:t>
            </w:r>
          </w:p>
        </w:tc>
        <w:tc>
          <w:tcPr>
            <w:tcW w:w="1694"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6" w:lineRule="exact"/>
              <w:ind w:left="395" w:right="0"/>
              <w:jc w:val="left"/>
              <w:rPr>
                <w:rFonts w:ascii="宋体" w:hAnsi="宋体" w:cs="宋体" w:eastAsia="宋体" w:hint="default"/>
                <w:sz w:val="22"/>
                <w:szCs w:val="22"/>
              </w:rPr>
            </w:pPr>
            <w:r>
              <w:rPr>
                <w:rFonts w:ascii="宋体" w:hAnsi="宋体" w:cs="宋体" w:eastAsia="宋体" w:hint="default"/>
                <w:sz w:val="22"/>
                <w:szCs w:val="22"/>
              </w:rPr>
              <w:t>2009年度</w:t>
            </w:r>
          </w:p>
        </w:tc>
        <w:tc>
          <w:tcPr>
            <w:tcW w:w="119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同比增减</w:t>
            </w:r>
          </w:p>
          <w:p>
            <w:pPr>
              <w:pStyle w:val="TableParagraph"/>
              <w:spacing w:line="240" w:lineRule="auto" w:before="24"/>
              <w:ind w:right="0"/>
              <w:jc w:val="center"/>
              <w:rPr>
                <w:rFonts w:ascii="宋体" w:hAnsi="宋体" w:cs="宋体" w:eastAsia="宋体" w:hint="default"/>
                <w:sz w:val="22"/>
                <w:szCs w:val="22"/>
              </w:rPr>
            </w:pPr>
            <w:r>
              <w:rPr>
                <w:rFonts w:ascii="宋体"/>
                <w:sz w:val="22"/>
              </w:rPr>
              <w:t>(%)</w:t>
            </w:r>
          </w:p>
        </w:tc>
        <w:tc>
          <w:tcPr>
            <w:tcW w:w="1764"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66" w:lineRule="exact"/>
              <w:ind w:left="429" w:right="0"/>
              <w:jc w:val="left"/>
              <w:rPr>
                <w:rFonts w:ascii="宋体" w:hAnsi="宋体" w:cs="宋体" w:eastAsia="宋体" w:hint="default"/>
                <w:sz w:val="22"/>
                <w:szCs w:val="22"/>
              </w:rPr>
            </w:pPr>
            <w:r>
              <w:rPr>
                <w:rFonts w:ascii="宋体" w:hAnsi="宋体" w:cs="宋体" w:eastAsia="宋体" w:hint="default"/>
                <w:sz w:val="22"/>
                <w:szCs w:val="22"/>
              </w:rPr>
              <w:t>2008年度</w:t>
            </w:r>
          </w:p>
        </w:tc>
      </w:tr>
      <w:tr>
        <w:trPr>
          <w:trHeight w:val="331" w:hRule="exact"/>
        </w:trPr>
        <w:tc>
          <w:tcPr>
            <w:tcW w:w="1291" w:type="dxa"/>
            <w:vMerge w:val="restart"/>
            <w:tcBorders>
              <w:top w:val="single" w:sz="8" w:space="0" w:color="000000"/>
              <w:left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主要债权</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25,388,054.15</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15,303,085.21</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65.90%</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9,304,401.51</w:t>
            </w:r>
          </w:p>
        </w:tc>
      </w:tr>
      <w:tr>
        <w:trPr>
          <w:trHeight w:val="334" w:hRule="exact"/>
        </w:trPr>
        <w:tc>
          <w:tcPr>
            <w:tcW w:w="1291" w:type="dxa"/>
            <w:vMerge/>
            <w:tcBorders>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95"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5"/>
              <w:jc w:val="right"/>
              <w:rPr>
                <w:rFonts w:ascii="宋体" w:hAnsi="宋体" w:cs="宋体" w:eastAsia="宋体" w:hint="default"/>
                <w:sz w:val="22"/>
                <w:szCs w:val="22"/>
              </w:rPr>
            </w:pPr>
            <w:r>
              <w:rPr>
                <w:rFonts w:ascii="宋体"/>
                <w:spacing w:val="-1"/>
                <w:sz w:val="22"/>
              </w:rPr>
              <w:t>8,115,134.41</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2"/>
                <w:szCs w:val="22"/>
              </w:rPr>
            </w:pPr>
            <w:r>
              <w:rPr>
                <w:rFonts w:ascii="宋体"/>
                <w:spacing w:val="-1"/>
                <w:sz w:val="22"/>
              </w:rPr>
              <w:t>3,185,874.87</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4"/>
              <w:jc w:val="right"/>
              <w:rPr>
                <w:rFonts w:ascii="宋体" w:hAnsi="宋体" w:cs="宋体" w:eastAsia="宋体" w:hint="default"/>
                <w:sz w:val="22"/>
                <w:szCs w:val="22"/>
              </w:rPr>
            </w:pPr>
            <w:r>
              <w:rPr>
                <w:rFonts w:ascii="宋体"/>
                <w:sz w:val="22"/>
              </w:rPr>
              <w:t>154.72%</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2"/>
                <w:szCs w:val="22"/>
              </w:rPr>
            </w:pPr>
            <w:r>
              <w:rPr>
                <w:rFonts w:ascii="宋体"/>
                <w:spacing w:val="-1"/>
                <w:sz w:val="22"/>
              </w:rPr>
              <w:t>2,999,730.63</w:t>
            </w:r>
          </w:p>
        </w:tc>
      </w:tr>
      <w:tr>
        <w:trPr>
          <w:trHeight w:val="331" w:hRule="exact"/>
        </w:trPr>
        <w:tc>
          <w:tcPr>
            <w:tcW w:w="1291" w:type="dxa"/>
            <w:vMerge w:val="restart"/>
            <w:tcBorders>
              <w:top w:val="single" w:sz="8" w:space="0" w:color="000000"/>
              <w:left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主要债务</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5"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14,063,000.00</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18,853,840.00</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-25.41%</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21,347,500.00</w:t>
            </w:r>
          </w:p>
        </w:tc>
      </w:tr>
      <w:tr>
        <w:trPr>
          <w:trHeight w:val="331" w:hRule="exact"/>
        </w:trPr>
        <w:tc>
          <w:tcPr>
            <w:tcW w:w="1291" w:type="dxa"/>
            <w:vMerge/>
            <w:tcBorders>
              <w:left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5"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pacing w:val="-1"/>
                <w:sz w:val="22"/>
              </w:rPr>
              <w:t>678,579.56</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2,549,660.00</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-73.39%</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7"/>
              <w:jc w:val="right"/>
              <w:rPr>
                <w:rFonts w:ascii="宋体" w:hAnsi="宋体" w:cs="宋体" w:eastAsia="宋体" w:hint="default"/>
                <w:sz w:val="22"/>
                <w:szCs w:val="22"/>
              </w:rPr>
            </w:pPr>
            <w:r>
              <w:rPr>
                <w:rFonts w:ascii="宋体"/>
                <w:spacing w:val="-1"/>
                <w:sz w:val="22"/>
              </w:rPr>
              <w:t>4,254,799.00</w:t>
            </w:r>
          </w:p>
        </w:tc>
      </w:tr>
      <w:tr>
        <w:trPr>
          <w:trHeight w:val="334" w:hRule="exact"/>
        </w:trPr>
        <w:tc>
          <w:tcPr>
            <w:tcW w:w="1291" w:type="dxa"/>
            <w:vMerge/>
            <w:tcBorders>
              <w:left w:val="single" w:sz="8" w:space="0" w:color="000000"/>
              <w:bottom w:val="single" w:sz="4"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95"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692"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4"/>
              <w:jc w:val="right"/>
              <w:rPr>
                <w:rFonts w:ascii="宋体" w:hAnsi="宋体" w:cs="宋体" w:eastAsia="宋体" w:hint="default"/>
                <w:sz w:val="22"/>
                <w:szCs w:val="22"/>
              </w:rPr>
            </w:pPr>
            <w:r>
              <w:rPr>
                <w:rFonts w:ascii="宋体"/>
                <w:spacing w:val="-1"/>
                <w:sz w:val="22"/>
              </w:rPr>
              <w:t>958,910.34</w:t>
            </w:r>
          </w:p>
        </w:tc>
        <w:tc>
          <w:tcPr>
            <w:tcW w:w="169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2"/>
                <w:szCs w:val="22"/>
              </w:rPr>
            </w:pPr>
            <w:r>
              <w:rPr>
                <w:rFonts w:ascii="宋体"/>
                <w:spacing w:val="-1"/>
                <w:sz w:val="22"/>
              </w:rPr>
              <w:t>443,157.90</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4"/>
              <w:jc w:val="right"/>
              <w:rPr>
                <w:rFonts w:ascii="宋体" w:hAnsi="宋体" w:cs="宋体" w:eastAsia="宋体" w:hint="default"/>
                <w:sz w:val="22"/>
                <w:szCs w:val="22"/>
              </w:rPr>
            </w:pPr>
            <w:r>
              <w:rPr>
                <w:rFonts w:ascii="宋体"/>
                <w:sz w:val="22"/>
              </w:rPr>
              <w:t>116.38%</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7"/>
              <w:jc w:val="right"/>
              <w:rPr>
                <w:rFonts w:ascii="宋体" w:hAnsi="宋体" w:cs="宋体" w:eastAsia="宋体" w:hint="default"/>
                <w:sz w:val="22"/>
                <w:szCs w:val="22"/>
              </w:rPr>
            </w:pPr>
            <w:r>
              <w:rPr>
                <w:rFonts w:ascii="宋体"/>
                <w:spacing w:val="-1"/>
                <w:sz w:val="22"/>
              </w:rPr>
              <w:t>500,253.78</w:t>
            </w:r>
          </w:p>
        </w:tc>
      </w:tr>
    </w:tbl>
    <w:p>
      <w:pPr>
        <w:pStyle w:val="BodyText"/>
        <w:spacing w:line="240" w:lineRule="auto" w:before="38"/>
        <w:ind w:left="258" w:right="0"/>
        <w:jc w:val="left"/>
      </w:pPr>
      <w:r>
        <w:rPr/>
        <w:t>（1）应</w:t>
      </w:r>
      <w:r>
        <w:rPr>
          <w:rFonts w:ascii="MS UI Gothic" w:hAnsi="MS UI Gothic" w:cs="MS UI Gothic" w:eastAsia="MS UI Gothic" w:hint="default"/>
        </w:rPr>
        <w:t>收</w:t>
      </w:r>
      <w:r>
        <w:rPr/>
        <w:t>账</w:t>
      </w:r>
      <w:r>
        <w:rPr>
          <w:rFonts w:ascii="MS UI Gothic" w:hAnsi="MS UI Gothic" w:cs="MS UI Gothic" w:eastAsia="MS UI Gothic" w:hint="default"/>
        </w:rPr>
        <w:t>款同比</w:t>
      </w:r>
      <w:r>
        <w:rPr/>
        <w:t>增加</w:t>
      </w:r>
      <w:r>
        <w:rPr>
          <w:spacing w:val="-60"/>
        </w:rPr>
        <w:t> </w:t>
      </w:r>
      <w:r>
        <w:rPr/>
        <w:t>65.90%，主要系营业收入增加及合并报表范围增加所致。</w:t>
      </w:r>
    </w:p>
    <w:p>
      <w:pPr>
        <w:pStyle w:val="BodyText"/>
        <w:spacing w:line="240" w:lineRule="auto" w:before="154"/>
        <w:ind w:left="258" w:right="0"/>
        <w:jc w:val="left"/>
      </w:pPr>
      <w:r>
        <w:rPr/>
        <w:t>（2）其他应收款同比增加</w:t>
      </w:r>
      <w:r>
        <w:rPr>
          <w:spacing w:val="-60"/>
        </w:rPr>
        <w:t> </w:t>
      </w:r>
      <w:r>
        <w:rPr/>
        <w:t>154.72%,主要系支付购房意向金所致。</w:t>
      </w:r>
    </w:p>
    <w:p>
      <w:pPr>
        <w:pStyle w:val="BodyText"/>
        <w:spacing w:line="357" w:lineRule="auto" w:before="154"/>
        <w:ind w:left="138" w:right="400" w:firstLine="120"/>
        <w:jc w:val="left"/>
      </w:pPr>
      <w:r>
        <w:rPr/>
        <w:t>（3）短期借款同比减少</w:t>
      </w:r>
      <w:r>
        <w:rPr>
          <w:spacing w:val="22"/>
        </w:rPr>
        <w:t> </w:t>
      </w:r>
      <w:r>
        <w:rPr/>
        <w:t>25.41%，主要系报告期内全资子公司日本海隆株式会社偿</w:t>
      </w:r>
      <w:r>
        <w:rPr/>
        <w:t> 还部分短期借款所致。</w:t>
      </w:r>
    </w:p>
    <w:p>
      <w:pPr>
        <w:pStyle w:val="BodyText"/>
        <w:spacing w:line="240" w:lineRule="auto"/>
        <w:ind w:left="258" w:right="0"/>
        <w:jc w:val="left"/>
      </w:pPr>
      <w:r>
        <w:rPr/>
        <w:t>（4）应付账款同比减少</w:t>
      </w:r>
      <w:r>
        <w:rPr>
          <w:spacing w:val="-60"/>
        </w:rPr>
        <w:t> </w:t>
      </w:r>
      <w:r>
        <w:rPr/>
        <w:t>73.39%，主要支付货款增加所致。</w:t>
      </w:r>
    </w:p>
    <w:p>
      <w:pPr>
        <w:pStyle w:val="BodyText"/>
        <w:spacing w:line="297" w:lineRule="auto" w:before="154"/>
        <w:ind w:left="138" w:right="1802" w:firstLine="120"/>
        <w:jc w:val="left"/>
      </w:pPr>
      <w:r>
        <w:rPr/>
        <w:t>（5）其他应付款同比增加</w:t>
      </w:r>
      <w:r>
        <w:rPr>
          <w:spacing w:val="-60"/>
        </w:rPr>
        <w:t> </w:t>
      </w:r>
      <w:r>
        <w:rPr/>
        <w:t>116.38%，主要系合并报表范围增加所致。</w:t>
      </w:r>
      <w:r>
        <w:rPr/>
        <w:t> 5、资产营运能力分析</w:t>
      </w:r>
    </w:p>
    <w:tbl>
      <w:tblPr>
        <w:tblW w:w="0" w:type="auto"/>
        <w:jc w:val="left"/>
        <w:tblInd w:w="198" w:type="dxa"/>
        <w:tblLayout w:type="fixed"/>
        <w:tblCellMar>
          <w:top w:w="0" w:type="dxa"/>
          <w:left w:w="0" w:type="dxa"/>
          <w:bottom w:w="0" w:type="dxa"/>
          <w:right w:w="0" w:type="dxa"/>
        </w:tblCellMar>
        <w:tblLook w:val="01E0"/>
      </w:tblPr>
      <w:tblGrid>
        <w:gridCol w:w="2755"/>
        <w:gridCol w:w="1344"/>
        <w:gridCol w:w="1399"/>
        <w:gridCol w:w="1399"/>
        <w:gridCol w:w="1778"/>
      </w:tblGrid>
      <w:tr>
        <w:trPr>
          <w:trHeight w:val="331" w:hRule="exact"/>
        </w:trPr>
        <w:tc>
          <w:tcPr>
            <w:tcW w:w="2755"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tabs>
                <w:tab w:pos="501" w:val="left" w:leader="none"/>
              </w:tabs>
              <w:spacing w:line="237"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44"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37" w:lineRule="exact"/>
              <w:ind w:left="264" w:right="0"/>
              <w:jc w:val="left"/>
              <w:rPr>
                <w:rFonts w:ascii="宋体" w:hAnsi="宋体" w:cs="宋体" w:eastAsia="宋体" w:hint="default"/>
                <w:sz w:val="20"/>
                <w:szCs w:val="20"/>
              </w:rPr>
            </w:pPr>
            <w:r>
              <w:rPr>
                <w:rFonts w:ascii="宋体" w:hAnsi="宋体" w:cs="宋体" w:eastAsia="宋体" w:hint="default"/>
                <w:sz w:val="20"/>
                <w:szCs w:val="20"/>
              </w:rPr>
              <w:t>2010年度</w:t>
            </w:r>
          </w:p>
        </w:tc>
        <w:tc>
          <w:tcPr>
            <w:tcW w:w="139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37" w:lineRule="exact"/>
              <w:ind w:left="290" w:right="0"/>
              <w:jc w:val="left"/>
              <w:rPr>
                <w:rFonts w:ascii="宋体" w:hAnsi="宋体" w:cs="宋体" w:eastAsia="宋体" w:hint="default"/>
                <w:sz w:val="20"/>
                <w:szCs w:val="20"/>
              </w:rPr>
            </w:pPr>
            <w:r>
              <w:rPr>
                <w:rFonts w:ascii="宋体" w:hAnsi="宋体" w:cs="宋体" w:eastAsia="宋体" w:hint="default"/>
                <w:sz w:val="20"/>
                <w:szCs w:val="20"/>
              </w:rPr>
              <w:t>2009年度</w:t>
            </w:r>
          </w:p>
        </w:tc>
        <w:tc>
          <w:tcPr>
            <w:tcW w:w="139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37" w:lineRule="exact"/>
              <w:ind w:left="290"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77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37" w:lineRule="exact"/>
              <w:ind w:left="480" w:right="0"/>
              <w:jc w:val="left"/>
              <w:rPr>
                <w:rFonts w:ascii="宋体" w:hAnsi="宋体" w:cs="宋体" w:eastAsia="宋体" w:hint="default"/>
                <w:sz w:val="20"/>
                <w:szCs w:val="20"/>
              </w:rPr>
            </w:pPr>
            <w:r>
              <w:rPr>
                <w:rFonts w:ascii="宋体" w:hAnsi="宋体" w:cs="宋体" w:eastAsia="宋体" w:hint="default"/>
                <w:sz w:val="20"/>
                <w:szCs w:val="20"/>
              </w:rPr>
              <w:t>2008年度</w:t>
            </w:r>
          </w:p>
        </w:tc>
      </w:tr>
      <w:tr>
        <w:trPr>
          <w:trHeight w:val="331"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应收账款周转率（次）</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2"/>
                <w:szCs w:val="22"/>
              </w:rPr>
            </w:pPr>
            <w:r>
              <w:rPr>
                <w:rFonts w:ascii="宋体"/>
                <w:sz w:val="22"/>
              </w:rPr>
              <w:t>14.46</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15.68</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2"/>
                <w:szCs w:val="22"/>
              </w:rPr>
            </w:pPr>
            <w:r>
              <w:rPr>
                <w:rFonts w:ascii="宋体"/>
                <w:sz w:val="22"/>
              </w:rPr>
              <w:t>-1.22</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19.63</w:t>
            </w:r>
          </w:p>
        </w:tc>
      </w:tr>
      <w:tr>
        <w:trPr>
          <w:trHeight w:val="331"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宋体" w:hAnsi="宋体" w:cs="宋体" w:eastAsia="宋体" w:hint="default"/>
                <w:sz w:val="22"/>
                <w:szCs w:val="22"/>
              </w:rPr>
            </w:pPr>
            <w:r>
              <w:rPr>
                <w:rFonts w:ascii="宋体" w:hAnsi="宋体" w:cs="宋体" w:eastAsia="宋体" w:hint="default"/>
                <w:sz w:val="22"/>
                <w:szCs w:val="22"/>
              </w:rPr>
              <w:t>流动资产周转率（次）</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2"/>
                <w:szCs w:val="22"/>
              </w:rPr>
            </w:pPr>
            <w:r>
              <w:rPr>
                <w:rFonts w:ascii="宋体"/>
                <w:sz w:val="22"/>
              </w:rPr>
              <w:t>0.94</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0.70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4"/>
              <w:jc w:val="right"/>
              <w:rPr>
                <w:rFonts w:ascii="宋体" w:hAnsi="宋体" w:cs="宋体" w:eastAsia="宋体" w:hint="default"/>
                <w:sz w:val="22"/>
                <w:szCs w:val="22"/>
              </w:rPr>
            </w:pPr>
            <w:r>
              <w:rPr>
                <w:rFonts w:ascii="宋体"/>
                <w:sz w:val="22"/>
              </w:rPr>
              <w:t>0.24</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right="96"/>
              <w:jc w:val="right"/>
              <w:rPr>
                <w:rFonts w:ascii="宋体" w:hAnsi="宋体" w:cs="宋体" w:eastAsia="宋体" w:hint="default"/>
                <w:sz w:val="22"/>
                <w:szCs w:val="22"/>
              </w:rPr>
            </w:pPr>
            <w:r>
              <w:rPr>
                <w:rFonts w:ascii="宋体"/>
                <w:sz w:val="22"/>
              </w:rPr>
              <w:t>0.73</w:t>
            </w:r>
          </w:p>
        </w:tc>
      </w:tr>
      <w:tr>
        <w:trPr>
          <w:trHeight w:val="334"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left="98" w:right="0"/>
              <w:jc w:val="left"/>
              <w:rPr>
                <w:rFonts w:ascii="宋体" w:hAnsi="宋体" w:cs="宋体" w:eastAsia="宋体" w:hint="default"/>
                <w:sz w:val="22"/>
                <w:szCs w:val="22"/>
              </w:rPr>
            </w:pPr>
            <w:r>
              <w:rPr>
                <w:rFonts w:ascii="宋体" w:hAnsi="宋体" w:cs="宋体" w:eastAsia="宋体" w:hint="default"/>
                <w:sz w:val="22"/>
                <w:szCs w:val="22"/>
              </w:rPr>
              <w:t>总资产周转率（次）</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right="94"/>
              <w:jc w:val="right"/>
              <w:rPr>
                <w:rFonts w:ascii="宋体" w:hAnsi="宋体" w:cs="宋体" w:eastAsia="宋体" w:hint="default"/>
                <w:sz w:val="22"/>
                <w:szCs w:val="22"/>
              </w:rPr>
            </w:pPr>
            <w:r>
              <w:rPr>
                <w:rFonts w:ascii="宋体"/>
                <w:sz w:val="22"/>
              </w:rPr>
              <w:t>0.87</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0.64</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right="94"/>
              <w:jc w:val="right"/>
              <w:rPr>
                <w:rFonts w:ascii="宋体" w:hAnsi="宋体" w:cs="宋体" w:eastAsia="宋体" w:hint="default"/>
                <w:sz w:val="22"/>
                <w:szCs w:val="22"/>
              </w:rPr>
            </w:pPr>
            <w:r>
              <w:rPr>
                <w:rFonts w:ascii="宋体"/>
                <w:sz w:val="22"/>
              </w:rPr>
              <w:t>0.23</w:t>
            </w:r>
          </w:p>
        </w:tc>
        <w:tc>
          <w:tcPr>
            <w:tcW w:w="1778" w:type="dxa"/>
            <w:tcBorders>
              <w:top w:val="single" w:sz="8" w:space="0" w:color="000000"/>
              <w:left w:val="single" w:sz="8" w:space="0" w:color="000000"/>
              <w:bottom w:val="single" w:sz="8" w:space="0" w:color="000000"/>
              <w:right w:val="single" w:sz="8" w:space="0" w:color="000000"/>
            </w:tcBorders>
          </w:tcPr>
          <w:p>
            <w:pPr>
              <w:pStyle w:val="TableParagraph"/>
              <w:spacing w:line="252" w:lineRule="exact"/>
              <w:ind w:right="96"/>
              <w:jc w:val="right"/>
              <w:rPr>
                <w:rFonts w:ascii="宋体" w:hAnsi="宋体" w:cs="宋体" w:eastAsia="宋体" w:hint="default"/>
                <w:sz w:val="22"/>
                <w:szCs w:val="22"/>
              </w:rPr>
            </w:pPr>
            <w:r>
              <w:rPr>
                <w:rFonts w:ascii="宋体"/>
                <w:sz w:val="22"/>
              </w:rPr>
              <w:t>0.65</w:t>
            </w:r>
          </w:p>
        </w:tc>
      </w:tr>
    </w:tbl>
    <w:p>
      <w:pPr>
        <w:pStyle w:val="BodyText"/>
        <w:spacing w:line="357" w:lineRule="auto" w:before="22"/>
        <w:ind w:left="138" w:right="407" w:firstLine="480"/>
        <w:jc w:val="left"/>
      </w:pPr>
      <w:r>
        <w:rPr>
          <w:spacing w:val="-3"/>
        </w:rPr>
        <w:t>应收账款周转率仍维持了良好的水平。营业收入增加，使得流动资产周转率，总</w:t>
      </w:r>
      <w:r>
        <w:rPr/>
        <w:t> 资产周转率呈稳步上升趋势。</w:t>
      </w:r>
    </w:p>
    <w:p>
      <w:pPr>
        <w:pStyle w:val="BodyText"/>
        <w:spacing w:line="271" w:lineRule="exact" w:before="0"/>
        <w:ind w:left="138" w:right="0"/>
        <w:jc w:val="left"/>
      </w:pPr>
      <w:r>
        <w:rPr/>
        <w:t>6、偿债能力分析</w:t>
      </w:r>
    </w:p>
    <w:p>
      <w:pPr>
        <w:spacing w:line="240" w:lineRule="auto" w:before="12"/>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55"/>
        <w:gridCol w:w="1416"/>
        <w:gridCol w:w="1301"/>
        <w:gridCol w:w="1735"/>
        <w:gridCol w:w="1457"/>
      </w:tblGrid>
      <w:tr>
        <w:trPr>
          <w:trHeight w:val="331" w:hRule="exact"/>
        </w:trPr>
        <w:tc>
          <w:tcPr>
            <w:tcW w:w="2755"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tabs>
                <w:tab w:pos="501" w:val="left" w:leader="none"/>
              </w:tabs>
              <w:spacing w:line="254"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1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2010年度</w:t>
            </w:r>
          </w:p>
        </w:tc>
        <w:tc>
          <w:tcPr>
            <w:tcW w:w="130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4" w:lineRule="exact"/>
              <w:ind w:left="95" w:right="0"/>
              <w:jc w:val="left"/>
              <w:rPr>
                <w:rFonts w:ascii="宋体" w:hAnsi="宋体" w:cs="宋体" w:eastAsia="宋体" w:hint="default"/>
                <w:sz w:val="20"/>
                <w:szCs w:val="20"/>
              </w:rPr>
            </w:pPr>
            <w:r>
              <w:rPr>
                <w:rFonts w:ascii="宋体" w:hAnsi="宋体" w:cs="宋体" w:eastAsia="宋体" w:hint="default"/>
                <w:sz w:val="20"/>
                <w:szCs w:val="20"/>
              </w:rPr>
              <w:t>2009年度</w:t>
            </w:r>
          </w:p>
        </w:tc>
        <w:tc>
          <w:tcPr>
            <w:tcW w:w="1735"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4" w:lineRule="exact"/>
              <w:ind w:left="458" w:right="0"/>
              <w:jc w:val="left"/>
              <w:rPr>
                <w:rFonts w:ascii="宋体" w:hAnsi="宋体" w:cs="宋体" w:eastAsia="宋体" w:hint="default"/>
                <w:sz w:val="20"/>
                <w:szCs w:val="20"/>
              </w:rPr>
            </w:pPr>
            <w:r>
              <w:rPr>
                <w:rFonts w:ascii="宋体" w:hAnsi="宋体" w:cs="宋体" w:eastAsia="宋体" w:hint="default"/>
                <w:sz w:val="20"/>
                <w:szCs w:val="20"/>
              </w:rPr>
              <w:t>同比增减</w:t>
            </w:r>
          </w:p>
        </w:tc>
        <w:tc>
          <w:tcPr>
            <w:tcW w:w="1457"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2008年度</w:t>
            </w:r>
          </w:p>
        </w:tc>
      </w:tr>
      <w:tr>
        <w:trPr>
          <w:trHeight w:val="334"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98" w:right="0"/>
              <w:jc w:val="left"/>
              <w:rPr>
                <w:rFonts w:ascii="宋体" w:hAnsi="宋体" w:cs="宋体" w:eastAsia="宋体" w:hint="default"/>
                <w:sz w:val="22"/>
                <w:szCs w:val="22"/>
              </w:rPr>
            </w:pPr>
            <w:r>
              <w:rPr>
                <w:rFonts w:ascii="宋体" w:hAnsi="宋体" w:cs="宋体" w:eastAsia="宋体" w:hint="default"/>
                <w:sz w:val="22"/>
                <w:szCs w:val="22"/>
              </w:rPr>
              <w:t>流动比率（次）</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856" w:right="0"/>
              <w:jc w:val="left"/>
              <w:rPr>
                <w:rFonts w:ascii="宋体" w:hAnsi="宋体" w:cs="宋体" w:eastAsia="宋体" w:hint="default"/>
                <w:sz w:val="22"/>
                <w:szCs w:val="22"/>
              </w:rPr>
            </w:pPr>
            <w:r>
              <w:rPr>
                <w:rFonts w:ascii="宋体"/>
                <w:sz w:val="22"/>
              </w:rPr>
              <w:t>8.81</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741" w:right="0"/>
              <w:jc w:val="left"/>
              <w:rPr>
                <w:rFonts w:ascii="宋体" w:hAnsi="宋体" w:cs="宋体" w:eastAsia="宋体" w:hint="default"/>
                <w:sz w:val="22"/>
                <w:szCs w:val="22"/>
              </w:rPr>
            </w:pPr>
            <w:r>
              <w:rPr>
                <w:rFonts w:ascii="宋体"/>
                <w:sz w:val="22"/>
              </w:rPr>
              <w:t>7.92</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4"/>
              <w:jc w:val="right"/>
              <w:rPr>
                <w:rFonts w:ascii="宋体" w:hAnsi="宋体" w:cs="宋体" w:eastAsia="宋体" w:hint="default"/>
                <w:sz w:val="22"/>
                <w:szCs w:val="22"/>
              </w:rPr>
            </w:pPr>
            <w:r>
              <w:rPr>
                <w:rFonts w:ascii="宋体"/>
                <w:sz w:val="22"/>
              </w:rPr>
              <w:t>0.89</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897" w:right="0"/>
              <w:jc w:val="left"/>
              <w:rPr>
                <w:rFonts w:ascii="宋体" w:hAnsi="宋体" w:cs="宋体" w:eastAsia="宋体" w:hint="default"/>
                <w:sz w:val="22"/>
                <w:szCs w:val="22"/>
              </w:rPr>
            </w:pPr>
            <w:r>
              <w:rPr>
                <w:rFonts w:ascii="宋体"/>
                <w:sz w:val="22"/>
              </w:rPr>
              <w:t>7.26</w:t>
            </w:r>
          </w:p>
        </w:tc>
      </w:tr>
    </w:tbl>
    <w:p>
      <w:pPr>
        <w:spacing w:after="0" w:line="268" w:lineRule="exact"/>
        <w:jc w:val="left"/>
        <w:rPr>
          <w:rFonts w:ascii="宋体" w:hAnsi="宋体" w:cs="宋体" w:eastAsia="宋体" w:hint="default"/>
          <w:sz w:val="22"/>
          <w:szCs w:val="22"/>
        </w:rPr>
        <w:sectPr>
          <w:pgSz w:w="11900" w:h="16840"/>
          <w:pgMar w:header="874" w:footer="983" w:top="1100" w:bottom="1180" w:left="1280" w:right="1280"/>
        </w:sectPr>
      </w:pPr>
    </w:p>
    <w:p>
      <w:pPr>
        <w:spacing w:line="240" w:lineRule="auto" w:before="8"/>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2755"/>
        <w:gridCol w:w="1416"/>
        <w:gridCol w:w="1301"/>
        <w:gridCol w:w="1735"/>
        <w:gridCol w:w="1457"/>
      </w:tblGrid>
      <w:tr>
        <w:trPr>
          <w:trHeight w:val="331"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速动比率（次）</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8.77</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7.84</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0.93</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7.26</w:t>
            </w:r>
          </w:p>
        </w:tc>
      </w:tr>
      <w:tr>
        <w:trPr>
          <w:trHeight w:val="334" w:hRule="exact"/>
        </w:trPr>
        <w:tc>
          <w:tcPr>
            <w:tcW w:w="275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98" w:right="0"/>
              <w:jc w:val="left"/>
              <w:rPr>
                <w:rFonts w:ascii="宋体" w:hAnsi="宋体" w:cs="宋体" w:eastAsia="宋体" w:hint="default"/>
                <w:sz w:val="22"/>
                <w:szCs w:val="22"/>
              </w:rPr>
            </w:pPr>
            <w:r>
              <w:rPr>
                <w:rFonts w:ascii="宋体" w:hAnsi="宋体" w:cs="宋体" w:eastAsia="宋体" w:hint="default"/>
                <w:sz w:val="22"/>
                <w:szCs w:val="22"/>
              </w:rPr>
              <w:t>资产负债率</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8"/>
              <w:jc w:val="right"/>
              <w:rPr>
                <w:rFonts w:ascii="宋体" w:hAnsi="宋体" w:cs="宋体" w:eastAsia="宋体" w:hint="default"/>
                <w:sz w:val="22"/>
                <w:szCs w:val="22"/>
              </w:rPr>
            </w:pPr>
            <w:r>
              <w:rPr>
                <w:rFonts w:ascii="宋体"/>
                <w:sz w:val="22"/>
              </w:rPr>
              <w:t>10.51%</w:t>
            </w:r>
          </w:p>
        </w:tc>
        <w:tc>
          <w:tcPr>
            <w:tcW w:w="1301"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4"/>
              <w:jc w:val="right"/>
              <w:rPr>
                <w:rFonts w:ascii="宋体" w:hAnsi="宋体" w:cs="宋体" w:eastAsia="宋体" w:hint="default"/>
                <w:sz w:val="22"/>
                <w:szCs w:val="22"/>
              </w:rPr>
            </w:pPr>
            <w:r>
              <w:rPr>
                <w:rFonts w:ascii="宋体"/>
                <w:sz w:val="22"/>
              </w:rPr>
              <w:t>11.76%</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4"/>
              <w:jc w:val="right"/>
              <w:rPr>
                <w:rFonts w:ascii="宋体" w:hAnsi="宋体" w:cs="宋体" w:eastAsia="宋体" w:hint="default"/>
                <w:sz w:val="22"/>
                <w:szCs w:val="22"/>
              </w:rPr>
            </w:pPr>
            <w:r>
              <w:rPr>
                <w:rFonts w:ascii="宋体" w:hAnsi="宋体" w:cs="宋体" w:eastAsia="宋体" w:hint="default"/>
                <w:sz w:val="22"/>
                <w:szCs w:val="22"/>
              </w:rPr>
              <w:t>-1.25</w:t>
            </w:r>
            <w:r>
              <w:rPr>
                <w:rFonts w:ascii="宋体" w:hAnsi="宋体" w:cs="宋体" w:eastAsia="宋体" w:hint="default"/>
                <w:spacing w:val="-55"/>
                <w:sz w:val="22"/>
                <w:szCs w:val="22"/>
              </w:rPr>
              <w:t> </w:t>
            </w:r>
            <w:r>
              <w:rPr>
                <w:rFonts w:ascii="宋体" w:hAnsi="宋体" w:cs="宋体" w:eastAsia="宋体" w:hint="default"/>
                <w:sz w:val="22"/>
                <w:szCs w:val="22"/>
              </w:rPr>
              <w:t>个百分点</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right="94"/>
              <w:jc w:val="right"/>
              <w:rPr>
                <w:rFonts w:ascii="宋体" w:hAnsi="宋体" w:cs="宋体" w:eastAsia="宋体" w:hint="default"/>
                <w:sz w:val="22"/>
                <w:szCs w:val="22"/>
              </w:rPr>
            </w:pPr>
            <w:r>
              <w:rPr>
                <w:rFonts w:ascii="宋体"/>
                <w:sz w:val="22"/>
              </w:rPr>
              <w:t>12.32%</w:t>
            </w:r>
          </w:p>
        </w:tc>
      </w:tr>
    </w:tbl>
    <w:p>
      <w:pPr>
        <w:pStyle w:val="BodyText"/>
        <w:spacing w:line="357" w:lineRule="auto" w:before="38"/>
        <w:ind w:left="138" w:right="147" w:firstLine="480"/>
        <w:jc w:val="left"/>
      </w:pPr>
      <w:r>
        <w:rPr>
          <w:spacing w:val="-3"/>
        </w:rPr>
        <w:t>公司流动比率和速动比率都保持了较高的水平，资产负债率低，显示公司有较强</w:t>
      </w:r>
      <w:r>
        <w:rPr/>
        <w:t> 的流动性和偿债能力。</w:t>
      </w:r>
    </w:p>
    <w:p>
      <w:pPr>
        <w:pStyle w:val="BodyText"/>
        <w:spacing w:line="240" w:lineRule="auto"/>
        <w:ind w:left="138" w:right="147"/>
        <w:jc w:val="left"/>
      </w:pPr>
      <w:r>
        <w:rPr/>
        <w:t>7．证券投资</w:t>
      </w:r>
    </w:p>
    <w:p>
      <w:pPr>
        <w:pStyle w:val="BodyText"/>
        <w:spacing w:line="357" w:lineRule="auto" w:before="154"/>
        <w:ind w:left="138" w:right="147" w:firstLine="475"/>
        <w:jc w:val="left"/>
      </w:pPr>
      <w:r>
        <w:rPr>
          <w:spacing w:val="-3"/>
        </w:rPr>
        <w:t>截止报告期末，公司不存在证券投资等金融资产、委托理财等财务性投资，也没</w:t>
      </w:r>
      <w:r>
        <w:rPr/>
        <w:t> 有持有境外金融资产。</w:t>
      </w:r>
    </w:p>
    <w:p>
      <w:pPr>
        <w:pStyle w:val="BodyText"/>
        <w:spacing w:line="240" w:lineRule="auto"/>
        <w:ind w:left="138" w:right="147"/>
        <w:jc w:val="left"/>
      </w:pPr>
      <w:r>
        <w:rPr/>
        <w:t>8．PE</w:t>
      </w:r>
      <w:r>
        <w:rPr>
          <w:spacing w:val="-60"/>
        </w:rPr>
        <w:t> </w:t>
      </w:r>
      <w:r>
        <w:rPr/>
        <w:t>投资</w:t>
      </w:r>
    </w:p>
    <w:p>
      <w:pPr>
        <w:pStyle w:val="BodyText"/>
        <w:spacing w:line="357" w:lineRule="auto" w:before="154"/>
        <w:ind w:left="138" w:right="4967" w:firstLine="355"/>
        <w:jc w:val="left"/>
      </w:pPr>
      <w:r>
        <w:rPr/>
        <w:t>报告期内，公司没有进行PE投资。 9．近三年研发支出情况</w:t>
      </w:r>
    </w:p>
    <w:p>
      <w:pPr>
        <w:spacing w:before="52"/>
        <w:ind w:left="0" w:right="153" w:firstLine="0"/>
        <w:jc w:val="right"/>
        <w:rPr>
          <w:rFonts w:ascii="宋体" w:hAnsi="宋体" w:cs="宋体" w:eastAsia="宋体" w:hint="default"/>
          <w:sz w:val="20"/>
          <w:szCs w:val="20"/>
        </w:rPr>
      </w:pPr>
      <w:r>
        <w:rPr>
          <w:rFonts w:ascii="宋体" w:hAnsi="宋体" w:cs="宋体" w:eastAsia="宋体" w:hint="default"/>
          <w:w w:val="95"/>
          <w:sz w:val="20"/>
          <w:szCs w:val="20"/>
        </w:rPr>
        <w:t>单位：元</w:t>
      </w:r>
      <w:r>
        <w:rPr>
          <w:rFonts w:ascii="宋体" w:hAnsi="宋体" w:cs="宋体" w:eastAsia="宋体" w:hint="default"/>
          <w:sz w:val="20"/>
          <w:szCs w:val="20"/>
        </w:rPr>
      </w:r>
    </w:p>
    <w:p>
      <w:pPr>
        <w:spacing w:line="240" w:lineRule="auto" w:before="5"/>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2055"/>
        <w:gridCol w:w="1701"/>
        <w:gridCol w:w="1702"/>
        <w:gridCol w:w="1558"/>
        <w:gridCol w:w="1690"/>
      </w:tblGrid>
      <w:tr>
        <w:trPr>
          <w:trHeight w:val="379" w:hRule="exact"/>
        </w:trPr>
        <w:tc>
          <w:tcPr>
            <w:tcW w:w="2055" w:type="dxa"/>
            <w:tcBorders>
              <w:top w:val="single" w:sz="8" w:space="0" w:color="000000"/>
              <w:left w:val="single" w:sz="8" w:space="0" w:color="000000"/>
              <w:bottom w:val="single" w:sz="8" w:space="0" w:color="000000"/>
              <w:right w:val="single" w:sz="8" w:space="0" w:color="000000"/>
            </w:tcBorders>
            <w:shd w:val="clear" w:color="auto" w:fill="DDDDDD"/>
          </w:tcPr>
          <w:p>
            <w:pPr/>
          </w:p>
        </w:tc>
        <w:tc>
          <w:tcPr>
            <w:tcW w:w="170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2010年度</w:t>
            </w:r>
          </w:p>
        </w:tc>
        <w:tc>
          <w:tcPr>
            <w:tcW w:w="1702"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2009年度</w:t>
            </w:r>
          </w:p>
        </w:tc>
        <w:tc>
          <w:tcPr>
            <w:tcW w:w="1558"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同比增减</w:t>
            </w:r>
          </w:p>
        </w:tc>
        <w:tc>
          <w:tcPr>
            <w:tcW w:w="169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31"/>
              <w:ind w:left="98" w:right="0"/>
              <w:jc w:val="left"/>
              <w:rPr>
                <w:rFonts w:ascii="宋体" w:hAnsi="宋体" w:cs="宋体" w:eastAsia="宋体" w:hint="default"/>
                <w:sz w:val="22"/>
                <w:szCs w:val="22"/>
              </w:rPr>
            </w:pPr>
            <w:r>
              <w:rPr>
                <w:rFonts w:ascii="宋体" w:hAnsi="宋体" w:cs="宋体" w:eastAsia="宋体" w:hint="default"/>
                <w:sz w:val="22"/>
                <w:szCs w:val="22"/>
              </w:rPr>
              <w:t>2008年度</w:t>
            </w:r>
          </w:p>
        </w:tc>
      </w:tr>
      <w:tr>
        <w:trPr>
          <w:trHeight w:val="334"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98" w:right="0"/>
              <w:jc w:val="left"/>
              <w:rPr>
                <w:rFonts w:ascii="宋体" w:hAnsi="宋体" w:cs="宋体" w:eastAsia="宋体" w:hint="default"/>
                <w:sz w:val="22"/>
                <w:szCs w:val="22"/>
              </w:rPr>
            </w:pPr>
            <w:r>
              <w:rPr>
                <w:rFonts w:ascii="宋体" w:hAnsi="宋体" w:cs="宋体" w:eastAsia="宋体" w:hint="default"/>
                <w:sz w:val="22"/>
                <w:szCs w:val="22"/>
              </w:rPr>
              <w:t>研发支出</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53" w:right="0"/>
              <w:jc w:val="left"/>
              <w:rPr>
                <w:rFonts w:ascii="宋体" w:hAnsi="宋体" w:cs="宋体" w:eastAsia="宋体" w:hint="default"/>
                <w:sz w:val="22"/>
                <w:szCs w:val="22"/>
              </w:rPr>
            </w:pPr>
            <w:r>
              <w:rPr>
                <w:rFonts w:ascii="宋体"/>
                <w:sz w:val="22"/>
              </w:rPr>
              <w:t>12,727,051.62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95"/>
              <w:jc w:val="right"/>
              <w:rPr>
                <w:rFonts w:ascii="宋体" w:hAnsi="宋体" w:cs="宋体" w:eastAsia="宋体" w:hint="default"/>
                <w:sz w:val="22"/>
                <w:szCs w:val="22"/>
              </w:rPr>
            </w:pPr>
            <w:r>
              <w:rPr>
                <w:rFonts w:ascii="宋体"/>
                <w:spacing w:val="-1"/>
                <w:sz w:val="22"/>
              </w:rPr>
              <w:t>7,180,816.12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92"/>
              <w:jc w:val="right"/>
              <w:rPr>
                <w:rFonts w:ascii="宋体" w:hAnsi="宋体" w:cs="宋体" w:eastAsia="宋体" w:hint="default"/>
                <w:sz w:val="22"/>
                <w:szCs w:val="22"/>
              </w:rPr>
            </w:pPr>
            <w:r>
              <w:rPr>
                <w:rFonts w:ascii="宋体"/>
                <w:sz w:val="22"/>
              </w:rPr>
              <w:t>77.24%</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right="95"/>
              <w:jc w:val="right"/>
              <w:rPr>
                <w:rFonts w:ascii="宋体" w:hAnsi="宋体" w:cs="宋体" w:eastAsia="宋体" w:hint="default"/>
                <w:sz w:val="22"/>
                <w:szCs w:val="22"/>
              </w:rPr>
            </w:pPr>
            <w:r>
              <w:rPr>
                <w:rFonts w:ascii="宋体"/>
                <w:spacing w:val="-1"/>
                <w:sz w:val="22"/>
              </w:rPr>
              <w:t>9,242,384.36</w:t>
            </w:r>
          </w:p>
        </w:tc>
      </w:tr>
      <w:tr>
        <w:trPr>
          <w:trHeight w:val="643"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pacing w:val="8"/>
                <w:sz w:val="22"/>
                <w:szCs w:val="22"/>
              </w:rPr>
              <w:t>其中：资产化的研</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发支出总额</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3,126,669.98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2,677,726.33</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2"/>
              <w:jc w:val="right"/>
              <w:rPr>
                <w:rFonts w:ascii="宋体" w:hAnsi="宋体" w:cs="宋体" w:eastAsia="宋体" w:hint="default"/>
                <w:sz w:val="22"/>
                <w:szCs w:val="22"/>
              </w:rPr>
            </w:pPr>
            <w:r>
              <w:rPr>
                <w:rFonts w:ascii="宋体"/>
                <w:sz w:val="22"/>
              </w:rPr>
              <w:t>16.77%</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5"/>
              <w:jc w:val="right"/>
              <w:rPr>
                <w:rFonts w:ascii="宋体" w:hAnsi="宋体" w:cs="宋体" w:eastAsia="宋体" w:hint="default"/>
                <w:sz w:val="22"/>
                <w:szCs w:val="22"/>
              </w:rPr>
            </w:pPr>
            <w:r>
              <w:rPr>
                <w:rFonts w:ascii="宋体"/>
                <w:spacing w:val="-1"/>
                <w:sz w:val="22"/>
              </w:rPr>
              <w:t>2,844,542.23</w:t>
            </w:r>
          </w:p>
        </w:tc>
      </w:tr>
      <w:tr>
        <w:trPr>
          <w:trHeight w:val="646" w:hRule="exact"/>
        </w:trPr>
        <w:tc>
          <w:tcPr>
            <w:tcW w:w="2055"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pacing w:val="8"/>
                <w:sz w:val="22"/>
                <w:szCs w:val="22"/>
              </w:rPr>
              <w:t>研发支出总额占营</w:t>
            </w:r>
          </w:p>
          <w:p>
            <w:pPr>
              <w:pStyle w:val="TableParagraph"/>
              <w:spacing w:line="240" w:lineRule="auto" w:before="24"/>
              <w:ind w:left="98" w:right="0"/>
              <w:jc w:val="left"/>
              <w:rPr>
                <w:rFonts w:ascii="宋体" w:hAnsi="宋体" w:cs="宋体" w:eastAsia="宋体" w:hint="default"/>
                <w:sz w:val="22"/>
                <w:szCs w:val="22"/>
              </w:rPr>
            </w:pPr>
            <w:r>
              <w:rPr>
                <w:rFonts w:ascii="宋体" w:hAnsi="宋体" w:cs="宋体" w:eastAsia="宋体" w:hint="default"/>
                <w:sz w:val="22"/>
                <w:szCs w:val="22"/>
              </w:rPr>
              <w:t>业收入的比重</w:t>
            </w:r>
          </w:p>
        </w:tc>
        <w:tc>
          <w:tcPr>
            <w:tcW w:w="1701"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4.33%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3.72%</w:t>
            </w:r>
          </w:p>
        </w:tc>
        <w:tc>
          <w:tcPr>
            <w:tcW w:w="1558"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left="122" w:right="0"/>
              <w:jc w:val="left"/>
              <w:rPr>
                <w:rFonts w:ascii="宋体" w:hAnsi="宋体" w:cs="宋体" w:eastAsia="宋体" w:hint="default"/>
                <w:sz w:val="22"/>
                <w:szCs w:val="22"/>
              </w:rPr>
            </w:pPr>
            <w:r>
              <w:rPr>
                <w:rFonts w:ascii="宋体" w:hAnsi="宋体" w:cs="宋体" w:eastAsia="宋体" w:hint="default"/>
                <w:sz w:val="22"/>
                <w:szCs w:val="22"/>
              </w:rPr>
              <w:t>增加</w:t>
            </w:r>
            <w:r>
              <w:rPr>
                <w:rFonts w:ascii="宋体" w:hAnsi="宋体" w:cs="宋体" w:eastAsia="宋体" w:hint="default"/>
                <w:spacing w:val="-55"/>
                <w:sz w:val="22"/>
                <w:szCs w:val="22"/>
              </w:rPr>
              <w:t> </w:t>
            </w:r>
            <w:r>
              <w:rPr>
                <w:rFonts w:ascii="宋体" w:hAnsi="宋体" w:cs="宋体" w:eastAsia="宋体" w:hint="default"/>
                <w:sz w:val="22"/>
                <w:szCs w:val="22"/>
              </w:rPr>
              <w:t>0. 61</w:t>
            </w:r>
            <w:r>
              <w:rPr>
                <w:rFonts w:ascii="宋体" w:hAnsi="宋体" w:cs="宋体" w:eastAsia="宋体" w:hint="default"/>
                <w:spacing w:val="-55"/>
                <w:sz w:val="22"/>
                <w:szCs w:val="22"/>
              </w:rPr>
              <w:t> </w:t>
            </w:r>
            <w:r>
              <w:rPr>
                <w:rFonts w:ascii="宋体" w:hAnsi="宋体" w:cs="宋体" w:eastAsia="宋体" w:hint="default"/>
                <w:sz w:val="22"/>
                <w:szCs w:val="22"/>
              </w:rPr>
              <w:t>个</w:t>
            </w:r>
          </w:p>
          <w:p>
            <w:pPr>
              <w:pStyle w:val="TableParagraph"/>
              <w:spacing w:line="240" w:lineRule="auto" w:before="24"/>
              <w:ind w:left="782" w:right="0"/>
              <w:jc w:val="left"/>
              <w:rPr>
                <w:rFonts w:ascii="宋体" w:hAnsi="宋体" w:cs="宋体" w:eastAsia="宋体" w:hint="default"/>
                <w:sz w:val="22"/>
                <w:szCs w:val="22"/>
              </w:rPr>
            </w:pPr>
            <w:r>
              <w:rPr>
                <w:rFonts w:ascii="宋体" w:hAnsi="宋体" w:cs="宋体" w:eastAsia="宋体" w:hint="default"/>
                <w:sz w:val="22"/>
                <w:szCs w:val="22"/>
              </w:rPr>
              <w:t>百分点</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66" w:lineRule="exact"/>
              <w:ind w:right="94"/>
              <w:jc w:val="right"/>
              <w:rPr>
                <w:rFonts w:ascii="宋体" w:hAnsi="宋体" w:cs="宋体" w:eastAsia="宋体" w:hint="default"/>
                <w:sz w:val="22"/>
                <w:szCs w:val="22"/>
              </w:rPr>
            </w:pPr>
            <w:r>
              <w:rPr>
                <w:rFonts w:ascii="宋体"/>
                <w:sz w:val="22"/>
              </w:rPr>
              <w:t>5.25%</w:t>
            </w:r>
          </w:p>
        </w:tc>
      </w:tr>
    </w:tbl>
    <w:p>
      <w:pPr>
        <w:pStyle w:val="BodyText"/>
        <w:spacing w:line="357" w:lineRule="auto" w:before="38"/>
        <w:ind w:left="138" w:right="462" w:firstLine="480"/>
        <w:jc w:val="left"/>
      </w:pPr>
      <w:r>
        <w:rPr/>
        <w:t>研发支出同比增加</w:t>
      </w:r>
      <w:r>
        <w:rPr>
          <w:spacing w:val="-60"/>
        </w:rPr>
        <w:t> </w:t>
      </w:r>
      <w:r>
        <w:rPr/>
        <w:t>77.24%，系加快募投项目进度，相应研发投入增加所致。</w:t>
      </w:r>
      <w:r>
        <w:rPr/>
        <w:t> 10．控股子公司经营情况</w:t>
      </w:r>
    </w:p>
    <w:p>
      <w:pPr>
        <w:pStyle w:val="BodyText"/>
        <w:spacing w:line="240" w:lineRule="auto"/>
        <w:ind w:left="618" w:right="0"/>
        <w:jc w:val="left"/>
      </w:pPr>
      <w:r>
        <w:rPr>
          <w:spacing w:val="-3"/>
        </w:rPr>
        <w:t>截止报告期末，公司共有全资子公司 </w:t>
      </w:r>
      <w:r>
        <w:rPr/>
        <w:t>2</w:t>
      </w:r>
      <w:r>
        <w:rPr>
          <w:spacing w:val="-39"/>
        </w:rPr>
        <w:t> </w:t>
      </w:r>
      <w:r>
        <w:rPr>
          <w:spacing w:val="-7"/>
        </w:rPr>
        <w:t>家，为日本海隆株式会社（以下简称“日</w:t>
      </w:r>
    </w:p>
    <w:p>
      <w:pPr>
        <w:pStyle w:val="BodyText"/>
        <w:spacing w:line="240" w:lineRule="auto" w:before="154"/>
        <w:ind w:left="138" w:right="0"/>
        <w:jc w:val="both"/>
      </w:pPr>
      <w:r>
        <w:rPr/>
        <w:t>本海隆</w:t>
      </w:r>
      <w:r>
        <w:rPr>
          <w:spacing w:val="-120"/>
        </w:rPr>
        <w:t>”</w:t>
      </w:r>
      <w:r>
        <w:rPr>
          <w:spacing w:val="-8"/>
        </w:rPr>
        <w:t>，</w:t>
      </w:r>
      <w:r>
        <w:rPr/>
        <w:t>注册资本</w:t>
      </w:r>
      <w:r>
        <w:rPr>
          <w:spacing w:val="-60"/>
        </w:rPr>
        <w:t> </w:t>
      </w:r>
      <w:r>
        <w:rPr/>
        <w:t>5,000 万日元</w:t>
      </w:r>
      <w:r>
        <w:rPr>
          <w:spacing w:val="-8"/>
        </w:rPr>
        <w:t>）</w:t>
      </w:r>
      <w:r>
        <w:rPr/>
        <w:t>及江苏海隆软件技术有限公</w:t>
      </w:r>
      <w:r>
        <w:rPr>
          <w:spacing w:val="-8"/>
        </w:rPr>
        <w:t>司</w:t>
      </w:r>
      <w:r>
        <w:rPr/>
        <w:t>（以下简</w:t>
      </w:r>
      <w:r>
        <w:rPr>
          <w:spacing w:val="-8"/>
        </w:rPr>
        <w:t>称</w:t>
      </w:r>
      <w:r>
        <w:rPr/>
        <w:t>“江苏</w:t>
      </w:r>
    </w:p>
    <w:p>
      <w:pPr>
        <w:pStyle w:val="BodyText"/>
        <w:spacing w:line="357" w:lineRule="auto" w:before="154"/>
        <w:ind w:left="138" w:right="148"/>
        <w:jc w:val="both"/>
      </w:pPr>
      <w:r>
        <w:rPr/>
        <w:t>海隆</w:t>
      </w:r>
      <w:r>
        <w:rPr>
          <w:spacing w:val="-120"/>
        </w:rPr>
        <w:t>”</w:t>
      </w:r>
      <w:r>
        <w:rPr/>
        <w:t>，注册资本</w:t>
      </w:r>
      <w:r>
        <w:rPr>
          <w:spacing w:val="-53"/>
        </w:rPr>
        <w:t> </w:t>
      </w:r>
      <w:r>
        <w:rPr/>
        <w:t>1000</w:t>
      </w:r>
      <w:r>
        <w:rPr>
          <w:spacing w:val="-53"/>
        </w:rPr>
        <w:t> </w:t>
      </w:r>
      <w:r>
        <w:rPr/>
        <w:t>万元人民币</w:t>
      </w:r>
      <w:r>
        <w:rPr>
          <w:spacing w:val="-120"/>
        </w:rPr>
        <w:t>）</w:t>
      </w:r>
      <w:r>
        <w:rPr/>
        <w:t>；控股子公司</w:t>
      </w:r>
      <w:r>
        <w:rPr>
          <w:spacing w:val="-53"/>
        </w:rPr>
        <w:t> </w:t>
      </w:r>
      <w:r>
        <w:rPr/>
        <w:t>3</w:t>
      </w:r>
      <w:r>
        <w:rPr>
          <w:spacing w:val="-53"/>
        </w:rPr>
        <w:t> </w:t>
      </w:r>
      <w:r>
        <w:rPr/>
        <w:t>家，即南京欧亚物流信息系统有</w:t>
      </w:r>
      <w:r>
        <w:rPr/>
        <w:t> 限公</w:t>
      </w:r>
      <w:r>
        <w:rPr>
          <w:spacing w:val="-20"/>
        </w:rPr>
        <w:t>司</w:t>
      </w:r>
      <w:r>
        <w:rPr/>
        <w:t>（以下简</w:t>
      </w:r>
      <w:r>
        <w:rPr>
          <w:spacing w:val="-20"/>
        </w:rPr>
        <w:t>称</w:t>
      </w:r>
      <w:r>
        <w:rPr/>
        <w:t>“</w:t>
      </w:r>
      <w:r>
        <w:rPr>
          <w:spacing w:val="2"/>
        </w:rPr>
        <w:t>南</w:t>
      </w:r>
      <w:r>
        <w:rPr/>
        <w:t>京欧亚</w:t>
      </w:r>
      <w:r>
        <w:rPr>
          <w:spacing w:val="-120"/>
        </w:rPr>
        <w:t>”</w:t>
      </w:r>
      <w:r>
        <w:rPr>
          <w:spacing w:val="-20"/>
        </w:rPr>
        <w:t>，</w:t>
      </w:r>
      <w:r>
        <w:rPr/>
        <w:t>注册资本</w:t>
      </w:r>
      <w:r>
        <w:rPr>
          <w:spacing w:val="-60"/>
        </w:rPr>
        <w:t> </w:t>
      </w:r>
      <w:r>
        <w:rPr/>
        <w:t>60 万美元</w:t>
      </w:r>
      <w:r>
        <w:rPr>
          <w:spacing w:val="-20"/>
        </w:rPr>
        <w:t>，</w:t>
      </w:r>
      <w:r>
        <w:rPr/>
        <w:t>公司持有</w:t>
      </w:r>
      <w:r>
        <w:rPr>
          <w:spacing w:val="-60"/>
        </w:rPr>
        <w:t> </w:t>
      </w:r>
      <w:r>
        <w:rPr/>
        <w:t>60%的股权</w:t>
      </w:r>
      <w:r>
        <w:rPr>
          <w:spacing w:val="-20"/>
        </w:rPr>
        <w:t>，</w:t>
      </w:r>
      <w:r>
        <w:rPr/>
        <w:t>日本海</w:t>
      </w:r>
      <w:r>
        <w:rPr/>
        <w:t> 隆株式</w:t>
      </w:r>
      <w:r>
        <w:rPr>
          <w:spacing w:val="2"/>
        </w:rPr>
        <w:t>会</w:t>
      </w:r>
      <w:r>
        <w:rPr/>
        <w:t>社持有 4</w:t>
      </w:r>
      <w:r>
        <w:rPr>
          <w:spacing w:val="2"/>
        </w:rPr>
        <w:t>0</w:t>
      </w:r>
      <w:r>
        <w:rPr/>
        <w:t>%</w:t>
      </w:r>
      <w:r>
        <w:rPr>
          <w:spacing w:val="2"/>
        </w:rPr>
        <w:t>股</w:t>
      </w:r>
      <w:r>
        <w:rPr/>
        <w:t>权</w:t>
      </w:r>
      <w:r>
        <w:rPr>
          <w:spacing w:val="-120"/>
        </w:rPr>
        <w:t>）</w:t>
      </w:r>
      <w:r>
        <w:rPr/>
        <w:t>、</w:t>
      </w:r>
      <w:r>
        <w:rPr>
          <w:spacing w:val="2"/>
        </w:rPr>
        <w:t>上</w:t>
      </w:r>
      <w:r>
        <w:rPr/>
        <w:t>海华</w:t>
      </w:r>
      <w:r>
        <w:rPr>
          <w:spacing w:val="2"/>
        </w:rPr>
        <w:t>钟</w:t>
      </w:r>
      <w:r>
        <w:rPr/>
        <w:t>计算</w:t>
      </w:r>
      <w:r>
        <w:rPr>
          <w:spacing w:val="2"/>
        </w:rPr>
        <w:t>机</w:t>
      </w:r>
      <w:r>
        <w:rPr/>
        <w:t>软件开</w:t>
      </w:r>
      <w:r>
        <w:rPr>
          <w:spacing w:val="2"/>
        </w:rPr>
        <w:t>发</w:t>
      </w:r>
      <w:r>
        <w:rPr/>
        <w:t>有限</w:t>
      </w:r>
      <w:r>
        <w:rPr>
          <w:spacing w:val="2"/>
        </w:rPr>
        <w:t>公</w:t>
      </w:r>
      <w:r>
        <w:rPr/>
        <w:t>司（</w:t>
      </w:r>
      <w:r>
        <w:rPr>
          <w:spacing w:val="2"/>
        </w:rPr>
        <w:t>以</w:t>
      </w:r>
      <w:r>
        <w:rPr/>
        <w:t>下简称</w:t>
      </w:r>
      <w:r>
        <w:rPr>
          <w:spacing w:val="2"/>
        </w:rPr>
        <w:t>“</w:t>
      </w:r>
      <w:r>
        <w:rPr/>
        <w:t>华钟公</w:t>
      </w:r>
      <w:r>
        <w:rPr/>
        <w:t> 司</w:t>
      </w:r>
      <w:r>
        <w:rPr>
          <w:spacing w:val="-120"/>
        </w:rPr>
        <w:t>”</w:t>
      </w:r>
      <w:r>
        <w:rPr>
          <w:spacing w:val="-10"/>
        </w:rPr>
        <w:t>，</w:t>
      </w:r>
      <w:r>
        <w:rPr/>
        <w:t>注册资本</w:t>
      </w:r>
      <w:r>
        <w:rPr>
          <w:spacing w:val="-60"/>
        </w:rPr>
        <w:t> </w:t>
      </w:r>
      <w:r>
        <w:rPr/>
        <w:t>1000</w:t>
      </w:r>
      <w:r>
        <w:rPr>
          <w:spacing w:val="-60"/>
        </w:rPr>
        <w:t> </w:t>
      </w:r>
      <w:r>
        <w:rPr/>
        <w:t>万元人民币</w:t>
      </w:r>
      <w:r>
        <w:rPr>
          <w:spacing w:val="-10"/>
        </w:rPr>
        <w:t>，</w:t>
      </w:r>
      <w:r>
        <w:rPr/>
        <w:t>公司持有</w:t>
      </w:r>
      <w:r>
        <w:rPr>
          <w:spacing w:val="-60"/>
        </w:rPr>
        <w:t> </w:t>
      </w:r>
      <w:r>
        <w:rPr/>
        <w:t>51%股权</w:t>
      </w:r>
      <w:r>
        <w:rPr>
          <w:spacing w:val="-10"/>
        </w:rPr>
        <w:t>，</w:t>
      </w:r>
      <w:r>
        <w:rPr/>
        <w:t>日本电通国际信息服务株式会</w:t>
      </w:r>
      <w:r>
        <w:rPr/>
        <w:t> 社持股</w:t>
      </w:r>
      <w:r>
        <w:rPr>
          <w:spacing w:val="-60"/>
        </w:rPr>
        <w:t> </w:t>
      </w:r>
      <w:r>
        <w:rPr/>
        <w:t>49%</w:t>
      </w:r>
      <w:r>
        <w:rPr>
          <w:spacing w:val="-120"/>
        </w:rPr>
        <w:t>）</w:t>
      </w:r>
      <w:r>
        <w:rPr>
          <w:spacing w:val="-53"/>
        </w:rPr>
        <w:t>、</w:t>
      </w:r>
      <w:r>
        <w:rPr/>
        <w:t>上海海隆宜通信息技术有限公</w:t>
      </w:r>
      <w:r>
        <w:rPr>
          <w:spacing w:val="-53"/>
        </w:rPr>
        <w:t>司</w:t>
      </w:r>
      <w:r>
        <w:rPr/>
        <w:t>（以下简</w:t>
      </w:r>
      <w:r>
        <w:rPr>
          <w:spacing w:val="-53"/>
        </w:rPr>
        <w:t>称</w:t>
      </w:r>
      <w:r>
        <w:rPr/>
        <w:t>“海隆宜通</w:t>
      </w:r>
      <w:r>
        <w:rPr>
          <w:spacing w:val="-120"/>
        </w:rPr>
        <w:t>”</w:t>
      </w:r>
      <w:r>
        <w:rPr>
          <w:spacing w:val="-53"/>
        </w:rPr>
        <w:t>，</w:t>
      </w:r>
      <w:r>
        <w:rPr/>
        <w:t>注册资本</w:t>
      </w:r>
      <w:r>
        <w:rPr>
          <w:spacing w:val="-60"/>
        </w:rPr>
        <w:t> </w:t>
      </w:r>
      <w:r>
        <w:rPr/>
        <w:t>750</w:t>
      </w:r>
      <w:r>
        <w:rPr/>
        <w:t> 万元人民币，公司持有</w:t>
      </w:r>
      <w:r>
        <w:rPr>
          <w:spacing w:val="-60"/>
        </w:rPr>
        <w:t> </w:t>
      </w:r>
      <w:r>
        <w:rPr/>
        <w:t>55%股权，日本</w:t>
      </w:r>
      <w:r>
        <w:rPr>
          <w:spacing w:val="-60"/>
        </w:rPr>
        <w:t> </w:t>
      </w:r>
      <w:r>
        <w:rPr/>
        <w:t>MTI</w:t>
      </w:r>
      <w:r>
        <w:rPr>
          <w:spacing w:val="-60"/>
        </w:rPr>
        <w:t> </w:t>
      </w:r>
      <w:r>
        <w:rPr/>
        <w:t>株式会社持有</w:t>
      </w:r>
      <w:r>
        <w:rPr>
          <w:spacing w:val="-60"/>
        </w:rPr>
        <w:t> </w:t>
      </w:r>
      <w:r>
        <w:rPr/>
        <w:t>45%股权</w:t>
      </w:r>
      <w:r>
        <w:rPr>
          <w:spacing w:val="-120"/>
        </w:rPr>
        <w:t>）</w:t>
      </w:r>
      <w:r>
        <w:rPr/>
        <w:t>。</w:t>
      </w:r>
    </w:p>
    <w:p>
      <w:pPr>
        <w:pStyle w:val="BodyText"/>
        <w:spacing w:line="357" w:lineRule="auto"/>
        <w:ind w:left="138" w:right="148" w:firstLine="504"/>
        <w:jc w:val="both"/>
      </w:pPr>
      <w:r>
        <w:rPr/>
        <w:t>在</w:t>
      </w:r>
      <w:r>
        <w:rPr>
          <w:spacing w:val="-70"/>
        </w:rPr>
        <w:t> </w:t>
      </w:r>
      <w:r>
        <w:rPr/>
        <w:t>报</w:t>
      </w:r>
      <w:r>
        <w:rPr>
          <w:spacing w:val="-70"/>
        </w:rPr>
        <w:t> </w:t>
      </w:r>
      <w:r>
        <w:rPr/>
        <w:t>告</w:t>
      </w:r>
      <w:r>
        <w:rPr>
          <w:spacing w:val="-72"/>
        </w:rPr>
        <w:t> </w:t>
      </w:r>
      <w:r>
        <w:rPr/>
        <w:t>期</w:t>
      </w:r>
      <w:r>
        <w:rPr>
          <w:spacing w:val="-70"/>
        </w:rPr>
        <w:t> </w:t>
      </w:r>
      <w:r>
        <w:rPr/>
        <w:t>内</w:t>
      </w:r>
      <w:r>
        <w:rPr>
          <w:spacing w:val="-72"/>
        </w:rPr>
        <w:t> </w:t>
      </w:r>
      <w:r>
        <w:rPr/>
        <w:t>，</w:t>
      </w:r>
      <w:r>
        <w:rPr>
          <w:spacing w:val="-70"/>
        </w:rPr>
        <w:t> </w:t>
      </w:r>
      <w:r>
        <w:rPr/>
        <w:t>日</w:t>
      </w:r>
      <w:r>
        <w:rPr>
          <w:spacing w:val="-72"/>
        </w:rPr>
        <w:t> </w:t>
      </w:r>
      <w:r>
        <w:rPr/>
        <w:t>本</w:t>
      </w:r>
      <w:r>
        <w:rPr>
          <w:spacing w:val="-72"/>
        </w:rPr>
        <w:t> </w:t>
      </w:r>
      <w:r>
        <w:rPr/>
        <w:t>海</w:t>
      </w:r>
      <w:r>
        <w:rPr>
          <w:spacing w:val="-70"/>
        </w:rPr>
        <w:t> </w:t>
      </w:r>
      <w:r>
        <w:rPr/>
        <w:t>隆</w:t>
      </w:r>
      <w:r>
        <w:rPr>
          <w:spacing w:val="-70"/>
        </w:rPr>
        <w:t> </w:t>
      </w:r>
      <w:r>
        <w:rPr/>
        <w:t>实</w:t>
      </w:r>
      <w:r>
        <w:rPr>
          <w:spacing w:val="-72"/>
        </w:rPr>
        <w:t> </w:t>
      </w:r>
      <w:r>
        <w:rPr/>
        <w:t>现</w:t>
      </w:r>
      <w:r>
        <w:rPr>
          <w:spacing w:val="-70"/>
        </w:rPr>
        <w:t> </w:t>
      </w:r>
      <w:r>
        <w:rPr/>
        <w:t>销</w:t>
      </w:r>
      <w:r>
        <w:rPr>
          <w:spacing w:val="-72"/>
        </w:rPr>
        <w:t> </w:t>
      </w:r>
      <w:r>
        <w:rPr/>
        <w:t>售</w:t>
      </w:r>
      <w:r>
        <w:rPr>
          <w:spacing w:val="-70"/>
        </w:rPr>
        <w:t> </w:t>
      </w:r>
      <w:r>
        <w:rPr/>
        <w:t>收</w:t>
      </w:r>
      <w:r>
        <w:rPr>
          <w:spacing w:val="-72"/>
        </w:rPr>
        <w:t> </w:t>
      </w:r>
      <w:r>
        <w:rPr/>
        <w:t>入</w:t>
      </w:r>
      <w:r>
        <w:rPr>
          <w:spacing w:val="48"/>
        </w:rPr>
        <w:t> </w:t>
      </w:r>
      <w:r>
        <w:rPr/>
        <w:t>163,112,268.06</w:t>
      </w:r>
      <w:r>
        <w:rPr>
          <w:spacing w:val="50"/>
        </w:rPr>
        <w:t> </w:t>
      </w:r>
      <w:r>
        <w:rPr/>
        <w:t>元</w:t>
      </w:r>
      <w:r>
        <w:rPr>
          <w:spacing w:val="-70"/>
        </w:rPr>
        <w:t> </w:t>
      </w:r>
      <w:r>
        <w:rPr/>
        <w:t>，</w:t>
      </w:r>
      <w:r>
        <w:rPr>
          <w:spacing w:val="-72"/>
        </w:rPr>
        <w:t> </w:t>
      </w:r>
      <w:r>
        <w:rPr/>
        <w:t>利</w:t>
      </w:r>
      <w:r>
        <w:rPr>
          <w:spacing w:val="-70"/>
        </w:rPr>
        <w:t> </w:t>
      </w:r>
      <w:r>
        <w:rPr/>
        <w:t>润</w:t>
      </w:r>
      <w:r>
        <w:rPr>
          <w:spacing w:val="-70"/>
        </w:rPr>
        <w:t> </w:t>
      </w:r>
      <w:r>
        <w:rPr/>
        <w:t>总</w:t>
      </w:r>
      <w:r>
        <w:rPr>
          <w:spacing w:val="-70"/>
        </w:rPr>
        <w:t> </w:t>
      </w:r>
      <w:r>
        <w:rPr/>
        <w:t>额</w:t>
      </w:r>
      <w:r>
        <w:rPr/>
        <w:t> 3,039,916.13 </w:t>
      </w:r>
      <w:r>
        <w:rPr>
          <w:spacing w:val="-5"/>
        </w:rPr>
        <w:t>元，实现净利润 </w:t>
      </w:r>
      <w:r>
        <w:rPr/>
        <w:t>1,536,224.21 </w:t>
      </w:r>
      <w:r>
        <w:rPr>
          <w:spacing w:val="-6"/>
        </w:rPr>
        <w:t>元，同比增加</w:t>
      </w:r>
      <w:r>
        <w:rPr>
          <w:spacing w:val="-99"/>
        </w:rPr>
        <w:t> </w:t>
      </w:r>
      <w:r>
        <w:rPr>
          <w:spacing w:val="-3"/>
        </w:rPr>
        <w:t>231.42%，利润增加主要</w:t>
      </w:r>
      <w:r>
        <w:rPr/>
        <w:t> </w:t>
      </w:r>
      <w:r>
        <w:rPr>
          <w:spacing w:val="-3"/>
        </w:rPr>
        <w:t>系因公司整体业务规模扩大所致。日本海隆株式会社的净利润对公司合并净利润影响</w:t>
      </w:r>
      <w:r>
        <w:rPr>
          <w:spacing w:val="-101"/>
        </w:rPr>
        <w:t> </w:t>
      </w:r>
      <w:r>
        <w:rPr>
          <w:spacing w:val="-101"/>
        </w:rPr>
      </w:r>
      <w:r>
        <w:rPr/>
        <w:t>不足</w:t>
      </w:r>
      <w:r>
        <w:rPr>
          <w:spacing w:val="-60"/>
        </w:rPr>
        <w:t> </w:t>
      </w:r>
      <w:r>
        <w:rPr/>
        <w:t>10%。</w:t>
      </w:r>
    </w:p>
    <w:p>
      <w:pPr>
        <w:pStyle w:val="BodyText"/>
        <w:spacing w:line="240" w:lineRule="auto"/>
        <w:ind w:left="618" w:right="0"/>
        <w:jc w:val="left"/>
      </w:pPr>
      <w:r>
        <w:rPr/>
        <w:t>报告期内， 公司为了进一步整合业务资源，调整子公司的布局与分工，提高管</w:t>
      </w:r>
    </w:p>
    <w:p>
      <w:pPr>
        <w:spacing w:after="0" w:line="240" w:lineRule="auto"/>
        <w:jc w:val="left"/>
        <w:sectPr>
          <w:pgSz w:w="11900" w:h="16840"/>
          <w:pgMar w:header="874" w:footer="983" w:top="1100" w:bottom="1180" w:left="1280" w:right="1540"/>
        </w:sectPr>
      </w:pPr>
    </w:p>
    <w:p>
      <w:pPr>
        <w:spacing w:line="240" w:lineRule="auto" w:before="7"/>
        <w:rPr>
          <w:rFonts w:ascii="宋体" w:hAnsi="宋体" w:cs="宋体" w:eastAsia="宋体" w:hint="default"/>
          <w:sz w:val="25"/>
          <w:szCs w:val="25"/>
        </w:rPr>
      </w:pPr>
    </w:p>
    <w:p>
      <w:pPr>
        <w:pStyle w:val="BodyText"/>
        <w:spacing w:line="357" w:lineRule="auto" w:before="26"/>
        <w:ind w:left="138" w:right="113"/>
        <w:jc w:val="left"/>
      </w:pPr>
      <w:r>
        <w:rPr/>
        <w:t>理效率，于2010年6月18日公司第四届董事会第二次会议批准注销南京欧亚，（相关 </w:t>
      </w:r>
      <w:r>
        <w:rPr>
          <w:spacing w:val="-11"/>
        </w:rPr>
        <w:t>公告详见2010年6月21日《中国证券报》及巨潮资讯网</w:t>
      </w:r>
      <w:hyperlink r:id="rId9">
        <w:r>
          <w:rPr>
            <w:spacing w:val="-11"/>
          </w:rPr>
          <w:t>（http://www.cninfo.com.cn</w:t>
        </w:r>
      </w:hyperlink>
      <w:r>
        <w:rPr>
          <w:spacing w:val="-11"/>
        </w:rPr>
        <w:t>））。</w:t>
      </w:r>
      <w:r>
        <w:rPr>
          <w:spacing w:val="-93"/>
        </w:rPr>
        <w:t> </w:t>
      </w:r>
      <w:r>
        <w:rPr>
          <w:spacing w:val="-93"/>
        </w:rPr>
      </w:r>
      <w:r>
        <w:rPr>
          <w:spacing w:val="-3"/>
        </w:rPr>
        <w:t>南京欧亚已于2010年11月30日实行清算，并于2011年1月13日完成工商注销登记（ </w:t>
      </w:r>
      <w:r>
        <w:rPr/>
        <w:t>公</w:t>
      </w:r>
      <w:r>
        <w:rPr>
          <w:spacing w:val="-80"/>
        </w:rPr>
        <w:t> </w:t>
      </w:r>
      <w:r>
        <w:rPr>
          <w:spacing w:val="-80"/>
        </w:rPr>
      </w:r>
      <w:r>
        <w:rPr/>
        <w:t>告编号：2011-001，详见2011年1月15日《中国证券报》及巨潮资讯网）。</w:t>
      </w:r>
    </w:p>
    <w:p>
      <w:pPr>
        <w:pStyle w:val="BodyText"/>
        <w:spacing w:line="357" w:lineRule="auto"/>
        <w:ind w:left="138" w:right="110" w:firstLine="504"/>
        <w:jc w:val="left"/>
      </w:pPr>
      <w:r>
        <w:rPr>
          <w:spacing w:val="-3"/>
        </w:rPr>
        <w:t>经过清算，南京欧亚资产总额359.56万元，负债总额0万元，净资产359.56万元，</w:t>
      </w:r>
      <w:r>
        <w:rPr/>
        <w:t> </w:t>
      </w:r>
      <w:r>
        <w:rPr>
          <w:spacing w:val="-3"/>
        </w:rPr>
        <w:t>南京欧亚可供股东分配的剩余财产359.56万元按持股比例转回公司及日本海隆。清算</w:t>
      </w:r>
      <w:r>
        <w:rPr>
          <w:spacing w:val="-92"/>
        </w:rPr>
        <w:t> </w:t>
      </w:r>
      <w:r>
        <w:rPr>
          <w:spacing w:val="-92"/>
        </w:rPr>
      </w:r>
      <w:r>
        <w:rPr/>
        <w:t>造成的账面资产损失为137.59万元，占公司报告期末总资产的0.83%，年初至处置日 净利润为-8.56万元，对公司合并净利润影响不足10%。</w:t>
      </w:r>
    </w:p>
    <w:p>
      <w:pPr>
        <w:pStyle w:val="BodyText"/>
        <w:spacing w:line="240" w:lineRule="auto"/>
        <w:ind w:left="618" w:right="113"/>
        <w:jc w:val="left"/>
      </w:pPr>
      <w:r>
        <w:rPr/>
        <w:t>华钟公司自</w:t>
      </w:r>
      <w:r>
        <w:rPr>
          <w:spacing w:val="-53"/>
        </w:rPr>
        <w:t> </w:t>
      </w:r>
      <w:r>
        <w:rPr/>
        <w:t>2009</w:t>
      </w:r>
      <w:r>
        <w:rPr>
          <w:spacing w:val="-53"/>
        </w:rPr>
        <w:t> </w:t>
      </w:r>
      <w:r>
        <w:rPr/>
        <w:t>年</w:t>
      </w:r>
      <w:r>
        <w:rPr>
          <w:spacing w:val="-53"/>
        </w:rPr>
        <w:t> </w:t>
      </w:r>
      <w:r>
        <w:rPr/>
        <w:t>9</w:t>
      </w:r>
      <w:r>
        <w:rPr>
          <w:spacing w:val="-53"/>
        </w:rPr>
        <w:t> </w:t>
      </w:r>
      <w:r>
        <w:rPr/>
        <w:t>月并入公司合并报表范围。报告期内，华钟公司实现销售</w:t>
      </w:r>
    </w:p>
    <w:p>
      <w:pPr>
        <w:pStyle w:val="BodyText"/>
        <w:spacing w:line="357" w:lineRule="auto" w:before="154"/>
        <w:ind w:left="138" w:right="219"/>
        <w:jc w:val="left"/>
      </w:pPr>
      <w:r>
        <w:rPr/>
        <w:t>收入</w:t>
      </w:r>
      <w:r>
        <w:rPr>
          <w:spacing w:val="-59"/>
        </w:rPr>
        <w:t> </w:t>
      </w:r>
      <w:r>
        <w:rPr/>
        <w:t>71,214,936.84</w:t>
      </w:r>
      <w:r>
        <w:rPr>
          <w:spacing w:val="-59"/>
        </w:rPr>
        <w:t> </w:t>
      </w:r>
      <w:r>
        <w:rPr>
          <w:spacing w:val="-6"/>
        </w:rPr>
        <w:t>元，利润总额</w:t>
      </w:r>
      <w:r>
        <w:rPr>
          <w:spacing w:val="-59"/>
        </w:rPr>
        <w:t> </w:t>
      </w:r>
      <w:r>
        <w:rPr/>
        <w:t>5,636,024.78</w:t>
      </w:r>
      <w:r>
        <w:rPr>
          <w:spacing w:val="-59"/>
        </w:rPr>
        <w:t> </w:t>
      </w:r>
      <w:r>
        <w:rPr>
          <w:spacing w:val="-7"/>
        </w:rPr>
        <w:t>元，净利润</w:t>
      </w:r>
      <w:r>
        <w:rPr>
          <w:spacing w:val="-59"/>
        </w:rPr>
        <w:t> </w:t>
      </w:r>
      <w:r>
        <w:rPr/>
        <w:t>4,769,758.81</w:t>
      </w:r>
      <w:r>
        <w:rPr>
          <w:spacing w:val="-59"/>
        </w:rPr>
        <w:t> </w:t>
      </w:r>
      <w:r>
        <w:rPr>
          <w:spacing w:val="-8"/>
        </w:rPr>
        <w:t>元，公司</w:t>
      </w:r>
      <w:r>
        <w:rPr/>
        <w:t> 持有华钟公司</w:t>
      </w:r>
      <w:r>
        <w:rPr>
          <w:spacing w:val="-60"/>
        </w:rPr>
        <w:t> </w:t>
      </w:r>
      <w:r>
        <w:rPr/>
        <w:t>51%股份，其净利润对公司合并净利润影响不足</w:t>
      </w:r>
      <w:r>
        <w:rPr>
          <w:spacing w:val="-60"/>
        </w:rPr>
        <w:t> </w:t>
      </w:r>
      <w:r>
        <w:rPr/>
        <w:t>10%。</w:t>
      </w:r>
    </w:p>
    <w:p>
      <w:pPr>
        <w:pStyle w:val="BodyText"/>
        <w:spacing w:line="357" w:lineRule="auto"/>
        <w:ind w:left="138" w:right="113" w:firstLine="480"/>
        <w:jc w:val="left"/>
      </w:pPr>
      <w:r>
        <w:rPr/>
        <w:t>公司于2010 年4 月12</w:t>
      </w:r>
      <w:r>
        <w:rPr>
          <w:spacing w:val="6"/>
        </w:rPr>
        <w:t> </w:t>
      </w:r>
      <w:r>
        <w:rPr>
          <w:spacing w:val="-4"/>
        </w:rPr>
        <w:t>日召开第三届董事会第二十二次会议，批准成立上海海隆</w:t>
      </w:r>
      <w:r>
        <w:rPr/>
        <w:t> </w:t>
      </w:r>
      <w:r>
        <w:rPr>
          <w:spacing w:val="-5"/>
        </w:rPr>
        <w:t>宜通信息技术有限公司，（公告编号：2010-010，详见2010年4月14日</w:t>
      </w:r>
      <w:r>
        <w:rPr>
          <w:spacing w:val="-29"/>
        </w:rPr>
        <w:t> </w:t>
      </w:r>
      <w:r>
        <w:rPr/>
        <w:t>《中国证券报》</w:t>
      </w:r>
      <w:r>
        <w:rPr/>
        <w:t> 及巨潮资讯网），并于2010年7月完成工商登记（公告编号：2010-018，2010-010， 详见2010年7月7日 《中国证券报》及巨潮资讯网）。报告期内，海隆宜通实现销售 </w:t>
      </w:r>
      <w:r>
        <w:rPr>
          <w:spacing w:val="-2"/>
        </w:rPr>
        <w:t>收入524,725.00元，利润总额-431,174.33元，净利润-431,174.33元，公司持有海隆</w:t>
      </w:r>
      <w:r>
        <w:rPr>
          <w:spacing w:val="-110"/>
        </w:rPr>
        <w:t> </w:t>
      </w:r>
      <w:r>
        <w:rPr>
          <w:spacing w:val="-110"/>
        </w:rPr>
      </w:r>
      <w:r>
        <w:rPr/>
        <w:t>宜通55%股份，其净利润对公司合并净利润影响不足10%。</w:t>
      </w:r>
    </w:p>
    <w:p>
      <w:pPr>
        <w:pStyle w:val="BodyText"/>
        <w:spacing w:line="240" w:lineRule="auto"/>
        <w:ind w:left="618" w:right="113"/>
        <w:jc w:val="left"/>
      </w:pPr>
      <w:r>
        <w:rPr/>
        <w:t>公司于</w:t>
      </w:r>
      <w:r>
        <w:rPr>
          <w:spacing w:val="-53"/>
        </w:rPr>
        <w:t> </w:t>
      </w:r>
      <w:r>
        <w:rPr/>
        <w:t>2010 年</w:t>
      </w:r>
      <w:r>
        <w:rPr>
          <w:spacing w:val="-53"/>
        </w:rPr>
        <w:t> </w:t>
      </w:r>
      <w:r>
        <w:rPr/>
        <w:t>6</w:t>
      </w:r>
      <w:r>
        <w:rPr>
          <w:spacing w:val="-53"/>
        </w:rPr>
        <w:t> </w:t>
      </w:r>
      <w:r>
        <w:rPr/>
        <w:t>月</w:t>
      </w:r>
      <w:r>
        <w:rPr>
          <w:spacing w:val="-53"/>
        </w:rPr>
        <w:t> </w:t>
      </w:r>
      <w:r>
        <w:rPr/>
        <w:t>18 日召开第四届董事会第二次会议，批准成立上海江苏海</w:t>
      </w:r>
    </w:p>
    <w:p>
      <w:pPr>
        <w:pStyle w:val="BodyText"/>
        <w:spacing w:line="240" w:lineRule="auto" w:before="154"/>
        <w:ind w:left="138" w:right="113"/>
        <w:jc w:val="left"/>
      </w:pPr>
      <w:r>
        <w:rPr/>
        <w:t>隆软件技术有限公司，（公告编号：2010-017，详见</w:t>
      </w:r>
      <w:r>
        <w:rPr>
          <w:spacing w:val="-56"/>
        </w:rPr>
        <w:t> </w:t>
      </w:r>
      <w:r>
        <w:rPr/>
        <w:t>2010</w:t>
      </w:r>
      <w:r>
        <w:rPr>
          <w:spacing w:val="-56"/>
        </w:rPr>
        <w:t> </w:t>
      </w:r>
      <w:r>
        <w:rPr/>
        <w:t>年</w:t>
      </w:r>
      <w:r>
        <w:rPr>
          <w:spacing w:val="-56"/>
        </w:rPr>
        <w:t> </w:t>
      </w:r>
      <w:r>
        <w:rPr/>
        <w:t>6</w:t>
      </w:r>
      <w:r>
        <w:rPr>
          <w:spacing w:val="-56"/>
        </w:rPr>
        <w:t> </w:t>
      </w:r>
      <w:r>
        <w:rPr/>
        <w:t>月</w:t>
      </w:r>
      <w:r>
        <w:rPr>
          <w:spacing w:val="-56"/>
        </w:rPr>
        <w:t> </w:t>
      </w:r>
      <w:r>
        <w:rPr/>
        <w:t>21</w:t>
      </w:r>
      <w:r>
        <w:rPr>
          <w:spacing w:val="-56"/>
        </w:rPr>
        <w:t> </w:t>
      </w:r>
      <w:r>
        <w:rPr/>
        <w:t>日 《中国证券</w:t>
      </w:r>
    </w:p>
    <w:p>
      <w:pPr>
        <w:pStyle w:val="BodyText"/>
        <w:spacing w:line="240" w:lineRule="auto" w:before="154"/>
        <w:ind w:left="138" w:right="113"/>
        <w:jc w:val="left"/>
      </w:pPr>
      <w:r>
        <w:rPr/>
        <w:t>报》及巨潮资讯网），并于</w:t>
      </w:r>
      <w:r>
        <w:rPr>
          <w:spacing w:val="-53"/>
        </w:rPr>
        <w:t> </w:t>
      </w:r>
      <w:r>
        <w:rPr/>
        <w:t>2010</w:t>
      </w:r>
      <w:r>
        <w:rPr>
          <w:spacing w:val="-53"/>
        </w:rPr>
        <w:t> </w:t>
      </w:r>
      <w:r>
        <w:rPr/>
        <w:t>年</w:t>
      </w:r>
      <w:r>
        <w:rPr>
          <w:spacing w:val="-53"/>
        </w:rPr>
        <w:t> </w:t>
      </w:r>
      <w:r>
        <w:rPr/>
        <w:t>7</w:t>
      </w:r>
      <w:r>
        <w:rPr>
          <w:spacing w:val="-53"/>
        </w:rPr>
        <w:t> </w:t>
      </w:r>
      <w:r>
        <w:rPr/>
        <w:t>月完成工商登记（公告编号：2010-019，详见</w:t>
      </w:r>
    </w:p>
    <w:p>
      <w:pPr>
        <w:pStyle w:val="BodyText"/>
        <w:spacing w:line="357" w:lineRule="auto" w:before="154"/>
        <w:ind w:left="138" w:right="230"/>
        <w:jc w:val="both"/>
      </w:pPr>
      <w:r>
        <w:rPr/>
        <w:t>2010</w:t>
      </w:r>
      <w:r>
        <w:rPr>
          <w:spacing w:val="-44"/>
        </w:rPr>
        <w:t> </w:t>
      </w:r>
      <w:r>
        <w:rPr/>
        <w:t>年</w:t>
      </w:r>
      <w:r>
        <w:rPr>
          <w:spacing w:val="-44"/>
        </w:rPr>
        <w:t> </w:t>
      </w:r>
      <w:r>
        <w:rPr/>
        <w:t>7</w:t>
      </w:r>
      <w:r>
        <w:rPr>
          <w:spacing w:val="-44"/>
        </w:rPr>
        <w:t> </w:t>
      </w:r>
      <w:r>
        <w:rPr/>
        <w:t>月</w:t>
      </w:r>
      <w:r>
        <w:rPr>
          <w:spacing w:val="-44"/>
        </w:rPr>
        <w:t> </w:t>
      </w:r>
      <w:r>
        <w:rPr/>
        <w:t>13</w:t>
      </w:r>
      <w:r>
        <w:rPr>
          <w:spacing w:val="-44"/>
        </w:rPr>
        <w:t> </w:t>
      </w:r>
      <w:r>
        <w:rPr/>
        <w:t>日 《中国证券报》及巨潮资讯网）。报告期内，江苏海隆实现销售</w:t>
      </w:r>
      <w:r>
        <w:rPr/>
        <w:t> 收入</w:t>
      </w:r>
      <w:r>
        <w:rPr>
          <w:spacing w:val="-75"/>
        </w:rPr>
        <w:t> </w:t>
      </w:r>
      <w:r>
        <w:rPr/>
        <w:t>5,123,648.00</w:t>
      </w:r>
      <w:r>
        <w:rPr>
          <w:spacing w:val="-75"/>
        </w:rPr>
        <w:t> </w:t>
      </w:r>
      <w:r>
        <w:rPr/>
        <w:t>元，利润总额-194,427.19</w:t>
      </w:r>
      <w:r>
        <w:rPr>
          <w:spacing w:val="-75"/>
        </w:rPr>
        <w:t> </w:t>
      </w:r>
      <w:r>
        <w:rPr/>
        <w:t>元，净利润-194,427.19</w:t>
      </w:r>
      <w:r>
        <w:rPr>
          <w:spacing w:val="-75"/>
        </w:rPr>
        <w:t> </w:t>
      </w:r>
      <w:r>
        <w:rPr>
          <w:spacing w:val="-6"/>
        </w:rPr>
        <w:t>元，对公司合</w:t>
      </w:r>
      <w:r>
        <w:rPr/>
        <w:t> 并净利润影响不足</w:t>
      </w:r>
      <w:r>
        <w:rPr>
          <w:spacing w:val="-60"/>
        </w:rPr>
        <w:t> </w:t>
      </w:r>
      <w:r>
        <w:rPr/>
        <w:t>10%。</w:t>
      </w:r>
    </w:p>
    <w:p>
      <w:pPr>
        <w:pStyle w:val="BodyText"/>
        <w:spacing w:line="240" w:lineRule="auto"/>
        <w:ind w:left="138" w:right="113"/>
        <w:jc w:val="left"/>
      </w:pPr>
      <w:r>
        <w:rPr/>
        <w:t>11、报告期内募投资金投资情况</w:t>
      </w:r>
    </w:p>
    <w:p>
      <w:pPr>
        <w:pStyle w:val="BodyText"/>
        <w:spacing w:line="240" w:lineRule="auto" w:before="154"/>
        <w:ind w:left="255" w:right="113"/>
        <w:jc w:val="left"/>
      </w:pPr>
      <w:r>
        <w:rPr/>
        <w:t>（1）募集资金基本情况</w:t>
      </w:r>
    </w:p>
    <w:p>
      <w:pPr>
        <w:pStyle w:val="BodyText"/>
        <w:spacing w:line="357" w:lineRule="auto" w:before="154"/>
        <w:ind w:left="138" w:right="230" w:firstLine="480"/>
        <w:jc w:val="both"/>
      </w:pPr>
      <w:r>
        <w:rPr/>
        <w:t>2007</w:t>
      </w:r>
      <w:r>
        <w:rPr>
          <w:spacing w:val="-68"/>
        </w:rPr>
        <w:t> </w:t>
      </w:r>
      <w:r>
        <w:rPr/>
        <w:t>年</w:t>
      </w:r>
      <w:r>
        <w:rPr>
          <w:spacing w:val="-68"/>
        </w:rPr>
        <w:t> </w:t>
      </w:r>
      <w:r>
        <w:rPr/>
        <w:t>11</w:t>
      </w:r>
      <w:r>
        <w:rPr>
          <w:spacing w:val="-68"/>
        </w:rPr>
        <w:t> </w:t>
      </w:r>
      <w:r>
        <w:rPr/>
        <w:t>月</w:t>
      </w:r>
      <w:r>
        <w:rPr>
          <w:spacing w:val="-68"/>
        </w:rPr>
        <w:t> </w:t>
      </w:r>
      <w:r>
        <w:rPr/>
        <w:t>20</w:t>
      </w:r>
      <w:r>
        <w:rPr>
          <w:spacing w:val="-68"/>
        </w:rPr>
        <w:t> </w:t>
      </w:r>
      <w:r>
        <w:rPr/>
        <w:t>日，经中国证券监督管理委员会证监发行字[2007]413</w:t>
      </w:r>
      <w:r>
        <w:rPr>
          <w:spacing w:val="-68"/>
        </w:rPr>
        <w:t> </w:t>
      </w:r>
      <w:r>
        <w:rPr>
          <w:spacing w:val="-12"/>
        </w:rPr>
        <w:t>号《关于</w:t>
      </w:r>
      <w:r>
        <w:rPr/>
        <w:t> </w:t>
      </w:r>
      <w:r>
        <w:rPr>
          <w:spacing w:val="-3"/>
        </w:rPr>
        <w:t>核准上海海隆软件股份有限公司首次公开发行股票的通知》核准，上海海隆软件股份</w:t>
      </w:r>
      <w:r>
        <w:rPr>
          <w:spacing w:val="-101"/>
        </w:rPr>
        <w:t> </w:t>
      </w:r>
      <w:r>
        <w:rPr>
          <w:spacing w:val="-101"/>
        </w:rPr>
      </w:r>
      <w:r>
        <w:rPr>
          <w:spacing w:val="-3"/>
        </w:rPr>
        <w:t>有限公司（以下简称“本公司”）采用网下向询价对象询价配售和网上资金申购定价</w:t>
      </w:r>
      <w:r>
        <w:rPr>
          <w:spacing w:val="-101"/>
        </w:rPr>
        <w:t> </w:t>
      </w:r>
      <w:r>
        <w:rPr>
          <w:spacing w:val="-101"/>
        </w:rPr>
      </w:r>
      <w:r>
        <w:rPr/>
        <w:t>发行相结合的方式，向社会公开发行人民币普通股（A 股）1,450</w:t>
      </w:r>
      <w:r>
        <w:rPr>
          <w:spacing w:val="-92"/>
        </w:rPr>
        <w:t> </w:t>
      </w:r>
      <w:r>
        <w:rPr/>
        <w:t>万股，每股发行价</w:t>
      </w:r>
    </w:p>
    <w:p>
      <w:pPr>
        <w:spacing w:after="0" w:line="357" w:lineRule="auto"/>
        <w:jc w:val="both"/>
        <w:sectPr>
          <w:pgSz w:w="11900" w:h="16840"/>
          <w:pgMar w:header="874" w:footer="983" w:top="1100" w:bottom="1180" w:left="1280" w:right="1460"/>
        </w:sectPr>
      </w:pPr>
    </w:p>
    <w:p>
      <w:pPr>
        <w:spacing w:line="240" w:lineRule="auto" w:before="7"/>
        <w:rPr>
          <w:rFonts w:ascii="宋体" w:hAnsi="宋体" w:cs="宋体" w:eastAsia="宋体" w:hint="default"/>
          <w:sz w:val="25"/>
          <w:szCs w:val="25"/>
        </w:rPr>
      </w:pPr>
    </w:p>
    <w:p>
      <w:pPr>
        <w:pStyle w:val="BodyText"/>
        <w:spacing w:line="240" w:lineRule="auto" w:before="26"/>
        <w:ind w:left="138" w:right="0"/>
        <w:jc w:val="left"/>
      </w:pPr>
      <w:r>
        <w:rPr/>
        <w:t>格为</w:t>
      </w:r>
      <w:r>
        <w:rPr>
          <w:spacing w:val="-56"/>
        </w:rPr>
        <w:t> </w:t>
      </w:r>
      <w:r>
        <w:rPr/>
        <w:t>10.49</w:t>
      </w:r>
      <w:r>
        <w:rPr>
          <w:spacing w:val="-56"/>
        </w:rPr>
        <w:t> </w:t>
      </w:r>
      <w:r>
        <w:rPr/>
        <w:t>元，共募集资金</w:t>
      </w:r>
      <w:r>
        <w:rPr>
          <w:spacing w:val="-56"/>
        </w:rPr>
        <w:t> </w:t>
      </w:r>
      <w:r>
        <w:rPr/>
        <w:t>152,105,000.00</w:t>
      </w:r>
      <w:r>
        <w:rPr>
          <w:spacing w:val="-56"/>
        </w:rPr>
        <w:t> </w:t>
      </w:r>
      <w:r>
        <w:rPr/>
        <w:t>元，扣除发行费用</w:t>
      </w:r>
      <w:r>
        <w:rPr>
          <w:spacing w:val="-56"/>
        </w:rPr>
        <w:t> </w:t>
      </w:r>
      <w:r>
        <w:rPr/>
        <w:t>20,965,894.80</w:t>
      </w:r>
      <w:r>
        <w:rPr>
          <w:spacing w:val="-56"/>
        </w:rPr>
        <w:t> </w:t>
      </w:r>
      <w:r>
        <w:rPr/>
        <w:t>元，</w:t>
      </w:r>
    </w:p>
    <w:p>
      <w:pPr>
        <w:pStyle w:val="BodyText"/>
        <w:spacing w:line="240" w:lineRule="auto" w:before="154"/>
        <w:ind w:left="138" w:right="0"/>
        <w:jc w:val="left"/>
      </w:pPr>
      <w:r>
        <w:rPr/>
        <w:t>募集资金净额为</w:t>
      </w:r>
      <w:r>
        <w:rPr>
          <w:spacing w:val="-58"/>
        </w:rPr>
        <w:t> </w:t>
      </w:r>
      <w:r>
        <w:rPr/>
        <w:t>131,139,105.20</w:t>
      </w:r>
      <w:r>
        <w:rPr>
          <w:spacing w:val="-58"/>
        </w:rPr>
        <w:t> </w:t>
      </w:r>
      <w:r>
        <w:rPr/>
        <w:t>元。该募集资金已于</w:t>
      </w:r>
      <w:r>
        <w:rPr>
          <w:spacing w:val="-58"/>
        </w:rPr>
        <w:t> </w:t>
      </w:r>
      <w:r>
        <w:rPr/>
        <w:t>2007</w:t>
      </w:r>
      <w:r>
        <w:rPr>
          <w:spacing w:val="-58"/>
        </w:rPr>
        <w:t> </w:t>
      </w:r>
      <w:r>
        <w:rPr/>
        <w:t>年</w:t>
      </w:r>
      <w:r>
        <w:rPr>
          <w:spacing w:val="-58"/>
        </w:rPr>
        <w:t> </w:t>
      </w:r>
      <w:r>
        <w:rPr/>
        <w:t>12</w:t>
      </w:r>
      <w:r>
        <w:rPr>
          <w:spacing w:val="-56"/>
        </w:rPr>
        <w:t> </w:t>
      </w:r>
      <w:r>
        <w:rPr/>
        <w:t>月</w:t>
      </w:r>
      <w:r>
        <w:rPr>
          <w:spacing w:val="-58"/>
        </w:rPr>
        <w:t> </w:t>
      </w:r>
      <w:r>
        <w:rPr/>
        <w:t>5</w:t>
      </w:r>
      <w:r>
        <w:rPr>
          <w:spacing w:val="-58"/>
        </w:rPr>
        <w:t> </w:t>
      </w:r>
      <w:r>
        <w:rPr/>
        <w:t>日全部到位，</w:t>
      </w:r>
    </w:p>
    <w:p>
      <w:pPr>
        <w:pStyle w:val="BodyText"/>
        <w:spacing w:line="357" w:lineRule="auto" w:before="154"/>
        <w:ind w:left="138" w:right="154"/>
        <w:jc w:val="left"/>
      </w:pPr>
      <w:r>
        <w:rPr/>
        <w:t>并经上海众华沪银会计师事务所有限公司沪众会字（2007）第 2897</w:t>
      </w:r>
      <w:r>
        <w:rPr>
          <w:spacing w:val="-92"/>
        </w:rPr>
        <w:t> </w:t>
      </w:r>
      <w:r>
        <w:rPr/>
        <w:t>号验资报告审验</w:t>
      </w:r>
      <w:r>
        <w:rPr/>
        <w:t> 确认。</w:t>
      </w:r>
    </w:p>
    <w:p>
      <w:pPr>
        <w:pStyle w:val="BodyText"/>
        <w:spacing w:line="240" w:lineRule="auto"/>
        <w:ind w:left="618" w:right="0"/>
        <w:jc w:val="left"/>
      </w:pPr>
      <w:r>
        <w:rPr/>
        <w:t>截止</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日，本公司募集资金使用情况如下：</w:t>
      </w:r>
    </w:p>
    <w:p>
      <w:pPr>
        <w:spacing w:line="240" w:lineRule="auto" w:before="10"/>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387"/>
        <w:gridCol w:w="4449"/>
      </w:tblGrid>
      <w:tr>
        <w:trPr>
          <w:trHeight w:val="478"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4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39" w:right="0"/>
              <w:jc w:val="left"/>
              <w:rPr>
                <w:rFonts w:ascii="宋体" w:hAnsi="宋体" w:cs="宋体" w:eastAsia="宋体" w:hint="default"/>
                <w:sz w:val="22"/>
                <w:szCs w:val="22"/>
              </w:rPr>
            </w:pPr>
            <w:r>
              <w:rPr>
                <w:rFonts w:ascii="宋体" w:hAnsi="宋体" w:cs="宋体" w:eastAsia="宋体" w:hint="default"/>
                <w:sz w:val="22"/>
                <w:szCs w:val="22"/>
              </w:rPr>
              <w:t>金额（人民币元）</w:t>
            </w:r>
          </w:p>
        </w:tc>
      </w:tr>
      <w:tr>
        <w:trPr>
          <w:trHeight w:val="478"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sz w:val="22"/>
                <w:szCs w:val="22"/>
              </w:rPr>
              <w:t>募集资金净额</w:t>
            </w:r>
          </w:p>
        </w:tc>
        <w:tc>
          <w:tcPr>
            <w:tcW w:w="4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49" w:right="0"/>
              <w:jc w:val="left"/>
              <w:rPr>
                <w:rFonts w:ascii="宋体" w:hAnsi="宋体" w:cs="宋体" w:eastAsia="宋体" w:hint="default"/>
                <w:sz w:val="22"/>
                <w:szCs w:val="22"/>
              </w:rPr>
            </w:pPr>
            <w:r>
              <w:rPr>
                <w:rFonts w:ascii="宋体"/>
                <w:sz w:val="22"/>
              </w:rPr>
              <w:t>131,139,105.20</w:t>
            </w:r>
          </w:p>
        </w:tc>
      </w:tr>
      <w:tr>
        <w:trPr>
          <w:trHeight w:val="478"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sz w:val="22"/>
                <w:szCs w:val="22"/>
              </w:rPr>
              <w:t>减：累计使用募集资金</w:t>
            </w:r>
          </w:p>
        </w:tc>
        <w:tc>
          <w:tcPr>
            <w:tcW w:w="4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559" w:right="0"/>
              <w:jc w:val="left"/>
              <w:rPr>
                <w:rFonts w:ascii="宋体" w:hAnsi="宋体" w:cs="宋体" w:eastAsia="宋体" w:hint="default"/>
                <w:sz w:val="22"/>
                <w:szCs w:val="22"/>
              </w:rPr>
            </w:pPr>
            <w:r>
              <w:rPr>
                <w:rFonts w:ascii="宋体"/>
                <w:sz w:val="22"/>
              </w:rPr>
              <w:t>37,342,630.31</w:t>
            </w:r>
          </w:p>
        </w:tc>
      </w:tr>
      <w:tr>
        <w:trPr>
          <w:trHeight w:val="480"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45" w:right="0"/>
              <w:jc w:val="left"/>
              <w:rPr>
                <w:rFonts w:ascii="宋体" w:hAnsi="宋体" w:cs="宋体" w:eastAsia="宋体" w:hint="default"/>
                <w:sz w:val="22"/>
                <w:szCs w:val="22"/>
              </w:rPr>
            </w:pPr>
            <w:r>
              <w:rPr>
                <w:rFonts w:ascii="宋体" w:hAnsi="宋体" w:cs="宋体" w:eastAsia="宋体" w:hint="default"/>
                <w:sz w:val="22"/>
                <w:szCs w:val="22"/>
              </w:rPr>
              <w:t>其中：以前年度已使用金额</w:t>
            </w:r>
          </w:p>
        </w:tc>
        <w:tc>
          <w:tcPr>
            <w:tcW w:w="4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2"/>
                <w:szCs w:val="22"/>
              </w:rPr>
            </w:pPr>
            <w:r>
              <w:rPr>
                <w:rFonts w:ascii="宋体"/>
                <w:sz w:val="22"/>
              </w:rPr>
              <w:t>17,950,621.36</w:t>
            </w:r>
          </w:p>
        </w:tc>
      </w:tr>
      <w:tr>
        <w:trPr>
          <w:trHeight w:val="478"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205" w:right="0"/>
              <w:jc w:val="left"/>
              <w:rPr>
                <w:rFonts w:ascii="宋体" w:hAnsi="宋体" w:cs="宋体" w:eastAsia="宋体" w:hint="default"/>
                <w:sz w:val="22"/>
                <w:szCs w:val="22"/>
              </w:rPr>
            </w:pPr>
            <w:r>
              <w:rPr>
                <w:rFonts w:ascii="宋体" w:hAnsi="宋体" w:cs="宋体" w:eastAsia="宋体" w:hint="default"/>
                <w:sz w:val="22"/>
                <w:szCs w:val="22"/>
              </w:rPr>
              <w:t>本年度使用金额</w:t>
            </w:r>
          </w:p>
        </w:tc>
        <w:tc>
          <w:tcPr>
            <w:tcW w:w="4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22"/>
                <w:szCs w:val="22"/>
              </w:rPr>
            </w:pPr>
            <w:r>
              <w:rPr>
                <w:rFonts w:ascii="宋体"/>
                <w:sz w:val="22"/>
              </w:rPr>
              <w:t>19,392,008.95</w:t>
            </w:r>
          </w:p>
        </w:tc>
      </w:tr>
      <w:tr>
        <w:trPr>
          <w:trHeight w:val="478"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sz w:val="22"/>
                <w:szCs w:val="22"/>
              </w:rPr>
              <w:t>加：累计募集资金利息</w:t>
            </w:r>
          </w:p>
        </w:tc>
        <w:tc>
          <w:tcPr>
            <w:tcW w:w="4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11" w:right="0"/>
              <w:jc w:val="center"/>
              <w:rPr>
                <w:rFonts w:ascii="宋体" w:hAnsi="宋体" w:cs="宋体" w:eastAsia="宋体" w:hint="default"/>
                <w:sz w:val="22"/>
                <w:szCs w:val="22"/>
              </w:rPr>
            </w:pPr>
            <w:r>
              <w:rPr>
                <w:rFonts w:ascii="宋体"/>
                <w:sz w:val="22"/>
              </w:rPr>
              <w:t>8,994,855.90</w:t>
            </w:r>
          </w:p>
        </w:tc>
      </w:tr>
      <w:tr>
        <w:trPr>
          <w:trHeight w:val="478" w:hRule="exact"/>
        </w:trPr>
        <w:tc>
          <w:tcPr>
            <w:tcW w:w="4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sz w:val="22"/>
                <w:szCs w:val="22"/>
              </w:rPr>
              <w:t>尚未使用的募集资金余额</w:t>
            </w:r>
          </w:p>
        </w:tc>
        <w:tc>
          <w:tcPr>
            <w:tcW w:w="4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449" w:right="0"/>
              <w:jc w:val="left"/>
              <w:rPr>
                <w:rFonts w:ascii="宋体" w:hAnsi="宋体" w:cs="宋体" w:eastAsia="宋体" w:hint="default"/>
                <w:sz w:val="22"/>
                <w:szCs w:val="22"/>
              </w:rPr>
            </w:pPr>
            <w:r>
              <w:rPr>
                <w:rFonts w:ascii="宋体"/>
                <w:sz w:val="22"/>
              </w:rPr>
              <w:t>102,791,330.79</w:t>
            </w:r>
          </w:p>
        </w:tc>
      </w:tr>
    </w:tbl>
    <w:p>
      <w:pPr>
        <w:pStyle w:val="BodyText"/>
        <w:spacing w:line="240" w:lineRule="auto" w:before="38"/>
        <w:ind w:left="618" w:right="0"/>
        <w:jc w:val="left"/>
      </w:pPr>
      <w:r>
        <w:rPr/>
        <w:t>截止</w:t>
      </w:r>
      <w:r>
        <w:rPr>
          <w:spacing w:val="-58"/>
        </w:rPr>
        <w:t> </w:t>
      </w:r>
      <w:r>
        <w:rPr/>
        <w:t>2010</w:t>
      </w:r>
      <w:r>
        <w:rPr>
          <w:spacing w:val="-58"/>
        </w:rPr>
        <w:t> </w:t>
      </w:r>
      <w:r>
        <w:rPr/>
        <w:t>年</w:t>
      </w:r>
      <w:r>
        <w:rPr>
          <w:spacing w:val="-58"/>
        </w:rPr>
        <w:t> </w:t>
      </w:r>
      <w:r>
        <w:rPr/>
        <w:t>12</w:t>
      </w:r>
      <w:r>
        <w:rPr>
          <w:spacing w:val="-58"/>
        </w:rPr>
        <w:t> </w:t>
      </w:r>
      <w:r>
        <w:rPr/>
        <w:t>月</w:t>
      </w:r>
      <w:r>
        <w:rPr>
          <w:spacing w:val="-58"/>
        </w:rPr>
        <w:t> </w:t>
      </w:r>
      <w:r>
        <w:rPr/>
        <w:t>31</w:t>
      </w:r>
      <w:r>
        <w:rPr>
          <w:spacing w:val="-56"/>
        </w:rPr>
        <w:t> </w:t>
      </w:r>
      <w:r>
        <w:rPr/>
        <w:t>日，本公司累计使用募集资金</w:t>
      </w:r>
      <w:r>
        <w:rPr>
          <w:spacing w:val="-58"/>
        </w:rPr>
        <w:t> </w:t>
      </w:r>
      <w:r>
        <w:rPr/>
        <w:t>37,342,630.31</w:t>
      </w:r>
      <w:r>
        <w:rPr>
          <w:spacing w:val="-56"/>
        </w:rPr>
        <w:t> </w:t>
      </w:r>
      <w:r>
        <w:rPr/>
        <w:t>元，尚未使</w:t>
      </w:r>
    </w:p>
    <w:p>
      <w:pPr>
        <w:pStyle w:val="BodyText"/>
        <w:spacing w:line="357" w:lineRule="auto" w:before="154"/>
        <w:ind w:left="138" w:right="170"/>
        <w:jc w:val="both"/>
      </w:pPr>
      <w:r>
        <w:rPr/>
        <w:t>用的募集资金余额为 102,791,330.79</w:t>
      </w:r>
      <w:r>
        <w:rPr>
          <w:spacing w:val="-92"/>
        </w:rPr>
        <w:t> </w:t>
      </w:r>
      <w:r>
        <w:rPr/>
        <w:t>元，其中存放于本公司开立在招商银行股份有</w:t>
      </w:r>
      <w:r>
        <w:rPr/>
        <w:t> </w:t>
      </w:r>
      <w:r>
        <w:rPr>
          <w:spacing w:val="4"/>
        </w:rPr>
        <w:t>限公司上海分行徐家汇支行的募集资金专户（账号为</w:t>
      </w:r>
      <w:r>
        <w:rPr>
          <w:spacing w:val="28"/>
        </w:rPr>
        <w:t> </w:t>
      </w:r>
      <w:r>
        <w:rPr/>
        <w:t>212886477510001）的金额为</w:t>
      </w:r>
      <w:r>
        <w:rPr>
          <w:spacing w:val="-115"/>
        </w:rPr>
        <w:t> </w:t>
      </w:r>
      <w:r>
        <w:rPr>
          <w:spacing w:val="-115"/>
        </w:rPr>
      </w:r>
      <w:r>
        <w:rPr/>
        <w:t>99,101,637.79</w:t>
      </w:r>
      <w:r>
        <w:rPr>
          <w:spacing w:val="-67"/>
        </w:rPr>
        <w:t> </w:t>
      </w:r>
      <w:r>
        <w:rPr/>
        <w:t>元，4,101,637.79</w:t>
      </w:r>
      <w:r>
        <w:rPr>
          <w:spacing w:val="-67"/>
        </w:rPr>
        <w:t> </w:t>
      </w:r>
      <w:r>
        <w:rPr/>
        <w:t>元为活期存款、95,000,000.00</w:t>
      </w:r>
      <w:r>
        <w:rPr>
          <w:spacing w:val="-67"/>
        </w:rPr>
        <w:t> </w:t>
      </w:r>
      <w:r>
        <w:rPr/>
        <w:t>元分别为期限</w:t>
      </w:r>
      <w:r>
        <w:rPr>
          <w:spacing w:val="-67"/>
        </w:rPr>
        <w:t> </w:t>
      </w:r>
      <w:r>
        <w:rPr/>
        <w:t>6</w:t>
      </w:r>
      <w:r>
        <w:rPr>
          <w:spacing w:val="-67"/>
        </w:rPr>
        <w:t> </w:t>
      </w:r>
      <w:r>
        <w:rPr/>
        <w:t>个</w:t>
      </w:r>
    </w:p>
    <w:p>
      <w:pPr>
        <w:pStyle w:val="BodyText"/>
        <w:spacing w:line="357" w:lineRule="auto"/>
        <w:ind w:left="138" w:right="170"/>
        <w:jc w:val="both"/>
      </w:pPr>
      <w:r>
        <w:rPr/>
        <w:t>月（7,000</w:t>
      </w:r>
      <w:r>
        <w:rPr>
          <w:spacing w:val="-53"/>
        </w:rPr>
        <w:t> </w:t>
      </w:r>
      <w:r>
        <w:rPr/>
        <w:t>万元）和</w:t>
      </w:r>
      <w:r>
        <w:rPr>
          <w:spacing w:val="-53"/>
        </w:rPr>
        <w:t> </w:t>
      </w:r>
      <w:r>
        <w:rPr/>
        <w:t>1</w:t>
      </w:r>
      <w:r>
        <w:rPr>
          <w:spacing w:val="-53"/>
        </w:rPr>
        <w:t> </w:t>
      </w:r>
      <w:r>
        <w:rPr/>
        <w:t>年（2,500</w:t>
      </w:r>
      <w:r>
        <w:rPr>
          <w:spacing w:val="-53"/>
        </w:rPr>
        <w:t> </w:t>
      </w:r>
      <w:r>
        <w:rPr/>
        <w:t>万元）的定期存款；另外存放于本公司下属子公司</w:t>
      </w:r>
      <w:r>
        <w:rPr/>
        <w:t> </w:t>
      </w:r>
      <w:r>
        <w:rPr>
          <w:spacing w:val="-3"/>
        </w:rPr>
        <w:t>江苏海隆软件技术有限公司（以下简称“江苏海隆公司”）开立在南京银行股份有限</w:t>
      </w:r>
      <w:r>
        <w:rPr>
          <w:spacing w:val="-101"/>
        </w:rPr>
        <w:t> </w:t>
      </w:r>
      <w:r>
        <w:rPr>
          <w:spacing w:val="-101"/>
        </w:rPr>
      </w:r>
      <w:r>
        <w:rPr/>
        <w:t>公</w:t>
      </w:r>
      <w:r>
        <w:rPr>
          <w:spacing w:val="-84"/>
        </w:rPr>
        <w:t> </w:t>
      </w:r>
      <w:r>
        <w:rPr/>
        <w:t>司</w:t>
      </w:r>
      <w:r>
        <w:rPr>
          <w:spacing w:val="-84"/>
        </w:rPr>
        <w:t> </w:t>
      </w:r>
      <w:r>
        <w:rPr/>
        <w:t>阳</w:t>
      </w:r>
      <w:r>
        <w:rPr>
          <w:spacing w:val="-84"/>
        </w:rPr>
        <w:t> </w:t>
      </w:r>
      <w:r>
        <w:rPr/>
        <w:t>光</w:t>
      </w:r>
      <w:r>
        <w:rPr>
          <w:spacing w:val="-84"/>
        </w:rPr>
        <w:t> </w:t>
      </w:r>
      <w:r>
        <w:rPr/>
        <w:t>广</w:t>
      </w:r>
      <w:r>
        <w:rPr>
          <w:spacing w:val="-84"/>
        </w:rPr>
        <w:t> </w:t>
      </w:r>
      <w:r>
        <w:rPr/>
        <w:t>场</w:t>
      </w:r>
      <w:r>
        <w:rPr>
          <w:spacing w:val="-84"/>
        </w:rPr>
        <w:t> </w:t>
      </w:r>
      <w:r>
        <w:rPr/>
        <w:t>支</w:t>
      </w:r>
      <w:r>
        <w:rPr>
          <w:spacing w:val="-84"/>
        </w:rPr>
        <w:t> </w:t>
      </w:r>
      <w:r>
        <w:rPr/>
        <w:t>行</w:t>
      </w:r>
      <w:r>
        <w:rPr>
          <w:spacing w:val="-82"/>
        </w:rPr>
        <w:t> </w:t>
      </w:r>
      <w:r>
        <w:rPr/>
        <w:t>的</w:t>
      </w:r>
      <w:r>
        <w:rPr>
          <w:spacing w:val="-84"/>
        </w:rPr>
        <w:t> </w:t>
      </w:r>
      <w:r>
        <w:rPr/>
        <w:t>募</w:t>
      </w:r>
      <w:r>
        <w:rPr>
          <w:spacing w:val="-84"/>
        </w:rPr>
        <w:t> </w:t>
      </w:r>
      <w:r>
        <w:rPr/>
        <w:t>集</w:t>
      </w:r>
      <w:r>
        <w:rPr>
          <w:spacing w:val="-84"/>
        </w:rPr>
        <w:t> </w:t>
      </w:r>
      <w:r>
        <w:rPr/>
        <w:t>资</w:t>
      </w:r>
      <w:r>
        <w:rPr>
          <w:spacing w:val="-84"/>
        </w:rPr>
        <w:t> </w:t>
      </w:r>
      <w:r>
        <w:rPr/>
        <w:t>金</w:t>
      </w:r>
      <w:r>
        <w:rPr>
          <w:spacing w:val="-84"/>
        </w:rPr>
        <w:t> </w:t>
      </w:r>
      <w:r>
        <w:rPr/>
        <w:t>专</w:t>
      </w:r>
      <w:r>
        <w:rPr>
          <w:spacing w:val="-84"/>
        </w:rPr>
        <w:t> </w:t>
      </w:r>
      <w:r>
        <w:rPr/>
        <w:t>户</w:t>
      </w:r>
      <w:r>
        <w:rPr>
          <w:spacing w:val="-84"/>
        </w:rPr>
        <w:t> </w:t>
      </w:r>
      <w:r>
        <w:rPr/>
        <w:t>（</w:t>
      </w:r>
      <w:r>
        <w:rPr>
          <w:spacing w:val="-82"/>
        </w:rPr>
        <w:t> </w:t>
      </w:r>
      <w:r>
        <w:rPr/>
        <w:t>账</w:t>
      </w:r>
      <w:r>
        <w:rPr>
          <w:spacing w:val="-84"/>
        </w:rPr>
        <w:t> </w:t>
      </w:r>
      <w:r>
        <w:rPr/>
        <w:t>户</w:t>
      </w:r>
      <w:r>
        <w:rPr>
          <w:spacing w:val="-84"/>
        </w:rPr>
        <w:t> </w:t>
      </w:r>
      <w:r>
        <w:rPr/>
        <w:t>为</w:t>
      </w:r>
      <w:r>
        <w:rPr>
          <w:spacing w:val="36"/>
        </w:rPr>
        <w:t> </w:t>
      </w:r>
      <w:r>
        <w:rPr/>
        <w:t>01770120210012956</w:t>
      </w:r>
      <w:r>
        <w:rPr>
          <w:spacing w:val="-84"/>
        </w:rPr>
        <w:t> </w:t>
      </w:r>
      <w:r>
        <w:rPr/>
        <w:t>）</w:t>
      </w:r>
      <w:r>
        <w:rPr>
          <w:spacing w:val="-84"/>
        </w:rPr>
        <w:t> </w:t>
      </w:r>
      <w:r>
        <w:rPr/>
        <w:t>的</w:t>
      </w:r>
      <w:r>
        <w:rPr>
          <w:spacing w:val="-84"/>
        </w:rPr>
        <w:t> </w:t>
      </w:r>
      <w:r>
        <w:rPr/>
        <w:t>金</w:t>
      </w:r>
      <w:r>
        <w:rPr>
          <w:spacing w:val="-84"/>
        </w:rPr>
        <w:t> </w:t>
      </w:r>
      <w:r>
        <w:rPr/>
        <w:t>额</w:t>
      </w:r>
      <w:r>
        <w:rPr>
          <w:spacing w:val="-84"/>
        </w:rPr>
        <w:t> </w:t>
      </w:r>
      <w:r>
        <w:rPr/>
        <w:t>为</w:t>
      </w:r>
      <w:r>
        <w:rPr/>
        <w:t> 3,689,693.00 元（对账单余额为 4,694,625.13</w:t>
      </w:r>
      <w:r>
        <w:rPr>
          <w:spacing w:val="21"/>
        </w:rPr>
        <w:t> </w:t>
      </w:r>
      <w:r>
        <w:rPr/>
        <w:t>元，期末公司已付银行未付金额为</w:t>
      </w:r>
    </w:p>
    <w:p>
      <w:pPr>
        <w:pStyle w:val="BodyText"/>
        <w:spacing w:line="240" w:lineRule="auto"/>
        <w:ind w:left="138" w:right="0"/>
        <w:jc w:val="both"/>
      </w:pPr>
      <w:r>
        <w:rPr/>
        <w:t>1,004,932.13</w:t>
      </w:r>
      <w:r>
        <w:rPr>
          <w:spacing w:val="-60"/>
        </w:rPr>
        <w:t> </w:t>
      </w:r>
      <w:r>
        <w:rPr/>
        <w:t>元，银行已于</w:t>
      </w:r>
      <w:r>
        <w:rPr>
          <w:spacing w:val="-60"/>
        </w:rPr>
        <w:t> </w:t>
      </w:r>
      <w:r>
        <w:rPr/>
        <w:t>2011</w:t>
      </w:r>
      <w:r>
        <w:rPr>
          <w:spacing w:val="-60"/>
        </w:rPr>
        <w:t> </w:t>
      </w:r>
      <w:r>
        <w:rPr/>
        <w:t>年</w:t>
      </w:r>
      <w:r>
        <w:rPr>
          <w:spacing w:val="-60"/>
        </w:rPr>
        <w:t> </w:t>
      </w:r>
      <w:r>
        <w:rPr/>
        <w:t>1</w:t>
      </w:r>
      <w:r>
        <w:rPr>
          <w:spacing w:val="-60"/>
        </w:rPr>
        <w:t> </w:t>
      </w:r>
      <w:r>
        <w:rPr/>
        <w:t>月</w:t>
      </w:r>
      <w:r>
        <w:rPr>
          <w:spacing w:val="-60"/>
        </w:rPr>
        <w:t> </w:t>
      </w:r>
      <w:r>
        <w:rPr/>
        <w:t>4</w:t>
      </w:r>
      <w:r>
        <w:rPr>
          <w:spacing w:val="-60"/>
        </w:rPr>
        <w:t> </w:t>
      </w:r>
      <w:r>
        <w:rPr/>
        <w:t>日支付），均为活期存款。</w:t>
      </w:r>
    </w:p>
    <w:p>
      <w:pPr>
        <w:pStyle w:val="BodyText"/>
        <w:spacing w:line="357" w:lineRule="auto" w:before="154"/>
        <w:ind w:left="618" w:right="167" w:hanging="480"/>
        <w:jc w:val="left"/>
      </w:pPr>
      <w:r>
        <w:rPr/>
        <w:t>（2）募集资金管理情况 </w:t>
      </w:r>
      <w:r>
        <w:rPr>
          <w:spacing w:val="-3"/>
        </w:rPr>
        <w:t>为规范募集资金的管理和使用，保障公司、股东、债权人及其他利益相关人的合</w:t>
      </w:r>
    </w:p>
    <w:p>
      <w:pPr>
        <w:pStyle w:val="BodyText"/>
        <w:spacing w:line="357" w:lineRule="auto"/>
        <w:ind w:left="138" w:right="170"/>
        <w:jc w:val="both"/>
      </w:pPr>
      <w:r>
        <w:rPr>
          <w:spacing w:val="-3"/>
        </w:rPr>
        <w:t>法权益，本公司根据《公司法》、《深圳证券交易所股票上市规则》、《进一步规范</w:t>
      </w:r>
      <w:r>
        <w:rPr>
          <w:spacing w:val="-103"/>
        </w:rPr>
        <w:t> </w:t>
      </w:r>
      <w:r>
        <w:rPr>
          <w:spacing w:val="-103"/>
        </w:rPr>
      </w:r>
      <w:r>
        <w:rPr>
          <w:spacing w:val="-3"/>
        </w:rPr>
        <w:t>上市公司募集资金使用的通知》等有关法律、法规的规定和要求，结合本公司的实际</w:t>
      </w:r>
      <w:r>
        <w:rPr>
          <w:spacing w:val="-102"/>
        </w:rPr>
        <w:t> </w:t>
      </w:r>
      <w:r>
        <w:rPr>
          <w:spacing w:val="-102"/>
        </w:rPr>
      </w:r>
      <w:r>
        <w:rPr>
          <w:spacing w:val="-4"/>
        </w:rPr>
        <w:t>情况对原《募集资金管理办法（草案）》进行了修订，并于</w:t>
      </w:r>
      <w:r>
        <w:rPr>
          <w:spacing w:val="-59"/>
        </w:rPr>
        <w:t> </w:t>
      </w:r>
      <w:r>
        <w:rPr/>
        <w:t>2008</w:t>
      </w:r>
      <w:r>
        <w:rPr>
          <w:spacing w:val="-59"/>
        </w:rPr>
        <w:t> </w:t>
      </w:r>
      <w:r>
        <w:rPr/>
        <w:t>年</w:t>
      </w:r>
      <w:r>
        <w:rPr>
          <w:spacing w:val="-59"/>
        </w:rPr>
        <w:t> </w:t>
      </w:r>
      <w:r>
        <w:rPr/>
        <w:t>2</w:t>
      </w:r>
      <w:r>
        <w:rPr>
          <w:spacing w:val="-59"/>
        </w:rPr>
        <w:t> </w:t>
      </w:r>
      <w:r>
        <w:rPr/>
        <w:t>月</w:t>
      </w:r>
      <w:r>
        <w:rPr>
          <w:spacing w:val="-59"/>
        </w:rPr>
        <w:t> </w:t>
      </w:r>
      <w:r>
        <w:rPr/>
        <w:t>29</w:t>
      </w:r>
      <w:r>
        <w:rPr>
          <w:spacing w:val="-59"/>
        </w:rPr>
        <w:t> </w:t>
      </w:r>
      <w:r>
        <w:rPr/>
        <w:t>日第三届</w:t>
      </w:r>
    </w:p>
    <w:p>
      <w:pPr>
        <w:pStyle w:val="BodyText"/>
        <w:spacing w:line="357" w:lineRule="auto"/>
        <w:ind w:left="138" w:right="170"/>
        <w:jc w:val="both"/>
      </w:pPr>
      <w:r>
        <w:rPr>
          <w:spacing w:val="-3"/>
        </w:rPr>
        <w:t>董事会第七次会议审议通过了修订后的《募集资金管理办法》；同年</w:t>
      </w:r>
      <w:r>
        <w:rPr>
          <w:spacing w:val="-54"/>
        </w:rPr>
        <w:t> </w:t>
      </w:r>
      <w:r>
        <w:rPr/>
        <w:t>11</w:t>
      </w:r>
      <w:r>
        <w:rPr>
          <w:spacing w:val="-56"/>
        </w:rPr>
        <w:t> </w:t>
      </w:r>
      <w:r>
        <w:rPr/>
        <w:t>月</w:t>
      </w:r>
      <w:r>
        <w:rPr>
          <w:spacing w:val="-56"/>
        </w:rPr>
        <w:t> </w:t>
      </w:r>
      <w:r>
        <w:rPr/>
        <w:t>19</w:t>
      </w:r>
      <w:r>
        <w:rPr>
          <w:spacing w:val="-56"/>
        </w:rPr>
        <w:t> </w:t>
      </w:r>
      <w:r>
        <w:rPr>
          <w:spacing w:val="-8"/>
        </w:rPr>
        <w:t>日，本</w:t>
      </w:r>
      <w:r>
        <w:rPr/>
        <w:t> </w:t>
      </w:r>
      <w:r>
        <w:rPr>
          <w:spacing w:val="-3"/>
        </w:rPr>
        <w:t>公司针对专项治理活动发现的情况，经第三届董事会第十三次会议审议通过了再次修</w:t>
      </w:r>
      <w:r>
        <w:rPr>
          <w:spacing w:val="-101"/>
        </w:rPr>
        <w:t> </w:t>
      </w:r>
      <w:r>
        <w:rPr>
          <w:spacing w:val="-101"/>
        </w:rPr>
      </w:r>
      <w:r>
        <w:rPr>
          <w:spacing w:val="-3"/>
        </w:rPr>
        <w:t>订后的《募集资金管理办法》。根据《募集资金管理办法》的要求，本公司对募集资</w:t>
      </w:r>
    </w:p>
    <w:p>
      <w:pPr>
        <w:spacing w:after="0" w:line="357" w:lineRule="auto"/>
        <w:jc w:val="both"/>
        <w:sectPr>
          <w:pgSz w:w="11900" w:h="16840"/>
          <w:pgMar w:header="874" w:footer="983" w:top="1100" w:bottom="1180" w:left="1280" w:right="1520"/>
        </w:sectPr>
      </w:pPr>
    </w:p>
    <w:p>
      <w:pPr>
        <w:spacing w:line="240" w:lineRule="auto" w:before="7"/>
        <w:rPr>
          <w:rFonts w:ascii="宋体" w:hAnsi="宋体" w:cs="宋体" w:eastAsia="宋体" w:hint="default"/>
          <w:sz w:val="25"/>
          <w:szCs w:val="25"/>
        </w:rPr>
      </w:pPr>
    </w:p>
    <w:p>
      <w:pPr>
        <w:pStyle w:val="BodyText"/>
        <w:spacing w:line="357" w:lineRule="auto" w:before="26"/>
        <w:ind w:left="678" w:right="442"/>
        <w:jc w:val="left"/>
      </w:pPr>
      <w:r>
        <w:rPr>
          <w:spacing w:val="-3"/>
        </w:rPr>
        <w:t>金采用专户存储制度，并认真履行募集资金使用审批手续，对募集资金的管理和使用</w:t>
      </w:r>
      <w:r>
        <w:rPr>
          <w:spacing w:val="-101"/>
        </w:rPr>
        <w:t> </w:t>
      </w:r>
      <w:r>
        <w:rPr>
          <w:spacing w:val="-101"/>
        </w:rPr>
      </w:r>
      <w:r>
        <w:rPr/>
        <w:t>进行监督，保证专款专用。</w:t>
      </w:r>
    </w:p>
    <w:p>
      <w:pPr>
        <w:pStyle w:val="BodyText"/>
        <w:spacing w:line="240" w:lineRule="auto"/>
        <w:ind w:left="1158" w:right="442"/>
        <w:jc w:val="left"/>
      </w:pPr>
      <w:r>
        <w:rPr/>
        <w:t>2008</w:t>
      </w:r>
      <w:r>
        <w:rPr>
          <w:spacing w:val="-67"/>
        </w:rPr>
        <w:t> </w:t>
      </w:r>
      <w:r>
        <w:rPr/>
        <w:t>年</w:t>
      </w:r>
      <w:r>
        <w:rPr>
          <w:spacing w:val="-67"/>
        </w:rPr>
        <w:t> </w:t>
      </w:r>
      <w:r>
        <w:rPr/>
        <w:t>1</w:t>
      </w:r>
      <w:r>
        <w:rPr>
          <w:spacing w:val="-67"/>
        </w:rPr>
        <w:t> </w:t>
      </w:r>
      <w:r>
        <w:rPr/>
        <w:t>月</w:t>
      </w:r>
      <w:r>
        <w:rPr>
          <w:spacing w:val="-67"/>
        </w:rPr>
        <w:t> </w:t>
      </w:r>
      <w:r>
        <w:rPr/>
        <w:t>31</w:t>
      </w:r>
      <w:r>
        <w:rPr>
          <w:spacing w:val="-67"/>
        </w:rPr>
        <w:t> </w:t>
      </w:r>
      <w:r>
        <w:rPr/>
        <w:t>日，本公司与保荐机构国信证券股份有限公司、招商银行股份有</w:t>
      </w:r>
    </w:p>
    <w:p>
      <w:pPr>
        <w:pStyle w:val="BodyText"/>
        <w:spacing w:line="240" w:lineRule="auto" w:before="154"/>
        <w:ind w:left="678" w:right="442"/>
        <w:jc w:val="left"/>
      </w:pPr>
      <w:r>
        <w:rPr/>
        <w:t>限公司上海分行徐家汇支行签订了《募集资金三方监管协议》；2010</w:t>
      </w:r>
      <w:r>
        <w:rPr>
          <w:spacing w:val="-44"/>
        </w:rPr>
        <w:t> </w:t>
      </w:r>
      <w:r>
        <w:rPr/>
        <w:t>年</w:t>
      </w:r>
      <w:r>
        <w:rPr>
          <w:spacing w:val="-44"/>
        </w:rPr>
        <w:t> </w:t>
      </w:r>
      <w:r>
        <w:rPr/>
        <w:t>7</w:t>
      </w:r>
      <w:r>
        <w:rPr>
          <w:spacing w:val="-44"/>
        </w:rPr>
        <w:t> </w:t>
      </w:r>
      <w:r>
        <w:rPr/>
        <w:t>月</w:t>
      </w:r>
      <w:r>
        <w:rPr>
          <w:spacing w:val="-41"/>
        </w:rPr>
        <w:t> </w:t>
      </w:r>
      <w:r>
        <w:rPr/>
        <w:t>8</w:t>
      </w:r>
      <w:r>
        <w:rPr>
          <w:spacing w:val="-44"/>
        </w:rPr>
        <w:t> </w:t>
      </w:r>
      <w:r>
        <w:rPr/>
        <w:t>日本</w:t>
      </w:r>
    </w:p>
    <w:p>
      <w:pPr>
        <w:pStyle w:val="BodyText"/>
        <w:spacing w:line="357" w:lineRule="auto" w:before="154"/>
        <w:ind w:left="678" w:right="538"/>
        <w:jc w:val="left"/>
      </w:pPr>
      <w:r>
        <w:rPr/>
        <w:t>公司投资成立全资子公司江苏海隆公司，于</w:t>
      </w:r>
      <w:r>
        <w:rPr>
          <w:spacing w:val="-65"/>
        </w:rPr>
        <w:t> </w:t>
      </w:r>
      <w:r>
        <w:rPr/>
        <w:t>2010</w:t>
      </w:r>
      <w:r>
        <w:rPr>
          <w:spacing w:val="-65"/>
        </w:rPr>
        <w:t> </w:t>
      </w:r>
      <w:r>
        <w:rPr/>
        <w:t>年</w:t>
      </w:r>
      <w:r>
        <w:rPr>
          <w:spacing w:val="-65"/>
        </w:rPr>
        <w:t> </w:t>
      </w:r>
      <w:r>
        <w:rPr/>
        <w:t>7</w:t>
      </w:r>
      <w:r>
        <w:rPr>
          <w:spacing w:val="-65"/>
        </w:rPr>
        <w:t> </w:t>
      </w:r>
      <w:r>
        <w:rPr/>
        <w:t>月</w:t>
      </w:r>
      <w:r>
        <w:rPr>
          <w:spacing w:val="-65"/>
        </w:rPr>
        <w:t> </w:t>
      </w:r>
      <w:r>
        <w:rPr/>
        <w:t>30</w:t>
      </w:r>
      <w:r>
        <w:rPr>
          <w:spacing w:val="-65"/>
        </w:rPr>
        <w:t> </w:t>
      </w:r>
      <w:r>
        <w:rPr>
          <w:spacing w:val="-6"/>
        </w:rPr>
        <w:t>日，本公司、江苏海隆公</w:t>
      </w:r>
      <w:r>
        <w:rPr/>
        <w:t> </w:t>
      </w:r>
      <w:r>
        <w:rPr>
          <w:spacing w:val="3"/>
        </w:rPr>
        <w:t>司和保荐机构国信证券股份有限公司、南京银行股份有限公司阳光广场支行签订了</w:t>
      </w:r>
    </w:p>
    <w:p>
      <w:pPr>
        <w:pStyle w:val="BodyText"/>
        <w:spacing w:line="357" w:lineRule="auto"/>
        <w:ind w:left="678" w:right="442"/>
        <w:jc w:val="left"/>
      </w:pPr>
      <w:r>
        <w:rPr/>
        <w:t>《募集资金四方监管协议》。在使用募集资金时，严格履行相应的申请和审批手续， </w:t>
      </w:r>
      <w:r>
        <w:rPr>
          <w:spacing w:val="-3"/>
        </w:rPr>
        <w:t>并及时通知保荐机构，接受保荐代表人监督。本公司及江苏海隆定期由内部审计部门</w:t>
      </w:r>
      <w:r>
        <w:rPr>
          <w:spacing w:val="-101"/>
        </w:rPr>
        <w:t> </w:t>
      </w:r>
      <w:r>
        <w:rPr>
          <w:spacing w:val="-101"/>
        </w:rPr>
      </w:r>
      <w:r>
        <w:rPr/>
        <w:t>对募集资金的使用与存放情况进行检查，并将检查结果向董事会、审计委员会报告。</w:t>
      </w:r>
    </w:p>
    <w:p>
      <w:pPr>
        <w:pStyle w:val="BodyText"/>
        <w:spacing w:line="357" w:lineRule="auto"/>
        <w:ind w:left="678" w:right="534" w:firstLine="480"/>
        <w:jc w:val="left"/>
      </w:pPr>
      <w:r>
        <w:rPr/>
        <w:t>截止</w:t>
      </w:r>
      <w:r>
        <w:rPr>
          <w:spacing w:val="-58"/>
        </w:rPr>
        <w:t> </w:t>
      </w:r>
      <w:r>
        <w:rPr/>
        <w:t>2010</w:t>
      </w:r>
      <w:r>
        <w:rPr>
          <w:spacing w:val="-58"/>
        </w:rPr>
        <w:t> </w:t>
      </w:r>
      <w:r>
        <w:rPr/>
        <w:t>年</w:t>
      </w:r>
      <w:r>
        <w:rPr>
          <w:spacing w:val="-58"/>
        </w:rPr>
        <w:t> </w:t>
      </w:r>
      <w:r>
        <w:rPr/>
        <w:t>12</w:t>
      </w:r>
      <w:r>
        <w:rPr>
          <w:spacing w:val="-58"/>
        </w:rPr>
        <w:t> </w:t>
      </w:r>
      <w:r>
        <w:rPr/>
        <w:t>月</w:t>
      </w:r>
      <w:r>
        <w:rPr>
          <w:spacing w:val="-58"/>
        </w:rPr>
        <w:t> </w:t>
      </w:r>
      <w:r>
        <w:rPr/>
        <w:t>31</w:t>
      </w:r>
      <w:r>
        <w:rPr>
          <w:spacing w:val="-58"/>
        </w:rPr>
        <w:t> </w:t>
      </w:r>
      <w:r>
        <w:rPr>
          <w:spacing w:val="-4"/>
        </w:rPr>
        <w:t>日，募集资金专户银行存款余额为</w:t>
      </w:r>
      <w:r>
        <w:rPr>
          <w:spacing w:val="-58"/>
        </w:rPr>
        <w:t> </w:t>
      </w:r>
      <w:r>
        <w:rPr/>
        <w:t>102,791,330.79</w:t>
      </w:r>
      <w:r>
        <w:rPr>
          <w:spacing w:val="-58"/>
        </w:rPr>
        <w:t> </w:t>
      </w:r>
      <w:r>
        <w:rPr>
          <w:spacing w:val="-16"/>
        </w:rPr>
        <w:t>元，详</w:t>
      </w:r>
      <w:r>
        <w:rPr/>
        <w:t> 见下表：</w:t>
      </w:r>
    </w:p>
    <w:tbl>
      <w:tblPr>
        <w:tblW w:w="0" w:type="auto"/>
        <w:jc w:val="left"/>
        <w:tblInd w:w="107" w:type="dxa"/>
        <w:tblLayout w:type="fixed"/>
        <w:tblCellMar>
          <w:top w:w="0" w:type="dxa"/>
          <w:left w:w="0" w:type="dxa"/>
          <w:bottom w:w="0" w:type="dxa"/>
          <w:right w:w="0" w:type="dxa"/>
        </w:tblCellMar>
        <w:tblLook w:val="01E0"/>
      </w:tblPr>
      <w:tblGrid>
        <w:gridCol w:w="2429"/>
        <w:gridCol w:w="2071"/>
        <w:gridCol w:w="1790"/>
        <w:gridCol w:w="1738"/>
        <w:gridCol w:w="1764"/>
      </w:tblGrid>
      <w:tr>
        <w:trPr>
          <w:trHeight w:val="32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9" w:right="0"/>
              <w:jc w:val="left"/>
              <w:rPr>
                <w:rFonts w:ascii="宋体" w:hAnsi="宋体" w:cs="宋体" w:eastAsia="宋体" w:hint="default"/>
                <w:sz w:val="21"/>
                <w:szCs w:val="21"/>
              </w:rPr>
            </w:pPr>
            <w:r>
              <w:rPr>
                <w:rFonts w:ascii="宋体" w:hAnsi="宋体" w:cs="宋体" w:eastAsia="宋体" w:hint="default"/>
                <w:sz w:val="21"/>
                <w:szCs w:val="21"/>
              </w:rPr>
              <w:t>募集资金存放银行</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银行帐号</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2008-12-31</w:t>
            </w:r>
            <w:r>
              <w:rPr>
                <w:rFonts w:ascii="宋体" w:hAnsi="宋体" w:cs="宋体" w:eastAsia="宋体" w:hint="default"/>
                <w:spacing w:val="-54"/>
                <w:sz w:val="21"/>
                <w:szCs w:val="21"/>
              </w:rPr>
              <w:t> </w:t>
            </w:r>
            <w:r>
              <w:rPr>
                <w:rFonts w:ascii="宋体" w:hAnsi="宋体" w:cs="宋体" w:eastAsia="宋体" w:hint="default"/>
                <w:sz w:val="21"/>
                <w:szCs w:val="21"/>
              </w:rPr>
              <w:t>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2009-12-31</w:t>
            </w:r>
            <w:r>
              <w:rPr>
                <w:rFonts w:ascii="宋体" w:hAnsi="宋体" w:cs="宋体" w:eastAsia="宋体" w:hint="default"/>
                <w:spacing w:val="-56"/>
                <w:sz w:val="21"/>
                <w:szCs w:val="21"/>
              </w:rPr>
              <w:t> </w:t>
            </w:r>
            <w:r>
              <w:rPr>
                <w:rFonts w:ascii="宋体" w:hAnsi="宋体" w:cs="宋体" w:eastAsia="宋体" w:hint="default"/>
                <w:sz w:val="21"/>
                <w:szCs w:val="21"/>
              </w:rPr>
              <w:t>余额</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2010-12-31</w:t>
            </w:r>
            <w:r>
              <w:rPr>
                <w:rFonts w:ascii="宋体" w:hAnsi="宋体" w:cs="宋体" w:eastAsia="宋体" w:hint="default"/>
                <w:spacing w:val="-54"/>
                <w:sz w:val="21"/>
                <w:szCs w:val="21"/>
              </w:rPr>
              <w:t> </w:t>
            </w:r>
            <w:r>
              <w:rPr>
                <w:rFonts w:ascii="宋体" w:hAnsi="宋体" w:cs="宋体" w:eastAsia="宋体" w:hint="default"/>
                <w:sz w:val="21"/>
                <w:szCs w:val="21"/>
              </w:rPr>
              <w:t>余额</w:t>
            </w:r>
          </w:p>
        </w:tc>
      </w:tr>
      <w:tr>
        <w:trPr>
          <w:trHeight w:val="63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招商银行股份有限公司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上海分行徐家汇支行</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212886477510001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130,900,405.62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121,274,893.00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94" w:right="0"/>
              <w:jc w:val="left"/>
              <w:rPr>
                <w:rFonts w:ascii="宋体" w:hAnsi="宋体" w:cs="宋体" w:eastAsia="宋体" w:hint="default"/>
                <w:sz w:val="21"/>
                <w:szCs w:val="21"/>
              </w:rPr>
            </w:pPr>
            <w:r>
              <w:rPr>
                <w:rFonts w:ascii="宋体"/>
                <w:sz w:val="21"/>
              </w:rPr>
              <w:t>99,101,637.79</w:t>
            </w:r>
          </w:p>
        </w:tc>
      </w:tr>
      <w:tr>
        <w:trPr>
          <w:trHeight w:val="636"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南京银行股份有限公司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阳光广场支行</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01770120210012956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w w:val="100"/>
                <w:sz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5"/>
              <w:jc w:val="center"/>
              <w:rPr>
                <w:rFonts w:ascii="宋体" w:hAnsi="宋体" w:cs="宋体" w:eastAsia="宋体" w:hint="default"/>
                <w:sz w:val="21"/>
                <w:szCs w:val="21"/>
              </w:rPr>
            </w:pPr>
            <w:r>
              <w:rPr>
                <w:rFonts w:ascii="宋体"/>
                <w:w w:val="100"/>
                <w:sz w:val="21"/>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4" w:right="0"/>
              <w:jc w:val="left"/>
              <w:rPr>
                <w:rFonts w:ascii="宋体" w:hAnsi="宋体" w:cs="宋体" w:eastAsia="宋体" w:hint="default"/>
                <w:sz w:val="21"/>
                <w:szCs w:val="21"/>
              </w:rPr>
            </w:pPr>
            <w:r>
              <w:rPr>
                <w:rFonts w:ascii="宋体"/>
                <w:sz w:val="21"/>
              </w:rPr>
              <w:t>3,689,693.00</w:t>
            </w:r>
          </w:p>
        </w:tc>
      </w:tr>
    </w:tbl>
    <w:p>
      <w:pPr>
        <w:pStyle w:val="BodyText"/>
        <w:spacing w:line="240" w:lineRule="auto"/>
        <w:ind w:left="1139" w:right="442"/>
        <w:jc w:val="left"/>
      </w:pPr>
      <w:r>
        <w:rPr/>
        <w:t>年末较年初减少</w:t>
      </w:r>
      <w:r>
        <w:rPr>
          <w:spacing w:val="-48"/>
        </w:rPr>
        <w:t> </w:t>
      </w:r>
      <w:r>
        <w:rPr/>
        <w:t>18,483,562.21</w:t>
      </w:r>
      <w:r>
        <w:rPr>
          <w:spacing w:val="-48"/>
        </w:rPr>
        <w:t> </w:t>
      </w:r>
      <w:r>
        <w:rPr/>
        <w:t>元，其中</w:t>
      </w:r>
      <w:r>
        <w:rPr>
          <w:spacing w:val="-48"/>
        </w:rPr>
        <w:t> </w:t>
      </w:r>
      <w:r>
        <w:rPr/>
        <w:t>2010</w:t>
      </w:r>
      <w:r>
        <w:rPr>
          <w:spacing w:val="-48"/>
        </w:rPr>
        <w:t> </w:t>
      </w:r>
      <w:r>
        <w:rPr/>
        <w:t>年内因专户存储资金利息收入增</w:t>
      </w:r>
    </w:p>
    <w:p>
      <w:pPr>
        <w:pStyle w:val="BodyText"/>
        <w:spacing w:line="240" w:lineRule="auto" w:before="154"/>
        <w:ind w:left="678" w:right="442"/>
        <w:jc w:val="left"/>
      </w:pPr>
      <w:r>
        <w:rPr/>
        <w:t>加</w:t>
      </w:r>
      <w:r>
        <w:rPr>
          <w:spacing w:val="-60"/>
        </w:rPr>
        <w:t> </w:t>
      </w:r>
      <w:r>
        <w:rPr/>
        <w:t>908,446.74</w:t>
      </w:r>
      <w:r>
        <w:rPr>
          <w:spacing w:val="-60"/>
        </w:rPr>
        <w:t> </w:t>
      </w:r>
      <w:r>
        <w:rPr/>
        <w:t>元， 2009</w:t>
      </w:r>
      <w:r>
        <w:rPr>
          <w:spacing w:val="-60"/>
        </w:rPr>
        <w:t> </w:t>
      </w:r>
      <w:r>
        <w:rPr/>
        <w:t>年内因募集资金使用划出资金</w:t>
      </w:r>
      <w:r>
        <w:rPr>
          <w:spacing w:val="-60"/>
        </w:rPr>
        <w:t> </w:t>
      </w:r>
      <w:r>
        <w:rPr/>
        <w:t>19,392,008.95</w:t>
      </w:r>
      <w:r>
        <w:rPr>
          <w:spacing w:val="-60"/>
        </w:rPr>
        <w:t> </w:t>
      </w:r>
      <w:r>
        <w:rPr/>
        <w:t>元。</w:t>
      </w:r>
    </w:p>
    <w:p>
      <w:pPr>
        <w:pStyle w:val="BodyText"/>
        <w:spacing w:line="240" w:lineRule="auto" w:before="154"/>
        <w:ind w:left="678" w:right="442"/>
        <w:jc w:val="left"/>
      </w:pPr>
      <w:r>
        <w:rPr/>
        <w:t>（3）本年度募集资金的实际使用情况</w:t>
      </w:r>
    </w:p>
    <w:p>
      <w:pPr>
        <w:pStyle w:val="BodyText"/>
        <w:spacing w:line="357" w:lineRule="auto" w:before="154"/>
        <w:ind w:left="678" w:right="542" w:firstLine="420"/>
        <w:jc w:val="left"/>
      </w:pPr>
      <w:r>
        <w:rPr/>
        <w:t>2010</w:t>
      </w:r>
      <w:r>
        <w:rPr>
          <w:spacing w:val="-56"/>
        </w:rPr>
        <w:t> </w:t>
      </w:r>
      <w:r>
        <w:rPr/>
        <w:t>年度本公司从募集资金专户划出资金</w:t>
      </w:r>
      <w:r>
        <w:rPr>
          <w:spacing w:val="-56"/>
        </w:rPr>
        <w:t> </w:t>
      </w:r>
      <w:r>
        <w:rPr/>
        <w:t>19,392,008.95</w:t>
      </w:r>
      <w:r>
        <w:rPr>
          <w:spacing w:val="-56"/>
        </w:rPr>
        <w:t> </w:t>
      </w:r>
      <w:r>
        <w:rPr/>
        <w:t>元均为</w:t>
      </w:r>
      <w:r>
        <w:rPr>
          <w:spacing w:val="-56"/>
        </w:rPr>
        <w:t> </w:t>
      </w:r>
      <w:r>
        <w:rPr/>
        <w:t>2010</w:t>
      </w:r>
      <w:r>
        <w:rPr>
          <w:spacing w:val="-56"/>
        </w:rPr>
        <w:t> </w:t>
      </w:r>
      <w:r>
        <w:rPr/>
        <w:t>年度投入</w:t>
      </w:r>
      <w:r>
        <w:rPr/>
        <w:t> 的募集资金总额。</w:t>
      </w:r>
    </w:p>
    <w:p>
      <w:pPr>
        <w:spacing w:after="0" w:line="357" w:lineRule="auto"/>
        <w:jc w:val="left"/>
        <w:sectPr>
          <w:pgSz w:w="11900" w:h="16840"/>
          <w:pgMar w:header="874" w:footer="983" w:top="1100" w:bottom="1180" w:left="74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4520" w:right="0"/>
        <w:jc w:val="left"/>
      </w:pPr>
      <w:r>
        <w:rPr/>
        <w:t>2010</w:t>
      </w:r>
      <w:r>
        <w:rPr>
          <w:spacing w:val="-60"/>
        </w:rPr>
        <w:t> </w:t>
      </w:r>
      <w:r>
        <w:rPr/>
        <w:t>年度本公司募集资金的实际使用情况详见附表。</w:t>
      </w:r>
    </w:p>
    <w:p>
      <w:pPr>
        <w:spacing w:line="240" w:lineRule="auto" w:before="12"/>
        <w:rPr>
          <w:rFonts w:ascii="宋体" w:hAnsi="宋体" w:cs="宋体" w:eastAsia="宋体" w:hint="default"/>
          <w:sz w:val="10"/>
          <w:szCs w:val="10"/>
        </w:rPr>
      </w:pPr>
    </w:p>
    <w:p>
      <w:pPr>
        <w:spacing w:before="36"/>
        <w:ind w:left="0" w:right="295"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1"/>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1985"/>
        <w:gridCol w:w="991"/>
        <w:gridCol w:w="1135"/>
        <w:gridCol w:w="1133"/>
        <w:gridCol w:w="144"/>
        <w:gridCol w:w="991"/>
        <w:gridCol w:w="1418"/>
        <w:gridCol w:w="1416"/>
        <w:gridCol w:w="1277"/>
        <w:gridCol w:w="1277"/>
        <w:gridCol w:w="1133"/>
        <w:gridCol w:w="1135"/>
      </w:tblGrid>
      <w:tr>
        <w:trPr>
          <w:trHeight w:val="322" w:hRule="exact"/>
        </w:trPr>
        <w:tc>
          <w:tcPr>
            <w:tcW w:w="411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sz w:val="21"/>
              </w:rPr>
              <w:t>13,113.91</w:t>
            </w:r>
          </w:p>
        </w:tc>
        <w:tc>
          <w:tcPr>
            <w:tcW w:w="2410"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8"/>
              <w:ind w:left="43"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6238" w:type="dxa"/>
            <w:gridSpan w:val="5"/>
            <w:vMerge w:val="restart"/>
            <w:tcBorders>
              <w:top w:val="single" w:sz="4" w:space="0" w:color="000000"/>
              <w:left w:val="single" w:sz="4" w:space="0" w:color="000000"/>
              <w:right w:val="single" w:sz="4" w:space="0" w:color="000000"/>
            </w:tcBorders>
          </w:tcPr>
          <w:p>
            <w:pPr>
              <w:pStyle w:val="TableParagraph"/>
              <w:spacing w:line="240" w:lineRule="auto" w:before="148"/>
              <w:ind w:right="22"/>
              <w:jc w:val="right"/>
              <w:rPr>
                <w:rFonts w:ascii="宋体" w:hAnsi="宋体" w:cs="宋体" w:eastAsia="宋体" w:hint="default"/>
                <w:sz w:val="21"/>
                <w:szCs w:val="21"/>
              </w:rPr>
            </w:pPr>
            <w:r>
              <w:rPr>
                <w:rFonts w:ascii="宋体"/>
                <w:spacing w:val="-1"/>
                <w:sz w:val="21"/>
              </w:rPr>
              <w:t>1,939.20</w:t>
            </w:r>
          </w:p>
        </w:tc>
      </w:tr>
      <w:tr>
        <w:trPr>
          <w:trHeight w:val="322" w:hRule="exact"/>
        </w:trPr>
        <w:tc>
          <w:tcPr>
            <w:tcW w:w="411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23" w:right="0"/>
              <w:jc w:val="left"/>
              <w:rPr>
                <w:rFonts w:ascii="宋体" w:hAnsi="宋体" w:cs="宋体" w:eastAsia="宋体" w:hint="default"/>
                <w:sz w:val="21"/>
                <w:szCs w:val="21"/>
              </w:rPr>
            </w:pPr>
            <w:r>
              <w:rPr>
                <w:rFonts w:ascii="宋体"/>
                <w:sz w:val="21"/>
              </w:rPr>
              <w:t>0.00</w:t>
            </w:r>
          </w:p>
        </w:tc>
        <w:tc>
          <w:tcPr>
            <w:tcW w:w="2410" w:type="dxa"/>
            <w:gridSpan w:val="2"/>
            <w:vMerge/>
            <w:tcBorders>
              <w:left w:val="single" w:sz="4" w:space="0" w:color="000000"/>
              <w:bottom w:val="single" w:sz="4" w:space="0" w:color="000000"/>
              <w:right w:val="single" w:sz="4" w:space="0" w:color="000000"/>
            </w:tcBorders>
            <w:shd w:val="clear" w:color="auto" w:fill="DBDBDB"/>
          </w:tcPr>
          <w:p>
            <w:pPr/>
          </w:p>
        </w:tc>
        <w:tc>
          <w:tcPr>
            <w:tcW w:w="6238" w:type="dxa"/>
            <w:gridSpan w:val="5"/>
            <w:vMerge/>
            <w:tcBorders>
              <w:left w:val="single" w:sz="4" w:space="0" w:color="000000"/>
              <w:bottom w:val="single" w:sz="4" w:space="0" w:color="000000"/>
              <w:right w:val="single" w:sz="4" w:space="0" w:color="000000"/>
            </w:tcBorders>
          </w:tcPr>
          <w:p>
            <w:pPr/>
          </w:p>
        </w:tc>
      </w:tr>
      <w:tr>
        <w:trPr>
          <w:trHeight w:val="322" w:hRule="exact"/>
        </w:trPr>
        <w:tc>
          <w:tcPr>
            <w:tcW w:w="411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23" w:right="0"/>
              <w:jc w:val="left"/>
              <w:rPr>
                <w:rFonts w:ascii="宋体" w:hAnsi="宋体" w:cs="宋体" w:eastAsia="宋体" w:hint="default"/>
                <w:sz w:val="21"/>
                <w:szCs w:val="21"/>
              </w:rPr>
            </w:pPr>
            <w:r>
              <w:rPr>
                <w:rFonts w:ascii="宋体"/>
                <w:sz w:val="21"/>
              </w:rPr>
              <w:t>0.00</w:t>
            </w:r>
          </w:p>
        </w:tc>
        <w:tc>
          <w:tcPr>
            <w:tcW w:w="2410" w:type="dxa"/>
            <w:gridSpan w:val="2"/>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48"/>
              <w:ind w:left="43"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6238" w:type="dxa"/>
            <w:gridSpan w:val="5"/>
            <w:vMerge w:val="restart"/>
            <w:tcBorders>
              <w:top w:val="single" w:sz="4" w:space="0" w:color="000000"/>
              <w:left w:val="single" w:sz="4" w:space="0" w:color="000000"/>
              <w:right w:val="single" w:sz="4" w:space="0" w:color="000000"/>
            </w:tcBorders>
          </w:tcPr>
          <w:p>
            <w:pPr>
              <w:pStyle w:val="TableParagraph"/>
              <w:spacing w:line="240" w:lineRule="auto" w:before="148"/>
              <w:ind w:right="22"/>
              <w:jc w:val="right"/>
              <w:rPr>
                <w:rFonts w:ascii="宋体" w:hAnsi="宋体" w:cs="宋体" w:eastAsia="宋体" w:hint="default"/>
                <w:sz w:val="21"/>
                <w:szCs w:val="21"/>
              </w:rPr>
            </w:pPr>
            <w:r>
              <w:rPr>
                <w:rFonts w:ascii="宋体"/>
                <w:spacing w:val="-1"/>
                <w:sz w:val="21"/>
              </w:rPr>
              <w:t>3,734.26</w:t>
            </w:r>
          </w:p>
        </w:tc>
      </w:tr>
      <w:tr>
        <w:trPr>
          <w:trHeight w:val="323" w:hRule="exact"/>
        </w:trPr>
        <w:tc>
          <w:tcPr>
            <w:tcW w:w="4111"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475"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7" w:right="0"/>
              <w:jc w:val="left"/>
              <w:rPr>
                <w:rFonts w:ascii="宋体" w:hAnsi="宋体" w:cs="宋体" w:eastAsia="宋体" w:hint="default"/>
                <w:sz w:val="21"/>
                <w:szCs w:val="21"/>
              </w:rPr>
            </w:pPr>
            <w:r>
              <w:rPr>
                <w:rFonts w:ascii="宋体"/>
                <w:sz w:val="21"/>
              </w:rPr>
              <w:t>0.00%</w:t>
            </w:r>
          </w:p>
        </w:tc>
        <w:tc>
          <w:tcPr>
            <w:tcW w:w="2410" w:type="dxa"/>
            <w:gridSpan w:val="2"/>
            <w:vMerge/>
            <w:tcBorders>
              <w:left w:val="single" w:sz="4" w:space="0" w:color="000000"/>
              <w:bottom w:val="single" w:sz="4" w:space="0" w:color="000000"/>
              <w:right w:val="single" w:sz="4" w:space="0" w:color="000000"/>
            </w:tcBorders>
            <w:shd w:val="clear" w:color="auto" w:fill="DBDBDB"/>
          </w:tcPr>
          <w:p>
            <w:pPr/>
          </w:p>
        </w:tc>
        <w:tc>
          <w:tcPr>
            <w:tcW w:w="6238" w:type="dxa"/>
            <w:gridSpan w:val="5"/>
            <w:vMerge/>
            <w:tcBorders>
              <w:left w:val="single" w:sz="4" w:space="0" w:color="000000"/>
              <w:bottom w:val="single" w:sz="4" w:space="0" w:color="000000"/>
              <w:right w:val="single" w:sz="4" w:space="0" w:color="000000"/>
            </w:tcBorders>
          </w:tcPr>
          <w:p>
            <w:pPr/>
          </w:p>
        </w:tc>
      </w:tr>
      <w:tr>
        <w:trPr>
          <w:trHeight w:val="1259"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568" w:right="36" w:hanging="526"/>
              <w:jc w:val="left"/>
              <w:rPr>
                <w:rFonts w:ascii="宋体" w:hAnsi="宋体" w:cs="宋体" w:eastAsia="宋体" w:hint="default"/>
                <w:sz w:val="21"/>
                <w:szCs w:val="21"/>
              </w:rPr>
            </w:pPr>
            <w:r>
              <w:rPr>
                <w:rFonts w:ascii="宋体" w:hAnsi="宋体" w:cs="宋体" w:eastAsia="宋体" w:hint="default"/>
                <w:sz w:val="21"/>
                <w:szCs w:val="21"/>
              </w:rPr>
              <w:t>承诺投资项目和超募</w:t>
            </w:r>
            <w:r>
              <w:rPr>
                <w:rFonts w:ascii="宋体" w:hAnsi="宋体" w:cs="宋体" w:eastAsia="宋体" w:hint="default"/>
                <w:w w:val="100"/>
                <w:sz w:val="21"/>
                <w:szCs w:val="21"/>
              </w:rPr>
              <w:t> </w:t>
            </w:r>
            <w:r>
              <w:rPr>
                <w:rFonts w:ascii="宋体" w:hAnsi="宋体" w:cs="宋体" w:eastAsia="宋体" w:hint="default"/>
                <w:sz w:val="21"/>
                <w:szCs w:val="21"/>
              </w:rPr>
              <w:t>资金投向</w:t>
            </w:r>
          </w:p>
        </w:tc>
        <w:tc>
          <w:tcPr>
            <w:tcW w:w="9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72" w:right="65"/>
              <w:jc w:val="center"/>
              <w:rPr>
                <w:rFonts w:ascii="宋体" w:hAnsi="宋体" w:cs="宋体" w:eastAsia="宋体" w:hint="default"/>
                <w:sz w:val="21"/>
                <w:szCs w:val="21"/>
              </w:rPr>
            </w:pPr>
            <w:r>
              <w:rPr>
                <w:rFonts w:ascii="宋体" w:hAnsi="宋体" w:cs="宋体" w:eastAsia="宋体" w:hint="default"/>
                <w:sz w:val="21"/>
                <w:szCs w:val="21"/>
              </w:rPr>
              <w:t>是否已变</w:t>
            </w:r>
            <w:r>
              <w:rPr>
                <w:rFonts w:ascii="宋体" w:hAnsi="宋体" w:cs="宋体" w:eastAsia="宋体" w:hint="default"/>
                <w:w w:val="100"/>
                <w:sz w:val="21"/>
                <w:szCs w:val="21"/>
              </w:rPr>
              <w:t> </w:t>
            </w:r>
            <w:r>
              <w:rPr>
                <w:rFonts w:ascii="宋体" w:hAnsi="宋体" w:cs="宋体" w:eastAsia="宋体" w:hint="default"/>
                <w:sz w:val="21"/>
                <w:szCs w:val="21"/>
              </w:rPr>
              <w:t>更项目</w:t>
            </w:r>
            <w:r>
              <w:rPr>
                <w:rFonts w:ascii="宋体" w:hAnsi="宋体" w:cs="宋体" w:eastAsia="宋体" w:hint="default"/>
                <w:w w:val="100"/>
                <w:sz w:val="21"/>
                <w:szCs w:val="21"/>
              </w:rPr>
              <w:t> </w:t>
            </w:r>
            <w:r>
              <w:rPr>
                <w:rFonts w:ascii="宋体" w:hAnsi="宋体" w:cs="宋体" w:eastAsia="宋体" w:hint="default"/>
                <w:sz w:val="21"/>
                <w:szCs w:val="21"/>
              </w:rPr>
              <w:t>(含部分</w:t>
            </w:r>
            <w:r>
              <w:rPr>
                <w:rFonts w:ascii="宋体" w:hAnsi="宋体" w:cs="宋体" w:eastAsia="宋体" w:hint="default"/>
                <w:w w:val="100"/>
                <w:sz w:val="21"/>
                <w:szCs w:val="21"/>
              </w:rPr>
              <w:t> </w:t>
            </w:r>
            <w:r>
              <w:rPr>
                <w:rFonts w:ascii="宋体" w:hAnsi="宋体" w:cs="宋体" w:eastAsia="宋体" w:hint="default"/>
                <w:sz w:val="21"/>
                <w:szCs w:val="21"/>
              </w:rPr>
              <w:t>变更)</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35" w:right="34"/>
              <w:jc w:val="left"/>
              <w:rPr>
                <w:rFonts w:ascii="宋体" w:hAnsi="宋体" w:cs="宋体" w:eastAsia="宋体" w:hint="default"/>
                <w:sz w:val="21"/>
                <w:szCs w:val="21"/>
              </w:rPr>
            </w:pPr>
            <w:r>
              <w:rPr>
                <w:rFonts w:ascii="宋体" w:hAnsi="宋体" w:cs="宋体" w:eastAsia="宋体" w:hint="default"/>
                <w:sz w:val="21"/>
                <w:szCs w:val="21"/>
              </w:rPr>
              <w:t>募集资金承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诺投资总额</w:t>
            </w:r>
          </w:p>
        </w:tc>
        <w:tc>
          <w:tcPr>
            <w:tcW w:w="127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66" w:right="103" w:hanging="159"/>
              <w:jc w:val="left"/>
              <w:rPr>
                <w:rFonts w:ascii="宋体" w:hAnsi="宋体" w:cs="宋体" w:eastAsia="宋体" w:hint="default"/>
                <w:sz w:val="21"/>
                <w:szCs w:val="21"/>
              </w:rPr>
            </w:pPr>
            <w:r>
              <w:rPr>
                <w:rFonts w:ascii="宋体" w:hAnsi="宋体" w:cs="宋体" w:eastAsia="宋体" w:hint="default"/>
                <w:sz w:val="21"/>
                <w:szCs w:val="21"/>
              </w:rPr>
              <w:t>调整后投资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总额(1)</w:t>
            </w:r>
          </w:p>
        </w:tc>
        <w:tc>
          <w:tcPr>
            <w:tcW w:w="9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72" w:right="67" w:hanging="104"/>
              <w:jc w:val="left"/>
              <w:rPr>
                <w:rFonts w:ascii="宋体" w:hAnsi="宋体" w:cs="宋体" w:eastAsia="宋体" w:hint="default"/>
                <w:sz w:val="21"/>
                <w:szCs w:val="21"/>
              </w:rPr>
            </w:pPr>
            <w:r>
              <w:rPr>
                <w:rFonts w:ascii="宋体" w:hAnsi="宋体" w:cs="宋体" w:eastAsia="宋体" w:hint="default"/>
                <w:sz w:val="21"/>
                <w:szCs w:val="21"/>
              </w:rPr>
              <w:t>本年度投</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27" w:right="70" w:hanging="53"/>
              <w:jc w:val="left"/>
              <w:rPr>
                <w:rFonts w:ascii="宋体" w:hAnsi="宋体" w:cs="宋体" w:eastAsia="宋体" w:hint="default"/>
                <w:sz w:val="21"/>
                <w:szCs w:val="21"/>
              </w:rPr>
            </w:pPr>
            <w:r>
              <w:rPr>
                <w:rFonts w:ascii="宋体" w:hAnsi="宋体" w:cs="宋体" w:eastAsia="宋体" w:hint="default"/>
                <w:sz w:val="21"/>
                <w:szCs w:val="21"/>
              </w:rPr>
              <w:t>截至期末累计</w:t>
            </w:r>
            <w:r>
              <w:rPr>
                <w:rFonts w:ascii="宋体" w:hAnsi="宋体" w:cs="宋体" w:eastAsia="宋体" w:hint="default"/>
                <w:w w:val="100"/>
                <w:sz w:val="21"/>
                <w:szCs w:val="21"/>
              </w:rPr>
              <w:t> </w:t>
            </w:r>
            <w:r>
              <w:rPr>
                <w:rFonts w:ascii="宋体" w:hAnsi="宋体" w:cs="宋体" w:eastAsia="宋体" w:hint="default"/>
                <w:sz w:val="21"/>
                <w:szCs w:val="21"/>
              </w:rPr>
              <w:t>投入金额(2)</w:t>
            </w:r>
          </w:p>
        </w:tc>
        <w:tc>
          <w:tcPr>
            <w:tcW w:w="14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4"/>
              <w:ind w:left="72" w:right="70"/>
              <w:jc w:val="center"/>
              <w:rPr>
                <w:rFonts w:ascii="宋体" w:hAnsi="宋体" w:cs="宋体" w:eastAsia="宋体" w:hint="default"/>
                <w:sz w:val="21"/>
                <w:szCs w:val="21"/>
              </w:rPr>
            </w:pPr>
            <w:r>
              <w:rPr>
                <w:rFonts w:ascii="宋体" w:hAnsi="宋体" w:cs="宋体" w:eastAsia="宋体" w:hint="default"/>
                <w:spacing w:val="-1"/>
                <w:sz w:val="21"/>
                <w:szCs w:val="21"/>
              </w:rPr>
              <w:t>截至期末投资</w:t>
            </w:r>
            <w:r>
              <w:rPr>
                <w:rFonts w:ascii="宋体" w:hAnsi="宋体" w:cs="宋体" w:eastAsia="宋体" w:hint="default"/>
                <w:w w:val="100"/>
                <w:sz w:val="21"/>
                <w:szCs w:val="21"/>
              </w:rPr>
              <w:t> </w:t>
            </w:r>
            <w:r>
              <w:rPr>
                <w:rFonts w:ascii="宋体" w:hAnsi="宋体" w:cs="宋体" w:eastAsia="宋体" w:hint="default"/>
                <w:spacing w:val="-1"/>
                <w:sz w:val="21"/>
                <w:szCs w:val="21"/>
              </w:rPr>
              <w:t>进度(%)(3)＝</w:t>
            </w:r>
          </w:p>
          <w:p>
            <w:pPr>
              <w:pStyle w:val="TableParagraph"/>
              <w:spacing w:line="240" w:lineRule="auto" w:before="7"/>
              <w:ind w:right="2"/>
              <w:jc w:val="center"/>
              <w:rPr>
                <w:rFonts w:ascii="宋体" w:hAnsi="宋体" w:cs="宋体" w:eastAsia="宋体" w:hint="default"/>
                <w:sz w:val="21"/>
                <w:szCs w:val="21"/>
              </w:rPr>
            </w:pPr>
            <w:r>
              <w:rPr>
                <w:rFonts w:ascii="宋体"/>
                <w:sz w:val="21"/>
              </w:rPr>
              <w:t>(2)/(1)</w:t>
            </w:r>
          </w:p>
        </w:tc>
        <w:tc>
          <w:tcPr>
            <w:tcW w:w="12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4"/>
              <w:ind w:left="108" w:right="103"/>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12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314" w:right="106" w:hanging="209"/>
              <w:jc w:val="left"/>
              <w:rPr>
                <w:rFonts w:ascii="宋体" w:hAnsi="宋体" w:cs="宋体" w:eastAsia="宋体" w:hint="default"/>
                <w:sz w:val="21"/>
                <w:szCs w:val="21"/>
              </w:rPr>
            </w:pPr>
            <w:r>
              <w:rPr>
                <w:rFonts w:ascii="宋体" w:hAnsi="宋体" w:cs="宋体" w:eastAsia="宋体" w:hint="default"/>
                <w:sz w:val="21"/>
                <w:szCs w:val="21"/>
              </w:rPr>
              <w:t>本年度实现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的效益</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244" w:right="34" w:hanging="212"/>
              <w:jc w:val="left"/>
              <w:rPr>
                <w:rFonts w:ascii="宋体" w:hAnsi="宋体" w:cs="宋体" w:eastAsia="宋体" w:hint="default"/>
                <w:sz w:val="21"/>
                <w:szCs w:val="21"/>
              </w:rPr>
            </w:pPr>
            <w:r>
              <w:rPr>
                <w:rFonts w:ascii="宋体" w:hAnsi="宋体" w:cs="宋体" w:eastAsia="宋体" w:hint="default"/>
                <w:sz w:val="21"/>
                <w:szCs w:val="21"/>
              </w:rPr>
              <w:t>是否达到预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计效益</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before="144"/>
              <w:ind w:left="35" w:right="34"/>
              <w:jc w:val="center"/>
              <w:rPr>
                <w:rFonts w:ascii="宋体" w:hAnsi="宋体" w:cs="宋体" w:eastAsia="宋体" w:hint="default"/>
                <w:sz w:val="21"/>
                <w:szCs w:val="21"/>
              </w:rPr>
            </w:pPr>
            <w:r>
              <w:rPr>
                <w:rFonts w:ascii="宋体" w:hAnsi="宋体" w:cs="宋体" w:eastAsia="宋体" w:hint="default"/>
                <w:sz w:val="21"/>
                <w:szCs w:val="21"/>
              </w:rPr>
              <w:t>项目可行性</w:t>
            </w:r>
            <w:r>
              <w:rPr>
                <w:rFonts w:ascii="宋体" w:hAnsi="宋体" w:cs="宋体" w:eastAsia="宋体" w:hint="default"/>
                <w:w w:val="100"/>
                <w:sz w:val="21"/>
                <w:szCs w:val="21"/>
              </w:rPr>
              <w:t> </w:t>
            </w:r>
            <w:r>
              <w:rPr>
                <w:rFonts w:ascii="宋体" w:hAnsi="宋体" w:cs="宋体" w:eastAsia="宋体" w:hint="default"/>
                <w:sz w:val="21"/>
                <w:szCs w:val="21"/>
              </w:rPr>
              <w:t>是否发生重</w:t>
            </w:r>
            <w:r>
              <w:rPr>
                <w:rFonts w:ascii="宋体" w:hAnsi="宋体" w:cs="宋体" w:eastAsia="宋体" w:hint="default"/>
                <w:w w:val="100"/>
                <w:sz w:val="21"/>
                <w:szCs w:val="21"/>
              </w:rPr>
              <w:t> </w:t>
            </w:r>
            <w:r>
              <w:rPr>
                <w:rFonts w:ascii="宋体" w:hAnsi="宋体" w:cs="宋体" w:eastAsia="宋体" w:hint="default"/>
                <w:sz w:val="21"/>
                <w:szCs w:val="21"/>
              </w:rPr>
              <w:t>大变化</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357"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2050" w:type="dxa"/>
            <w:gridSpan w:val="11"/>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5"/>
              <w:jc w:val="left"/>
              <w:rPr>
                <w:rFonts w:ascii="宋体" w:hAnsi="宋体" w:cs="宋体" w:eastAsia="宋体" w:hint="default"/>
                <w:sz w:val="21"/>
                <w:szCs w:val="21"/>
              </w:rPr>
            </w:pPr>
            <w:r>
              <w:rPr>
                <w:rFonts w:ascii="宋体" w:hAnsi="宋体" w:cs="宋体" w:eastAsia="宋体" w:hint="default"/>
                <w:sz w:val="21"/>
                <w:szCs w:val="21"/>
              </w:rPr>
              <w:t>嵌入式软件研发中心</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4,550.00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sz w:val="21"/>
              </w:rPr>
              <w:t>4,550.00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772.29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1,537.88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84.33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5"/>
              <w:jc w:val="left"/>
              <w:rPr>
                <w:rFonts w:ascii="宋体" w:hAnsi="宋体" w:cs="宋体" w:eastAsia="宋体" w:hint="default"/>
                <w:sz w:val="21"/>
                <w:szCs w:val="21"/>
              </w:rPr>
            </w:pPr>
            <w:r>
              <w:rPr>
                <w:rFonts w:ascii="宋体" w:hAnsi="宋体" w:cs="宋体" w:eastAsia="宋体" w:hint="default"/>
                <w:sz w:val="21"/>
                <w:szCs w:val="21"/>
              </w:rPr>
              <w:t>移动电话内容服务研</w:t>
            </w:r>
            <w:r>
              <w:rPr>
                <w:rFonts w:ascii="宋体" w:hAnsi="宋体" w:cs="宋体" w:eastAsia="宋体" w:hint="default"/>
                <w:w w:val="100"/>
                <w:sz w:val="21"/>
                <w:szCs w:val="21"/>
              </w:rPr>
              <w:t> </w:t>
            </w:r>
            <w:r>
              <w:rPr>
                <w:rFonts w:ascii="宋体" w:hAnsi="宋体" w:cs="宋体" w:eastAsia="宋体" w:hint="default"/>
                <w:sz w:val="21"/>
                <w:szCs w:val="21"/>
              </w:rPr>
              <w:t>发中心项目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4,422.00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sz w:val="21"/>
              </w:rPr>
              <w:t>4,422.00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286.82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z w:val="21"/>
              </w:rPr>
              <w:t>759.87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17.18%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402.71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5"/>
              <w:jc w:val="left"/>
              <w:rPr>
                <w:rFonts w:ascii="宋体" w:hAnsi="宋体" w:cs="宋体" w:eastAsia="宋体" w:hint="default"/>
                <w:sz w:val="21"/>
                <w:szCs w:val="21"/>
              </w:rPr>
            </w:pPr>
            <w:r>
              <w:rPr>
                <w:rFonts w:ascii="宋体" w:hAnsi="宋体" w:cs="宋体" w:eastAsia="宋体" w:hint="default"/>
                <w:sz w:val="21"/>
                <w:szCs w:val="21"/>
              </w:rPr>
              <w:t>软件外包后方开发基</w:t>
            </w:r>
            <w:r>
              <w:rPr>
                <w:rFonts w:ascii="宋体" w:hAnsi="宋体" w:cs="宋体" w:eastAsia="宋体" w:hint="default"/>
                <w:w w:val="100"/>
                <w:sz w:val="21"/>
                <w:szCs w:val="21"/>
              </w:rPr>
              <w:t> </w:t>
            </w:r>
            <w:r>
              <w:rPr>
                <w:rFonts w:ascii="宋体" w:hAnsi="宋体" w:cs="宋体" w:eastAsia="宋体" w:hint="default"/>
                <w:sz w:val="21"/>
                <w:szCs w:val="21"/>
              </w:rPr>
              <w:t>地项目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pacing w:val="-1"/>
                <w:sz w:val="21"/>
              </w:rPr>
              <w:t>4,387.30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3" w:right="0"/>
              <w:jc w:val="left"/>
              <w:rPr>
                <w:rFonts w:ascii="宋体" w:hAnsi="宋体" w:cs="宋体" w:eastAsia="宋体" w:hint="default"/>
                <w:sz w:val="21"/>
                <w:szCs w:val="21"/>
              </w:rPr>
            </w:pPr>
            <w:r>
              <w:rPr>
                <w:rFonts w:ascii="宋体"/>
                <w:sz w:val="21"/>
              </w:rPr>
              <w:t>4,387.30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880.09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1,436.51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0"/>
              <w:jc w:val="right"/>
              <w:rPr>
                <w:rFonts w:ascii="宋体" w:hAnsi="宋体" w:cs="宋体" w:eastAsia="宋体" w:hint="default"/>
                <w:sz w:val="21"/>
                <w:szCs w:val="21"/>
              </w:rPr>
            </w:pPr>
            <w:r>
              <w:rPr>
                <w:rFonts w:ascii="宋体"/>
                <w:sz w:val="21"/>
              </w:rPr>
              <w:t>32.74%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142"/>
              <w:jc w:val="right"/>
              <w:rPr>
                <w:rFonts w:ascii="宋体" w:hAnsi="宋体" w:cs="宋体" w:eastAsia="宋体" w:hint="default"/>
                <w:sz w:val="21"/>
                <w:szCs w:val="21"/>
              </w:rPr>
            </w:pPr>
            <w:r>
              <w:rPr>
                <w:rFonts w:ascii="宋体" w:hAnsi="宋体" w:cs="宋体" w:eastAsia="宋体" w:hint="default"/>
                <w:spacing w:val="-2"/>
                <w:sz w:val="21"/>
                <w:szCs w:val="21"/>
              </w:rPr>
              <w:t>承诺投资项目小计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4"/>
              <w:jc w:val="right"/>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13,359.30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7" w:right="0"/>
              <w:jc w:val="left"/>
              <w:rPr>
                <w:rFonts w:ascii="宋体" w:hAnsi="宋体" w:cs="宋体" w:eastAsia="宋体" w:hint="default"/>
                <w:sz w:val="21"/>
                <w:szCs w:val="21"/>
              </w:rPr>
            </w:pPr>
            <w:r>
              <w:rPr>
                <w:rFonts w:ascii="宋体"/>
                <w:sz w:val="21"/>
              </w:rPr>
              <w:t>13,359.30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1,939.20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3,734.26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8"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9"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487.04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10"/>
              <w:jc w:val="right"/>
              <w:rPr>
                <w:rFonts w:ascii="宋体" w:hAnsi="宋体" w:cs="宋体" w:eastAsia="宋体" w:hint="default"/>
                <w:sz w:val="21"/>
                <w:szCs w:val="21"/>
              </w:rPr>
            </w:pPr>
            <w:r>
              <w:rPr>
                <w:rFonts w:ascii="宋体"/>
                <w:w w:val="100"/>
                <w:sz w:val="21"/>
              </w:rPr>
              <w:t>-</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357"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2050" w:type="dxa"/>
            <w:gridSpan w:val="11"/>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124"/>
              <w:jc w:val="right"/>
              <w:rPr>
                <w:rFonts w:ascii="宋体" w:hAnsi="宋体" w:cs="宋体" w:eastAsia="宋体" w:hint="default"/>
                <w:sz w:val="21"/>
                <w:szCs w:val="21"/>
              </w:rPr>
            </w:pPr>
            <w:r>
              <w:rPr>
                <w:rFonts w:ascii="宋体" w:hAnsi="宋体" w:cs="宋体" w:eastAsia="宋体" w:hint="default"/>
                <w:spacing w:val="-9"/>
                <w:sz w:val="21"/>
                <w:szCs w:val="21"/>
              </w:rPr>
              <w:t>归还银行贷款（如有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tabs>
                <w:tab w:pos="439" w:val="left" w:leader="none"/>
              </w:tabs>
              <w:spacing w:line="262" w:lineRule="exact"/>
              <w:ind w:left="-135" w:right="434"/>
              <w:jc w:val="right"/>
              <w:rPr>
                <w:rFonts w:ascii="宋体" w:hAnsi="宋体" w:cs="宋体" w:eastAsia="宋体" w:hint="default"/>
                <w:sz w:val="21"/>
                <w:szCs w:val="21"/>
              </w:rPr>
            </w:pPr>
            <w:r>
              <w:rPr>
                <w:rFonts w:ascii="宋体" w:hAnsi="宋体" w:cs="宋体" w:eastAsia="宋体" w:hint="default"/>
                <w:sz w:val="21"/>
                <w:szCs w:val="21"/>
              </w:rPr>
              <w:t>）</w:t>
              <w:tab/>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8"/>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0"/>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3"/>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1"/>
              <w:jc w:val="right"/>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124"/>
              <w:jc w:val="right"/>
              <w:rPr>
                <w:rFonts w:ascii="宋体" w:hAnsi="宋体" w:cs="宋体" w:eastAsia="宋体" w:hint="default"/>
                <w:sz w:val="21"/>
                <w:szCs w:val="21"/>
              </w:rPr>
            </w:pPr>
            <w:r>
              <w:rPr>
                <w:rFonts w:ascii="宋体" w:hAnsi="宋体" w:cs="宋体" w:eastAsia="宋体" w:hint="default"/>
                <w:spacing w:val="-9"/>
                <w:sz w:val="21"/>
                <w:szCs w:val="21"/>
              </w:rPr>
              <w:t>补充流动资金（如有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tabs>
                <w:tab w:pos="439" w:val="left" w:leader="none"/>
              </w:tabs>
              <w:spacing w:line="262" w:lineRule="exact"/>
              <w:ind w:left="-135" w:right="434"/>
              <w:jc w:val="right"/>
              <w:rPr>
                <w:rFonts w:ascii="宋体" w:hAnsi="宋体" w:cs="宋体" w:eastAsia="宋体" w:hint="default"/>
                <w:sz w:val="21"/>
                <w:szCs w:val="21"/>
              </w:rPr>
            </w:pPr>
            <w:r>
              <w:rPr>
                <w:rFonts w:ascii="宋体" w:hAnsi="宋体" w:cs="宋体" w:eastAsia="宋体" w:hint="default"/>
                <w:sz w:val="21"/>
                <w:szCs w:val="21"/>
              </w:rPr>
              <w:t>）</w:t>
              <w:tab/>
              <w:t>-</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8"/>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0"/>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3"/>
              <w:jc w:val="righ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1"/>
              <w:jc w:val="right"/>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142"/>
              <w:jc w:val="right"/>
              <w:rPr>
                <w:rFonts w:ascii="宋体" w:hAnsi="宋体" w:cs="宋体" w:eastAsia="宋体" w:hint="default"/>
                <w:sz w:val="21"/>
                <w:szCs w:val="21"/>
              </w:rPr>
            </w:pPr>
            <w:r>
              <w:rPr>
                <w:rFonts w:ascii="宋体" w:hAnsi="宋体" w:cs="宋体" w:eastAsia="宋体" w:hint="default"/>
                <w:spacing w:val="-2"/>
                <w:sz w:val="21"/>
                <w:szCs w:val="21"/>
              </w:rPr>
              <w:t>超募资金投向小计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4"/>
              <w:jc w:val="right"/>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z w:val="21"/>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0.00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1" w:right="0"/>
              <w:jc w:val="left"/>
              <w:rPr>
                <w:rFonts w:ascii="宋体" w:hAnsi="宋体" w:cs="宋体" w:eastAsia="宋体" w:hint="default"/>
                <w:sz w:val="21"/>
                <w:szCs w:val="21"/>
              </w:rPr>
            </w:pPr>
            <w:r>
              <w:rPr>
                <w:rFonts w:ascii="宋体"/>
                <w:sz w:val="21"/>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8"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9"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10"/>
              <w:jc w:val="right"/>
              <w:rPr>
                <w:rFonts w:ascii="宋体" w:hAnsi="宋体" w:cs="宋体" w:eastAsia="宋体" w:hint="default"/>
                <w:sz w:val="21"/>
                <w:szCs w:val="21"/>
              </w:rPr>
            </w:pPr>
            <w:r>
              <w:rPr>
                <w:rFonts w:ascii="宋体"/>
                <w:w w:val="100"/>
                <w:sz w:val="21"/>
              </w:rPr>
              <w:t>-</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34"/>
              <w:jc w:val="right"/>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13,359.30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13,359.30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1" w:right="0"/>
              <w:jc w:val="left"/>
              <w:rPr>
                <w:rFonts w:ascii="宋体" w:hAnsi="宋体" w:cs="宋体" w:eastAsia="宋体" w:hint="default"/>
                <w:sz w:val="21"/>
                <w:szCs w:val="21"/>
              </w:rPr>
            </w:pPr>
            <w:r>
              <w:rPr>
                <w:rFonts w:ascii="宋体"/>
                <w:sz w:val="21"/>
              </w:rPr>
              <w:t>1,939.20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3,734.26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8"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9" w:right="0"/>
              <w:jc w:val="lef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4"/>
              <w:jc w:val="right"/>
              <w:rPr>
                <w:rFonts w:ascii="宋体" w:hAnsi="宋体" w:cs="宋体" w:eastAsia="宋体" w:hint="default"/>
                <w:sz w:val="21"/>
                <w:szCs w:val="21"/>
              </w:rPr>
            </w:pPr>
            <w:r>
              <w:rPr>
                <w:rFonts w:ascii="宋体"/>
                <w:sz w:val="21"/>
              </w:rPr>
              <w:t>487.04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w w:val="100"/>
                <w:sz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10"/>
              <w:jc w:val="right"/>
              <w:rPr>
                <w:rFonts w:ascii="宋体" w:hAnsi="宋体" w:cs="宋体" w:eastAsia="宋体" w:hint="default"/>
                <w:sz w:val="21"/>
                <w:szCs w:val="21"/>
              </w:rPr>
            </w:pPr>
            <w:r>
              <w:rPr>
                <w:rFonts w:ascii="宋体"/>
                <w:w w:val="100"/>
                <w:sz w:val="21"/>
              </w:rPr>
              <w:t>-</w:t>
            </w: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43" w:right="36"/>
              <w:jc w:val="left"/>
              <w:rPr>
                <w:rFonts w:ascii="宋体" w:hAnsi="宋体" w:cs="宋体" w:eastAsia="宋体" w:hint="default"/>
                <w:sz w:val="21"/>
                <w:szCs w:val="21"/>
              </w:rPr>
            </w:pPr>
            <w:r>
              <w:rPr>
                <w:rFonts w:ascii="宋体" w:hAnsi="宋体" w:cs="宋体" w:eastAsia="宋体" w:hint="default"/>
                <w:sz w:val="21"/>
                <w:szCs w:val="21"/>
              </w:rPr>
              <w:t>未达到计划进度或预</w:t>
            </w:r>
            <w:r>
              <w:rPr>
                <w:rFonts w:ascii="宋体" w:hAnsi="宋体" w:cs="宋体" w:eastAsia="宋体" w:hint="default"/>
                <w:w w:val="100"/>
                <w:sz w:val="21"/>
                <w:szCs w:val="21"/>
              </w:rPr>
              <w:t> </w:t>
            </w:r>
            <w:r>
              <w:rPr>
                <w:rFonts w:ascii="宋体" w:hAnsi="宋体" w:cs="宋体" w:eastAsia="宋体" w:hint="default"/>
                <w:sz w:val="21"/>
                <w:szCs w:val="21"/>
              </w:rPr>
              <w:t>计收益的情况和原因</w:t>
            </w:r>
          </w:p>
        </w:tc>
        <w:tc>
          <w:tcPr>
            <w:tcW w:w="12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6"/>
              <w:jc w:val="left"/>
              <w:rPr>
                <w:rFonts w:ascii="宋体" w:hAnsi="宋体" w:cs="宋体" w:eastAsia="宋体" w:hint="default"/>
                <w:sz w:val="21"/>
                <w:szCs w:val="21"/>
              </w:rPr>
            </w:pPr>
            <w:r>
              <w:rPr>
                <w:rFonts w:ascii="宋体" w:hAnsi="宋体" w:cs="宋体" w:eastAsia="宋体" w:hint="default"/>
                <w:sz w:val="21"/>
                <w:szCs w:val="21"/>
              </w:rPr>
              <w:t>上述三个项目均未达到计划进度和预计收益，主要由于</w:t>
            </w:r>
            <w:r>
              <w:rPr>
                <w:rFonts w:ascii="宋体" w:hAnsi="宋体" w:cs="宋体" w:eastAsia="宋体" w:hint="default"/>
                <w:spacing w:val="-56"/>
                <w:sz w:val="21"/>
                <w:szCs w:val="21"/>
              </w:rPr>
              <w:t> </w:t>
            </w:r>
            <w:r>
              <w:rPr>
                <w:rFonts w:ascii="宋体" w:hAnsi="宋体" w:cs="宋体" w:eastAsia="宋体" w:hint="default"/>
                <w:sz w:val="21"/>
                <w:szCs w:val="21"/>
              </w:rPr>
              <w:t>2008-2009</w:t>
            </w:r>
            <w:r>
              <w:rPr>
                <w:rFonts w:ascii="宋体" w:hAnsi="宋体" w:cs="宋体" w:eastAsia="宋体" w:hint="default"/>
                <w:spacing w:val="-60"/>
                <w:sz w:val="21"/>
                <w:szCs w:val="21"/>
              </w:rPr>
              <w:t> </w:t>
            </w:r>
            <w:r>
              <w:rPr>
                <w:rFonts w:ascii="宋体" w:hAnsi="宋体" w:cs="宋体" w:eastAsia="宋体" w:hint="default"/>
                <w:sz w:val="21"/>
                <w:szCs w:val="21"/>
              </w:rPr>
              <w:t>年度世界经济危机影响较大，本公司主要业务市场日本各大企业</w:t>
            </w:r>
            <w:r>
              <w:rPr>
                <w:rFonts w:ascii="宋体" w:hAnsi="宋体" w:cs="宋体" w:eastAsia="宋体" w:hint="default"/>
                <w:w w:val="100"/>
                <w:sz w:val="21"/>
                <w:szCs w:val="21"/>
              </w:rPr>
              <w:t> </w:t>
            </w:r>
            <w:r>
              <w:rPr>
                <w:rFonts w:ascii="宋体" w:hAnsi="宋体" w:cs="宋体" w:eastAsia="宋体" w:hint="default"/>
                <w:sz w:val="21"/>
                <w:szCs w:val="21"/>
              </w:rPr>
              <w:t>保持审慎态度，导致日本对中国软件发包量增速大幅放缓。</w:t>
            </w:r>
          </w:p>
        </w:tc>
      </w:tr>
    </w:tbl>
    <w:p>
      <w:pPr>
        <w:spacing w:after="0" w:line="273" w:lineRule="auto"/>
        <w:jc w:val="left"/>
        <w:rPr>
          <w:rFonts w:ascii="宋体" w:hAnsi="宋体" w:cs="宋体" w:eastAsia="宋体" w:hint="default"/>
          <w:sz w:val="21"/>
          <w:szCs w:val="21"/>
        </w:rPr>
        <w:sectPr>
          <w:headerReference w:type="default" r:id="rId18"/>
          <w:footerReference w:type="default" r:id="rId19"/>
          <w:pgSz w:w="16840" w:h="11900" w:orient="landscape"/>
          <w:pgMar w:header="874" w:footer="975" w:top="1100" w:bottom="1160" w:left="1300" w:right="1240"/>
          <w:pgNumType w:start="4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35" w:type="dxa"/>
        <w:tblLayout w:type="fixed"/>
        <w:tblCellMar>
          <w:top w:w="0" w:type="dxa"/>
          <w:left w:w="0" w:type="dxa"/>
          <w:bottom w:w="0" w:type="dxa"/>
          <w:right w:w="0" w:type="dxa"/>
        </w:tblCellMar>
        <w:tblLook w:val="01E0"/>
      </w:tblPr>
      <w:tblGrid>
        <w:gridCol w:w="1985"/>
        <w:gridCol w:w="12050"/>
      </w:tblGrid>
      <w:tr>
        <w:trPr>
          <w:trHeight w:val="322"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51" w:right="0"/>
              <w:jc w:val="left"/>
              <w:rPr>
                <w:rFonts w:ascii="宋体" w:hAnsi="宋体" w:cs="宋体" w:eastAsia="宋体" w:hint="default"/>
                <w:sz w:val="21"/>
                <w:szCs w:val="21"/>
              </w:rPr>
            </w:pPr>
            <w:r>
              <w:rPr>
                <w:rFonts w:ascii="宋体" w:hAnsi="宋体" w:cs="宋体" w:eastAsia="宋体" w:hint="default"/>
                <w:sz w:val="21"/>
                <w:szCs w:val="21"/>
              </w:rPr>
              <w:t>（分具体项目）</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16"/>
                <w:sz w:val="21"/>
                <w:szCs w:val="21"/>
              </w:rPr>
              <w:t> </w:t>
            </w:r>
            <w:r>
              <w:rPr>
                <w:rFonts w:ascii="宋体" w:hAnsi="宋体" w:cs="宋体" w:eastAsia="宋体" w:hint="default"/>
                <w:spacing w:val="-2"/>
                <w:sz w:val="21"/>
                <w:szCs w:val="21"/>
              </w:rPr>
              <w:t>年度日本的经济开始有明显恢复迹象，募投项目的投资进度有所加快，但仍未达到预计盈利计划。</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51" w:right="36" w:hanging="209"/>
              <w:jc w:val="left"/>
              <w:rPr>
                <w:rFonts w:ascii="宋体" w:hAnsi="宋体" w:cs="宋体" w:eastAsia="宋体" w:hint="default"/>
                <w:sz w:val="21"/>
                <w:szCs w:val="21"/>
              </w:rPr>
            </w:pPr>
            <w:r>
              <w:rPr>
                <w:rFonts w:ascii="宋体" w:hAnsi="宋体" w:cs="宋体" w:eastAsia="宋体" w:hint="default"/>
                <w:sz w:val="21"/>
                <w:szCs w:val="21"/>
              </w:rPr>
              <w:t>项目可行性发生重大</w:t>
            </w:r>
            <w:r>
              <w:rPr>
                <w:rFonts w:ascii="宋体" w:hAnsi="宋体" w:cs="宋体" w:eastAsia="宋体" w:hint="default"/>
                <w:w w:val="100"/>
                <w:sz w:val="21"/>
                <w:szCs w:val="21"/>
              </w:rPr>
              <w:t> </w:t>
            </w:r>
            <w:r>
              <w:rPr>
                <w:rFonts w:ascii="宋体" w:hAnsi="宋体" w:cs="宋体" w:eastAsia="宋体" w:hint="default"/>
                <w:sz w:val="21"/>
                <w:szCs w:val="21"/>
              </w:rPr>
              <w:t>变化的情况说明</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无重大变化。</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148" w:right="36" w:hanging="106"/>
              <w:jc w:val="left"/>
              <w:rPr>
                <w:rFonts w:ascii="宋体" w:hAnsi="宋体" w:cs="宋体" w:eastAsia="宋体" w:hint="default"/>
                <w:sz w:val="21"/>
                <w:szCs w:val="21"/>
              </w:rPr>
            </w:pPr>
            <w:r>
              <w:rPr>
                <w:rFonts w:ascii="宋体" w:hAnsi="宋体" w:cs="宋体" w:eastAsia="宋体" w:hint="default"/>
                <w:sz w:val="21"/>
                <w:szCs w:val="21"/>
              </w:rPr>
              <w:t>超募资金的金额、用</w:t>
            </w:r>
            <w:r>
              <w:rPr>
                <w:rFonts w:ascii="宋体" w:hAnsi="宋体" w:cs="宋体" w:eastAsia="宋体" w:hint="default"/>
                <w:w w:val="100"/>
                <w:sz w:val="21"/>
                <w:szCs w:val="21"/>
              </w:rPr>
              <w:t> </w:t>
            </w:r>
            <w:r>
              <w:rPr>
                <w:rFonts w:ascii="宋体" w:hAnsi="宋体" w:cs="宋体" w:eastAsia="宋体" w:hint="default"/>
                <w:sz w:val="21"/>
                <w:szCs w:val="21"/>
              </w:rPr>
              <w:t>途及使用进展情况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3"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51" w:right="36" w:hanging="209"/>
              <w:jc w:val="left"/>
              <w:rPr>
                <w:rFonts w:ascii="宋体" w:hAnsi="宋体" w:cs="宋体" w:eastAsia="宋体" w:hint="default"/>
                <w:sz w:val="21"/>
                <w:szCs w:val="21"/>
              </w:rPr>
            </w:pPr>
            <w:r>
              <w:rPr>
                <w:rFonts w:ascii="宋体" w:hAnsi="宋体" w:cs="宋体" w:eastAsia="宋体" w:hint="default"/>
                <w:sz w:val="21"/>
                <w:szCs w:val="21"/>
              </w:rPr>
              <w:t>募集资金投资项目实</w:t>
            </w:r>
            <w:r>
              <w:rPr>
                <w:rFonts w:ascii="宋体" w:hAnsi="宋体" w:cs="宋体" w:eastAsia="宋体" w:hint="default"/>
                <w:w w:val="100"/>
                <w:sz w:val="21"/>
                <w:szCs w:val="21"/>
              </w:rPr>
              <w:t> </w:t>
            </w:r>
            <w:r>
              <w:rPr>
                <w:rFonts w:ascii="宋体" w:hAnsi="宋体" w:cs="宋体" w:eastAsia="宋体" w:hint="default"/>
                <w:sz w:val="21"/>
                <w:szCs w:val="21"/>
              </w:rPr>
              <w:t>施地点变更情况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6"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51" w:right="36" w:hanging="209"/>
              <w:jc w:val="left"/>
              <w:rPr>
                <w:rFonts w:ascii="宋体" w:hAnsi="宋体" w:cs="宋体" w:eastAsia="宋体" w:hint="default"/>
                <w:sz w:val="21"/>
                <w:szCs w:val="21"/>
              </w:rPr>
            </w:pPr>
            <w:r>
              <w:rPr>
                <w:rFonts w:ascii="宋体" w:hAnsi="宋体" w:cs="宋体" w:eastAsia="宋体" w:hint="default"/>
                <w:sz w:val="21"/>
                <w:szCs w:val="21"/>
              </w:rPr>
              <w:t>募集资金投资项目实</w:t>
            </w:r>
            <w:r>
              <w:rPr>
                <w:rFonts w:ascii="宋体" w:hAnsi="宋体" w:cs="宋体" w:eastAsia="宋体" w:hint="default"/>
                <w:w w:val="100"/>
                <w:sz w:val="21"/>
                <w:szCs w:val="21"/>
              </w:rPr>
              <w:t> </w:t>
            </w:r>
            <w:r>
              <w:rPr>
                <w:rFonts w:ascii="宋体" w:hAnsi="宋体" w:cs="宋体" w:eastAsia="宋体" w:hint="default"/>
                <w:sz w:val="21"/>
                <w:szCs w:val="21"/>
              </w:rPr>
              <w:t>施方式调整情况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BDBDB"/>
          </w:tcPr>
          <w:p>
            <w:pPr>
              <w:pStyle w:val="TableParagraph"/>
              <w:spacing w:line="273" w:lineRule="auto"/>
              <w:ind w:left="148" w:right="36" w:hanging="106"/>
              <w:jc w:val="left"/>
              <w:rPr>
                <w:rFonts w:ascii="宋体" w:hAnsi="宋体" w:cs="宋体" w:eastAsia="宋体" w:hint="default"/>
                <w:sz w:val="21"/>
                <w:szCs w:val="21"/>
              </w:rPr>
            </w:pPr>
            <w:r>
              <w:rPr>
                <w:rFonts w:ascii="宋体" w:hAnsi="宋体" w:cs="宋体" w:eastAsia="宋体" w:hint="default"/>
                <w:sz w:val="21"/>
                <w:szCs w:val="21"/>
              </w:rPr>
              <w:t>募集资金投资项目先</w:t>
            </w:r>
            <w:r>
              <w:rPr>
                <w:rFonts w:ascii="宋体" w:hAnsi="宋体" w:cs="宋体" w:eastAsia="宋体" w:hint="default"/>
                <w:w w:val="100"/>
                <w:sz w:val="21"/>
                <w:szCs w:val="21"/>
              </w:rPr>
              <w:t> </w:t>
            </w:r>
            <w:r>
              <w:rPr>
                <w:rFonts w:ascii="宋体" w:hAnsi="宋体" w:cs="宋体" w:eastAsia="宋体" w:hint="default"/>
                <w:sz w:val="21"/>
                <w:szCs w:val="21"/>
              </w:rPr>
              <w:t>期投入及置换情况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22" w:hRule="exact"/>
        </w:trPr>
        <w:tc>
          <w:tcPr>
            <w:tcW w:w="1985" w:type="dxa"/>
            <w:vMerge/>
            <w:tcBorders>
              <w:left w:val="single" w:sz="4" w:space="0" w:color="000000"/>
              <w:bottom w:val="single" w:sz="4" w:space="0" w:color="000000"/>
              <w:right w:val="single" w:sz="4" w:space="0" w:color="000000"/>
            </w:tcBorders>
            <w:shd w:val="clear" w:color="auto" w:fill="DBDBDB"/>
          </w:tcPr>
          <w:p>
            <w:pP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8"/>
                <w:sz w:val="21"/>
                <w:szCs w:val="21"/>
              </w:rPr>
              <w:t> </w:t>
            </w:r>
            <w:r>
              <w:rPr>
                <w:rFonts w:ascii="宋体" w:hAnsi="宋体" w:cs="宋体" w:eastAsia="宋体" w:hint="default"/>
                <w:sz w:val="21"/>
                <w:szCs w:val="21"/>
              </w:rPr>
              <w:t>年度以自有资金垫支</w:t>
            </w:r>
            <w:r>
              <w:rPr>
                <w:rFonts w:ascii="宋体" w:hAnsi="宋体" w:cs="宋体" w:eastAsia="宋体" w:hint="default"/>
                <w:spacing w:val="-57"/>
                <w:sz w:val="21"/>
                <w:szCs w:val="21"/>
              </w:rPr>
              <w:t> </w:t>
            </w:r>
            <w:r>
              <w:rPr>
                <w:rFonts w:ascii="宋体" w:hAnsi="宋体" w:cs="宋体" w:eastAsia="宋体" w:hint="default"/>
                <w:sz w:val="21"/>
                <w:szCs w:val="21"/>
              </w:rPr>
              <w:t>441.41</w:t>
            </w:r>
            <w:r>
              <w:rPr>
                <w:rFonts w:ascii="宋体" w:hAnsi="宋体" w:cs="宋体" w:eastAsia="宋体" w:hint="default"/>
                <w:spacing w:val="-55"/>
                <w:sz w:val="21"/>
                <w:szCs w:val="21"/>
              </w:rPr>
              <w:t> </w:t>
            </w:r>
            <w:r>
              <w:rPr>
                <w:rFonts w:ascii="宋体" w:hAnsi="宋体" w:cs="宋体" w:eastAsia="宋体" w:hint="default"/>
                <w:sz w:val="21"/>
                <w:szCs w:val="21"/>
              </w:rPr>
              <w:t>万元，2009</w:t>
            </w:r>
            <w:r>
              <w:rPr>
                <w:rFonts w:ascii="宋体" w:hAnsi="宋体" w:cs="宋体" w:eastAsia="宋体" w:hint="default"/>
                <w:spacing w:val="-58"/>
                <w:sz w:val="21"/>
                <w:szCs w:val="21"/>
              </w:rPr>
              <w:t> </w:t>
            </w:r>
            <w:r>
              <w:rPr>
                <w:rFonts w:ascii="宋体" w:hAnsi="宋体" w:cs="宋体" w:eastAsia="宋体" w:hint="default"/>
                <w:sz w:val="21"/>
                <w:szCs w:val="21"/>
              </w:rPr>
              <w:t>年已置换；2010</w:t>
            </w:r>
            <w:r>
              <w:rPr>
                <w:rFonts w:ascii="宋体" w:hAnsi="宋体" w:cs="宋体" w:eastAsia="宋体" w:hint="default"/>
                <w:spacing w:val="-58"/>
                <w:sz w:val="21"/>
                <w:szCs w:val="21"/>
              </w:rPr>
              <w:t> </w:t>
            </w:r>
            <w:r>
              <w:rPr>
                <w:rFonts w:ascii="宋体" w:hAnsi="宋体" w:cs="宋体" w:eastAsia="宋体" w:hint="default"/>
                <w:sz w:val="21"/>
                <w:szCs w:val="21"/>
              </w:rPr>
              <w:t>年度没有发生先期投入及置换的情况。</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148" w:right="36" w:hanging="106"/>
              <w:jc w:val="left"/>
              <w:rPr>
                <w:rFonts w:ascii="宋体" w:hAnsi="宋体" w:cs="宋体" w:eastAsia="宋体" w:hint="default"/>
                <w:sz w:val="21"/>
                <w:szCs w:val="21"/>
              </w:rPr>
            </w:pPr>
            <w:r>
              <w:rPr>
                <w:rFonts w:ascii="宋体" w:hAnsi="宋体" w:cs="宋体" w:eastAsia="宋体" w:hint="default"/>
                <w:sz w:val="21"/>
                <w:szCs w:val="21"/>
              </w:rPr>
              <w:t>用闲置募集资金暂时</w:t>
            </w:r>
            <w:r>
              <w:rPr>
                <w:rFonts w:ascii="宋体" w:hAnsi="宋体" w:cs="宋体" w:eastAsia="宋体" w:hint="default"/>
                <w:w w:val="100"/>
                <w:sz w:val="21"/>
                <w:szCs w:val="21"/>
              </w:rPr>
              <w:t> </w:t>
            </w:r>
            <w:r>
              <w:rPr>
                <w:rFonts w:ascii="宋体" w:hAnsi="宋体" w:cs="宋体" w:eastAsia="宋体" w:hint="default"/>
                <w:sz w:val="21"/>
                <w:szCs w:val="21"/>
              </w:rPr>
              <w:t>补充流动资金情况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43" w:right="36"/>
              <w:jc w:val="left"/>
              <w:rPr>
                <w:rFonts w:ascii="宋体" w:hAnsi="宋体" w:cs="宋体" w:eastAsia="宋体" w:hint="default"/>
                <w:sz w:val="21"/>
                <w:szCs w:val="21"/>
              </w:rPr>
            </w:pPr>
            <w:r>
              <w:rPr>
                <w:rFonts w:ascii="宋体" w:hAnsi="宋体" w:cs="宋体" w:eastAsia="宋体" w:hint="default"/>
                <w:sz w:val="21"/>
                <w:szCs w:val="21"/>
              </w:rPr>
              <w:t>项目实施出现募集资</w:t>
            </w:r>
            <w:r>
              <w:rPr>
                <w:rFonts w:ascii="宋体" w:hAnsi="宋体" w:cs="宋体" w:eastAsia="宋体" w:hint="default"/>
                <w:w w:val="100"/>
                <w:sz w:val="21"/>
                <w:szCs w:val="21"/>
              </w:rPr>
              <w:t> </w:t>
            </w:r>
            <w:r>
              <w:rPr>
                <w:rFonts w:ascii="宋体" w:hAnsi="宋体" w:cs="宋体" w:eastAsia="宋体" w:hint="default"/>
                <w:sz w:val="21"/>
                <w:szCs w:val="21"/>
              </w:rPr>
              <w:t>金结余的金额及原因</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3"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463" w:right="36" w:hanging="420"/>
              <w:jc w:val="left"/>
              <w:rPr>
                <w:rFonts w:ascii="宋体" w:hAnsi="宋体" w:cs="宋体" w:eastAsia="宋体" w:hint="default"/>
                <w:sz w:val="21"/>
                <w:szCs w:val="21"/>
              </w:rPr>
            </w:pPr>
            <w:r>
              <w:rPr>
                <w:rFonts w:ascii="宋体" w:hAnsi="宋体" w:cs="宋体" w:eastAsia="宋体" w:hint="default"/>
                <w:sz w:val="21"/>
                <w:szCs w:val="21"/>
              </w:rPr>
              <w:t>尚未使用的募集资金</w:t>
            </w:r>
            <w:r>
              <w:rPr>
                <w:rFonts w:ascii="宋体" w:hAnsi="宋体" w:cs="宋体" w:eastAsia="宋体" w:hint="default"/>
                <w:w w:val="100"/>
                <w:sz w:val="21"/>
                <w:szCs w:val="21"/>
              </w:rPr>
              <w:t> </w:t>
            </w:r>
            <w:r>
              <w:rPr>
                <w:rFonts w:ascii="宋体" w:hAnsi="宋体" w:cs="宋体" w:eastAsia="宋体" w:hint="default"/>
                <w:sz w:val="21"/>
                <w:szCs w:val="21"/>
              </w:rPr>
              <w:t>用途及去向</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以活期、定期存款方式存放在募集资金专户。</w:t>
            </w:r>
          </w:p>
        </w:tc>
      </w:tr>
      <w:tr>
        <w:trPr>
          <w:trHeight w:val="948"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43" w:right="36"/>
              <w:jc w:val="center"/>
              <w:rPr>
                <w:rFonts w:ascii="宋体" w:hAnsi="宋体" w:cs="宋体" w:eastAsia="宋体" w:hint="default"/>
                <w:sz w:val="21"/>
                <w:szCs w:val="21"/>
              </w:rPr>
            </w:pPr>
            <w:r>
              <w:rPr>
                <w:rFonts w:ascii="宋体" w:hAnsi="宋体" w:cs="宋体" w:eastAsia="宋体" w:hint="default"/>
                <w:spacing w:val="-1"/>
                <w:sz w:val="21"/>
                <w:szCs w:val="21"/>
              </w:rPr>
              <w:t>募集资金使用及披露</w:t>
            </w:r>
            <w:r>
              <w:rPr>
                <w:rFonts w:ascii="宋体" w:hAnsi="宋体" w:cs="宋体" w:eastAsia="宋体" w:hint="default"/>
                <w:w w:val="100"/>
                <w:sz w:val="21"/>
                <w:szCs w:val="21"/>
              </w:rPr>
              <w:t> </w:t>
            </w:r>
            <w:r>
              <w:rPr>
                <w:rFonts w:ascii="宋体" w:hAnsi="宋体" w:cs="宋体" w:eastAsia="宋体" w:hint="default"/>
                <w:spacing w:val="-1"/>
                <w:sz w:val="21"/>
                <w:szCs w:val="21"/>
              </w:rPr>
              <w:t>中存在的问题或其他</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无此情况。</w:t>
            </w:r>
          </w:p>
        </w:tc>
      </w:tr>
    </w:tbl>
    <w:p>
      <w:pPr>
        <w:spacing w:after="0" w:line="240" w:lineRule="auto"/>
        <w:jc w:val="left"/>
        <w:rPr>
          <w:rFonts w:ascii="宋体" w:hAnsi="宋体" w:cs="宋体" w:eastAsia="宋体" w:hint="default"/>
          <w:sz w:val="21"/>
          <w:szCs w:val="21"/>
        </w:rPr>
        <w:sectPr>
          <w:pgSz w:w="16840" w:h="11900" w:orient="landscape"/>
          <w:pgMar w:header="874" w:footer="975" w:top="1100" w:bottom="1160" w:left="1300" w:right="12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91"/>
        <w:ind w:right="0"/>
        <w:jc w:val="both"/>
      </w:pPr>
      <w:r>
        <w:rPr/>
        <w:t>（4）变更募集资金投资项目的资金使用情况</w:t>
      </w:r>
    </w:p>
    <w:p>
      <w:pPr>
        <w:pStyle w:val="BodyText"/>
        <w:spacing w:line="240" w:lineRule="auto" w:before="154"/>
        <w:ind w:left="571" w:right="380"/>
        <w:jc w:val="left"/>
      </w:pPr>
      <w:r>
        <w:rPr/>
        <w:t>2010</w:t>
      </w:r>
      <w:r>
        <w:rPr>
          <w:spacing w:val="-60"/>
        </w:rPr>
        <w:t> </w:t>
      </w:r>
      <w:r>
        <w:rPr/>
        <w:t>年度本公司没有发生变更募集资金投资项目的情况。</w:t>
      </w:r>
    </w:p>
    <w:p>
      <w:pPr>
        <w:pStyle w:val="BodyText"/>
        <w:spacing w:line="240" w:lineRule="auto" w:before="154"/>
        <w:ind w:right="0"/>
        <w:jc w:val="both"/>
      </w:pPr>
      <w:r>
        <w:rPr/>
        <w:t>（5）募集资金使用及披露中存在的问题</w:t>
      </w:r>
    </w:p>
    <w:p>
      <w:pPr>
        <w:pStyle w:val="BodyText"/>
        <w:spacing w:line="240" w:lineRule="auto" w:before="154"/>
        <w:ind w:left="560" w:right="380"/>
        <w:jc w:val="left"/>
      </w:pPr>
      <w:r>
        <w:rPr/>
        <w:t>2010</w:t>
      </w:r>
      <w:r>
        <w:rPr>
          <w:spacing w:val="-60"/>
        </w:rPr>
        <w:t> </w:t>
      </w:r>
      <w:r>
        <w:rPr/>
        <w:t>年度本公司没有发生募集资金使用及披露中的问题。</w:t>
      </w:r>
    </w:p>
    <w:p>
      <w:pPr>
        <w:pStyle w:val="BodyText"/>
        <w:spacing w:line="240" w:lineRule="auto" w:before="154"/>
        <w:ind w:right="0"/>
        <w:jc w:val="both"/>
      </w:pPr>
      <w:r>
        <w:rPr/>
        <w:t>12、报告期内非募投资金投资情况</w:t>
      </w:r>
    </w:p>
    <w:p>
      <w:pPr>
        <w:pStyle w:val="BodyText"/>
        <w:spacing w:line="338" w:lineRule="auto" w:before="154"/>
        <w:ind w:left="600" w:right="380" w:hanging="461"/>
        <w:jc w:val="left"/>
      </w:pPr>
      <w:r>
        <w:rPr/>
        <w:t>（</w:t>
      </w:r>
      <w:r>
        <w:rPr>
          <w:rFonts w:ascii="Times New Roman" w:hAnsi="Times New Roman" w:cs="Times New Roman" w:eastAsia="Times New Roman" w:hint="default"/>
        </w:rPr>
        <w:t>1</w:t>
      </w:r>
      <w:r>
        <w:rPr/>
        <w:t>）投资成立控股子公司上海海隆宜通信息技术有限公司 根据公司于2010年4月12日召开的第三届董事会第二十二次会议审议通过的</w:t>
      </w:r>
    </w:p>
    <w:p>
      <w:pPr>
        <w:pStyle w:val="BodyText"/>
        <w:spacing w:line="357" w:lineRule="auto" w:before="55"/>
        <w:ind w:right="223"/>
        <w:jc w:val="both"/>
      </w:pPr>
      <w:r>
        <w:rPr>
          <w:spacing w:val="-3"/>
        </w:rPr>
        <w:t>《关于拟设立合资公司的对外投资议案》与日本MTI株式会社共同出资成立控股子</w:t>
      </w:r>
      <w:r>
        <w:rPr>
          <w:spacing w:val="-96"/>
        </w:rPr>
        <w:t> </w:t>
      </w:r>
      <w:r>
        <w:rPr>
          <w:spacing w:val="-96"/>
        </w:rPr>
      </w:r>
      <w:r>
        <w:rPr>
          <w:spacing w:val="-9"/>
        </w:rPr>
        <w:t>公司上海海隆宜通信息技术有限公司（注册资本750万元，其中，公司出资412.5</w:t>
      </w:r>
      <w:r>
        <w:rPr>
          <w:spacing w:val="23"/>
        </w:rPr>
        <w:t> </w:t>
      </w:r>
      <w:r>
        <w:rPr/>
        <w:t>万</w:t>
      </w:r>
      <w:r>
        <w:rPr/>
        <w:t> 元，占总股本的55%；日本MTI株式会社出资337.5</w:t>
      </w:r>
      <w:r>
        <w:rPr>
          <w:spacing w:val="-25"/>
        </w:rPr>
        <w:t> </w:t>
      </w:r>
      <w:r>
        <w:rPr>
          <w:spacing w:val="-4"/>
        </w:rPr>
        <w:t>万元，占总股本的45%），并于</w:t>
      </w:r>
      <w:r>
        <w:rPr/>
        <w:t> 2010年7月完成工商登记。</w:t>
      </w:r>
    </w:p>
    <w:p>
      <w:pPr>
        <w:pStyle w:val="BodyText"/>
        <w:spacing w:line="357" w:lineRule="auto"/>
        <w:ind w:right="224" w:firstLine="487"/>
        <w:jc w:val="both"/>
      </w:pPr>
      <w:r>
        <w:rPr/>
        <w:t>海隆宜通的经营业务范围为移动电话内容服务软件、计算机信息技术软件的 设计、开发、制作，销售自产产品；移动电话内容服务软件、计算机信息技术软 件的批发、进出口、佣金代理（拍卖除外）等，主要业务为手机增值内容服务。 目前市场调研、市场规划、营销、产品研发等事项均按计划进行，第一款手机社 </w:t>
      </w:r>
      <w:r>
        <w:rPr>
          <w:spacing w:val="-3"/>
        </w:rPr>
        <w:t>交类产品于2010年9月初即在中国移动苏州分公司上线运营，与运营商合作研发平</w:t>
      </w:r>
      <w:r>
        <w:rPr>
          <w:spacing w:val="-93"/>
        </w:rPr>
        <w:t> </w:t>
      </w:r>
      <w:r>
        <w:rPr>
          <w:spacing w:val="-93"/>
        </w:rPr>
      </w:r>
      <w:r>
        <w:rPr/>
        <w:t>台类产品也于10月初在中国移动苏州分公司上线运营。</w:t>
      </w:r>
    </w:p>
    <w:p>
      <w:pPr>
        <w:spacing w:line="240" w:lineRule="auto" w:before="8"/>
        <w:rPr>
          <w:rFonts w:ascii="宋体" w:hAnsi="宋体" w:cs="宋体" w:eastAsia="宋体" w:hint="default"/>
          <w:sz w:val="26"/>
          <w:szCs w:val="26"/>
        </w:rPr>
      </w:pPr>
    </w:p>
    <w:p>
      <w:pPr>
        <w:pStyle w:val="Heading3"/>
        <w:spacing w:line="240" w:lineRule="auto" w:before="0"/>
        <w:ind w:right="0"/>
        <w:jc w:val="both"/>
        <w:rPr>
          <w:b w:val="0"/>
          <w:bCs w:val="0"/>
        </w:rPr>
      </w:pPr>
      <w:r>
        <w:rPr/>
        <w:t>三、公司未来发展规划</w:t>
      </w:r>
      <w:r>
        <w:rPr>
          <w:b w:val="0"/>
          <w:bCs w:val="0"/>
        </w:rPr>
      </w:r>
    </w:p>
    <w:p>
      <w:pPr>
        <w:pStyle w:val="BodyText"/>
        <w:spacing w:line="240" w:lineRule="auto" w:before="154"/>
        <w:ind w:right="0"/>
        <w:jc w:val="both"/>
      </w:pPr>
      <w:r>
        <w:rPr/>
        <w:t>（一）经营环境分析</w:t>
      </w:r>
    </w:p>
    <w:p>
      <w:pPr>
        <w:pStyle w:val="BodyText"/>
        <w:spacing w:line="357" w:lineRule="auto" w:before="154"/>
        <w:ind w:right="90" w:firstLine="420"/>
        <w:jc w:val="left"/>
      </w:pPr>
      <w:r>
        <w:rPr>
          <w:spacing w:val="-6"/>
        </w:rPr>
        <w:t>报告期内，全球范围内已经渐渐走出了起始于</w:t>
      </w:r>
      <w:r>
        <w:rPr>
          <w:spacing w:val="-75"/>
        </w:rPr>
        <w:t> </w:t>
      </w:r>
      <w:r>
        <w:rPr/>
        <w:t>2008</w:t>
      </w:r>
      <w:r>
        <w:rPr>
          <w:spacing w:val="-75"/>
        </w:rPr>
        <w:t> </w:t>
      </w:r>
      <w:r>
        <w:rPr/>
        <w:t>年后期的经济危机的阴影。</w:t>
      </w:r>
      <w:r>
        <w:rPr/>
        <w:t> 公司所处的面向发达国家的软件外包行业有着长期看好的发展前景。</w:t>
      </w:r>
    </w:p>
    <w:p>
      <w:pPr>
        <w:pStyle w:val="BodyText"/>
        <w:spacing w:line="357" w:lineRule="auto"/>
        <w:ind w:right="224" w:firstLine="420"/>
        <w:jc w:val="both"/>
      </w:pPr>
      <w:r>
        <w:rPr>
          <w:spacing w:val="2"/>
        </w:rPr>
        <w:t>发达国家为增加企业的综合服务附加价值及竞争能力，对大型高质量的软件</w:t>
      </w:r>
      <w:r>
        <w:rPr/>
        <w:t> </w:t>
      </w:r>
      <w:r>
        <w:rPr>
          <w:spacing w:val="-3"/>
        </w:rPr>
        <w:t>系统有着硬性的需求，强化</w:t>
      </w:r>
      <w:r>
        <w:rPr>
          <w:spacing w:val="-53"/>
        </w:rPr>
        <w:t> </w:t>
      </w:r>
      <w:r>
        <w:rPr/>
        <w:t>IT</w:t>
      </w:r>
      <w:r>
        <w:rPr>
          <w:spacing w:val="-53"/>
        </w:rPr>
        <w:t> </w:t>
      </w:r>
      <w:r>
        <w:rPr>
          <w:spacing w:val="-3"/>
        </w:rPr>
        <w:t>投资的同时加大控制成本的力度，是必选手段。高</w:t>
      </w:r>
      <w:r>
        <w:rPr/>
        <w:t> 昂的人力成本和</w:t>
      </w:r>
      <w:r>
        <w:rPr>
          <w:spacing w:val="-50"/>
        </w:rPr>
        <w:t> </w:t>
      </w:r>
      <w:r>
        <w:rPr/>
        <w:t>IT</w:t>
      </w:r>
      <w:r>
        <w:rPr>
          <w:spacing w:val="-50"/>
        </w:rPr>
        <w:t> </w:t>
      </w:r>
      <w:r>
        <w:rPr>
          <w:spacing w:val="-4"/>
        </w:rPr>
        <w:t>人力资源的相对不足，必然加大向发展中国家的转移软件外包</w:t>
      </w:r>
      <w:r>
        <w:rPr/>
        <w:t> 业务的力度和深度。中国拥有大量高性价比理工科</w:t>
      </w:r>
      <w:r>
        <w:rPr>
          <w:spacing w:val="-80"/>
        </w:rPr>
        <w:t> </w:t>
      </w:r>
      <w:r>
        <w:rPr/>
        <w:t>IT</w:t>
      </w:r>
      <w:r>
        <w:rPr>
          <w:spacing w:val="-80"/>
        </w:rPr>
        <w:t> </w:t>
      </w:r>
      <w:r>
        <w:rPr>
          <w:spacing w:val="-4"/>
        </w:rPr>
        <w:t>专门人才，未来将会有更加</w:t>
      </w:r>
      <w:r>
        <w:rPr/>
        <w:t> 宽阔的市场机遇。</w:t>
      </w:r>
    </w:p>
    <w:p>
      <w:pPr>
        <w:pStyle w:val="BodyText"/>
        <w:spacing w:line="357" w:lineRule="auto"/>
        <w:ind w:right="224" w:firstLine="420"/>
        <w:jc w:val="both"/>
      </w:pPr>
      <w:r>
        <w:rPr/>
        <w:t>同时，2010</w:t>
      </w:r>
      <w:r>
        <w:rPr>
          <w:spacing w:val="-49"/>
        </w:rPr>
        <w:t> </w:t>
      </w:r>
      <w:r>
        <w:rPr/>
        <w:t>年中国的</w:t>
      </w:r>
      <w:r>
        <w:rPr>
          <w:spacing w:val="-49"/>
        </w:rPr>
        <w:t> </w:t>
      </w:r>
      <w:r>
        <w:rPr/>
        <w:t>GDP</w:t>
      </w:r>
      <w:r>
        <w:rPr>
          <w:spacing w:val="-49"/>
        </w:rPr>
        <w:t> </w:t>
      </w:r>
      <w:r>
        <w:rPr/>
        <w:t>已在世界范围内位居第二，成为一个巨大的经济实</w:t>
      </w:r>
      <w:r>
        <w:rPr/>
        <w:t> </w:t>
      </w:r>
      <w:r>
        <w:rPr>
          <w:spacing w:val="-4"/>
        </w:rPr>
        <w:t>体。同时政府长期对软件行业的扶持政策，也是公司大力发展 </w:t>
      </w:r>
      <w:r>
        <w:rPr/>
        <w:t>IT</w:t>
      </w:r>
      <w:r>
        <w:rPr>
          <w:spacing w:val="-97"/>
        </w:rPr>
        <w:t> </w:t>
      </w:r>
      <w:r>
        <w:rPr/>
        <w:t>服务业的良好条</w:t>
      </w:r>
      <w:r>
        <w:rPr/>
        <w:t> 件。为避免单一市场的风险，公司在加大力度巩固扩大日本市场的基础上，积极</w:t>
      </w:r>
    </w:p>
    <w:p>
      <w:pPr>
        <w:spacing w:after="0" w:line="357" w:lineRule="auto"/>
        <w:jc w:val="both"/>
        <w:sectPr>
          <w:headerReference w:type="default" r:id="rId20"/>
          <w:footerReference w:type="default" r:id="rId21"/>
          <w:pgSz w:w="11900" w:h="16840"/>
          <w:pgMar w:header="874" w:footer="983" w:top="1040" w:bottom="1180" w:left="1660" w:right="1440"/>
          <w:pgNumType w:start="50"/>
        </w:sectPr>
      </w:pPr>
    </w:p>
    <w:p>
      <w:pPr>
        <w:spacing w:line="240" w:lineRule="auto" w:before="7"/>
        <w:rPr>
          <w:rFonts w:ascii="宋体" w:hAnsi="宋体" w:cs="宋体" w:eastAsia="宋体" w:hint="default"/>
          <w:sz w:val="25"/>
          <w:szCs w:val="25"/>
        </w:rPr>
      </w:pPr>
    </w:p>
    <w:p>
      <w:pPr>
        <w:pStyle w:val="BodyText"/>
        <w:spacing w:line="357" w:lineRule="auto" w:before="26"/>
        <w:ind w:right="90"/>
        <w:jc w:val="left"/>
      </w:pPr>
      <w:r>
        <w:rPr/>
        <w:t>开拓欧美市场等海外市场，并积极布局国内市场，为大举开拓国内市场创造有利</w:t>
      </w:r>
      <w:r>
        <w:rPr>
          <w:spacing w:val="-95"/>
        </w:rPr>
        <w:t> </w:t>
      </w:r>
      <w:r>
        <w:rPr>
          <w:spacing w:val="-95"/>
        </w:rPr>
      </w:r>
      <w:r>
        <w:rPr>
          <w:spacing w:val="-7"/>
        </w:rPr>
        <w:t>的条件，以实现业务领域、业务模式的多样化，积极打造国际化综合</w:t>
      </w:r>
      <w:r>
        <w:rPr>
          <w:spacing w:val="-60"/>
        </w:rPr>
        <w:t> </w:t>
      </w:r>
      <w:r>
        <w:rPr/>
        <w:t>IT</w:t>
      </w:r>
      <w:r>
        <w:rPr>
          <w:spacing w:val="-60"/>
        </w:rPr>
        <w:t> </w:t>
      </w:r>
      <w:r>
        <w:rPr/>
        <w:t>服务企业。</w:t>
      </w:r>
    </w:p>
    <w:p>
      <w:pPr>
        <w:pStyle w:val="BodyText"/>
        <w:spacing w:line="240" w:lineRule="auto"/>
        <w:ind w:right="380"/>
        <w:jc w:val="left"/>
      </w:pPr>
      <w:r>
        <w:rPr/>
        <w:t>（二）行业比较分析</w:t>
      </w:r>
    </w:p>
    <w:p>
      <w:pPr>
        <w:pStyle w:val="BodyText"/>
        <w:spacing w:line="357" w:lineRule="auto" w:before="154"/>
        <w:ind w:right="224" w:firstLine="420"/>
        <w:jc w:val="both"/>
      </w:pPr>
      <w:r>
        <w:rPr/>
        <w:t>在软件外包行业、IT</w:t>
      </w:r>
      <w:r>
        <w:rPr>
          <w:spacing w:val="-27"/>
        </w:rPr>
        <w:t> </w:t>
      </w:r>
      <w:r>
        <w:rPr/>
        <w:t>综合服务业有着广阔发展的前景的同时，还存在着激烈</w:t>
      </w:r>
      <w:r>
        <w:rPr/>
        <w:t> 的市场竞争。</w:t>
      </w:r>
    </w:p>
    <w:p>
      <w:pPr>
        <w:pStyle w:val="BodyText"/>
        <w:spacing w:line="357" w:lineRule="auto"/>
        <w:ind w:right="226" w:firstLine="420"/>
        <w:jc w:val="both"/>
      </w:pPr>
      <w:r>
        <w:rPr>
          <w:spacing w:val="2"/>
        </w:rPr>
        <w:t>公司在面向海外软件外包的行业中，需不断地探索合理的经营模式，加大人</w:t>
      </w:r>
      <w:r>
        <w:rPr/>
        <w:t> 力资源的投入，持续提高开发管理、产品质量、专业领域业务水平，才能确保综</w:t>
      </w:r>
      <w:r>
        <w:rPr>
          <w:spacing w:val="-95"/>
        </w:rPr>
        <w:t> </w:t>
      </w:r>
      <w:r>
        <w:rPr>
          <w:spacing w:val="-95"/>
        </w:rPr>
      </w:r>
      <w:r>
        <w:rPr/>
        <w:t>合领先优势、更深度地占据高端市场、稳定扩大市场份额。特别是深入拓展面向</w:t>
      </w:r>
      <w:r>
        <w:rPr>
          <w:spacing w:val="-95"/>
        </w:rPr>
        <w:t> </w:t>
      </w:r>
      <w:r>
        <w:rPr>
          <w:spacing w:val="-95"/>
        </w:rPr>
      </w:r>
      <w:r>
        <w:rPr/>
        <w:t>美国的软件外包，必然会遇到中国以外的国家包括印度等国家成熟的同行业的竞</w:t>
      </w:r>
      <w:r>
        <w:rPr>
          <w:spacing w:val="-95"/>
        </w:rPr>
        <w:t> </w:t>
      </w:r>
      <w:r>
        <w:rPr>
          <w:spacing w:val="-95"/>
        </w:rPr>
      </w:r>
      <w:r>
        <w:rPr/>
        <w:t>争，如何提高自己的综合竞争力，是公司长久的经营课题。</w:t>
      </w:r>
    </w:p>
    <w:p>
      <w:pPr>
        <w:pStyle w:val="BodyText"/>
        <w:spacing w:line="357" w:lineRule="auto"/>
        <w:ind w:right="226" w:firstLine="420"/>
        <w:jc w:val="both"/>
      </w:pPr>
      <w:r>
        <w:rPr>
          <w:spacing w:val="2"/>
        </w:rPr>
        <w:t>面向国内市场，同样有着激烈的市场竞争。公司进入国内市场时日尚浅，还</w:t>
      </w:r>
      <w:r>
        <w:rPr/>
        <w:t> 未积累出足够的经验和成熟的经营模式。尚需审慎分析局势，慎重寻找合适的方</w:t>
      </w:r>
      <w:r>
        <w:rPr>
          <w:spacing w:val="-95"/>
        </w:rPr>
        <w:t> </w:t>
      </w:r>
      <w:r>
        <w:rPr>
          <w:spacing w:val="-95"/>
        </w:rPr>
      </w:r>
      <w:r>
        <w:rPr/>
        <w:t>式、时机，充分发挥自己长年面向海外开发管理的优势，才能有效地控制风险，</w:t>
      </w:r>
      <w:r>
        <w:rPr>
          <w:spacing w:val="-95"/>
        </w:rPr>
        <w:t> </w:t>
      </w:r>
      <w:r>
        <w:rPr>
          <w:spacing w:val="-95"/>
        </w:rPr>
      </w:r>
      <w:r>
        <w:rPr/>
        <w:t>取得成功。</w:t>
      </w:r>
    </w:p>
    <w:p>
      <w:pPr>
        <w:pStyle w:val="BodyText"/>
        <w:spacing w:line="240" w:lineRule="auto"/>
        <w:ind w:right="380"/>
        <w:jc w:val="left"/>
      </w:pPr>
      <w:r>
        <w:rPr/>
        <w:t>（三）经营计划</w:t>
      </w:r>
    </w:p>
    <w:p>
      <w:pPr>
        <w:pStyle w:val="BodyText"/>
        <w:spacing w:line="357" w:lineRule="auto" w:before="154"/>
        <w:ind w:right="139" w:firstLine="420"/>
        <w:jc w:val="both"/>
      </w:pPr>
      <w:r>
        <w:rPr/>
        <w:t>2011</w:t>
      </w:r>
      <w:r>
        <w:rPr>
          <w:spacing w:val="-60"/>
        </w:rPr>
        <w:t> </w:t>
      </w:r>
      <w:r>
        <w:rPr/>
        <w:t>年的经营方针为：实现多元化市场经营，打造国际化综合</w:t>
      </w:r>
      <w:r>
        <w:rPr>
          <w:spacing w:val="-60"/>
        </w:rPr>
        <w:t> </w:t>
      </w:r>
      <w:r>
        <w:rPr/>
        <w:t>IT</w:t>
      </w:r>
      <w:r>
        <w:rPr>
          <w:spacing w:val="-60"/>
        </w:rPr>
        <w:t> </w:t>
      </w:r>
      <w:r>
        <w:rPr/>
        <w:t>服务企业。</w:t>
      </w:r>
      <w:r>
        <w:rPr/>
        <w:t> 面向日本市场：</w:t>
      </w:r>
    </w:p>
    <w:p>
      <w:pPr>
        <w:pStyle w:val="BodyText"/>
        <w:spacing w:line="357" w:lineRule="auto"/>
        <w:ind w:right="1980" w:firstLine="420"/>
        <w:jc w:val="left"/>
      </w:pPr>
      <w:r>
        <w:rPr/>
        <w:t>继续努力扩充软件外包高端业务范围，巩固稳定的客户关系 面向美国市场：</w:t>
      </w:r>
    </w:p>
    <w:p>
      <w:pPr>
        <w:pStyle w:val="BodyText"/>
        <w:spacing w:line="357" w:lineRule="auto"/>
        <w:ind w:right="3425" w:firstLine="415"/>
        <w:jc w:val="left"/>
      </w:pPr>
      <w:r>
        <w:rPr/>
        <w:t>加大力度进入美国市场，寻求进一步的发展； 面向国内市场：</w:t>
      </w:r>
    </w:p>
    <w:p>
      <w:pPr>
        <w:pStyle w:val="BodyText"/>
        <w:spacing w:line="240" w:lineRule="auto"/>
        <w:ind w:left="557" w:right="380"/>
        <w:jc w:val="left"/>
      </w:pPr>
      <w:r>
        <w:rPr/>
        <w:t>—— 继续发展移动电话增值服务的同时，开发新的业务领域</w:t>
      </w:r>
    </w:p>
    <w:p>
      <w:pPr>
        <w:pStyle w:val="BodyText"/>
        <w:spacing w:line="357" w:lineRule="auto" w:before="154"/>
        <w:ind w:right="1140" w:firstLine="420"/>
        <w:jc w:val="left"/>
      </w:pPr>
      <w:r>
        <w:rPr/>
        <w:t>—— 积极寻求兼并购对象，快速实现业务范围及业务规模的扩大。 1、日本市场规划</w:t>
      </w:r>
    </w:p>
    <w:p>
      <w:pPr>
        <w:pStyle w:val="BodyText"/>
        <w:spacing w:line="357" w:lineRule="auto"/>
        <w:ind w:right="226" w:firstLine="417"/>
        <w:jc w:val="both"/>
      </w:pPr>
      <w:r>
        <w:rPr>
          <w:spacing w:val="2"/>
        </w:rPr>
        <w:t>公司在长年发展面向日本市场的软件外包开发业务过程中，摸索出了一套行</w:t>
      </w:r>
      <w:r>
        <w:rPr/>
        <w:t> 之有效的业务模式，拥有一批长期稳定的优质客户，培养储备了雄厚的技术、管</w:t>
      </w:r>
      <w:r>
        <w:rPr>
          <w:spacing w:val="-95"/>
        </w:rPr>
        <w:t> </w:t>
      </w:r>
      <w:r>
        <w:rPr>
          <w:spacing w:val="-95"/>
        </w:rPr>
      </w:r>
      <w:r>
        <w:rPr/>
        <w:t>理人才，积累了丰富的海外软件外包开发及组织管理经验，这些优势在未来依然</w:t>
      </w:r>
      <w:r>
        <w:rPr>
          <w:spacing w:val="-95"/>
        </w:rPr>
        <w:t> </w:t>
      </w:r>
      <w:r>
        <w:rPr>
          <w:spacing w:val="-95"/>
        </w:rPr>
      </w:r>
      <w:r>
        <w:rPr/>
        <w:t>会使公司保持长久的竞争力。</w:t>
      </w:r>
    </w:p>
    <w:p>
      <w:pPr>
        <w:pStyle w:val="BodyText"/>
        <w:spacing w:line="240" w:lineRule="auto"/>
        <w:ind w:left="557" w:right="90"/>
        <w:jc w:val="left"/>
      </w:pPr>
      <w:r>
        <w:rPr>
          <w:spacing w:val="2"/>
        </w:rPr>
        <w:t>公司仍将一如既往地集中已有的优质资源，巩固扩大长年的主营业务市场—</w:t>
      </w:r>
    </w:p>
    <w:p>
      <w:pPr>
        <w:spacing w:after="0" w:line="240" w:lineRule="auto"/>
        <w:jc w:val="left"/>
        <w:sectPr>
          <w:pgSz w:w="11900" w:h="16840"/>
          <w:pgMar w:header="874" w:footer="983" w:top="1100" w:bottom="1180" w:left="1660" w:right="1440"/>
        </w:sectPr>
      </w:pPr>
    </w:p>
    <w:p>
      <w:pPr>
        <w:spacing w:line="240" w:lineRule="auto" w:before="7"/>
        <w:rPr>
          <w:rFonts w:ascii="宋体" w:hAnsi="宋体" w:cs="宋体" w:eastAsia="宋体" w:hint="default"/>
          <w:sz w:val="25"/>
          <w:szCs w:val="25"/>
        </w:rPr>
      </w:pPr>
    </w:p>
    <w:p>
      <w:pPr>
        <w:pStyle w:val="BodyText"/>
        <w:spacing w:line="357" w:lineRule="auto" w:before="26"/>
        <w:ind w:right="90"/>
        <w:jc w:val="left"/>
      </w:pPr>
      <w:r>
        <w:rPr/>
        <w:t>—日本，在不断地提高服务质量的同时，全面提升占据高端业务的深度与广度，</w:t>
      </w:r>
      <w:r>
        <w:rPr>
          <w:spacing w:val="-95"/>
        </w:rPr>
        <w:t> </w:t>
      </w:r>
      <w:r>
        <w:rPr>
          <w:spacing w:val="-95"/>
        </w:rPr>
      </w:r>
      <w:r>
        <w:rPr/>
        <w:t>加大对客户上游价值链的嵌入深度，高质量地扩大业务规模。</w:t>
      </w:r>
    </w:p>
    <w:p>
      <w:pPr>
        <w:pStyle w:val="BodyText"/>
        <w:spacing w:line="357" w:lineRule="auto"/>
        <w:ind w:right="226" w:firstLine="417"/>
        <w:jc w:val="both"/>
      </w:pPr>
      <w:r>
        <w:rPr>
          <w:spacing w:val="2"/>
        </w:rPr>
        <w:t>同时，积极推行国内软件外包后方开发基地的建设，有效控制成本，进一步</w:t>
      </w:r>
      <w:r>
        <w:rPr/>
        <w:t> 提高综合竞争力,保持公司主力业务的长期稳定发展。</w:t>
      </w:r>
    </w:p>
    <w:p>
      <w:pPr>
        <w:pStyle w:val="BodyText"/>
        <w:spacing w:line="240" w:lineRule="auto"/>
        <w:ind w:right="380"/>
        <w:jc w:val="left"/>
      </w:pPr>
      <w:r>
        <w:rPr/>
        <w:t>2、欧美市场开拓规划</w:t>
      </w:r>
    </w:p>
    <w:p>
      <w:pPr>
        <w:pStyle w:val="BodyText"/>
        <w:spacing w:line="357" w:lineRule="auto" w:before="154"/>
        <w:ind w:right="226" w:firstLine="417"/>
        <w:jc w:val="both"/>
      </w:pPr>
      <w:r>
        <w:rPr/>
        <w:t>在</w:t>
      </w:r>
      <w:r>
        <w:rPr>
          <w:spacing w:val="-54"/>
        </w:rPr>
        <w:t> </w:t>
      </w:r>
      <w:r>
        <w:rPr/>
        <w:t>2009</w:t>
      </w:r>
      <w:r>
        <w:rPr>
          <w:spacing w:val="-54"/>
        </w:rPr>
        <w:t> </w:t>
      </w:r>
      <w:r>
        <w:rPr>
          <w:spacing w:val="-3"/>
        </w:rPr>
        <w:t>年度赢得了美国市场的突破之后，2010</w:t>
      </w:r>
      <w:r>
        <w:rPr>
          <w:spacing w:val="-54"/>
        </w:rPr>
        <w:t> </w:t>
      </w:r>
      <w:r>
        <w:rPr>
          <w:spacing w:val="-4"/>
        </w:rPr>
        <w:t>年度业务取得了新的进展，达</w:t>
      </w:r>
      <w:r>
        <w:rPr/>
        <w:t> 到了一定规模。公司将认真总结面向美国市场的经验，继续加大力度建设高质量</w:t>
      </w:r>
      <w:r>
        <w:rPr>
          <w:spacing w:val="-95"/>
        </w:rPr>
        <w:t> </w:t>
      </w:r>
      <w:r>
        <w:rPr>
          <w:spacing w:val="-95"/>
        </w:rPr>
      </w:r>
      <w:r>
        <w:rPr/>
        <w:t>的面向欧美市场的营销、开发队伍，包括在美国设立子公司等全新体制，以期加</w:t>
      </w:r>
      <w:r>
        <w:rPr>
          <w:spacing w:val="-95"/>
        </w:rPr>
        <w:t> </w:t>
      </w:r>
      <w:r>
        <w:rPr>
          <w:spacing w:val="-95"/>
        </w:rPr>
      </w:r>
      <w:r>
        <w:rPr/>
        <w:t>速扩大美国市场的规模。</w:t>
      </w:r>
    </w:p>
    <w:p>
      <w:pPr>
        <w:pStyle w:val="BodyText"/>
        <w:spacing w:line="240" w:lineRule="auto"/>
        <w:ind w:right="380"/>
        <w:jc w:val="left"/>
      </w:pPr>
      <w:r>
        <w:rPr/>
        <w:t>3、国内市场开拓规划</w:t>
      </w:r>
    </w:p>
    <w:p>
      <w:pPr>
        <w:pStyle w:val="BodyText"/>
        <w:spacing w:line="300" w:lineRule="auto" w:before="122"/>
        <w:ind w:left="557" w:right="90" w:hanging="418"/>
        <w:jc w:val="left"/>
      </w:pPr>
      <w:r>
        <w:rPr/>
        <w:t>（1）发展高附加值</w:t>
      </w:r>
      <w:r>
        <w:rPr>
          <w:spacing w:val="-60"/>
        </w:rPr>
        <w:t> </w:t>
      </w:r>
      <w:r>
        <w:rPr/>
        <w:t>IT</w:t>
      </w:r>
      <w:r>
        <w:rPr>
          <w:spacing w:val="-60"/>
        </w:rPr>
        <w:t> </w:t>
      </w:r>
      <w:r>
        <w:rPr/>
        <w:t>综合服务业务</w:t>
      </w:r>
      <w:r>
        <w:rPr/>
        <w:t> </w:t>
      </w:r>
      <w:r>
        <w:rPr>
          <w:spacing w:val="2"/>
        </w:rPr>
        <w:t>公司长年经营面向发达国家的软件外包开发业务，积累了大量国际一流水平</w:t>
      </w:r>
    </w:p>
    <w:p>
      <w:pPr>
        <w:pStyle w:val="BodyText"/>
        <w:spacing w:line="357" w:lineRule="auto" w:before="94"/>
        <w:ind w:right="90"/>
        <w:jc w:val="left"/>
      </w:pPr>
      <w:r>
        <w:rPr/>
        <w:t>的技术、业务领域知识和高水平的开发管理经验。而国内经济持续的高速发展，</w:t>
      </w:r>
      <w:r>
        <w:rPr>
          <w:spacing w:val="-95"/>
        </w:rPr>
        <w:t> </w:t>
      </w:r>
      <w:r>
        <w:rPr>
          <w:spacing w:val="-95"/>
        </w:rPr>
      </w:r>
      <w:r>
        <w:rPr/>
        <w:t>带来了国内市场的需求。</w:t>
      </w:r>
    </w:p>
    <w:p>
      <w:pPr>
        <w:pStyle w:val="BodyText"/>
        <w:spacing w:line="357" w:lineRule="auto"/>
        <w:ind w:right="97" w:firstLine="417"/>
        <w:jc w:val="left"/>
      </w:pPr>
      <w:r>
        <w:rPr>
          <w:spacing w:val="-1"/>
        </w:rPr>
        <w:t>面向国内市场，公司的经营重点为受众广泛的领域以及经济实力雄厚的行业，</w:t>
      </w:r>
      <w:r>
        <w:rPr/>
        <w:t> 充分依托国内经济高速发展的大环境，发展高附加值的业务模式。</w:t>
      </w:r>
    </w:p>
    <w:p>
      <w:pPr>
        <w:pStyle w:val="BodyText"/>
        <w:spacing w:line="357" w:lineRule="auto"/>
        <w:ind w:right="224" w:firstLine="417"/>
        <w:jc w:val="both"/>
      </w:pPr>
      <w:r>
        <w:rPr/>
        <w:t>2010</w:t>
      </w:r>
      <w:r>
        <w:rPr>
          <w:spacing w:val="-24"/>
        </w:rPr>
        <w:t> </w:t>
      </w:r>
      <w:r>
        <w:rPr/>
        <w:t>年，公司成立了合资公司上海海隆宜通信息技术有限公司，完成了以手</w:t>
      </w:r>
      <w:r>
        <w:rPr/>
        <w:t> 机内容服务为主要业务方向的初步布局。在苏州移动上线的社交类产品和研发平</w:t>
      </w:r>
      <w:r>
        <w:rPr>
          <w:spacing w:val="-95"/>
        </w:rPr>
        <w:t> </w:t>
      </w:r>
      <w:r>
        <w:rPr>
          <w:spacing w:val="-95"/>
        </w:rPr>
      </w:r>
      <w:r>
        <w:rPr/>
        <w:t>台类产品经过一段时间的推广，全国版本已正式上线。2011</w:t>
      </w:r>
      <w:r>
        <w:rPr>
          <w:spacing w:val="-70"/>
        </w:rPr>
        <w:t> </w:t>
      </w:r>
      <w:r>
        <w:rPr/>
        <w:t>年</w:t>
      </w:r>
      <w:r>
        <w:rPr>
          <w:spacing w:val="-70"/>
        </w:rPr>
        <w:t> </w:t>
      </w:r>
      <w:r>
        <w:rPr/>
        <w:t>3</w:t>
      </w:r>
      <w:r>
        <w:rPr>
          <w:spacing w:val="-70"/>
        </w:rPr>
        <w:t> </w:t>
      </w:r>
      <w:r>
        <w:rPr/>
        <w:t>月下旬，手机网</w:t>
      </w:r>
      <w:r>
        <w:rPr/>
        <w:t> 络游戏产品也正式上线运营。海隆宜通还将继续引入多款海外已成功产品，通过</w:t>
      </w:r>
      <w:r>
        <w:rPr>
          <w:spacing w:val="-95"/>
        </w:rPr>
        <w:t> </w:t>
      </w:r>
      <w:r>
        <w:rPr>
          <w:spacing w:val="-95"/>
        </w:rPr>
      </w:r>
      <w:r>
        <w:rPr/>
        <w:t>与运营商合作及自我推广，希望能形成产业链完整的产品集群，向用户提供更便</w:t>
      </w:r>
      <w:r>
        <w:rPr>
          <w:spacing w:val="-95"/>
        </w:rPr>
        <w:t> </w:t>
      </w:r>
      <w:r>
        <w:rPr>
          <w:spacing w:val="-95"/>
        </w:rPr>
      </w:r>
      <w:r>
        <w:rPr/>
        <w:t>捷有趣的移动互联网内容服务。新的一年，海隆宜通将致力于国内市场的企划、</w:t>
      </w:r>
      <w:r>
        <w:rPr>
          <w:spacing w:val="-95"/>
        </w:rPr>
        <w:t> </w:t>
      </w:r>
      <w:r>
        <w:rPr>
          <w:spacing w:val="-95"/>
        </w:rPr>
      </w:r>
      <w:r>
        <w:rPr/>
        <w:t>营销，使</w:t>
      </w:r>
      <w:r>
        <w:rPr>
          <w:spacing w:val="-60"/>
        </w:rPr>
        <w:t> </w:t>
      </w:r>
      <w:r>
        <w:rPr/>
        <w:t>B2C</w:t>
      </w:r>
      <w:r>
        <w:rPr>
          <w:spacing w:val="-60"/>
        </w:rPr>
        <w:t> </w:t>
      </w:r>
      <w:r>
        <w:rPr/>
        <w:t>业务逐步进入正常运营轨道。</w:t>
      </w:r>
    </w:p>
    <w:p>
      <w:pPr>
        <w:pStyle w:val="BodyText"/>
        <w:spacing w:line="357" w:lineRule="auto"/>
        <w:ind w:right="224" w:firstLine="537"/>
        <w:jc w:val="both"/>
      </w:pPr>
      <w:r>
        <w:rPr>
          <w:spacing w:val="-1"/>
        </w:rPr>
        <w:t>同时，公司还将利用常年为发达国家开发软件系统的技术和理念的优势，以</w:t>
      </w:r>
      <w:r>
        <w:rPr/>
        <w:t> 公司成熟的业务领域范围为主要方向，在国内市场寻找新的突破口，实现国内业</w:t>
      </w:r>
      <w:r>
        <w:rPr>
          <w:spacing w:val="-95"/>
        </w:rPr>
        <w:t> </w:t>
      </w:r>
      <w:r>
        <w:rPr>
          <w:spacing w:val="-95"/>
        </w:rPr>
      </w:r>
      <w:r>
        <w:rPr/>
        <w:t>务的进一步发展。</w:t>
      </w:r>
    </w:p>
    <w:p>
      <w:pPr>
        <w:pStyle w:val="BodyText"/>
        <w:spacing w:line="240" w:lineRule="auto" w:before="5"/>
        <w:ind w:right="380"/>
        <w:jc w:val="left"/>
      </w:pPr>
      <w:r>
        <w:rPr/>
        <w:t>（2）充分运用资本运作方式、统合优质的</w:t>
      </w:r>
      <w:r>
        <w:rPr>
          <w:spacing w:val="-60"/>
        </w:rPr>
        <w:t> </w:t>
      </w:r>
      <w:r>
        <w:rPr/>
        <w:t>IT</w:t>
      </w:r>
      <w:r>
        <w:rPr>
          <w:spacing w:val="-60"/>
        </w:rPr>
        <w:t> </w:t>
      </w:r>
      <w:r>
        <w:rPr/>
        <w:t>企业</w:t>
      </w:r>
    </w:p>
    <w:p>
      <w:pPr>
        <w:pStyle w:val="BodyText"/>
        <w:spacing w:line="240" w:lineRule="auto" w:before="77"/>
        <w:ind w:left="620" w:right="90"/>
        <w:jc w:val="left"/>
      </w:pPr>
      <w:r>
        <w:rPr/>
        <w:t>公司在 2007</w:t>
      </w:r>
      <w:r>
        <w:rPr>
          <w:spacing w:val="-96"/>
        </w:rPr>
        <w:t> </w:t>
      </w:r>
      <w:r>
        <w:rPr>
          <w:spacing w:val="-4"/>
        </w:rPr>
        <w:t>年年末上市后不久，即遇到全球范围的经济危机，公司自身的业</w:t>
      </w:r>
    </w:p>
    <w:p>
      <w:pPr>
        <w:pStyle w:val="BodyText"/>
        <w:spacing w:line="357" w:lineRule="auto" w:before="154"/>
        <w:ind w:right="210"/>
        <w:jc w:val="left"/>
      </w:pPr>
      <w:r>
        <w:rPr/>
        <w:t>务在</w:t>
      </w:r>
      <w:r>
        <w:rPr>
          <w:spacing w:val="-60"/>
        </w:rPr>
        <w:t> </w:t>
      </w:r>
      <w:r>
        <w:rPr/>
        <w:t>2008</w:t>
      </w:r>
      <w:r>
        <w:rPr>
          <w:spacing w:val="-60"/>
        </w:rPr>
        <w:t> </w:t>
      </w:r>
      <w:r>
        <w:rPr/>
        <w:t>至</w:t>
      </w:r>
      <w:r>
        <w:rPr>
          <w:spacing w:val="-60"/>
        </w:rPr>
        <w:t> </w:t>
      </w:r>
      <w:r>
        <w:rPr/>
        <w:t>2009</w:t>
      </w:r>
      <w:r>
        <w:rPr>
          <w:spacing w:val="-60"/>
        </w:rPr>
        <w:t> </w:t>
      </w:r>
      <w:r>
        <w:rPr/>
        <w:t>年受到了一定的影响 </w:t>
      </w:r>
      <w:r>
        <w:rPr>
          <w:spacing w:val="-5"/>
        </w:rPr>
        <w:t>。面对经济危机，公司制定了审慎稳健的</w:t>
      </w:r>
      <w:r>
        <w:rPr/>
        <w:t> 经营策略，未积极实施资本运作等方式。目前，公司的经营状况不仅得到了全面</w:t>
      </w:r>
    </w:p>
    <w:p>
      <w:pPr>
        <w:spacing w:after="0" w:line="357" w:lineRule="auto"/>
        <w:jc w:val="left"/>
        <w:sectPr>
          <w:pgSz w:w="11900" w:h="16840"/>
          <w:pgMar w:header="874" w:footer="983" w:top="1100" w:bottom="1180" w:left="1660" w:right="1440"/>
        </w:sectPr>
      </w:pPr>
    </w:p>
    <w:p>
      <w:pPr>
        <w:spacing w:line="240" w:lineRule="auto" w:before="7"/>
        <w:rPr>
          <w:rFonts w:ascii="宋体" w:hAnsi="宋体" w:cs="宋体" w:eastAsia="宋体" w:hint="default"/>
          <w:sz w:val="25"/>
          <w:szCs w:val="25"/>
        </w:rPr>
      </w:pPr>
    </w:p>
    <w:p>
      <w:pPr>
        <w:pStyle w:val="BodyText"/>
        <w:spacing w:line="357" w:lineRule="auto" w:before="26"/>
        <w:ind w:right="209"/>
        <w:jc w:val="left"/>
      </w:pPr>
      <w:r>
        <w:rPr/>
        <w:t>的恢复，2010</w:t>
      </w:r>
      <w:r>
        <w:rPr>
          <w:spacing w:val="-89"/>
        </w:rPr>
        <w:t> </w:t>
      </w:r>
      <w:r>
        <w:rPr/>
        <w:t>年的业务规模及盈利增加均超过了历史最高水平。因此，新的一年</w:t>
      </w:r>
      <w:r>
        <w:rPr/>
        <w:t> 公司将借此大好形势，积极寻求合作对象，灵活运用资本运作方式，统合优质的</w:t>
      </w:r>
      <w:r>
        <w:rPr>
          <w:spacing w:val="-95"/>
        </w:rPr>
        <w:t> </w:t>
      </w:r>
      <w:r>
        <w:rPr>
          <w:spacing w:val="-95"/>
        </w:rPr>
      </w:r>
      <w:r>
        <w:rPr/>
        <w:t>IT</w:t>
      </w:r>
      <w:r>
        <w:rPr>
          <w:spacing w:val="-60"/>
        </w:rPr>
        <w:t> </w:t>
      </w:r>
      <w:r>
        <w:rPr/>
        <w:t>公司，加速扩大公司业务领域、业务规模的同时，提升整体的竞争优势。</w:t>
      </w:r>
      <w:r>
        <w:rPr/>
        <w:t> 4、加强科技研发力度，提高生产力</w:t>
      </w:r>
    </w:p>
    <w:p>
      <w:pPr>
        <w:pStyle w:val="BodyText"/>
        <w:spacing w:line="357" w:lineRule="auto"/>
        <w:ind w:right="90" w:firstLine="417"/>
        <w:jc w:val="left"/>
      </w:pPr>
      <w:r>
        <w:rPr/>
        <w:t>公司将积极打造自有知识产权的开发平台和产品，通过开发平台提高生产效 </w:t>
      </w:r>
      <w:r>
        <w:rPr>
          <w:spacing w:val="-3"/>
        </w:rPr>
        <w:t>率，通过自有产品增加公司整体业务的效率，是公司未来发展的一个重要着力点。</w:t>
      </w:r>
      <w:r>
        <w:rPr>
          <w:spacing w:val="-100"/>
        </w:rPr>
        <w:t> </w:t>
      </w:r>
      <w:r>
        <w:rPr>
          <w:spacing w:val="-100"/>
        </w:rPr>
      </w:r>
      <w:r>
        <w:rPr/>
        <w:t>5、巩固软件质量管理水平</w:t>
      </w:r>
    </w:p>
    <w:p>
      <w:pPr>
        <w:pStyle w:val="BodyText"/>
        <w:spacing w:line="357" w:lineRule="auto"/>
        <w:ind w:right="259" w:firstLine="417"/>
        <w:jc w:val="both"/>
      </w:pPr>
      <w:r>
        <w:rPr/>
        <w:t>公司作为IT服务业，不断提高和巩固软件开发的质量管理水平是一个长期的 课题。符合国际市场质量要求的软件系统需要国际水准的开发质量管理能力。生 产过程中持续的改善活动使得公司的软件开发质量管理水平不断地提高，高质量 的软件服务得到了客户的认可，形成了一批稳定的客户群。公司将继续投入相应 的人力、物力，建立和健全开发质量管理的制度。</w:t>
      </w:r>
    </w:p>
    <w:p>
      <w:pPr>
        <w:pStyle w:val="BodyText"/>
        <w:spacing w:line="357" w:lineRule="auto"/>
        <w:ind w:right="222" w:firstLine="417"/>
        <w:jc w:val="left"/>
      </w:pPr>
      <w:r>
        <w:rPr>
          <w:spacing w:val="-1"/>
        </w:rPr>
        <w:t>公司在2010年10月取得CMMI4认证的基础上，继续提高推进软件开发管理水平</w:t>
      </w:r>
      <w:r>
        <w:rPr/>
        <w:t> 的力度，尽快达到国际软件成熟度模型集成最高等级CMMI5 的标准。 6、人才计划</w:t>
      </w:r>
    </w:p>
    <w:p>
      <w:pPr>
        <w:pStyle w:val="BodyText"/>
        <w:spacing w:line="357" w:lineRule="auto"/>
        <w:ind w:right="259" w:firstLine="480"/>
        <w:jc w:val="both"/>
      </w:pPr>
      <w:r>
        <w:rPr/>
        <w:t>公司将秉承一贯的方针，坚持对软件开发技术管理人才培养的积极投入，以 巩固扩大坚实的开发管理团队。保持公司优秀的中高端人才结构，是保持公司高 端业务实力、稳固发展公司的重要经营方针之一。</w:t>
      </w:r>
    </w:p>
    <w:p>
      <w:pPr>
        <w:pStyle w:val="BodyText"/>
        <w:spacing w:line="357" w:lineRule="auto"/>
        <w:ind w:right="240" w:firstLine="480"/>
        <w:jc w:val="left"/>
      </w:pPr>
      <w:r>
        <w:rPr/>
        <w:t>综合培训基地的建设，使得公司有了更加雄厚优质的资源培养面向海外的软 件开发人才。</w:t>
      </w:r>
    </w:p>
    <w:p>
      <w:pPr>
        <w:pStyle w:val="BodyText"/>
        <w:spacing w:line="357" w:lineRule="auto"/>
        <w:ind w:right="259" w:firstLine="480"/>
        <w:jc w:val="both"/>
      </w:pPr>
      <w:r>
        <w:rPr/>
        <w:t>当前，公司在努力打造综合IT服务业的业务构造的同时，对人才提出了新的 要求，多元化的经营管理人才是事业成功的关键。公司培养适合新的发展需求人 才的同时，还将大力招募优秀人才加入公司的经营团队，共同为公司未来的发展 前景而努力。</w:t>
      </w:r>
    </w:p>
    <w:p>
      <w:pPr>
        <w:pStyle w:val="BodyText"/>
        <w:spacing w:line="357" w:lineRule="auto"/>
        <w:ind w:right="90" w:firstLine="480"/>
        <w:jc w:val="left"/>
      </w:pPr>
      <w:r>
        <w:rPr/>
        <w:t>通过上述经营计划及策略的实施，公司的营销、技术、管理水平将更上一个 台阶，公司规模将得到进一步发展，未来将会保持长期持续稳步增长的局面。 7、年度重大投资计划</w:t>
      </w:r>
    </w:p>
    <w:p>
      <w:pPr>
        <w:pStyle w:val="BodyText"/>
        <w:spacing w:line="240" w:lineRule="auto"/>
        <w:ind w:left="154" w:right="380"/>
        <w:jc w:val="left"/>
      </w:pPr>
      <w:r>
        <w:rPr/>
        <w:t>（1）继续推进募投资金项目</w:t>
      </w:r>
    </w:p>
    <w:p>
      <w:pPr>
        <w:pStyle w:val="BodyText"/>
        <w:spacing w:line="240" w:lineRule="auto" w:before="154"/>
        <w:ind w:left="620" w:right="90"/>
        <w:jc w:val="left"/>
      </w:pPr>
      <w:r>
        <w:rPr/>
        <w:t>2011</w:t>
      </w:r>
      <w:r>
        <w:rPr>
          <w:spacing w:val="-90"/>
        </w:rPr>
        <w:t> </w:t>
      </w:r>
      <w:r>
        <w:rPr/>
        <w:t>年，随着全球整体经济形势的回复及公司业务状况的全面快速回升，公</w:t>
      </w:r>
    </w:p>
    <w:p>
      <w:pPr>
        <w:spacing w:after="0" w:line="240" w:lineRule="auto"/>
        <w:jc w:val="left"/>
        <w:sectPr>
          <w:pgSz w:w="11900" w:h="16840"/>
          <w:pgMar w:header="874" w:footer="983" w:top="1100" w:bottom="1180" w:left="1660" w:right="1440"/>
        </w:sectPr>
      </w:pPr>
    </w:p>
    <w:p>
      <w:pPr>
        <w:spacing w:line="240" w:lineRule="auto" w:before="7"/>
        <w:rPr>
          <w:rFonts w:ascii="宋体" w:hAnsi="宋体" w:cs="宋体" w:eastAsia="宋体" w:hint="default"/>
          <w:sz w:val="25"/>
          <w:szCs w:val="25"/>
        </w:rPr>
      </w:pPr>
    </w:p>
    <w:p>
      <w:pPr>
        <w:pStyle w:val="BodyText"/>
        <w:spacing w:line="357" w:lineRule="auto" w:before="26"/>
        <w:ind w:right="146"/>
        <w:jc w:val="both"/>
      </w:pPr>
      <w:r>
        <w:rPr/>
        <w:t>司将在严格控制风险的情况下，加速推动“嵌入式软件研发中心项目”、“移动</w:t>
      </w:r>
      <w:r>
        <w:rPr>
          <w:spacing w:val="-95"/>
        </w:rPr>
        <w:t> </w:t>
      </w:r>
      <w:r>
        <w:rPr>
          <w:spacing w:val="-95"/>
        </w:rPr>
      </w:r>
      <w:r>
        <w:rPr/>
        <w:t>电话内容服务研发中心项目”、“软件外包后方开发基地项目”三个募投项目进</w:t>
      </w:r>
      <w:r>
        <w:rPr>
          <w:spacing w:val="-95"/>
        </w:rPr>
        <w:t> </w:t>
      </w:r>
      <w:r>
        <w:rPr>
          <w:spacing w:val="-95"/>
        </w:rPr>
      </w:r>
      <w:r>
        <w:rPr/>
        <w:t>展。具体实施内容为：加速募投项目办公场所的建设、加快募投项目研发投入及</w:t>
      </w:r>
      <w:r>
        <w:rPr>
          <w:spacing w:val="-95"/>
        </w:rPr>
        <w:t> </w:t>
      </w:r>
      <w:r>
        <w:rPr>
          <w:spacing w:val="-95"/>
        </w:rPr>
      </w:r>
      <w:r>
        <w:rPr/>
        <w:t>南京软件后方基地的进一步建设及后方基地培训中心的升级建设。</w:t>
      </w:r>
    </w:p>
    <w:p>
      <w:pPr>
        <w:pStyle w:val="BodyText"/>
        <w:spacing w:line="357" w:lineRule="auto"/>
        <w:ind w:right="149" w:firstLine="480"/>
        <w:jc w:val="both"/>
      </w:pPr>
      <w:r>
        <w:rPr/>
        <w:t>计划在新的年度内完成“嵌入式软件研发中心项目”、“移动电话内容服务 研发中心项目”及“软件后方基地”项目。</w:t>
      </w:r>
    </w:p>
    <w:p>
      <w:pPr>
        <w:spacing w:line="357" w:lineRule="auto" w:before="36"/>
        <w:ind w:left="140" w:right="5786" w:firstLine="14"/>
        <w:jc w:val="left"/>
        <w:rPr>
          <w:rFonts w:ascii="宋体" w:hAnsi="宋体" w:cs="宋体" w:eastAsia="宋体" w:hint="default"/>
          <w:sz w:val="24"/>
          <w:szCs w:val="24"/>
        </w:rPr>
      </w:pPr>
      <w:r>
        <w:rPr>
          <w:rFonts w:ascii="宋体" w:hAnsi="宋体" w:cs="宋体" w:eastAsia="宋体" w:hint="default"/>
          <w:sz w:val="24"/>
          <w:szCs w:val="24"/>
        </w:rPr>
        <w:t>（2）非募投资金投资项目 </w:t>
      </w:r>
      <w:r>
        <w:rPr>
          <w:rFonts w:ascii="宋体" w:hAnsi="宋体" w:cs="宋体" w:eastAsia="宋体" w:hint="default"/>
          <w:b/>
          <w:bCs/>
          <w:sz w:val="24"/>
          <w:szCs w:val="24"/>
        </w:rPr>
        <w:t>购置办公场地</w:t>
      </w:r>
      <w:r>
        <w:rPr>
          <w:rFonts w:ascii="宋体" w:hAnsi="宋体" w:cs="宋体" w:eastAsia="宋体" w:hint="default"/>
          <w:sz w:val="24"/>
          <w:szCs w:val="24"/>
        </w:rPr>
      </w:r>
    </w:p>
    <w:p>
      <w:pPr>
        <w:pStyle w:val="BodyText"/>
        <w:spacing w:line="357" w:lineRule="auto"/>
        <w:ind w:right="143" w:firstLine="456"/>
        <w:jc w:val="both"/>
        <w:rPr>
          <w:rFonts w:ascii="宋体" w:hAnsi="宋体" w:cs="宋体" w:eastAsia="宋体" w:hint="default"/>
        </w:rPr>
      </w:pPr>
      <w:r>
        <w:rPr/>
        <w:t>为提高公司整体管理效益，控制商务成本，拟投资购置公司管理部门办公场 地，并在资金状况允许的情况下，积极筹划购置其他开发部门所需的办公场所。 </w:t>
      </w:r>
      <w:r>
        <w:rPr>
          <w:rFonts w:ascii="宋体" w:hAnsi="宋体" w:cs="宋体" w:eastAsia="宋体" w:hint="default"/>
          <w:b/>
          <w:bCs/>
        </w:rPr>
        <w:t>美国营销据点的建设</w:t>
      </w:r>
      <w:r>
        <w:rPr>
          <w:rFonts w:ascii="宋体" w:hAnsi="宋体" w:cs="宋体" w:eastAsia="宋体" w:hint="default"/>
        </w:rPr>
      </w:r>
    </w:p>
    <w:p>
      <w:pPr>
        <w:pStyle w:val="BodyText"/>
        <w:spacing w:line="357" w:lineRule="auto"/>
        <w:ind w:right="146" w:firstLine="456"/>
        <w:jc w:val="both"/>
      </w:pPr>
      <w:r>
        <w:rPr/>
        <w:t>为进一步加大美国市场的开发力度，扩大美国市场业务规模，2011</w:t>
      </w:r>
      <w:r>
        <w:rPr>
          <w:spacing w:val="-66"/>
        </w:rPr>
        <w:t> </w:t>
      </w:r>
      <w:r>
        <w:rPr/>
        <w:t>年度计划</w:t>
      </w:r>
      <w:r>
        <w:rPr/>
        <w:t> 在美国投资成立子公司。预计新成立的子公司将担当公司在美国市场的营销及现</w:t>
      </w:r>
      <w:r>
        <w:rPr>
          <w:spacing w:val="-95"/>
        </w:rPr>
        <w:t> </w:t>
      </w:r>
      <w:r>
        <w:rPr>
          <w:spacing w:val="-95"/>
        </w:rPr>
      </w:r>
      <w:r>
        <w:rPr/>
        <w:t>场作业管理等任务。</w:t>
      </w:r>
    </w:p>
    <w:p>
      <w:pPr>
        <w:pStyle w:val="BodyText"/>
        <w:spacing w:line="357" w:lineRule="auto"/>
        <w:ind w:left="620" w:right="160" w:hanging="480"/>
        <w:jc w:val="left"/>
      </w:pPr>
      <w:r>
        <w:rPr/>
        <w:t>（3）投资项目资金来源及使用计划 公司募集资金投资项目的资金来源主要为募集资金及公司自有资金。目前公</w:t>
      </w:r>
    </w:p>
    <w:p>
      <w:pPr>
        <w:pStyle w:val="BodyText"/>
        <w:spacing w:line="357" w:lineRule="auto"/>
        <w:ind w:right="179"/>
        <w:jc w:val="both"/>
      </w:pPr>
      <w:r>
        <w:rPr/>
        <w:t>司资金充足，非募投资金项目的资金来源主要为公司自有资金。在综合分析公司 发展速度、资金成本等因素的前提下，可考虑适当采取银行贷款等方式。</w:t>
      </w:r>
    </w:p>
    <w:p>
      <w:pPr>
        <w:pStyle w:val="BodyText"/>
        <w:spacing w:line="357" w:lineRule="auto"/>
        <w:ind w:left="612" w:right="4008" w:hanging="473"/>
        <w:jc w:val="left"/>
      </w:pPr>
      <w:r>
        <w:rPr/>
        <w:t>(四) 公司未来重大风险情况 公司的经营目前存在以下的风险因素。</w:t>
      </w:r>
    </w:p>
    <w:p>
      <w:pPr>
        <w:pStyle w:val="BodyText"/>
        <w:spacing w:line="357" w:lineRule="auto"/>
        <w:ind w:left="620" w:right="0" w:hanging="480"/>
        <w:jc w:val="left"/>
      </w:pPr>
      <w:r>
        <w:rPr/>
        <w:t>1、市场开拓的风险 公司增强提高日本市场竞争力的同时，积极开拓欧美和国内市场，是公司努</w:t>
      </w:r>
    </w:p>
    <w:p>
      <w:pPr>
        <w:pStyle w:val="BodyText"/>
        <w:spacing w:line="357" w:lineRule="auto"/>
        <w:ind w:right="144"/>
        <w:jc w:val="both"/>
      </w:pPr>
      <w:r>
        <w:rPr/>
        <w:t>力打造国际一流水平的</w:t>
      </w:r>
      <w:r>
        <w:rPr>
          <w:spacing w:val="-57"/>
        </w:rPr>
        <w:t> </w:t>
      </w:r>
      <w:r>
        <w:rPr/>
        <w:t>IT</w:t>
      </w:r>
      <w:r>
        <w:rPr>
          <w:spacing w:val="-57"/>
        </w:rPr>
        <w:t> </w:t>
      </w:r>
      <w:r>
        <w:rPr>
          <w:spacing w:val="-4"/>
        </w:rPr>
        <w:t>综合服务业务结构的重要举措。但国际市场的变化，国</w:t>
      </w:r>
      <w:r>
        <w:rPr/>
        <w:t> 内市场的成熟度等课题都使得多元市场开拓存在着一定的不确定因素，人才、资</w:t>
      </w:r>
      <w:r>
        <w:rPr>
          <w:spacing w:val="-95"/>
        </w:rPr>
        <w:t> </w:t>
      </w:r>
      <w:r>
        <w:rPr>
          <w:spacing w:val="-95"/>
        </w:rPr>
      </w:r>
      <w:r>
        <w:rPr/>
        <w:t>金等资源也将面临一定的压力。</w:t>
      </w:r>
    </w:p>
    <w:p>
      <w:pPr>
        <w:pStyle w:val="BodyText"/>
        <w:spacing w:line="357" w:lineRule="auto"/>
        <w:ind w:right="149" w:firstLine="480"/>
        <w:jc w:val="both"/>
      </w:pPr>
      <w:r>
        <w:rPr/>
        <w:t>抓住时机、规避风险、寻求有效的经营模式，是新的一年公司经营的重要课 题。</w:t>
      </w:r>
    </w:p>
    <w:p>
      <w:pPr>
        <w:pStyle w:val="BodyText"/>
        <w:spacing w:line="357" w:lineRule="auto"/>
        <w:ind w:left="620" w:right="0" w:hanging="480"/>
        <w:jc w:val="left"/>
      </w:pPr>
      <w:r>
        <w:rPr/>
        <w:t>2、人力、商务成本的压力 高水平的经营人才及大量的长期稳定的优质软件开发管理人才，是公司维持</w:t>
      </w:r>
    </w:p>
    <w:p>
      <w:pPr>
        <w:spacing w:after="0" w:line="357" w:lineRule="auto"/>
        <w:jc w:val="left"/>
        <w:sectPr>
          <w:pgSz w:w="11900" w:h="16840"/>
          <w:pgMar w:header="874" w:footer="983" w:top="1100" w:bottom="1180" w:left="1660" w:right="1520"/>
        </w:sectPr>
      </w:pPr>
    </w:p>
    <w:p>
      <w:pPr>
        <w:spacing w:line="240" w:lineRule="auto" w:before="7"/>
        <w:rPr>
          <w:rFonts w:ascii="宋体" w:hAnsi="宋体" w:cs="宋体" w:eastAsia="宋体" w:hint="default"/>
          <w:sz w:val="25"/>
          <w:szCs w:val="25"/>
        </w:rPr>
      </w:pPr>
    </w:p>
    <w:p>
      <w:pPr>
        <w:pStyle w:val="BodyText"/>
        <w:spacing w:line="357" w:lineRule="auto" w:before="26"/>
        <w:ind w:right="226"/>
        <w:jc w:val="both"/>
      </w:pPr>
      <w:r>
        <w:rPr/>
        <w:t>长期竞争优势的必要条件。近年来，大范围的人才竞争、通货膨胀、上海的居住</w:t>
      </w:r>
      <w:r>
        <w:rPr>
          <w:spacing w:val="-95"/>
        </w:rPr>
        <w:t> </w:t>
      </w:r>
      <w:r>
        <w:rPr>
          <w:spacing w:val="-95"/>
        </w:rPr>
      </w:r>
      <w:r>
        <w:rPr/>
        <w:t>环境成本上升，都给公司造成了极大的人力成本压力。办公楼租赁价格上涨难以</w:t>
      </w:r>
      <w:r>
        <w:rPr>
          <w:spacing w:val="-95"/>
        </w:rPr>
        <w:t> </w:t>
      </w:r>
      <w:r>
        <w:rPr>
          <w:spacing w:val="-95"/>
        </w:rPr>
      </w:r>
      <w:r>
        <w:rPr/>
        <w:t>预测、掌控，直接商务成本增加，并存在一定的不确定性。</w:t>
      </w:r>
    </w:p>
    <w:p>
      <w:pPr>
        <w:pStyle w:val="BodyText"/>
        <w:spacing w:line="357" w:lineRule="auto"/>
        <w:ind w:right="229" w:firstLine="480"/>
        <w:jc w:val="both"/>
      </w:pPr>
      <w:r>
        <w:rPr/>
        <w:t>面对不断上涨的人力成本压力，公司已加速推进后方开发基地的建设，可期 待长期有效地控制人力成本的效果。</w:t>
      </w:r>
    </w:p>
    <w:p>
      <w:pPr>
        <w:pStyle w:val="BodyText"/>
        <w:spacing w:line="357" w:lineRule="auto"/>
        <w:ind w:right="226" w:firstLine="480"/>
        <w:jc w:val="both"/>
      </w:pPr>
      <w:r>
        <w:rPr/>
        <w:t>同时，积极筹划购置办公场所，在购置管理部门、募投项目各开发中心项目 的办公场所后，还将积极筹划以合理的价格购置其他开发部门的办公场所，以期</w:t>
      </w:r>
      <w:r>
        <w:rPr>
          <w:spacing w:val="-95"/>
        </w:rPr>
        <w:t> </w:t>
      </w:r>
      <w:r>
        <w:rPr>
          <w:spacing w:val="-95"/>
        </w:rPr>
      </w:r>
      <w:r>
        <w:rPr/>
        <w:t>控制不断攀升的办公场所租赁的商务成本。</w:t>
      </w:r>
    </w:p>
    <w:p>
      <w:pPr>
        <w:pStyle w:val="BodyText"/>
        <w:spacing w:line="357" w:lineRule="auto"/>
        <w:ind w:left="620" w:right="90" w:hanging="480"/>
        <w:jc w:val="left"/>
      </w:pPr>
      <w:r>
        <w:rPr/>
        <w:t>3、汇率波动的压力 公司主营业务为面向海外的软件外包服务，业务结算币种中日元、美元所占</w:t>
      </w:r>
    </w:p>
    <w:p>
      <w:pPr>
        <w:pStyle w:val="BodyText"/>
        <w:spacing w:line="357" w:lineRule="auto"/>
        <w:ind w:right="216"/>
        <w:jc w:val="left"/>
      </w:pPr>
      <w:r>
        <w:rPr/>
        <w:t>比例很高，出口收入已占总收入的</w:t>
      </w:r>
      <w:r>
        <w:rPr>
          <w:spacing w:val="24"/>
        </w:rPr>
        <w:t> </w:t>
      </w:r>
      <w:r>
        <w:rPr/>
        <w:t>80%以上，因而，长期的人民币升值趋势将是</w:t>
      </w:r>
      <w:r>
        <w:rPr/>
        <w:t> 压迫经营业绩的重要因素。</w:t>
      </w:r>
    </w:p>
    <w:p>
      <w:pPr>
        <w:pStyle w:val="BodyText"/>
        <w:spacing w:line="240" w:lineRule="auto"/>
        <w:ind w:left="620" w:right="380"/>
        <w:jc w:val="left"/>
      </w:pPr>
      <w:r>
        <w:rPr/>
        <w:t>公司面对这样的不确定因素，将采取如下对策</w:t>
      </w:r>
    </w:p>
    <w:p>
      <w:pPr>
        <w:pStyle w:val="BodyText"/>
        <w:spacing w:line="240" w:lineRule="auto" w:before="154"/>
        <w:ind w:right="0"/>
        <w:jc w:val="left"/>
      </w:pPr>
      <w:r>
        <w:rPr>
          <w:spacing w:val="-6"/>
        </w:rPr>
        <w:t>（1）努力开拓国内市场，增加人民币收入，以平衡外汇汇率波动引起的不确定性。</w:t>
      </w:r>
    </w:p>
    <w:p>
      <w:pPr>
        <w:pStyle w:val="BodyText"/>
        <w:spacing w:line="357" w:lineRule="auto" w:before="154"/>
        <w:ind w:right="90"/>
        <w:jc w:val="left"/>
      </w:pPr>
      <w:r>
        <w:rPr>
          <w:spacing w:val="-3"/>
        </w:rPr>
        <w:t>（2）积极采用远期结汇等金融手段，根据公司外汇收入的情况，锁定一部分未来</w:t>
      </w:r>
      <w:r>
        <w:rPr>
          <w:spacing w:val="-99"/>
        </w:rPr>
        <w:t> </w:t>
      </w:r>
      <w:r>
        <w:rPr>
          <w:spacing w:val="-99"/>
        </w:rPr>
      </w:r>
      <w:r>
        <w:rPr/>
        <w:t>外汇收入的结算汇率，消除一定程度的不确定因素。 4．日本巨大地震及海啸灾害的影响</w:t>
      </w:r>
    </w:p>
    <w:p>
      <w:pPr>
        <w:pStyle w:val="BodyText"/>
        <w:spacing w:line="357" w:lineRule="auto"/>
        <w:ind w:right="224" w:firstLine="472"/>
        <w:jc w:val="both"/>
      </w:pPr>
      <w:r>
        <w:rPr/>
        <w:t>日本本州岛东北地区</w:t>
      </w:r>
      <w:r>
        <w:rPr>
          <w:spacing w:val="-54"/>
        </w:rPr>
        <w:t> </w:t>
      </w:r>
      <w:r>
        <w:rPr/>
        <w:t>2011</w:t>
      </w:r>
      <w:r>
        <w:rPr>
          <w:spacing w:val="-54"/>
        </w:rPr>
        <w:t> </w:t>
      </w:r>
      <w:r>
        <w:rPr/>
        <w:t>年</w:t>
      </w:r>
      <w:r>
        <w:rPr>
          <w:spacing w:val="-54"/>
        </w:rPr>
        <w:t> </w:t>
      </w:r>
      <w:r>
        <w:rPr/>
        <w:t>3</w:t>
      </w:r>
      <w:r>
        <w:rPr>
          <w:spacing w:val="-54"/>
        </w:rPr>
        <w:t> </w:t>
      </w:r>
      <w:r>
        <w:rPr/>
        <w:t>月</w:t>
      </w:r>
      <w:r>
        <w:rPr>
          <w:spacing w:val="-54"/>
        </w:rPr>
        <w:t> </w:t>
      </w:r>
      <w:r>
        <w:rPr/>
        <w:t>11</w:t>
      </w:r>
      <w:r>
        <w:rPr>
          <w:spacing w:val="-54"/>
        </w:rPr>
        <w:t> </w:t>
      </w:r>
      <w:r>
        <w:rPr/>
        <w:t>日发生了巨大地震引发海啸，造成了当</w:t>
      </w:r>
      <w:r>
        <w:rPr/>
        <w:t> 地的巨大损失。地震和海啸带来的核电站事故、计划停电等状况，虽暂时未对公</w:t>
      </w:r>
      <w:r>
        <w:rPr>
          <w:spacing w:val="-95"/>
        </w:rPr>
        <w:t> </w:t>
      </w:r>
      <w:r>
        <w:rPr>
          <w:spacing w:val="-95"/>
        </w:rPr>
      </w:r>
      <w:r>
        <w:rPr/>
        <w:t>司的短期经营业绩造成直接影响，但长期的、间接性的影响在所难免。公司将积</w:t>
      </w:r>
      <w:r>
        <w:rPr>
          <w:spacing w:val="-95"/>
        </w:rPr>
        <w:t> </w:t>
      </w:r>
      <w:r>
        <w:rPr>
          <w:spacing w:val="-95"/>
        </w:rPr>
      </w:r>
      <w:r>
        <w:rPr/>
        <w:t>极关注事态的发展，迅速做出相应的对策，以求将未来可能发生的负面影响降到</w:t>
      </w:r>
      <w:r>
        <w:rPr>
          <w:spacing w:val="-95"/>
        </w:rPr>
        <w:t> </w:t>
      </w:r>
      <w:r>
        <w:rPr>
          <w:spacing w:val="-95"/>
        </w:rPr>
      </w:r>
      <w:r>
        <w:rPr/>
        <w:t>最低限度。</w:t>
      </w:r>
    </w:p>
    <w:p>
      <w:pPr>
        <w:spacing w:line="240" w:lineRule="auto" w:before="4"/>
        <w:rPr>
          <w:rFonts w:ascii="宋体" w:hAnsi="宋体" w:cs="宋体" w:eastAsia="宋体" w:hint="default"/>
          <w:sz w:val="30"/>
          <w:szCs w:val="30"/>
        </w:rPr>
      </w:pPr>
    </w:p>
    <w:p>
      <w:pPr>
        <w:pStyle w:val="Heading3"/>
        <w:spacing w:line="240" w:lineRule="auto" w:before="0"/>
        <w:ind w:right="380"/>
        <w:jc w:val="left"/>
        <w:rPr>
          <w:b w:val="0"/>
          <w:bCs w:val="0"/>
        </w:rPr>
      </w:pPr>
      <w:r>
        <w:rPr/>
        <w:t>五、董事会日常工作情况</w:t>
      </w:r>
      <w:r>
        <w:rPr>
          <w:b w:val="0"/>
          <w:bCs w:val="0"/>
        </w:rPr>
      </w:r>
    </w:p>
    <w:p>
      <w:pPr>
        <w:pStyle w:val="BodyText"/>
        <w:spacing w:line="240" w:lineRule="auto" w:before="154"/>
        <w:ind w:right="380"/>
        <w:jc w:val="left"/>
      </w:pPr>
      <w:r>
        <w:rPr/>
        <w:t>（一）报告期内会议召开情况</w:t>
      </w:r>
    </w:p>
    <w:p>
      <w:pPr>
        <w:pStyle w:val="BodyText"/>
        <w:spacing w:line="240" w:lineRule="auto" w:before="154"/>
        <w:ind w:left="360" w:right="180"/>
        <w:jc w:val="center"/>
      </w:pPr>
      <w:r>
        <w:rPr/>
        <w:t>1、2010 年</w:t>
      </w:r>
      <w:r>
        <w:rPr>
          <w:spacing w:val="-58"/>
        </w:rPr>
        <w:t> </w:t>
      </w:r>
      <w:r>
        <w:rPr/>
        <w:t>1 月</w:t>
      </w:r>
      <w:r>
        <w:rPr>
          <w:spacing w:val="-58"/>
        </w:rPr>
        <w:t> </w:t>
      </w:r>
      <w:r>
        <w:rPr/>
        <w:t>22 日，召开了公司第三届董事会第二十一次会议，相关决议</w:t>
      </w:r>
    </w:p>
    <w:p>
      <w:pPr>
        <w:pStyle w:val="BodyText"/>
        <w:spacing w:line="240" w:lineRule="auto" w:before="154"/>
        <w:ind w:right="90"/>
        <w:jc w:val="left"/>
      </w:pPr>
      <w:r>
        <w:rPr/>
        <w:t>刊登于</w:t>
      </w:r>
      <w:r>
        <w:rPr>
          <w:spacing w:val="-60"/>
        </w:rPr>
        <w:t> </w:t>
      </w:r>
      <w:r>
        <w:rPr/>
        <w:t>2010</w:t>
      </w:r>
      <w:r>
        <w:rPr>
          <w:spacing w:val="-60"/>
        </w:rPr>
        <w:t> </w:t>
      </w:r>
      <w:r>
        <w:rPr/>
        <w:t>年</w:t>
      </w:r>
      <w:r>
        <w:rPr>
          <w:spacing w:val="-60"/>
        </w:rPr>
        <w:t> </w:t>
      </w:r>
      <w:r>
        <w:rPr/>
        <w:t>1</w:t>
      </w:r>
      <w:r>
        <w:rPr>
          <w:spacing w:val="-60"/>
        </w:rPr>
        <w:t> </w:t>
      </w:r>
      <w:r>
        <w:rPr/>
        <w:t>月</w:t>
      </w:r>
      <w:r>
        <w:rPr>
          <w:spacing w:val="-60"/>
        </w:rPr>
        <w:t> </w:t>
      </w:r>
      <w:r>
        <w:rPr/>
        <w:t>23</w:t>
      </w:r>
      <w:r>
        <w:rPr>
          <w:spacing w:val="-60"/>
        </w:rPr>
        <w:t> </w:t>
      </w:r>
      <w:hyperlink r:id="rId9">
        <w:r>
          <w:rPr/>
          <w:t>日《中国证券报》及巨潮资讯网（www.cninfo.com.cn</w:t>
        </w:r>
      </w:hyperlink>
      <w:r>
        <w:rPr>
          <w:spacing w:val="-120"/>
        </w:rPr>
        <w:t>）</w:t>
      </w:r>
      <w:r>
        <w:rPr/>
        <w:t>。</w:t>
      </w:r>
    </w:p>
    <w:p>
      <w:pPr>
        <w:pStyle w:val="BodyText"/>
        <w:spacing w:line="240" w:lineRule="auto" w:before="154"/>
        <w:ind w:left="358" w:right="207"/>
        <w:jc w:val="center"/>
      </w:pPr>
      <w:r>
        <w:rPr/>
        <w:t>2、2010</w:t>
      </w:r>
      <w:r>
        <w:rPr>
          <w:spacing w:val="-66"/>
        </w:rPr>
        <w:t> </w:t>
      </w:r>
      <w:r>
        <w:rPr/>
        <w:t>年</w:t>
      </w:r>
      <w:r>
        <w:rPr>
          <w:spacing w:val="-66"/>
        </w:rPr>
        <w:t> </w:t>
      </w:r>
      <w:r>
        <w:rPr/>
        <w:t>4</w:t>
      </w:r>
      <w:r>
        <w:rPr>
          <w:spacing w:val="-66"/>
        </w:rPr>
        <w:t> </w:t>
      </w:r>
      <w:r>
        <w:rPr/>
        <w:t>月</w:t>
      </w:r>
      <w:r>
        <w:rPr>
          <w:spacing w:val="-66"/>
        </w:rPr>
        <w:t> </w:t>
      </w:r>
      <w:r>
        <w:rPr/>
        <w:t>12</w:t>
      </w:r>
      <w:r>
        <w:rPr>
          <w:spacing w:val="-66"/>
        </w:rPr>
        <w:t> </w:t>
      </w:r>
      <w:r>
        <w:rPr/>
        <w:t>日，召开了公司第三届董事会第二十二次会议，相关决议刊</w:t>
      </w:r>
    </w:p>
    <w:p>
      <w:pPr>
        <w:pStyle w:val="BodyText"/>
        <w:spacing w:line="240" w:lineRule="auto" w:before="154"/>
        <w:ind w:left="125" w:right="380"/>
        <w:jc w:val="left"/>
      </w:pPr>
      <w:r>
        <w:rPr/>
        <w:t>登于</w:t>
      </w:r>
      <w:r>
        <w:rPr>
          <w:spacing w:val="-60"/>
        </w:rPr>
        <w:t> </w:t>
      </w:r>
      <w:r>
        <w:rPr/>
        <w:t>2010</w:t>
      </w:r>
      <w:r>
        <w:rPr>
          <w:spacing w:val="-60"/>
        </w:rPr>
        <w:t> </w:t>
      </w:r>
      <w:r>
        <w:rPr/>
        <w:t>年</w:t>
      </w:r>
      <w:r>
        <w:rPr>
          <w:spacing w:val="-60"/>
        </w:rPr>
        <w:t> </w:t>
      </w:r>
      <w:r>
        <w:rPr/>
        <w:t>4</w:t>
      </w:r>
      <w:r>
        <w:rPr>
          <w:spacing w:val="-60"/>
        </w:rPr>
        <w:t> </w:t>
      </w:r>
      <w:r>
        <w:rPr/>
        <w:t>月</w:t>
      </w:r>
      <w:r>
        <w:rPr>
          <w:spacing w:val="-60"/>
        </w:rPr>
        <w:t> </w:t>
      </w:r>
      <w:r>
        <w:rPr/>
        <w:t>14</w:t>
      </w:r>
      <w:r>
        <w:rPr>
          <w:spacing w:val="-60"/>
        </w:rPr>
        <w:t> </w:t>
      </w:r>
      <w:r>
        <w:rPr/>
        <w:t>日《中国证券报》及巨潮资讯网。</w:t>
      </w:r>
    </w:p>
    <w:p>
      <w:pPr>
        <w:pStyle w:val="BodyText"/>
        <w:spacing w:line="240" w:lineRule="auto" w:before="154"/>
        <w:ind w:left="360" w:right="195"/>
        <w:jc w:val="center"/>
      </w:pPr>
      <w:r>
        <w:rPr/>
        <w:t>3、2010</w:t>
      </w:r>
      <w:r>
        <w:rPr>
          <w:spacing w:val="-68"/>
        </w:rPr>
        <w:t> </w:t>
      </w:r>
      <w:r>
        <w:rPr/>
        <w:t>年</w:t>
      </w:r>
      <w:r>
        <w:rPr>
          <w:spacing w:val="-68"/>
        </w:rPr>
        <w:t> </w:t>
      </w:r>
      <w:r>
        <w:rPr/>
        <w:t>4</w:t>
      </w:r>
      <w:r>
        <w:rPr>
          <w:spacing w:val="-68"/>
        </w:rPr>
        <w:t> </w:t>
      </w:r>
      <w:r>
        <w:rPr/>
        <w:t>月</w:t>
      </w:r>
      <w:r>
        <w:rPr>
          <w:spacing w:val="-68"/>
        </w:rPr>
        <w:t> </w:t>
      </w:r>
      <w:r>
        <w:rPr/>
        <w:t>27</w:t>
      </w:r>
      <w:r>
        <w:rPr>
          <w:spacing w:val="-68"/>
        </w:rPr>
        <w:t> </w:t>
      </w:r>
      <w:r>
        <w:rPr/>
        <w:t>日，召开了公司第三届董事会第二十三次会议，审议了公司</w:t>
      </w:r>
    </w:p>
    <w:p>
      <w:pPr>
        <w:spacing w:after="0" w:line="240" w:lineRule="auto"/>
        <w:jc w:val="center"/>
        <w:sectPr>
          <w:pgSz w:w="11900" w:h="16840"/>
          <w:pgMar w:header="874" w:footer="983" w:top="1100" w:bottom="1180" w:left="1660" w:right="1440"/>
        </w:sectPr>
      </w:pPr>
    </w:p>
    <w:p>
      <w:pPr>
        <w:spacing w:line="240" w:lineRule="auto" w:before="7"/>
        <w:rPr>
          <w:rFonts w:ascii="宋体" w:hAnsi="宋体" w:cs="宋体" w:eastAsia="宋体" w:hint="default"/>
          <w:sz w:val="25"/>
          <w:szCs w:val="25"/>
        </w:rPr>
      </w:pPr>
    </w:p>
    <w:p>
      <w:pPr>
        <w:pStyle w:val="BodyText"/>
        <w:spacing w:line="357" w:lineRule="auto" w:before="26"/>
        <w:ind w:right="206"/>
        <w:jc w:val="both"/>
      </w:pPr>
      <w:r>
        <w:rPr/>
        <w:t>2010</w:t>
      </w:r>
      <w:r>
        <w:rPr>
          <w:spacing w:val="-62"/>
        </w:rPr>
        <w:t> </w:t>
      </w:r>
      <w:r>
        <w:rPr/>
        <w:t>年第一季度季度报告。报告正文及全文刊登于</w:t>
      </w:r>
      <w:r>
        <w:rPr>
          <w:spacing w:val="-62"/>
        </w:rPr>
        <w:t> </w:t>
      </w:r>
      <w:r>
        <w:rPr/>
        <w:t>2010</w:t>
      </w:r>
      <w:r>
        <w:rPr>
          <w:spacing w:val="-62"/>
        </w:rPr>
        <w:t> </w:t>
      </w:r>
      <w:r>
        <w:rPr/>
        <w:t>年</w:t>
      </w:r>
      <w:r>
        <w:rPr>
          <w:spacing w:val="-62"/>
        </w:rPr>
        <w:t> </w:t>
      </w:r>
      <w:r>
        <w:rPr/>
        <w:t>4</w:t>
      </w:r>
      <w:r>
        <w:rPr>
          <w:spacing w:val="-62"/>
        </w:rPr>
        <w:t> </w:t>
      </w:r>
      <w:r>
        <w:rPr/>
        <w:t>月</w:t>
      </w:r>
      <w:r>
        <w:rPr>
          <w:spacing w:val="-62"/>
        </w:rPr>
        <w:t> </w:t>
      </w:r>
      <w:r>
        <w:rPr/>
        <w:t>28</w:t>
      </w:r>
      <w:r>
        <w:rPr>
          <w:spacing w:val="-62"/>
        </w:rPr>
        <w:t> </w:t>
      </w:r>
      <w:r>
        <w:rPr>
          <w:spacing w:val="-3"/>
        </w:rPr>
        <w:t>日《中国证券</w:t>
      </w:r>
      <w:r>
        <w:rPr/>
        <w:t> 报》及巨潮资讯网。</w:t>
      </w:r>
    </w:p>
    <w:p>
      <w:pPr>
        <w:pStyle w:val="BodyText"/>
        <w:spacing w:line="240" w:lineRule="auto"/>
        <w:ind w:left="391" w:right="100"/>
        <w:jc w:val="left"/>
      </w:pPr>
      <w:r>
        <w:rPr/>
        <w:t>4、2010</w:t>
      </w:r>
      <w:r>
        <w:rPr>
          <w:spacing w:val="-68"/>
        </w:rPr>
        <w:t> </w:t>
      </w:r>
      <w:r>
        <w:rPr/>
        <w:t>年</w:t>
      </w:r>
      <w:r>
        <w:rPr>
          <w:spacing w:val="-68"/>
        </w:rPr>
        <w:t> </w:t>
      </w:r>
      <w:r>
        <w:rPr/>
        <w:t>5</w:t>
      </w:r>
      <w:r>
        <w:rPr>
          <w:spacing w:val="-68"/>
        </w:rPr>
        <w:t> </w:t>
      </w:r>
      <w:r>
        <w:rPr/>
        <w:t>月</w:t>
      </w:r>
      <w:r>
        <w:rPr>
          <w:spacing w:val="-68"/>
        </w:rPr>
        <w:t> </w:t>
      </w:r>
      <w:r>
        <w:rPr/>
        <w:t>12</w:t>
      </w:r>
      <w:r>
        <w:rPr>
          <w:spacing w:val="-68"/>
        </w:rPr>
        <w:t> </w:t>
      </w:r>
      <w:r>
        <w:rPr/>
        <w:t>日，召开了公司第四届董事会第一次会议，相关决议刊登于</w:t>
      </w:r>
    </w:p>
    <w:p>
      <w:pPr>
        <w:pStyle w:val="BodyText"/>
        <w:spacing w:line="240" w:lineRule="auto" w:before="154"/>
        <w:ind w:right="100"/>
        <w:jc w:val="left"/>
      </w:pPr>
      <w:r>
        <w:rPr/>
        <w:t>2010</w:t>
      </w:r>
      <w:r>
        <w:rPr>
          <w:spacing w:val="-60"/>
        </w:rPr>
        <w:t> </w:t>
      </w:r>
      <w:r>
        <w:rPr/>
        <w:t>年</w:t>
      </w:r>
      <w:r>
        <w:rPr>
          <w:spacing w:val="-60"/>
        </w:rPr>
        <w:t> </w:t>
      </w:r>
      <w:r>
        <w:rPr/>
        <w:t>5</w:t>
      </w:r>
      <w:r>
        <w:rPr>
          <w:spacing w:val="-60"/>
        </w:rPr>
        <w:t> </w:t>
      </w:r>
      <w:r>
        <w:rPr/>
        <w:t>月</w:t>
      </w:r>
      <w:r>
        <w:rPr>
          <w:spacing w:val="-60"/>
        </w:rPr>
        <w:t> </w:t>
      </w:r>
      <w:r>
        <w:rPr/>
        <w:t>14</w:t>
      </w:r>
      <w:r>
        <w:rPr>
          <w:spacing w:val="-60"/>
        </w:rPr>
        <w:t> </w:t>
      </w:r>
      <w:r>
        <w:rPr/>
        <w:t>日《中国证券报》及巨潮资讯网。</w:t>
      </w:r>
    </w:p>
    <w:p>
      <w:pPr>
        <w:pStyle w:val="BodyText"/>
        <w:spacing w:line="240" w:lineRule="auto" w:before="154"/>
        <w:ind w:left="391" w:right="100"/>
        <w:jc w:val="left"/>
      </w:pPr>
      <w:r>
        <w:rPr/>
        <w:t>5、2010</w:t>
      </w:r>
      <w:r>
        <w:rPr>
          <w:spacing w:val="-68"/>
        </w:rPr>
        <w:t> </w:t>
      </w:r>
      <w:r>
        <w:rPr/>
        <w:t>年</w:t>
      </w:r>
      <w:r>
        <w:rPr>
          <w:spacing w:val="-68"/>
        </w:rPr>
        <w:t> </w:t>
      </w:r>
      <w:r>
        <w:rPr/>
        <w:t>6</w:t>
      </w:r>
      <w:r>
        <w:rPr>
          <w:spacing w:val="-68"/>
        </w:rPr>
        <w:t> </w:t>
      </w:r>
      <w:r>
        <w:rPr/>
        <w:t>月</w:t>
      </w:r>
      <w:r>
        <w:rPr>
          <w:spacing w:val="-68"/>
        </w:rPr>
        <w:t> </w:t>
      </w:r>
      <w:r>
        <w:rPr/>
        <w:t>18</w:t>
      </w:r>
      <w:r>
        <w:rPr>
          <w:spacing w:val="-68"/>
        </w:rPr>
        <w:t> </w:t>
      </w:r>
      <w:r>
        <w:rPr/>
        <w:t>日，召开了公司第四届董事会第二次会议，相关决议刊登于</w:t>
      </w:r>
    </w:p>
    <w:p>
      <w:pPr>
        <w:pStyle w:val="BodyText"/>
        <w:spacing w:line="240" w:lineRule="auto" w:before="154"/>
        <w:ind w:right="100"/>
        <w:jc w:val="left"/>
      </w:pPr>
      <w:r>
        <w:rPr/>
        <w:t>2010</w:t>
      </w:r>
      <w:r>
        <w:rPr>
          <w:spacing w:val="-60"/>
        </w:rPr>
        <w:t> </w:t>
      </w:r>
      <w:r>
        <w:rPr/>
        <w:t>年</w:t>
      </w:r>
      <w:r>
        <w:rPr>
          <w:spacing w:val="-60"/>
        </w:rPr>
        <w:t> </w:t>
      </w:r>
      <w:r>
        <w:rPr/>
        <w:t>6</w:t>
      </w:r>
      <w:r>
        <w:rPr>
          <w:spacing w:val="-60"/>
        </w:rPr>
        <w:t> </w:t>
      </w:r>
      <w:r>
        <w:rPr/>
        <w:t>月</w:t>
      </w:r>
      <w:r>
        <w:rPr>
          <w:spacing w:val="-60"/>
        </w:rPr>
        <w:t> </w:t>
      </w:r>
      <w:r>
        <w:rPr/>
        <w:t>21</w:t>
      </w:r>
      <w:r>
        <w:rPr>
          <w:spacing w:val="-60"/>
        </w:rPr>
        <w:t> </w:t>
      </w:r>
      <w:r>
        <w:rPr/>
        <w:t>日《中国证券报》及巨潮资讯网。</w:t>
      </w:r>
    </w:p>
    <w:p>
      <w:pPr>
        <w:pStyle w:val="BodyText"/>
        <w:spacing w:line="240" w:lineRule="auto" w:before="154"/>
        <w:ind w:left="391" w:right="100"/>
        <w:jc w:val="left"/>
      </w:pPr>
      <w:r>
        <w:rPr>
          <w:spacing w:val="-6"/>
        </w:rPr>
        <w:t>6、2010</w:t>
      </w:r>
      <w:r>
        <w:rPr>
          <w:spacing w:val="-59"/>
        </w:rPr>
        <w:t> </w:t>
      </w:r>
      <w:r>
        <w:rPr/>
        <w:t>年</w:t>
      </w:r>
      <w:r>
        <w:rPr>
          <w:spacing w:val="-59"/>
        </w:rPr>
        <w:t> </w:t>
      </w:r>
      <w:r>
        <w:rPr/>
        <w:t>8</w:t>
      </w:r>
      <w:r>
        <w:rPr>
          <w:spacing w:val="-59"/>
        </w:rPr>
        <w:t> </w:t>
      </w:r>
      <w:r>
        <w:rPr/>
        <w:t>月</w:t>
      </w:r>
      <w:r>
        <w:rPr>
          <w:spacing w:val="-59"/>
        </w:rPr>
        <w:t> </w:t>
      </w:r>
      <w:r>
        <w:rPr/>
        <w:t>18</w:t>
      </w:r>
      <w:r>
        <w:rPr>
          <w:spacing w:val="-59"/>
        </w:rPr>
        <w:t> </w:t>
      </w:r>
      <w:r>
        <w:rPr>
          <w:spacing w:val="-3"/>
        </w:rPr>
        <w:t>日，召开了公司第四届董事会第三次会议，审议了公司</w:t>
      </w:r>
      <w:r>
        <w:rPr>
          <w:spacing w:val="-59"/>
        </w:rPr>
        <w:t> </w:t>
      </w:r>
      <w:r>
        <w:rPr/>
        <w:t>2010</w:t>
      </w:r>
    </w:p>
    <w:p>
      <w:pPr>
        <w:pStyle w:val="BodyText"/>
        <w:spacing w:line="357" w:lineRule="auto" w:before="154"/>
        <w:ind w:right="204"/>
        <w:jc w:val="both"/>
      </w:pPr>
      <w:r>
        <w:rPr/>
        <w:t>年半年度报告，半年度报告摘要及全文刊登于</w:t>
      </w:r>
      <w:r>
        <w:rPr>
          <w:spacing w:val="-56"/>
        </w:rPr>
        <w:t> </w:t>
      </w:r>
      <w:r>
        <w:rPr/>
        <w:t>2010</w:t>
      </w:r>
      <w:r>
        <w:rPr>
          <w:spacing w:val="-56"/>
        </w:rPr>
        <w:t> </w:t>
      </w:r>
      <w:r>
        <w:rPr/>
        <w:t>年</w:t>
      </w:r>
      <w:r>
        <w:rPr>
          <w:spacing w:val="-56"/>
        </w:rPr>
        <w:t> </w:t>
      </w:r>
      <w:r>
        <w:rPr/>
        <w:t>8</w:t>
      </w:r>
      <w:r>
        <w:rPr>
          <w:spacing w:val="-53"/>
        </w:rPr>
        <w:t> </w:t>
      </w:r>
      <w:r>
        <w:rPr/>
        <w:t>月</w:t>
      </w:r>
      <w:r>
        <w:rPr>
          <w:spacing w:val="-56"/>
        </w:rPr>
        <w:t> </w:t>
      </w:r>
      <w:r>
        <w:rPr/>
        <w:t>20</w:t>
      </w:r>
      <w:r>
        <w:rPr>
          <w:spacing w:val="-56"/>
        </w:rPr>
        <w:t> </w:t>
      </w:r>
      <w:r>
        <w:rPr/>
        <w:t>日《中国证券报》</w:t>
      </w:r>
      <w:r>
        <w:rPr/>
        <w:t> 及巨潮资讯网。</w:t>
      </w:r>
    </w:p>
    <w:p>
      <w:pPr>
        <w:pStyle w:val="BodyText"/>
        <w:spacing w:line="240" w:lineRule="auto"/>
        <w:ind w:left="391" w:right="100"/>
        <w:jc w:val="left"/>
      </w:pPr>
      <w:r>
        <w:rPr>
          <w:spacing w:val="-12"/>
        </w:rPr>
        <w:t>7、2010</w:t>
      </w:r>
      <w:r>
        <w:rPr>
          <w:spacing w:val="-57"/>
        </w:rPr>
        <w:t> </w:t>
      </w:r>
      <w:r>
        <w:rPr/>
        <w:t>年</w:t>
      </w:r>
      <w:r>
        <w:rPr>
          <w:spacing w:val="-57"/>
        </w:rPr>
        <w:t> </w:t>
      </w:r>
      <w:r>
        <w:rPr/>
        <w:t>10</w:t>
      </w:r>
      <w:r>
        <w:rPr>
          <w:spacing w:val="-57"/>
        </w:rPr>
        <w:t> </w:t>
      </w:r>
      <w:r>
        <w:rPr/>
        <w:t>月</w:t>
      </w:r>
      <w:r>
        <w:rPr>
          <w:spacing w:val="-57"/>
        </w:rPr>
        <w:t> </w:t>
      </w:r>
      <w:r>
        <w:rPr/>
        <w:t>25</w:t>
      </w:r>
      <w:r>
        <w:rPr>
          <w:spacing w:val="-57"/>
        </w:rPr>
        <w:t> </w:t>
      </w:r>
      <w:r>
        <w:rPr>
          <w:spacing w:val="-7"/>
        </w:rPr>
        <w:t>日，召开了公司第四届董事会第四次会议，审议了公司</w:t>
      </w:r>
      <w:r>
        <w:rPr>
          <w:spacing w:val="-57"/>
        </w:rPr>
        <w:t> </w:t>
      </w:r>
      <w:r>
        <w:rPr/>
        <w:t>2010</w:t>
      </w:r>
    </w:p>
    <w:p>
      <w:pPr>
        <w:pStyle w:val="BodyText"/>
        <w:spacing w:line="357" w:lineRule="auto" w:before="154"/>
        <w:ind w:right="100"/>
        <w:jc w:val="left"/>
      </w:pPr>
      <w:r>
        <w:rPr/>
        <w:t>年第三季度季度报告，报告正文及全文刊登于</w:t>
      </w:r>
      <w:r>
        <w:rPr>
          <w:spacing w:val="-60"/>
        </w:rPr>
        <w:t> </w:t>
      </w:r>
      <w:r>
        <w:rPr/>
        <w:t>2010</w:t>
      </w:r>
      <w:r>
        <w:rPr>
          <w:spacing w:val="-60"/>
        </w:rPr>
        <w:t> </w:t>
      </w:r>
      <w:r>
        <w:rPr/>
        <w:t>年</w:t>
      </w:r>
      <w:r>
        <w:rPr>
          <w:spacing w:val="-60"/>
        </w:rPr>
        <w:t> </w:t>
      </w:r>
      <w:r>
        <w:rPr/>
        <w:t>10</w:t>
      </w:r>
      <w:r>
        <w:rPr>
          <w:spacing w:val="-60"/>
        </w:rPr>
        <w:t> </w:t>
      </w:r>
      <w:r>
        <w:rPr/>
        <w:t>月</w:t>
      </w:r>
      <w:r>
        <w:rPr>
          <w:spacing w:val="-60"/>
        </w:rPr>
        <w:t> </w:t>
      </w:r>
      <w:r>
        <w:rPr/>
        <w:t>26</w:t>
      </w:r>
      <w:r>
        <w:rPr>
          <w:spacing w:val="-60"/>
        </w:rPr>
        <w:t> </w:t>
      </w:r>
      <w:r>
        <w:rPr/>
        <w:t>日《中国证券报》</w:t>
      </w:r>
      <w:r>
        <w:rPr/>
        <w:t> 及巨潮资讯网。</w:t>
      </w:r>
    </w:p>
    <w:p>
      <w:pPr>
        <w:pStyle w:val="BodyText"/>
        <w:spacing w:line="357" w:lineRule="auto"/>
        <w:ind w:left="620" w:right="100" w:hanging="480"/>
        <w:jc w:val="left"/>
      </w:pPr>
      <w:r>
        <w:rPr/>
        <w:t>（二）董事会对股东大会决议的执行情况 </w:t>
      </w:r>
      <w:r>
        <w:rPr>
          <w:spacing w:val="-8"/>
        </w:rPr>
        <w:t>报告期内，公司董事会根据《公司法》、《证券法》等有关法律法规和《公司</w:t>
      </w:r>
    </w:p>
    <w:p>
      <w:pPr>
        <w:pStyle w:val="BodyText"/>
        <w:spacing w:line="357" w:lineRule="auto"/>
        <w:ind w:right="220"/>
        <w:jc w:val="left"/>
      </w:pPr>
      <w:r>
        <w:rPr/>
        <w:t>章程》要求，严格按照股东大会的决议和授权，认真执行股东大会通过的各项决 议。</w:t>
      </w:r>
    </w:p>
    <w:p>
      <w:pPr>
        <w:pStyle w:val="BodyText"/>
        <w:spacing w:line="357" w:lineRule="auto"/>
        <w:ind w:left="495" w:right="225" w:hanging="356"/>
        <w:jc w:val="left"/>
      </w:pPr>
      <w:r>
        <w:rPr/>
        <w:t>1、2009</w:t>
      </w:r>
      <w:r>
        <w:rPr>
          <w:spacing w:val="-60"/>
        </w:rPr>
        <w:t> </w:t>
      </w:r>
      <w:r>
        <w:rPr/>
        <w:t>年度利润分配方案执行情况</w:t>
      </w:r>
      <w:r>
        <w:rPr/>
        <w:t> 根据公司2010年5月12日召开的2009年度股东大会审议通过的《公司2009年度</w:t>
      </w:r>
    </w:p>
    <w:p>
      <w:pPr>
        <w:pStyle w:val="BodyText"/>
        <w:spacing w:line="357" w:lineRule="auto"/>
        <w:ind w:right="204"/>
        <w:jc w:val="both"/>
      </w:pPr>
      <w:r>
        <w:rPr>
          <w:spacing w:val="-6"/>
        </w:rPr>
        <w:t>利润分配预案》，董事会在报告期内组织实施了2009年度利润分配工作，并于2010</w:t>
      </w:r>
      <w:r>
        <w:rPr>
          <w:spacing w:val="-88"/>
        </w:rPr>
        <w:t> </w:t>
      </w:r>
      <w:r>
        <w:rPr>
          <w:spacing w:val="-88"/>
        </w:rPr>
      </w:r>
      <w:r>
        <w:rPr/>
        <w:t>年5月底前全部完成。</w:t>
      </w:r>
    </w:p>
    <w:p>
      <w:pPr>
        <w:pStyle w:val="BodyText"/>
        <w:spacing w:line="357" w:lineRule="auto"/>
        <w:ind w:left="586" w:right="100" w:hanging="447"/>
        <w:jc w:val="left"/>
      </w:pPr>
      <w:r>
        <w:rPr/>
        <w:t>2、其他决议执行情况 </w:t>
      </w:r>
      <w:r>
        <w:rPr>
          <w:spacing w:val="-2"/>
        </w:rPr>
        <w:t>根据2010年5月12日召开的2009年度股东大会审议通过的《关于续聘会计师事</w:t>
      </w:r>
    </w:p>
    <w:p>
      <w:pPr>
        <w:pStyle w:val="BodyText"/>
        <w:spacing w:line="357" w:lineRule="auto"/>
        <w:ind w:right="204"/>
        <w:jc w:val="both"/>
      </w:pPr>
      <w:r>
        <w:rPr>
          <w:spacing w:val="-3"/>
        </w:rPr>
        <w:t>务所的议案》,公司续聘了上海众华沪银会计师事务所为2010年度审计机构，并完</w:t>
      </w:r>
      <w:r>
        <w:rPr>
          <w:spacing w:val="-94"/>
        </w:rPr>
        <w:t> </w:t>
      </w:r>
      <w:r>
        <w:rPr>
          <w:spacing w:val="-94"/>
        </w:rPr>
      </w:r>
      <w:r>
        <w:rPr/>
        <w:t>成了相应的审计工作。</w:t>
      </w:r>
    </w:p>
    <w:p>
      <w:pPr>
        <w:pStyle w:val="BodyText"/>
        <w:spacing w:line="357" w:lineRule="auto"/>
        <w:ind w:left="560" w:right="200" w:hanging="420"/>
        <w:jc w:val="left"/>
      </w:pPr>
      <w:r>
        <w:rPr/>
        <w:t>（三）董事会各委员会组成人员 </w:t>
      </w:r>
      <w:r>
        <w:rPr>
          <w:spacing w:val="-1"/>
        </w:rPr>
        <w:t>2010年5月12日，随着因公司第三届董事会专门委员会任期于2010年3月6日届</w:t>
      </w:r>
    </w:p>
    <w:p>
      <w:pPr>
        <w:pStyle w:val="BodyText"/>
        <w:spacing w:line="357" w:lineRule="auto"/>
        <w:ind w:right="204"/>
        <w:jc w:val="both"/>
      </w:pPr>
      <w:r>
        <w:rPr/>
        <w:t>满，公司召开第四届董事会第一次会议审议通过了《关于提名[战略委员会]成员 </w:t>
      </w:r>
      <w:r>
        <w:rPr>
          <w:spacing w:val="-3"/>
        </w:rPr>
        <w:t>的议案》，《关于提名[提名</w:t>
      </w:r>
      <w:r>
        <w:rPr>
          <w:rFonts w:ascii="MS UI Gothic" w:hAnsi="MS UI Gothic" w:cs="MS UI Gothic" w:eastAsia="MS UI Gothic" w:hint="default"/>
          <w:spacing w:val="-3"/>
        </w:rPr>
        <w:t>・</w:t>
      </w:r>
      <w:r>
        <w:rPr>
          <w:spacing w:val="-3"/>
        </w:rPr>
        <w:t>薪酬与考核委员会]成员的议案》和《关于提名[审</w:t>
      </w:r>
      <w:r>
        <w:rPr>
          <w:spacing w:val="21"/>
        </w:rPr>
        <w:t> </w:t>
      </w:r>
      <w:r>
        <w:rPr>
          <w:spacing w:val="21"/>
        </w:rPr>
      </w:r>
      <w:r>
        <w:rPr/>
        <w:t>计委员会]成员的议案》其内容如下：</w:t>
      </w:r>
    </w:p>
    <w:p>
      <w:pPr>
        <w:spacing w:after="0" w:line="357" w:lineRule="auto"/>
        <w:jc w:val="both"/>
        <w:sectPr>
          <w:pgSz w:w="11900" w:h="16840"/>
          <w:pgMar w:header="874" w:footer="983" w:top="1100" w:bottom="1180" w:left="1660" w:right="1460"/>
        </w:sectPr>
      </w:pPr>
    </w:p>
    <w:p>
      <w:pPr>
        <w:spacing w:line="240" w:lineRule="auto" w:before="7"/>
        <w:rPr>
          <w:rFonts w:ascii="宋体" w:hAnsi="宋体" w:cs="宋体" w:eastAsia="宋体" w:hint="default"/>
          <w:sz w:val="25"/>
          <w:szCs w:val="25"/>
        </w:rPr>
      </w:pPr>
    </w:p>
    <w:p>
      <w:pPr>
        <w:pStyle w:val="BodyText"/>
        <w:spacing w:line="357" w:lineRule="auto" w:before="26"/>
        <w:ind w:right="259" w:firstLine="420"/>
        <w:jc w:val="both"/>
      </w:pPr>
      <w:r>
        <w:rPr/>
        <w:t>第四届董事会战略委员会由董事长包叔平先生、副董事长唐长钧先生、独立 董事何积丰先生组成，其中董事长包叔平先生担任第四届董事会战略委员会主任 委员；</w:t>
      </w:r>
    </w:p>
    <w:p>
      <w:pPr>
        <w:pStyle w:val="BodyText"/>
        <w:spacing w:line="357" w:lineRule="auto"/>
        <w:ind w:right="259" w:firstLine="420"/>
        <w:jc w:val="both"/>
      </w:pPr>
      <w:r>
        <w:rPr/>
        <w:t>第四届董事会提名</w:t>
      </w:r>
      <w:r>
        <w:rPr>
          <w:rFonts w:ascii="MS UI Gothic" w:hAnsi="MS UI Gothic" w:cs="MS UI Gothic" w:eastAsia="MS UI Gothic" w:hint="default"/>
        </w:rPr>
        <w:t>・</w:t>
      </w:r>
      <w:r>
        <w:rPr/>
        <w:t>薪酬与考核委员会由董事长包叔平先生、独立董事高美 萍女士、独立董事陈乐波先生组成，其中董事长包叔平先生担任第四届董事会提 </w:t>
      </w:r>
      <w:r>
        <w:rPr>
          <w:w w:val="105"/>
        </w:rPr>
        <w:t>名</w:t>
      </w:r>
      <w:r>
        <w:rPr>
          <w:rFonts w:ascii="MS UI Gothic" w:hAnsi="MS UI Gothic" w:cs="MS UI Gothic" w:eastAsia="MS UI Gothic" w:hint="default"/>
          <w:w w:val="105"/>
        </w:rPr>
        <w:t>・</w:t>
      </w:r>
      <w:r>
        <w:rPr>
          <w:w w:val="105"/>
        </w:rPr>
        <w:t>薪酬与考核委员主任委员；</w:t>
      </w:r>
    </w:p>
    <w:p>
      <w:pPr>
        <w:pStyle w:val="BodyText"/>
        <w:spacing w:line="357" w:lineRule="auto"/>
        <w:ind w:right="259" w:firstLine="420"/>
        <w:jc w:val="both"/>
      </w:pPr>
      <w:r>
        <w:rPr/>
        <w:t>第四届董事会审计委员会由独立董事高美萍女士、副董事长唐长钧先生、独 立董事陈乐波先生组成，其中独立董事高美萍女士担任第四届董事会审计委员会 主任委员；</w:t>
      </w:r>
    </w:p>
    <w:p>
      <w:pPr>
        <w:pStyle w:val="BodyText"/>
        <w:spacing w:line="357" w:lineRule="auto"/>
        <w:ind w:left="620" w:right="216" w:hanging="480"/>
        <w:jc w:val="left"/>
      </w:pPr>
      <w:r>
        <w:rPr/>
        <w:t>（四）战略委员会履职情况 </w:t>
      </w:r>
      <w:r>
        <w:rPr>
          <w:spacing w:val="-6"/>
        </w:rPr>
        <w:t>报告期内，战略委员会召开了数次讨论会，研究公司的中长期发展计划。2010</w:t>
      </w:r>
    </w:p>
    <w:p>
      <w:pPr>
        <w:pStyle w:val="BodyText"/>
        <w:spacing w:line="357" w:lineRule="auto"/>
        <w:ind w:right="224"/>
        <w:jc w:val="both"/>
      </w:pPr>
      <w:r>
        <w:rPr/>
        <w:t>年度公司全面走出由于全球金融危机所带来的不利影响，主营业务顺利发展。在</w:t>
      </w:r>
      <w:r>
        <w:rPr>
          <w:spacing w:val="-95"/>
        </w:rPr>
        <w:t> </w:t>
      </w:r>
      <w:r>
        <w:rPr>
          <w:spacing w:val="-95"/>
        </w:rPr>
      </w:r>
      <w:r>
        <w:rPr/>
        <w:t>此基础上，继续深入开拓欧美软件外包业务，同时在国内发展如手机内容服务等</w:t>
      </w:r>
      <w:r>
        <w:rPr>
          <w:spacing w:val="-95"/>
        </w:rPr>
        <w:t> </w:t>
      </w:r>
      <w:r>
        <w:rPr>
          <w:spacing w:val="-95"/>
        </w:rPr>
      </w:r>
      <w:r>
        <w:rPr>
          <w:spacing w:val="-4"/>
        </w:rPr>
        <w:t>等不同形式的业务，使整个海隆集团大力扩展业务领域，走上了向 </w:t>
      </w:r>
      <w:r>
        <w:rPr/>
        <w:t>IT</w:t>
      </w:r>
      <w:r>
        <w:rPr>
          <w:spacing w:val="-89"/>
        </w:rPr>
        <w:t> </w:t>
      </w:r>
      <w:r>
        <w:rPr/>
        <w:t>综合服务方</w:t>
      </w:r>
      <w:r>
        <w:rPr/>
        <w:t> 向发展的道路。</w:t>
      </w:r>
    </w:p>
    <w:p>
      <w:pPr>
        <w:pStyle w:val="BodyText"/>
        <w:spacing w:line="357" w:lineRule="auto"/>
        <w:ind w:left="620" w:right="269" w:hanging="480"/>
        <w:jc w:val="left"/>
      </w:pPr>
      <w:r>
        <w:rPr/>
        <w:t>（五）提名</w:t>
      </w:r>
      <w:r>
        <w:rPr>
          <w:rFonts w:ascii="MS UI Gothic" w:hAnsi="MS UI Gothic" w:cs="MS UI Gothic" w:eastAsia="MS UI Gothic" w:hint="default"/>
          <w:w w:val="200"/>
          <w:sz w:val="21"/>
          <w:szCs w:val="21"/>
        </w:rPr>
        <w:t>・</w:t>
      </w:r>
      <w:r>
        <w:rPr/>
        <w:t>薪酬与考核委员会履职情况 第三届提名</w:t>
      </w:r>
      <w:r>
        <w:rPr>
          <w:rFonts w:ascii="MS UI Gothic" w:hAnsi="MS UI Gothic" w:cs="MS UI Gothic" w:eastAsia="MS UI Gothic" w:hint="default"/>
          <w:w w:val="200"/>
          <w:sz w:val="21"/>
          <w:szCs w:val="21"/>
        </w:rPr>
        <w:t>・</w:t>
      </w:r>
      <w:r>
        <w:rPr/>
        <w:t>薪酬与考核委员会配合公司发展的需要，向公司董事会提出了</w:t>
      </w:r>
    </w:p>
    <w:p>
      <w:pPr>
        <w:pStyle w:val="BodyText"/>
        <w:spacing w:line="357" w:lineRule="auto"/>
        <w:ind w:right="259"/>
        <w:jc w:val="both"/>
      </w:pPr>
      <w:r>
        <w:rPr/>
        <w:t>新一届董事会会候选人的名单。第四届提名</w:t>
      </w:r>
      <w:r>
        <w:rPr>
          <w:rFonts w:ascii="MS UI Gothic" w:hAnsi="MS UI Gothic" w:cs="MS UI Gothic" w:eastAsia="MS UI Gothic" w:hint="default"/>
          <w:w w:val="200"/>
          <w:sz w:val="21"/>
          <w:szCs w:val="21"/>
        </w:rPr>
        <w:t>・</w:t>
      </w:r>
      <w:r>
        <w:rPr/>
        <w:t>薪酬与考核委员会向新一届董事会 提案任命了公司的总经理以及其他公司高级管理人员，并对公司董事、监事、高 管2010年度薪酬进行了审核，经过综合考评，根据本年度业绩情况确定了公司高 管人员的薪酬。</w:t>
      </w:r>
    </w:p>
    <w:p>
      <w:pPr>
        <w:pStyle w:val="BodyText"/>
        <w:spacing w:line="357" w:lineRule="auto"/>
        <w:ind w:left="620" w:right="102" w:hanging="480"/>
        <w:jc w:val="left"/>
      </w:pPr>
      <w:r>
        <w:rPr/>
        <w:t>（六）审计委员会的履职情况 </w:t>
      </w:r>
      <w:r>
        <w:rPr>
          <w:spacing w:val="-3"/>
        </w:rPr>
        <w:t>董事会审计委员会（以下简称审计委员会）严格按照《公司董事会议事规则》</w:t>
      </w:r>
    </w:p>
    <w:p>
      <w:pPr>
        <w:pStyle w:val="BodyText"/>
        <w:spacing w:line="357" w:lineRule="auto"/>
        <w:ind w:right="259"/>
        <w:jc w:val="both"/>
      </w:pPr>
      <w:r>
        <w:rPr/>
        <w:t>和《董事会审计委员会实施细则》等有关规定执行任务，勤勉履行工作职责，监 督公司内部审计制度及其实施情况，审核公司财务信息及其披露情况，对聘用会 计师事务所发表意见并督促会计师事务所按时、保质完成审计工作。2010年度其 具体的履职情况如下：</w:t>
      </w:r>
    </w:p>
    <w:p>
      <w:pPr>
        <w:pStyle w:val="BodyText"/>
        <w:spacing w:line="357" w:lineRule="auto"/>
        <w:ind w:left="620" w:right="222" w:hanging="480"/>
        <w:jc w:val="left"/>
      </w:pPr>
      <w:r>
        <w:rPr/>
        <w:t>1．对财务核算结果的审核意见 </w:t>
      </w:r>
      <w:r>
        <w:rPr>
          <w:spacing w:val="-3"/>
        </w:rPr>
        <w:t>按照中国证监会《公开发行证券的公司信息披露内容与格式准则第2号＜年度</w:t>
      </w:r>
    </w:p>
    <w:p>
      <w:pPr>
        <w:spacing w:after="0" w:line="357" w:lineRule="auto"/>
        <w:jc w:val="left"/>
        <w:sectPr>
          <w:pgSz w:w="11900" w:h="16840"/>
          <w:pgMar w:header="874" w:footer="983" w:top="1100" w:bottom="1180" w:left="1660" w:right="1440"/>
        </w:sectPr>
      </w:pPr>
    </w:p>
    <w:p>
      <w:pPr>
        <w:spacing w:line="240" w:lineRule="auto" w:before="7"/>
        <w:rPr>
          <w:rFonts w:ascii="宋体" w:hAnsi="宋体" w:cs="宋体" w:eastAsia="宋体" w:hint="default"/>
          <w:sz w:val="25"/>
          <w:szCs w:val="25"/>
        </w:rPr>
      </w:pPr>
    </w:p>
    <w:p>
      <w:pPr>
        <w:pStyle w:val="BodyText"/>
        <w:spacing w:line="357" w:lineRule="auto" w:before="26"/>
        <w:ind w:right="259"/>
        <w:jc w:val="both"/>
      </w:pPr>
      <w:r>
        <w:rPr/>
        <w:t>报告的内容与格式＞》等有关规定，审计委员会对公司编制的2010年度财务会计 报表进行了审阅，认为该报表符合国家颁布的《企业会计准则》的要求，真实完 整地反映了公司2010年12月31日的财务状况以及2010年度的经营成果和现金流量 情况，审计委员会全体委员无异议，同意公司提交上述报表给上海众华沪银会计 师事务所有限公司开展年度审计。</w:t>
      </w:r>
    </w:p>
    <w:p>
      <w:pPr>
        <w:pStyle w:val="BodyText"/>
        <w:spacing w:line="357" w:lineRule="auto"/>
        <w:ind w:left="620" w:right="240" w:hanging="480"/>
        <w:jc w:val="left"/>
      </w:pPr>
      <w:r>
        <w:rPr/>
        <w:t>2．对财务报告的审核情况 在本次年度审计前，审计委员会与公司财务负责人及会计师事务所制定了详</w:t>
      </w:r>
    </w:p>
    <w:p>
      <w:pPr>
        <w:pStyle w:val="BodyText"/>
        <w:spacing w:line="357" w:lineRule="auto"/>
        <w:ind w:right="240"/>
        <w:jc w:val="left"/>
      </w:pPr>
      <w:r>
        <w:rPr/>
        <w:t>细的年度审计计划，两次到审计现场与会计师事务所进行沟通和督促。2011年2 月28日会计师事务所向公司提交了初审意见，公司财务部根据独立董事与会计师 事务所见面会对2010年度会计报表的意见，对会计报表所涉及的资产项目、负债 和所有者权益项目、损益表项目做出相应的完善，审计委员会2011年3月8日再次 对审计结果进行仔细审核。上海众华沪银会计师事务所有限公司审计后出具了初 步审计意后，审计委员会对相关财务会计报表进行了审阅，认为在所有重大方面 真实、完整地反映了公司2010年12月31日的财务状况以及2010年度的经营成果和 现金流量情况，审计委员会全体委员无异议，同意提交董事会审议。 3．对公司财务决算报告等事项的审核</w:t>
      </w:r>
    </w:p>
    <w:p>
      <w:pPr>
        <w:pStyle w:val="BodyText"/>
        <w:spacing w:line="240" w:lineRule="auto"/>
        <w:ind w:left="620" w:right="0"/>
        <w:jc w:val="left"/>
      </w:pPr>
      <w:r>
        <w:rPr>
          <w:spacing w:val="-65"/>
        </w:rPr>
        <w:t>对</w:t>
      </w:r>
      <w:r>
        <w:rPr/>
        <w:t>《公司2010年度财务决算报告</w:t>
      </w:r>
      <w:r>
        <w:rPr>
          <w:spacing w:val="-65"/>
        </w:rPr>
        <w:t>》</w:t>
      </w:r>
      <w:r>
        <w:rPr>
          <w:spacing w:val="-130"/>
        </w:rPr>
        <w:t>、</w:t>
      </w:r>
      <w:r>
        <w:rPr/>
        <w:t>《公司201</w:t>
      </w:r>
      <w:r>
        <w:rPr>
          <w:spacing w:val="-3"/>
        </w:rPr>
        <w:t>0</w:t>
      </w:r>
      <w:r>
        <w:rPr/>
        <w:t>年度内部控制自我评价报告</w:t>
      </w:r>
      <w:r>
        <w:rPr>
          <w:spacing w:val="-65"/>
        </w:rPr>
        <w:t>》</w:t>
      </w:r>
      <w:r>
        <w:rPr/>
        <w:t>、</w:t>
      </w:r>
    </w:p>
    <w:p>
      <w:pPr>
        <w:pStyle w:val="BodyText"/>
        <w:spacing w:line="357" w:lineRule="auto" w:before="154"/>
        <w:ind w:right="240"/>
        <w:jc w:val="left"/>
      </w:pPr>
      <w:r>
        <w:rPr/>
        <w:t>《关于公司募集资金2010年度存放与使用情况的专项报告》进行认真审核并一致 认为：公司前次募集资金使用遵循了《招股说明书》的承诺，未发生变更，使用 效果良好；公司内控自我评价报告及2010年度财务决算报告真实地反映了公司的 内部控制情况及财务决算情况，同意提交公司董事会进行审议。 4．对会计师事务所工作总结及续聘会计师事务所意见</w:t>
      </w:r>
    </w:p>
    <w:p>
      <w:pPr>
        <w:pStyle w:val="BodyText"/>
        <w:spacing w:line="357" w:lineRule="auto"/>
        <w:ind w:right="240" w:firstLine="480"/>
        <w:jc w:val="left"/>
      </w:pPr>
      <w:r>
        <w:rPr/>
        <w:t>审计委员会对上海众华沪银会计师事务所有限公司2010年度公司的审计工作 情况进行了认真评价,认为该所在担任公司审计机构并进行各专项审计和财务报 表审计过程中，坚持以公允、客观的态度进行独立审计，很好地履行了双方签订 的《业务约定书》所规定的责任与义务，审计委员会一致同意继续聘请上海众华 沪银会计师事务所有限公司为公司2011年度审计机构，并同意将上述意见作为议 案提交公司董事会审议。</w:t>
      </w:r>
    </w:p>
    <w:p>
      <w:pPr>
        <w:pStyle w:val="BodyText"/>
        <w:spacing w:line="240" w:lineRule="auto"/>
        <w:ind w:right="380"/>
        <w:jc w:val="left"/>
      </w:pPr>
      <w:r>
        <w:rPr/>
        <w:t>5．审计委员会会议召开情况</w:t>
      </w:r>
    </w:p>
    <w:p>
      <w:pPr>
        <w:spacing w:after="0" w:line="240" w:lineRule="auto"/>
        <w:jc w:val="left"/>
        <w:sectPr>
          <w:pgSz w:w="11900" w:h="16840"/>
          <w:pgMar w:header="874" w:footer="983" w:top="1100" w:bottom="1180" w:left="1660" w:right="1440"/>
        </w:sectPr>
      </w:pPr>
    </w:p>
    <w:p>
      <w:pPr>
        <w:spacing w:line="240" w:lineRule="auto" w:before="7"/>
        <w:rPr>
          <w:rFonts w:ascii="宋体" w:hAnsi="宋体" w:cs="宋体" w:eastAsia="宋体" w:hint="default"/>
          <w:sz w:val="25"/>
          <w:szCs w:val="25"/>
        </w:rPr>
      </w:pPr>
    </w:p>
    <w:p>
      <w:pPr>
        <w:pStyle w:val="BodyText"/>
        <w:spacing w:line="240" w:lineRule="auto" w:before="26"/>
        <w:ind w:left="620" w:right="224"/>
        <w:jc w:val="left"/>
      </w:pPr>
      <w:r>
        <w:rPr/>
        <w:t>2010</w:t>
      </w:r>
      <w:r>
        <w:rPr>
          <w:spacing w:val="-90"/>
        </w:rPr>
        <w:t> </w:t>
      </w:r>
      <w:r>
        <w:rPr/>
        <w:t>年度内公司第三届审计委员会共召开了八次会议，主要审议通过了《公</w:t>
      </w:r>
    </w:p>
    <w:p>
      <w:pPr>
        <w:pStyle w:val="BodyText"/>
        <w:spacing w:line="240" w:lineRule="auto" w:before="154"/>
        <w:ind w:right="0"/>
        <w:jc w:val="both"/>
      </w:pPr>
      <w:r>
        <w:rPr/>
        <w:t>司</w:t>
      </w:r>
      <w:r>
        <w:rPr>
          <w:spacing w:val="-58"/>
        </w:rPr>
        <w:t> </w:t>
      </w:r>
      <w:r>
        <w:rPr/>
        <w:t>2009</w:t>
      </w:r>
      <w:r>
        <w:rPr>
          <w:spacing w:val="-58"/>
        </w:rPr>
        <w:t> </w:t>
      </w:r>
      <w:r>
        <w:rPr>
          <w:spacing w:val="-4"/>
        </w:rPr>
        <w:t>年度报告及摘要》、《公司</w:t>
      </w:r>
      <w:r>
        <w:rPr>
          <w:spacing w:val="-58"/>
        </w:rPr>
        <w:t> </w:t>
      </w:r>
      <w:r>
        <w:rPr/>
        <w:t>2009</w:t>
      </w:r>
      <w:r>
        <w:rPr>
          <w:spacing w:val="-58"/>
        </w:rPr>
        <w:t> </w:t>
      </w:r>
      <w:r>
        <w:rPr>
          <w:spacing w:val="-4"/>
        </w:rPr>
        <w:t>年度总经理工作报告》、《公司</w:t>
      </w:r>
      <w:r>
        <w:rPr>
          <w:spacing w:val="-58"/>
        </w:rPr>
        <w:t> </w:t>
      </w:r>
      <w:r>
        <w:rPr/>
        <w:t>2009</w:t>
      </w:r>
      <w:r>
        <w:rPr>
          <w:spacing w:val="-58"/>
        </w:rPr>
        <w:t> </w:t>
      </w:r>
      <w:r>
        <w:rPr/>
        <w:t>年</w:t>
      </w:r>
    </w:p>
    <w:p>
      <w:pPr>
        <w:pStyle w:val="BodyText"/>
        <w:spacing w:line="240" w:lineRule="auto" w:before="154"/>
        <w:ind w:right="0"/>
        <w:jc w:val="both"/>
      </w:pPr>
      <w:r>
        <w:rPr/>
        <w:t>度董事会工作报告》、《公司</w:t>
      </w:r>
      <w:r>
        <w:rPr>
          <w:spacing w:val="-52"/>
        </w:rPr>
        <w:t> </w:t>
      </w:r>
      <w:r>
        <w:rPr/>
        <w:t>2009</w:t>
      </w:r>
      <w:r>
        <w:rPr>
          <w:spacing w:val="-52"/>
        </w:rPr>
        <w:t> </w:t>
      </w:r>
      <w:r>
        <w:rPr/>
        <w:t>年度财务决算报告》、《公司</w:t>
      </w:r>
      <w:r>
        <w:rPr>
          <w:spacing w:val="-52"/>
        </w:rPr>
        <w:t> </w:t>
      </w:r>
      <w:r>
        <w:rPr/>
        <w:t>2009</w:t>
      </w:r>
      <w:r>
        <w:rPr>
          <w:spacing w:val="-52"/>
        </w:rPr>
        <w:t> </w:t>
      </w:r>
      <w:r>
        <w:rPr/>
        <w:t>年度利润</w:t>
      </w:r>
    </w:p>
    <w:p>
      <w:pPr>
        <w:pStyle w:val="BodyText"/>
        <w:spacing w:line="240" w:lineRule="auto" w:before="154"/>
        <w:ind w:right="0"/>
        <w:jc w:val="both"/>
      </w:pPr>
      <w:r>
        <w:rPr>
          <w:spacing w:val="-5"/>
        </w:rPr>
        <w:t>分配预案》、《公司</w:t>
      </w:r>
      <w:r>
        <w:rPr>
          <w:spacing w:val="-82"/>
        </w:rPr>
        <w:t> </w:t>
      </w:r>
      <w:r>
        <w:rPr/>
        <w:t>2010</w:t>
      </w:r>
      <w:r>
        <w:rPr>
          <w:spacing w:val="-82"/>
        </w:rPr>
        <w:t> </w:t>
      </w:r>
      <w:r>
        <w:rPr/>
        <w:t>年度日常关联交易的议案》、《关于续聘会计事务所的</w:t>
      </w:r>
    </w:p>
    <w:p>
      <w:pPr>
        <w:pStyle w:val="BodyText"/>
        <w:spacing w:line="357" w:lineRule="auto" w:before="154"/>
        <w:ind w:right="224"/>
        <w:jc w:val="left"/>
      </w:pPr>
      <w:r>
        <w:rPr/>
        <w:t>议案》、《关于公司募集资金 2009 年度存放与使用情况的专项报告》、《2009</w:t>
      </w:r>
      <w:r>
        <w:rPr>
          <w:spacing w:val="-93"/>
        </w:rPr>
        <w:t> </w:t>
      </w:r>
      <w:r>
        <w:rPr>
          <w:spacing w:val="-93"/>
        </w:rPr>
      </w:r>
      <w:r>
        <w:rPr>
          <w:spacing w:val="-4"/>
        </w:rPr>
        <w:t>年度公司内部控制自我评价报告》同时还审议了《2009</w:t>
      </w:r>
      <w:r>
        <w:rPr>
          <w:spacing w:val="-52"/>
        </w:rPr>
        <w:t> </w:t>
      </w:r>
      <w:r>
        <w:rPr>
          <w:spacing w:val="-4"/>
        </w:rPr>
        <w:t>年度内审工作总体报告》、</w:t>
      </w:r>
    </w:p>
    <w:p>
      <w:pPr>
        <w:pStyle w:val="BodyText"/>
        <w:spacing w:line="357" w:lineRule="auto"/>
        <w:ind w:right="363"/>
        <w:jc w:val="both"/>
      </w:pPr>
      <w:r>
        <w:rPr/>
        <w:t>《公司</w:t>
      </w:r>
      <w:r>
        <w:rPr>
          <w:spacing w:val="-52"/>
        </w:rPr>
        <w:t> </w:t>
      </w:r>
      <w:r>
        <w:rPr/>
        <w:t>2009</w:t>
      </w:r>
      <w:r>
        <w:rPr>
          <w:spacing w:val="-52"/>
        </w:rPr>
        <w:t> </w:t>
      </w:r>
      <w:r>
        <w:rPr/>
        <w:t>年第四季度内审部工作报告》、《公司</w:t>
      </w:r>
      <w:r>
        <w:rPr>
          <w:spacing w:val="-52"/>
        </w:rPr>
        <w:t> </w:t>
      </w:r>
      <w:r>
        <w:rPr/>
        <w:t>2010</w:t>
      </w:r>
      <w:r>
        <w:rPr>
          <w:spacing w:val="-52"/>
        </w:rPr>
        <w:t> </w:t>
      </w:r>
      <w:r>
        <w:rPr/>
        <w:t>年第一季度内审部工作</w:t>
      </w:r>
      <w:r>
        <w:rPr/>
        <w:t> </w:t>
      </w:r>
      <w:r>
        <w:rPr>
          <w:spacing w:val="-6"/>
        </w:rPr>
        <w:t>报告》等。公司第四届董事会审计委员会共召开了二次会议，主要审议通过了《公</w:t>
      </w:r>
      <w:r>
        <w:rPr>
          <w:spacing w:val="-112"/>
        </w:rPr>
        <w:t> </w:t>
      </w:r>
      <w:r>
        <w:rPr>
          <w:spacing w:val="-112"/>
        </w:rPr>
      </w:r>
      <w:r>
        <w:rPr/>
        <w:t>司</w:t>
      </w:r>
      <w:r>
        <w:rPr>
          <w:spacing w:val="-52"/>
        </w:rPr>
        <w:t> </w:t>
      </w:r>
      <w:r>
        <w:rPr/>
        <w:t>2010</w:t>
      </w:r>
      <w:r>
        <w:rPr>
          <w:spacing w:val="-52"/>
        </w:rPr>
        <w:t> </w:t>
      </w:r>
      <w:r>
        <w:rPr/>
        <w:t>年半年度业绩快报》、以及《公司</w:t>
      </w:r>
      <w:r>
        <w:rPr>
          <w:spacing w:val="-52"/>
        </w:rPr>
        <w:t> </w:t>
      </w:r>
      <w:r>
        <w:rPr/>
        <w:t>2010</w:t>
      </w:r>
      <w:r>
        <w:rPr>
          <w:spacing w:val="-52"/>
        </w:rPr>
        <w:t> </w:t>
      </w:r>
      <w:r>
        <w:rPr/>
        <w:t>年度第二季度内审部工作报告》</w:t>
      </w:r>
    </w:p>
    <w:p>
      <w:pPr>
        <w:pStyle w:val="BodyText"/>
        <w:spacing w:line="240" w:lineRule="auto"/>
        <w:ind w:right="0"/>
        <w:jc w:val="both"/>
      </w:pPr>
      <w:r>
        <w:rPr/>
        <w:t>和《公司</w:t>
      </w:r>
      <w:r>
        <w:rPr>
          <w:spacing w:val="-60"/>
        </w:rPr>
        <w:t> </w:t>
      </w:r>
      <w:r>
        <w:rPr/>
        <w:t>2010</w:t>
      </w:r>
      <w:r>
        <w:rPr>
          <w:spacing w:val="-60"/>
        </w:rPr>
        <w:t> </w:t>
      </w:r>
      <w:r>
        <w:rPr/>
        <w:t>年度第三季度内审部工作报告》。</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before="0"/>
        <w:ind w:right="0"/>
        <w:jc w:val="both"/>
        <w:rPr>
          <w:b w:val="0"/>
          <w:bCs w:val="0"/>
        </w:rPr>
      </w:pPr>
      <w:r>
        <w:rPr/>
        <w:t>六、利润分配预案</w:t>
      </w:r>
      <w:r>
        <w:rPr>
          <w:b w:val="0"/>
          <w:bCs w:val="0"/>
        </w:rPr>
      </w:r>
    </w:p>
    <w:p>
      <w:pPr>
        <w:pStyle w:val="BodyText"/>
        <w:spacing w:line="357" w:lineRule="auto" w:before="154"/>
        <w:ind w:left="560" w:right="348" w:hanging="420"/>
        <w:jc w:val="left"/>
      </w:pPr>
      <w:r>
        <w:rPr/>
        <w:t>（一）2010</w:t>
      </w:r>
      <w:r>
        <w:rPr>
          <w:spacing w:val="-60"/>
        </w:rPr>
        <w:t> </w:t>
      </w:r>
      <w:r>
        <w:rPr/>
        <w:t>年度利润分配预案</w:t>
      </w:r>
      <w:r>
        <w:rPr/>
        <w:t> </w:t>
      </w:r>
      <w:r>
        <w:rPr>
          <w:spacing w:val="-6"/>
        </w:rPr>
        <w:t>经上海众华沪银会计师事务所有限公司出具的沪众会字（2011）第</w:t>
      </w:r>
      <w:r>
        <w:rPr>
          <w:spacing w:val="-56"/>
        </w:rPr>
        <w:t> </w:t>
      </w:r>
      <w:r>
        <w:rPr/>
        <w:t>0030</w:t>
      </w:r>
      <w:r>
        <w:rPr>
          <w:spacing w:val="-56"/>
        </w:rPr>
        <w:t> </w:t>
      </w:r>
      <w:r>
        <w:rPr>
          <w:spacing w:val="-30"/>
        </w:rPr>
        <w:t>号《审</w:t>
      </w:r>
    </w:p>
    <w:p>
      <w:pPr>
        <w:pStyle w:val="BodyText"/>
        <w:spacing w:line="357" w:lineRule="auto"/>
        <w:ind w:left="128" w:right="347"/>
        <w:jc w:val="left"/>
      </w:pPr>
      <w:r>
        <w:rPr/>
        <w:t>计报告》确认，2010</w:t>
      </w:r>
      <w:r>
        <w:rPr>
          <w:spacing w:val="-65"/>
        </w:rPr>
        <w:t> </w:t>
      </w:r>
      <w:r>
        <w:rPr/>
        <w:t>年度母公司实现税后净利</w:t>
      </w:r>
      <w:r>
        <w:rPr>
          <w:spacing w:val="-65"/>
        </w:rPr>
        <w:t> </w:t>
      </w:r>
      <w:r>
        <w:rPr/>
        <w:t>41,257,300.95</w:t>
      </w:r>
      <w:r>
        <w:rPr>
          <w:spacing w:val="-65"/>
        </w:rPr>
        <w:t> </w:t>
      </w:r>
      <w:r>
        <w:rPr/>
        <w:t>元，加上年初未分</w:t>
      </w:r>
      <w:r>
        <w:rPr/>
        <w:t> 配利润 69,180,047.82 元，减去 2009 年度利润分配（每 10 股派 1</w:t>
      </w:r>
      <w:r>
        <w:rPr>
          <w:spacing w:val="36"/>
        </w:rPr>
        <w:t> </w:t>
      </w:r>
      <w:r>
        <w:rPr/>
        <w:t>元现金）</w:t>
      </w:r>
    </w:p>
    <w:p>
      <w:pPr>
        <w:pStyle w:val="BodyText"/>
        <w:spacing w:line="240" w:lineRule="auto"/>
        <w:ind w:left="128" w:right="0"/>
        <w:jc w:val="both"/>
      </w:pPr>
      <w:r>
        <w:rPr/>
        <w:t>7,462,000.00 元，提取法定盈余公积 4,125,730.10</w:t>
      </w:r>
      <w:r>
        <w:rPr>
          <w:spacing w:val="-72"/>
        </w:rPr>
        <w:t> </w:t>
      </w:r>
      <w:r>
        <w:rPr/>
        <w:t>元，年末可供股东分配的利</w:t>
      </w:r>
    </w:p>
    <w:p>
      <w:pPr>
        <w:pStyle w:val="BodyText"/>
        <w:spacing w:line="240" w:lineRule="auto" w:before="154"/>
        <w:ind w:left="128" w:right="0"/>
        <w:jc w:val="both"/>
      </w:pPr>
      <w:r>
        <w:rPr/>
        <w:t>润为</w:t>
      </w:r>
      <w:r>
        <w:rPr>
          <w:spacing w:val="-60"/>
        </w:rPr>
        <w:t> </w:t>
      </w:r>
      <w:r>
        <w:rPr/>
        <w:t>98,849,618.67</w:t>
      </w:r>
      <w:r>
        <w:rPr>
          <w:spacing w:val="-60"/>
        </w:rPr>
        <w:t> </w:t>
      </w:r>
      <w:r>
        <w:rPr>
          <w:spacing w:val="-3"/>
        </w:rPr>
        <w:t>元。年末母公司所有者权益为</w:t>
      </w:r>
      <w:r>
        <w:rPr>
          <w:spacing w:val="-60"/>
        </w:rPr>
        <w:t> </w:t>
      </w:r>
      <w:r>
        <w:rPr/>
        <w:t>291,179,316.00</w:t>
      </w:r>
      <w:r>
        <w:rPr>
          <w:spacing w:val="-60"/>
        </w:rPr>
        <w:t> </w:t>
      </w:r>
      <w:r>
        <w:rPr>
          <w:spacing w:val="-6"/>
        </w:rPr>
        <w:t>元，资本公积</w:t>
      </w:r>
    </w:p>
    <w:p>
      <w:pPr>
        <w:pStyle w:val="BodyText"/>
        <w:spacing w:line="240" w:lineRule="auto" w:before="154"/>
        <w:ind w:left="128" w:right="0"/>
        <w:jc w:val="both"/>
      </w:pPr>
      <w:r>
        <w:rPr/>
        <w:t>为</w:t>
      </w:r>
      <w:r>
        <w:rPr>
          <w:spacing w:val="-60"/>
        </w:rPr>
        <w:t> </w:t>
      </w:r>
      <w:r>
        <w:rPr/>
        <w:t>99,506,213.46</w:t>
      </w:r>
      <w:r>
        <w:rPr>
          <w:spacing w:val="-60"/>
        </w:rPr>
        <w:t> </w:t>
      </w:r>
      <w:r>
        <w:rPr/>
        <w:t>元。</w:t>
      </w:r>
    </w:p>
    <w:p>
      <w:pPr>
        <w:pStyle w:val="BodyText"/>
        <w:spacing w:line="240" w:lineRule="auto" w:before="154"/>
        <w:ind w:left="560" w:right="224"/>
        <w:jc w:val="left"/>
      </w:pPr>
      <w:r>
        <w:rPr/>
        <w:t>董事会基于公司利润分配原则的一贯性，决定提议对</w:t>
      </w:r>
      <w:r>
        <w:rPr>
          <w:spacing w:val="-74"/>
        </w:rPr>
        <w:t> </w:t>
      </w:r>
      <w:r>
        <w:rPr/>
        <w:t>2010</w:t>
      </w:r>
      <w:r>
        <w:rPr>
          <w:spacing w:val="-74"/>
        </w:rPr>
        <w:t> </w:t>
      </w:r>
      <w:r>
        <w:rPr/>
        <w:t>年度利润的分配预</w:t>
      </w:r>
    </w:p>
    <w:p>
      <w:pPr>
        <w:pStyle w:val="BodyText"/>
        <w:spacing w:line="240" w:lineRule="auto" w:before="154"/>
        <w:ind w:left="128" w:right="0"/>
        <w:jc w:val="both"/>
      </w:pPr>
      <w:r>
        <w:rPr/>
        <w:t>案为以公司</w:t>
      </w:r>
      <w:r>
        <w:rPr>
          <w:spacing w:val="-48"/>
        </w:rPr>
        <w:t> </w:t>
      </w:r>
      <w:r>
        <w:rPr/>
        <w:t>2010</w:t>
      </w:r>
      <w:r>
        <w:rPr>
          <w:spacing w:val="-48"/>
        </w:rPr>
        <w:t> </w:t>
      </w:r>
      <w:r>
        <w:rPr/>
        <w:t>年末的总股本</w:t>
      </w:r>
      <w:r>
        <w:rPr>
          <w:spacing w:val="-48"/>
        </w:rPr>
        <w:t> </w:t>
      </w:r>
      <w:r>
        <w:rPr/>
        <w:t>74,620,000</w:t>
      </w:r>
      <w:r>
        <w:rPr>
          <w:spacing w:val="-48"/>
        </w:rPr>
        <w:t> </w:t>
      </w:r>
      <w:r>
        <w:rPr/>
        <w:t>股为基数，以资本公积向全体股东每</w:t>
      </w:r>
    </w:p>
    <w:p>
      <w:pPr>
        <w:pStyle w:val="BodyText"/>
        <w:spacing w:line="240" w:lineRule="auto" w:before="154"/>
        <w:ind w:left="128" w:right="0"/>
        <w:jc w:val="both"/>
      </w:pPr>
      <w:r>
        <w:rPr/>
        <w:t>10</w:t>
      </w:r>
      <w:r>
        <w:rPr>
          <w:spacing w:val="-63"/>
        </w:rPr>
        <w:t> </w:t>
      </w:r>
      <w:r>
        <w:rPr/>
        <w:t>股转增</w:t>
      </w:r>
      <w:r>
        <w:rPr>
          <w:spacing w:val="-63"/>
        </w:rPr>
        <w:t> </w:t>
      </w:r>
      <w:r>
        <w:rPr/>
        <w:t>5</w:t>
      </w:r>
      <w:r>
        <w:rPr>
          <w:spacing w:val="-63"/>
        </w:rPr>
        <w:t> </w:t>
      </w:r>
      <w:r>
        <w:rPr/>
        <w:t>股，共计转增股本</w:t>
      </w:r>
      <w:r>
        <w:rPr>
          <w:spacing w:val="-63"/>
        </w:rPr>
        <w:t> </w:t>
      </w:r>
      <w:r>
        <w:rPr/>
        <w:t>37,310,000</w:t>
      </w:r>
      <w:r>
        <w:rPr>
          <w:spacing w:val="-63"/>
        </w:rPr>
        <w:t> </w:t>
      </w:r>
      <w:r>
        <w:rPr/>
        <w:t>股，尚余资本公积</w:t>
      </w:r>
      <w:r>
        <w:rPr>
          <w:spacing w:val="-63"/>
        </w:rPr>
        <w:t> </w:t>
      </w:r>
      <w:r>
        <w:rPr/>
        <w:t>62,196,213.46</w:t>
      </w:r>
      <w:r>
        <w:rPr>
          <w:spacing w:val="-63"/>
        </w:rPr>
        <w:t> </w:t>
      </w:r>
      <w:r>
        <w:rPr/>
        <w:t>元，</w:t>
      </w:r>
    </w:p>
    <w:p>
      <w:pPr>
        <w:pStyle w:val="BodyText"/>
        <w:spacing w:line="240" w:lineRule="auto" w:before="154"/>
        <w:ind w:left="128" w:right="0"/>
        <w:jc w:val="both"/>
      </w:pPr>
      <w:r>
        <w:rPr/>
        <w:t>以未分配利润向每</w:t>
      </w:r>
      <w:r>
        <w:rPr>
          <w:spacing w:val="-53"/>
        </w:rPr>
        <w:t> </w:t>
      </w:r>
      <w:r>
        <w:rPr/>
        <w:t>10</w:t>
      </w:r>
      <w:r>
        <w:rPr>
          <w:spacing w:val="-53"/>
        </w:rPr>
        <w:t> </w:t>
      </w:r>
      <w:r>
        <w:rPr/>
        <w:t>股派现金</w:t>
      </w:r>
      <w:r>
        <w:rPr>
          <w:spacing w:val="-53"/>
        </w:rPr>
        <w:t> </w:t>
      </w:r>
      <w:r>
        <w:rPr/>
        <w:t>1</w:t>
      </w:r>
      <w:r>
        <w:rPr>
          <w:spacing w:val="-53"/>
        </w:rPr>
        <w:t> </w:t>
      </w:r>
      <w:r>
        <w:rPr/>
        <w:t>元（含税</w:t>
      </w:r>
      <w:r>
        <w:rPr>
          <w:spacing w:val="-120"/>
        </w:rPr>
        <w:t>）</w:t>
      </w:r>
      <w:r>
        <w:rPr/>
        <w:t>，共分配利润</w:t>
      </w:r>
      <w:r>
        <w:rPr>
          <w:spacing w:val="-53"/>
        </w:rPr>
        <w:t> </w:t>
      </w:r>
      <w:r>
        <w:rPr/>
        <w:t>7,462,000</w:t>
      </w:r>
      <w:r>
        <w:rPr>
          <w:spacing w:val="-53"/>
        </w:rPr>
        <w:t> </w:t>
      </w:r>
      <w:r>
        <w:rPr/>
        <w:t>元，尚余未</w:t>
      </w:r>
    </w:p>
    <w:p>
      <w:pPr>
        <w:pStyle w:val="BodyText"/>
        <w:spacing w:line="240" w:lineRule="auto" w:before="154"/>
        <w:ind w:left="128" w:right="0"/>
        <w:jc w:val="both"/>
      </w:pPr>
      <w:r>
        <w:rPr/>
        <w:t>分配利润</w:t>
      </w:r>
      <w:r>
        <w:rPr>
          <w:spacing w:val="-60"/>
        </w:rPr>
        <w:t> </w:t>
      </w:r>
      <w:r>
        <w:rPr/>
        <w:t>91,387,618.67</w:t>
      </w:r>
      <w:r>
        <w:rPr>
          <w:spacing w:val="-60"/>
        </w:rPr>
        <w:t> </w:t>
      </w:r>
      <w:r>
        <w:rPr/>
        <w:t>元留待以后年度分配。</w:t>
      </w:r>
    </w:p>
    <w:p>
      <w:pPr>
        <w:pStyle w:val="BodyText"/>
        <w:spacing w:line="415" w:lineRule="auto" w:before="74"/>
        <w:ind w:left="571" w:right="789"/>
        <w:jc w:val="left"/>
      </w:pPr>
      <w:r>
        <w:rPr/>
        <w:t>以上方案实施后，公司总股本由</w:t>
      </w:r>
      <w:r>
        <w:rPr>
          <w:spacing w:val="-60"/>
        </w:rPr>
        <w:t> </w:t>
      </w:r>
      <w:r>
        <w:rPr/>
        <w:t>74,620,000</w:t>
      </w:r>
      <w:r>
        <w:rPr>
          <w:spacing w:val="-60"/>
        </w:rPr>
        <w:t> </w:t>
      </w:r>
      <w:r>
        <w:rPr/>
        <w:t>股增加到</w:t>
      </w:r>
      <w:r>
        <w:rPr>
          <w:spacing w:val="-60"/>
        </w:rPr>
        <w:t> </w:t>
      </w:r>
      <w:r>
        <w:rPr/>
        <w:t>111,930,000</w:t>
      </w:r>
      <w:r>
        <w:rPr>
          <w:spacing w:val="-60"/>
        </w:rPr>
        <w:t> </w:t>
      </w:r>
      <w:r>
        <w:rPr/>
        <w:t>股。</w:t>
      </w:r>
      <w:r>
        <w:rPr/>
        <w:t> 该利润分配预案尚需股东大会审议批准后方可实施。</w:t>
      </w:r>
    </w:p>
    <w:p>
      <w:pPr>
        <w:pStyle w:val="BodyText"/>
        <w:spacing w:line="293" w:lineRule="exact" w:before="0"/>
        <w:ind w:right="0"/>
        <w:jc w:val="both"/>
      </w:pPr>
      <w:r>
        <w:rPr/>
        <w:t>（二）前三年现金分红情况</w:t>
      </w:r>
    </w:p>
    <w:p>
      <w:pPr>
        <w:spacing w:before="157"/>
        <w:ind w:left="0" w:right="362" w:firstLine="0"/>
        <w:jc w:val="right"/>
        <w:rPr>
          <w:rFonts w:ascii="宋体" w:hAnsi="宋体" w:cs="宋体" w:eastAsia="宋体" w:hint="default"/>
          <w:sz w:val="21"/>
          <w:szCs w:val="21"/>
        </w:rPr>
      </w:pPr>
      <w:r>
        <w:rPr/>
        <w:pict>
          <v:shape style="position:absolute;margin-left:260.399994pt;margin-top:24.323669pt;width:134.2pt;height:36pt;mso-position-horizontal-relative:page;mso-position-vertical-relative:paragraph;z-index:-554272" type="#_x0000_t202" filled="false" stroked="false">
            <v:textbox inset="0,0,0,0">
              <w:txbxContent>
                <w:p>
                  <w:pPr>
                    <w:spacing w:line="240" w:lineRule="auto" w:before="1"/>
                    <w:rPr>
                      <w:rFonts w:ascii="宋体" w:hAnsi="宋体" w:cs="宋体" w:eastAsia="宋体" w:hint="default"/>
                      <w:sz w:val="16"/>
                      <w:szCs w:val="16"/>
                    </w:rPr>
                  </w:pPr>
                </w:p>
                <w:p>
                  <w:pPr>
                    <w:spacing w:before="0"/>
                    <w:ind w:left="0" w:right="0" w:firstLine="0"/>
                    <w:jc w:val="left"/>
                    <w:rPr>
                      <w:rFonts w:ascii="宋体" w:hAnsi="宋体" w:cs="宋体" w:eastAsia="宋体" w:hint="default"/>
                      <w:sz w:val="22"/>
                      <w:szCs w:val="22"/>
                    </w:rPr>
                  </w:pPr>
                  <w:r>
                    <w:rPr>
                      <w:rFonts w:ascii="宋体" w:hAnsi="宋体" w:cs="宋体" w:eastAsia="宋体" w:hint="default"/>
                      <w:w w:val="100"/>
                      <w:sz w:val="22"/>
                      <w:szCs w:val="22"/>
                    </w:rPr>
                    <w:t>）</w:t>
                  </w:r>
                </w:p>
              </w:txbxContent>
            </v:textbox>
            <w10:wrap type="none"/>
          </v:shape>
        </w:pict>
      </w: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）元</w:t>
      </w:r>
    </w:p>
    <w:p>
      <w:pPr>
        <w:spacing w:line="240" w:lineRule="auto" w:before="5"/>
        <w:rPr>
          <w:rFonts w:ascii="宋体" w:hAnsi="宋体" w:cs="宋体" w:eastAsia="宋体" w:hint="default"/>
          <w:sz w:val="3"/>
          <w:szCs w:val="3"/>
        </w:rPr>
      </w:pPr>
    </w:p>
    <w:tbl>
      <w:tblPr>
        <w:tblW w:w="0" w:type="auto"/>
        <w:jc w:val="left"/>
        <w:tblInd w:w="247" w:type="dxa"/>
        <w:tblLayout w:type="fixed"/>
        <w:tblCellMar>
          <w:top w:w="0" w:type="dxa"/>
          <w:left w:w="0" w:type="dxa"/>
          <w:bottom w:w="0" w:type="dxa"/>
          <w:right w:w="0" w:type="dxa"/>
        </w:tblCellMar>
        <w:tblLook w:val="01E0"/>
      </w:tblPr>
      <w:tblGrid>
        <w:gridCol w:w="1385"/>
        <w:gridCol w:w="2047"/>
        <w:gridCol w:w="2551"/>
        <w:gridCol w:w="2580"/>
      </w:tblGrid>
      <w:tr>
        <w:trPr>
          <w:trHeight w:val="731" w:hRule="exact"/>
        </w:trPr>
        <w:tc>
          <w:tcPr>
            <w:tcW w:w="138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4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w w:val="100"/>
                <w:sz w:val="22"/>
                <w:szCs w:val="22"/>
              </w:rPr>
              <w:t>现金分</w:t>
            </w:r>
            <w:r>
              <w:rPr>
                <w:rFonts w:ascii="宋体" w:hAnsi="宋体" w:cs="宋体" w:eastAsia="宋体" w:hint="default"/>
                <w:spacing w:val="-3"/>
                <w:w w:val="100"/>
                <w:sz w:val="22"/>
                <w:szCs w:val="22"/>
              </w:rPr>
              <w:t>红</w:t>
            </w:r>
            <w:r>
              <w:rPr>
                <w:rFonts w:ascii="宋体" w:hAnsi="宋体" w:cs="宋体" w:eastAsia="宋体" w:hint="default"/>
                <w:w w:val="100"/>
                <w:sz w:val="22"/>
                <w:szCs w:val="22"/>
              </w:rPr>
              <w:t>金</w:t>
            </w:r>
            <w:r>
              <w:rPr>
                <w:rFonts w:ascii="宋体" w:hAnsi="宋体" w:cs="宋体" w:eastAsia="宋体" w:hint="default"/>
                <w:spacing w:val="-101"/>
                <w:w w:val="100"/>
                <w:sz w:val="22"/>
                <w:szCs w:val="22"/>
              </w:rPr>
              <w:t>额</w:t>
            </w:r>
            <w:r>
              <w:rPr>
                <w:rFonts w:ascii="宋体" w:hAnsi="宋体" w:cs="宋体" w:eastAsia="宋体" w:hint="default"/>
                <w:w w:val="100"/>
                <w:sz w:val="22"/>
                <w:szCs w:val="22"/>
              </w:rPr>
              <w:t>（</w:t>
            </w:r>
            <w:r>
              <w:rPr>
                <w:rFonts w:ascii="宋体" w:hAnsi="宋体" w:cs="宋体" w:eastAsia="宋体" w:hint="default"/>
                <w:spacing w:val="-3"/>
                <w:w w:val="100"/>
                <w:sz w:val="22"/>
                <w:szCs w:val="22"/>
              </w:rPr>
              <w:t>含</w:t>
            </w:r>
            <w:r>
              <w:rPr>
                <w:rFonts w:ascii="宋体" w:hAnsi="宋体" w:cs="宋体" w:eastAsia="宋体" w:hint="default"/>
                <w:w w:val="100"/>
                <w:sz w:val="22"/>
                <w:szCs w:val="22"/>
              </w:rPr>
              <w:t>税</w:t>
            </w:r>
          </w:p>
        </w:tc>
        <w:tc>
          <w:tcPr>
            <w:tcW w:w="25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32"/>
              <w:ind w:left="499" w:right="58" w:hanging="440"/>
              <w:jc w:val="left"/>
              <w:rPr>
                <w:rFonts w:ascii="宋体" w:hAnsi="宋体" w:cs="宋体" w:eastAsia="宋体" w:hint="default"/>
                <w:sz w:val="22"/>
                <w:szCs w:val="22"/>
              </w:rPr>
            </w:pPr>
            <w:r>
              <w:rPr>
                <w:rFonts w:ascii="宋体" w:hAnsi="宋体" w:cs="宋体" w:eastAsia="宋体" w:hint="default"/>
                <w:sz w:val="22"/>
                <w:szCs w:val="22"/>
              </w:rPr>
              <w:t>合并报表中归属于母公司</w:t>
            </w:r>
            <w:r>
              <w:rPr>
                <w:rFonts w:ascii="宋体" w:hAnsi="宋体" w:cs="宋体" w:eastAsia="宋体" w:hint="default"/>
                <w:w w:val="100"/>
                <w:sz w:val="22"/>
                <w:szCs w:val="22"/>
              </w:rPr>
              <w:t> </w:t>
            </w:r>
            <w:r>
              <w:rPr>
                <w:rFonts w:ascii="宋体" w:hAnsi="宋体" w:cs="宋体" w:eastAsia="宋体" w:hint="default"/>
                <w:sz w:val="22"/>
                <w:szCs w:val="22"/>
              </w:rPr>
              <w:t>所有者的净利润</w:t>
            </w:r>
          </w:p>
        </w:tc>
        <w:tc>
          <w:tcPr>
            <w:tcW w:w="25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00" w:lineRule="auto" w:before="32"/>
              <w:ind w:left="74" w:right="72"/>
              <w:jc w:val="left"/>
              <w:rPr>
                <w:rFonts w:ascii="宋体" w:hAnsi="宋体" w:cs="宋体" w:eastAsia="宋体" w:hint="default"/>
                <w:sz w:val="22"/>
                <w:szCs w:val="22"/>
              </w:rPr>
            </w:pPr>
            <w:r>
              <w:rPr>
                <w:rFonts w:ascii="宋体" w:hAnsi="宋体" w:cs="宋体" w:eastAsia="宋体" w:hint="default"/>
                <w:sz w:val="22"/>
                <w:szCs w:val="22"/>
              </w:rPr>
              <w:t>占合并报表中归属于母公</w:t>
            </w:r>
            <w:r>
              <w:rPr>
                <w:rFonts w:ascii="宋体" w:hAnsi="宋体" w:cs="宋体" w:eastAsia="宋体" w:hint="default"/>
                <w:w w:val="100"/>
                <w:sz w:val="22"/>
                <w:szCs w:val="22"/>
              </w:rPr>
              <w:t> </w:t>
            </w:r>
            <w:r>
              <w:rPr>
                <w:rFonts w:ascii="宋体" w:hAnsi="宋体" w:cs="宋体" w:eastAsia="宋体" w:hint="default"/>
                <w:sz w:val="22"/>
                <w:szCs w:val="22"/>
              </w:rPr>
              <w:t>司所有者的净利润的比率</w:t>
            </w:r>
          </w:p>
        </w:tc>
      </w:tr>
    </w:tbl>
    <w:p>
      <w:pPr>
        <w:spacing w:after="0" w:line="300" w:lineRule="auto"/>
        <w:jc w:val="left"/>
        <w:rPr>
          <w:rFonts w:ascii="宋体" w:hAnsi="宋体" w:cs="宋体" w:eastAsia="宋体" w:hint="default"/>
          <w:sz w:val="22"/>
          <w:szCs w:val="22"/>
        </w:rPr>
        <w:sectPr>
          <w:pgSz w:w="11900" w:h="16840"/>
          <w:pgMar w:header="874" w:footer="983" w:top="1100" w:bottom="1180" w:left="1660" w:right="1300"/>
        </w:sectPr>
      </w:pPr>
    </w:p>
    <w:p>
      <w:pPr>
        <w:spacing w:line="240" w:lineRule="auto" w:before="8"/>
        <w:rPr>
          <w:rFonts w:ascii="宋体" w:hAnsi="宋体" w:cs="宋体" w:eastAsia="宋体" w:hint="default"/>
          <w:sz w:val="24"/>
          <w:szCs w:val="24"/>
        </w:rPr>
      </w:pPr>
    </w:p>
    <w:tbl>
      <w:tblPr>
        <w:tblW w:w="0" w:type="auto"/>
        <w:jc w:val="left"/>
        <w:tblInd w:w="247" w:type="dxa"/>
        <w:tblLayout w:type="fixed"/>
        <w:tblCellMar>
          <w:top w:w="0" w:type="dxa"/>
          <w:left w:w="0" w:type="dxa"/>
          <w:bottom w:w="0" w:type="dxa"/>
          <w:right w:w="0" w:type="dxa"/>
        </w:tblCellMar>
        <w:tblLook w:val="01E0"/>
      </w:tblPr>
      <w:tblGrid>
        <w:gridCol w:w="1385"/>
        <w:gridCol w:w="2047"/>
        <w:gridCol w:w="2551"/>
        <w:gridCol w:w="2580"/>
      </w:tblGrid>
      <w:tr>
        <w:trPr>
          <w:trHeight w:val="370" w:hRule="exact"/>
        </w:trPr>
        <w:tc>
          <w:tcPr>
            <w:tcW w:w="13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7,462,000.00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20,274,036.09</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z w:val="22"/>
              </w:rPr>
              <w:t>36.80%</w:t>
            </w:r>
          </w:p>
        </w:tc>
      </w:tr>
      <w:tr>
        <w:trPr>
          <w:trHeight w:val="370" w:hRule="exact"/>
        </w:trPr>
        <w:tc>
          <w:tcPr>
            <w:tcW w:w="13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7,462,000.00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2"/>
                <w:szCs w:val="22"/>
              </w:rPr>
            </w:pPr>
            <w:r>
              <w:rPr>
                <w:rFonts w:ascii="宋体"/>
                <w:spacing w:val="-1"/>
                <w:sz w:val="22"/>
              </w:rPr>
              <w:t>29,160,099.99</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z w:val="22"/>
              </w:rPr>
              <w:t>25.59%</w:t>
            </w:r>
          </w:p>
        </w:tc>
      </w:tr>
      <w:tr>
        <w:trPr>
          <w:trHeight w:val="372" w:hRule="exact"/>
        </w:trPr>
        <w:tc>
          <w:tcPr>
            <w:tcW w:w="13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4"/>
                <w:sz w:val="22"/>
                <w:szCs w:val="22"/>
              </w:rPr>
              <w:t> </w:t>
            </w:r>
            <w:r>
              <w:rPr>
                <w:rFonts w:ascii="宋体" w:hAnsi="宋体" w:cs="宋体" w:eastAsia="宋体" w:hint="default"/>
                <w:sz w:val="22"/>
                <w:szCs w:val="22"/>
              </w:rPr>
              <w:t>年</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宋体" w:hAnsi="宋体" w:cs="宋体" w:eastAsia="宋体" w:hint="default"/>
                <w:sz w:val="22"/>
                <w:szCs w:val="22"/>
              </w:rPr>
            </w:pPr>
            <w:r>
              <w:rPr>
                <w:rFonts w:ascii="宋体"/>
                <w:spacing w:val="-1"/>
                <w:sz w:val="22"/>
              </w:rPr>
              <w:t>5,740,000.00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宋体" w:hAnsi="宋体" w:cs="宋体" w:eastAsia="宋体" w:hint="default"/>
                <w:sz w:val="22"/>
                <w:szCs w:val="22"/>
              </w:rPr>
            </w:pPr>
            <w:r>
              <w:rPr>
                <w:rFonts w:ascii="宋体"/>
                <w:spacing w:val="-1"/>
                <w:sz w:val="22"/>
              </w:rPr>
              <w:t>26,480,128.56</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2"/>
                <w:szCs w:val="22"/>
              </w:rPr>
            </w:pPr>
            <w:r>
              <w:rPr>
                <w:rFonts w:ascii="宋体"/>
                <w:sz w:val="22"/>
              </w:rPr>
              <w:t>21.68%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57" w:lineRule="auto" w:before="26"/>
        <w:ind w:left="564" w:right="436" w:hanging="425"/>
        <w:jc w:val="left"/>
        <w:rPr>
          <w:rFonts w:ascii="宋体" w:hAnsi="宋体" w:cs="宋体" w:eastAsia="宋体" w:hint="default"/>
          <w:sz w:val="24"/>
          <w:szCs w:val="24"/>
        </w:rPr>
      </w:pPr>
      <w:r>
        <w:rPr>
          <w:rFonts w:ascii="宋体" w:hAnsi="宋体" w:cs="宋体" w:eastAsia="宋体" w:hint="default"/>
          <w:b/>
          <w:bCs/>
          <w:sz w:val="24"/>
          <w:szCs w:val="24"/>
        </w:rPr>
        <w:t>七、内幕信息知情人管理制度的执行情况</w:t>
      </w:r>
      <w:r>
        <w:rPr>
          <w:rFonts w:ascii="宋体" w:hAnsi="宋体" w:cs="宋体" w:eastAsia="宋体" w:hint="default"/>
          <w:b/>
          <w:bCs/>
          <w:w w:val="99"/>
          <w:sz w:val="24"/>
          <w:szCs w:val="24"/>
        </w:rPr>
        <w:t> </w:t>
      </w:r>
      <w:r>
        <w:rPr>
          <w:rFonts w:ascii="宋体" w:hAnsi="宋体" w:cs="宋体" w:eastAsia="宋体" w:hint="default"/>
          <w:sz w:val="24"/>
          <w:szCs w:val="24"/>
        </w:rPr>
        <w:t>为保护广大投资者特别是中小股东的合法权益，2010年4月12日,公司第三届</w:t>
      </w:r>
    </w:p>
    <w:p>
      <w:pPr>
        <w:pStyle w:val="BodyText"/>
        <w:spacing w:line="357" w:lineRule="auto"/>
        <w:ind w:right="399"/>
        <w:jc w:val="both"/>
      </w:pPr>
      <w:r>
        <w:rPr/>
        <w:t>董事会第二十二次会议审议通过了《内幕信息知情人登记备案制度》和《年报信 息披露重大差错责任追究制度》，进一步规范了公司内幕信息管理，防范内幕信 息知情人员泄漏内幕信息，进行内幕交易。在制定相关制度的同时，公司内部加 强了内幕信息管理的培训，加强公司各部门的内幕信息报告意识。</w:t>
      </w:r>
    </w:p>
    <w:p>
      <w:pPr>
        <w:pStyle w:val="BodyText"/>
        <w:spacing w:line="357" w:lineRule="auto"/>
        <w:ind w:right="340" w:firstLine="424"/>
        <w:jc w:val="both"/>
      </w:pPr>
      <w:r>
        <w:rPr>
          <w:spacing w:val="2"/>
        </w:rPr>
        <w:t>报告期内，公司对包括定期报告、利润分配、重大投资等内幕信息进行了严</w:t>
      </w:r>
      <w:r>
        <w:rPr/>
        <w:t> 格管理，做好内幕信息知情人的登记备案工作，并按相关要求及时报备深交所及</w:t>
      </w:r>
      <w:r>
        <w:rPr>
          <w:spacing w:val="-73"/>
        </w:rPr>
        <w:t> </w:t>
      </w:r>
      <w:r>
        <w:rPr>
          <w:spacing w:val="-73"/>
        </w:rPr>
      </w:r>
      <w:r>
        <w:rPr/>
        <w:t>上海证监局。</w:t>
      </w:r>
    </w:p>
    <w:p>
      <w:pPr>
        <w:pStyle w:val="BodyText"/>
        <w:spacing w:line="357" w:lineRule="auto"/>
        <w:ind w:right="347" w:firstLine="424"/>
        <w:jc w:val="both"/>
      </w:pPr>
      <w:r>
        <w:rPr>
          <w:spacing w:val="2"/>
        </w:rPr>
        <w:t>在报告期内，公司未发生内幕信息知情人在影响公司股价的重大敏感信息披</w:t>
      </w:r>
      <w:r>
        <w:rPr/>
        <w:t> 露前利用内幕信息买卖公司股份的情况，也未受到监管部门的查处。</w:t>
      </w:r>
    </w:p>
    <w:p>
      <w:pPr>
        <w:pStyle w:val="BodyText"/>
        <w:spacing w:line="357" w:lineRule="auto"/>
        <w:ind w:right="366" w:firstLine="480"/>
        <w:jc w:val="both"/>
      </w:pPr>
      <w:r>
        <w:rPr/>
        <w:t>在接待机构投资者、行业分析师等的过程中，公司严格按照《深圳证券交易 所中小企业板上市公司规范运作指引》的要求，事前预定来访时间。如在定期报</w:t>
      </w:r>
      <w:r>
        <w:rPr>
          <w:spacing w:val="-95"/>
        </w:rPr>
        <w:t> </w:t>
      </w:r>
      <w:r>
        <w:rPr>
          <w:spacing w:val="-95"/>
        </w:rPr>
      </w:r>
      <w:r>
        <w:rPr/>
        <w:t>告等重大信息披露窗口期，则建议来访对象避开相关期间，另行选择来访时间。</w:t>
      </w:r>
      <w:r>
        <w:rPr>
          <w:spacing w:val="-95"/>
        </w:rPr>
        <w:t> </w:t>
      </w:r>
      <w:r>
        <w:rPr>
          <w:spacing w:val="-95"/>
        </w:rPr>
      </w:r>
      <w:r>
        <w:rPr/>
        <w:t>接待来访者时，均安排两人以上相关人员做好来访接待工作，要求来访人员按规</w:t>
      </w:r>
      <w:r>
        <w:rPr>
          <w:spacing w:val="-95"/>
        </w:rPr>
        <w:t> </w:t>
      </w:r>
      <w:r>
        <w:rPr>
          <w:spacing w:val="-95"/>
        </w:rPr>
      </w:r>
      <w:r>
        <w:rPr/>
        <w:t>定签署《承诺书》，记录谈话主要内容，并按要求在规定时间内将调研记录报备</w:t>
      </w:r>
      <w:r>
        <w:rPr>
          <w:spacing w:val="-95"/>
        </w:rPr>
        <w:t> </w:t>
      </w:r>
      <w:r>
        <w:rPr>
          <w:spacing w:val="-95"/>
        </w:rPr>
      </w:r>
      <w:r>
        <w:rPr/>
        <w:t>深圳证券交易所。</w:t>
      </w:r>
    </w:p>
    <w:p>
      <w:pPr>
        <w:spacing w:after="0" w:line="357" w:lineRule="auto"/>
        <w:jc w:val="both"/>
        <w:sectPr>
          <w:footerReference w:type="default" r:id="rId22"/>
          <w:pgSz w:w="11900" w:h="16840"/>
          <w:pgMar w:footer="983" w:header="874" w:top="1100" w:bottom="1180" w:left="1660" w:right="1300"/>
          <w:pgNumType w:start="6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pt;height:.75pt;mso-position-horizontal-relative:char;mso-position-vertical-relative:line" coordorigin="0,0" coordsize="8378,15">
            <v:group style="position:absolute;left:7;top:7;width:8364;height:2" coordorigin="7,7" coordsize="8364,2">
              <v:shape style="position:absolute;left:7;top:7;width:8364;height:2" coordorigin="7,7" coordsize="8364,0" path="m7,7l8371,7e" filled="false" stroked="true" strokeweight=".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7"/>
          <w:szCs w:val="27"/>
        </w:rPr>
      </w:pPr>
    </w:p>
    <w:p>
      <w:pPr>
        <w:pStyle w:val="Heading1"/>
        <w:tabs>
          <w:tab w:pos="1286" w:val="left" w:leader="none"/>
        </w:tabs>
        <w:spacing w:line="240" w:lineRule="auto"/>
        <w:ind w:right="95"/>
        <w:jc w:val="center"/>
        <w:rPr>
          <w:b w:val="0"/>
          <w:bCs w:val="0"/>
        </w:rPr>
      </w:pPr>
      <w:bookmarkStart w:name="_TOC_250003" w:id="8"/>
      <w:r>
        <w:rPr>
          <w:w w:val="95"/>
        </w:rPr>
        <w:t>第八节</w:t>
        <w:tab/>
      </w:r>
      <w:r>
        <w:rPr/>
        <w:t>监事会报告</w:t>
      </w:r>
      <w:bookmarkEnd w:id="8"/>
      <w:r>
        <w:rPr>
          <w:b w:val="0"/>
          <w:bCs w:val="0"/>
        </w:rPr>
      </w:r>
    </w:p>
    <w:p>
      <w:pPr>
        <w:pStyle w:val="BodyText"/>
        <w:spacing w:line="357" w:lineRule="auto" w:before="193"/>
        <w:ind w:right="231" w:firstLine="480"/>
        <w:jc w:val="both"/>
      </w:pPr>
      <w:r>
        <w:rPr>
          <w:spacing w:val="-10"/>
        </w:rPr>
        <w:t>报告期内，公司监事会全体成员严格按照《公司法》、《公司章程》和有关法</w:t>
      </w:r>
      <w:r>
        <w:rPr/>
        <w:t> </w:t>
      </w:r>
      <w:r>
        <w:rPr>
          <w:spacing w:val="-3"/>
        </w:rPr>
        <w:t>律、法规的要求，本着恪尽职守、勤勉尽责的工作态度，依法独立行使职权，从</w:t>
      </w:r>
      <w:r>
        <w:rPr>
          <w:spacing w:val="-115"/>
        </w:rPr>
        <w:t> </w:t>
      </w:r>
      <w:r>
        <w:rPr>
          <w:spacing w:val="-115"/>
        </w:rPr>
      </w:r>
      <w:r>
        <w:rPr>
          <w:spacing w:val="-3"/>
        </w:rPr>
        <w:t>切实维护公司利益和广大股东权益出发，认真履行监督职责。监事会对公司生产</w:t>
      </w:r>
      <w:r>
        <w:rPr>
          <w:spacing w:val="-111"/>
        </w:rPr>
        <w:t> </w:t>
      </w:r>
      <w:r>
        <w:rPr>
          <w:spacing w:val="-111"/>
        </w:rPr>
      </w:r>
      <w:r>
        <w:rPr>
          <w:spacing w:val="-3"/>
        </w:rPr>
        <w:t>经营活动、重大事项、财务状况以及董事、高级管理人员履行职责情况进行了监</w:t>
      </w:r>
      <w:r>
        <w:rPr>
          <w:spacing w:val="-111"/>
        </w:rPr>
        <w:t> </w:t>
      </w:r>
      <w:r>
        <w:rPr>
          <w:spacing w:val="-111"/>
        </w:rPr>
      </w:r>
      <w:r>
        <w:rPr/>
        <w:t>督，促进了公司规范运作。现将监事会在本年度的主要工作报告如下：</w:t>
      </w:r>
    </w:p>
    <w:p>
      <w:pPr>
        <w:spacing w:line="240" w:lineRule="auto" w:before="0"/>
        <w:rPr>
          <w:rFonts w:ascii="宋体" w:hAnsi="宋体" w:cs="宋体" w:eastAsia="宋体" w:hint="default"/>
          <w:sz w:val="24"/>
          <w:szCs w:val="24"/>
        </w:rPr>
      </w:pPr>
    </w:p>
    <w:p>
      <w:pPr>
        <w:pStyle w:val="Heading3"/>
        <w:spacing w:line="240" w:lineRule="auto" w:before="190"/>
        <w:ind w:right="96"/>
        <w:jc w:val="left"/>
        <w:rPr>
          <w:b w:val="0"/>
          <w:bCs w:val="0"/>
        </w:rPr>
      </w:pPr>
      <w:r>
        <w:rPr/>
        <w:t>一、监事会的会议情况</w:t>
      </w:r>
      <w:r>
        <w:rPr>
          <w:b w:val="0"/>
          <w:bCs w:val="0"/>
        </w:rPr>
      </w:r>
    </w:p>
    <w:p>
      <w:pPr>
        <w:pStyle w:val="BodyText"/>
        <w:spacing w:line="240" w:lineRule="auto" w:before="154"/>
        <w:ind w:left="620" w:right="96"/>
        <w:jc w:val="left"/>
      </w:pPr>
      <w:r>
        <w:rPr/>
        <w:t>报告期内，公司共召开了</w:t>
      </w:r>
      <w:r>
        <w:rPr>
          <w:spacing w:val="-60"/>
        </w:rPr>
        <w:t> </w:t>
      </w:r>
      <w:r>
        <w:rPr/>
        <w:t>6</w:t>
      </w:r>
      <w:r>
        <w:rPr>
          <w:spacing w:val="-60"/>
        </w:rPr>
        <w:t> </w:t>
      </w:r>
      <w:r>
        <w:rPr/>
        <w:t>次监事会会议，主要内容如下：</w:t>
      </w:r>
    </w:p>
    <w:p>
      <w:pPr>
        <w:pStyle w:val="BodyText"/>
        <w:spacing w:line="240" w:lineRule="auto" w:before="154"/>
        <w:ind w:left="605" w:right="96"/>
        <w:jc w:val="left"/>
      </w:pPr>
      <w:r>
        <w:rPr/>
        <w:t>（一）2010</w:t>
      </w:r>
      <w:r>
        <w:rPr>
          <w:spacing w:val="-60"/>
        </w:rPr>
        <w:t> </w:t>
      </w:r>
      <w:r>
        <w:rPr/>
        <w:t>年</w:t>
      </w:r>
      <w:r>
        <w:rPr>
          <w:spacing w:val="-60"/>
        </w:rPr>
        <w:t> </w:t>
      </w:r>
      <w:r>
        <w:rPr/>
        <w:t>1</w:t>
      </w:r>
      <w:r>
        <w:rPr>
          <w:spacing w:val="-60"/>
        </w:rPr>
        <w:t> </w:t>
      </w:r>
      <w:r>
        <w:rPr/>
        <w:t>月</w:t>
      </w:r>
      <w:r>
        <w:rPr>
          <w:spacing w:val="-60"/>
        </w:rPr>
        <w:t> </w:t>
      </w:r>
      <w:r>
        <w:rPr/>
        <w:t>22</w:t>
      </w:r>
      <w:r>
        <w:rPr>
          <w:spacing w:val="-60"/>
        </w:rPr>
        <w:t> </w:t>
      </w:r>
      <w:r>
        <w:rPr/>
        <w:t>日召开第三届监事会第十二次会议。</w:t>
      </w:r>
    </w:p>
    <w:p>
      <w:pPr>
        <w:pStyle w:val="BodyText"/>
        <w:spacing w:line="240" w:lineRule="auto" w:before="154"/>
        <w:ind w:left="605" w:right="96"/>
        <w:jc w:val="left"/>
      </w:pPr>
      <w:r>
        <w:rPr/>
        <w:t>(1) 一致通过《关于固定资产报废的议案》；</w:t>
      </w:r>
    </w:p>
    <w:p>
      <w:pPr>
        <w:pStyle w:val="BodyText"/>
        <w:spacing w:line="240" w:lineRule="auto" w:before="154"/>
        <w:ind w:left="605" w:right="96"/>
        <w:jc w:val="left"/>
      </w:pPr>
      <w:r>
        <w:rPr/>
        <w:t>(2) 一致通过《关于调整部分固定资产折旧年限及预计净残值的议案》；</w:t>
      </w:r>
    </w:p>
    <w:p>
      <w:pPr>
        <w:pStyle w:val="BodyText"/>
        <w:spacing w:line="240" w:lineRule="auto" w:before="154"/>
        <w:ind w:left="605" w:right="96"/>
        <w:jc w:val="left"/>
      </w:pPr>
      <w:r>
        <w:rPr/>
        <w:t>(3) 一致通过《关于移动电话项目的研发支出转入无形资产的议案》；</w:t>
      </w:r>
    </w:p>
    <w:p>
      <w:pPr>
        <w:pStyle w:val="BodyText"/>
        <w:spacing w:line="240" w:lineRule="auto" w:before="154"/>
        <w:ind w:left="605" w:right="96"/>
        <w:jc w:val="left"/>
      </w:pPr>
      <w:r>
        <w:rPr/>
        <w:t>(4) 一致通过《关于授予公司总经理</w:t>
      </w:r>
      <w:r>
        <w:rPr>
          <w:spacing w:val="-60"/>
        </w:rPr>
        <w:t> </w:t>
      </w:r>
      <w:r>
        <w:rPr/>
        <w:t>3000</w:t>
      </w:r>
      <w:r>
        <w:rPr>
          <w:spacing w:val="-60"/>
        </w:rPr>
        <w:t> </w:t>
      </w:r>
      <w:r>
        <w:rPr/>
        <w:t>万元人民币贷款额度的议案》。</w:t>
      </w:r>
    </w:p>
    <w:p>
      <w:pPr>
        <w:pStyle w:val="BodyText"/>
        <w:spacing w:line="240" w:lineRule="auto" w:before="154"/>
        <w:ind w:left="605" w:right="96"/>
        <w:jc w:val="left"/>
      </w:pPr>
      <w:r>
        <w:rPr/>
        <w:t>（二）2010</w:t>
      </w:r>
      <w:r>
        <w:rPr>
          <w:spacing w:val="-60"/>
        </w:rPr>
        <w:t> </w:t>
      </w:r>
      <w:r>
        <w:rPr/>
        <w:t>年</w:t>
      </w:r>
      <w:r>
        <w:rPr>
          <w:spacing w:val="-60"/>
        </w:rPr>
        <w:t> </w:t>
      </w:r>
      <w:r>
        <w:rPr/>
        <w:t>4</w:t>
      </w:r>
      <w:r>
        <w:rPr>
          <w:spacing w:val="-60"/>
        </w:rPr>
        <w:t> </w:t>
      </w:r>
      <w:r>
        <w:rPr/>
        <w:t>月</w:t>
      </w:r>
      <w:r>
        <w:rPr>
          <w:spacing w:val="-60"/>
        </w:rPr>
        <w:t> </w:t>
      </w:r>
      <w:r>
        <w:rPr/>
        <w:t>12</w:t>
      </w:r>
      <w:r>
        <w:rPr>
          <w:spacing w:val="-60"/>
        </w:rPr>
        <w:t> </w:t>
      </w:r>
      <w:r>
        <w:rPr/>
        <w:t>日召开第三届监事会第十三次会议。</w:t>
      </w:r>
    </w:p>
    <w:p>
      <w:pPr>
        <w:pStyle w:val="BodyText"/>
        <w:spacing w:line="357" w:lineRule="auto" w:before="154"/>
        <w:ind w:right="220" w:firstLine="465"/>
        <w:jc w:val="left"/>
      </w:pPr>
      <w:r>
        <w:rPr/>
        <w:t>(1)</w:t>
      </w:r>
      <w:r>
        <w:rPr>
          <w:spacing w:val="1"/>
        </w:rPr>
        <w:t> </w:t>
      </w:r>
      <w:r>
        <w:rPr/>
        <w:t>一致通过《公司</w:t>
      </w:r>
      <w:r>
        <w:rPr>
          <w:spacing w:val="-50"/>
        </w:rPr>
        <w:t> </w:t>
      </w:r>
      <w:r>
        <w:rPr/>
        <w:t>2009</w:t>
      </w:r>
      <w:r>
        <w:rPr>
          <w:spacing w:val="-50"/>
        </w:rPr>
        <w:t> </w:t>
      </w:r>
      <w:r>
        <w:rPr>
          <w:spacing w:val="-7"/>
        </w:rPr>
        <w:t>年度监事会工作报告》，并同意提交公司</w:t>
      </w:r>
      <w:r>
        <w:rPr>
          <w:spacing w:val="-50"/>
        </w:rPr>
        <w:t> </w:t>
      </w:r>
      <w:r>
        <w:rPr/>
        <w:t>2009</w:t>
      </w:r>
      <w:r>
        <w:rPr>
          <w:spacing w:val="-50"/>
        </w:rPr>
        <w:t> </w:t>
      </w:r>
      <w:r>
        <w:rPr/>
        <w:t>年</w:t>
      </w:r>
      <w:r>
        <w:rPr/>
        <w:t> 度股东大会审议；</w:t>
      </w:r>
    </w:p>
    <w:p>
      <w:pPr>
        <w:pStyle w:val="BodyText"/>
        <w:spacing w:line="240" w:lineRule="auto"/>
        <w:ind w:left="605" w:right="96"/>
        <w:jc w:val="left"/>
      </w:pPr>
      <w:r>
        <w:rPr/>
        <w:t>(2) 一致通过《公司</w:t>
      </w:r>
      <w:r>
        <w:rPr>
          <w:spacing w:val="-60"/>
        </w:rPr>
        <w:t> </w:t>
      </w:r>
      <w:r>
        <w:rPr/>
        <w:t>2009</w:t>
      </w:r>
      <w:r>
        <w:rPr>
          <w:spacing w:val="-60"/>
        </w:rPr>
        <w:t> </w:t>
      </w:r>
      <w:r>
        <w:rPr/>
        <w:t>年度报告及摘要》；</w:t>
      </w:r>
    </w:p>
    <w:p>
      <w:pPr>
        <w:pStyle w:val="BodyText"/>
        <w:spacing w:line="357" w:lineRule="auto" w:before="154"/>
        <w:ind w:right="231" w:firstLine="465"/>
        <w:jc w:val="both"/>
      </w:pPr>
      <w:r>
        <w:rPr/>
        <w:t>经审核，监事会一致认为：董事会编制和审核公司 2009</w:t>
      </w:r>
      <w:r>
        <w:rPr>
          <w:spacing w:val="-80"/>
        </w:rPr>
        <w:t> </w:t>
      </w:r>
      <w:r>
        <w:rPr/>
        <w:t>年年度报告的程序</w:t>
      </w:r>
      <w:r>
        <w:rPr/>
        <w:t> </w:t>
      </w:r>
      <w:r>
        <w:rPr>
          <w:spacing w:val="-3"/>
        </w:rPr>
        <w:t>符合法律法规和中国证监会的相关规定，报告内容真实、准确、完整地反映了公</w:t>
      </w:r>
      <w:r>
        <w:rPr>
          <w:spacing w:val="-111"/>
        </w:rPr>
        <w:t> </w:t>
      </w:r>
      <w:r>
        <w:rPr>
          <w:spacing w:val="-111"/>
        </w:rPr>
      </w:r>
      <w:r>
        <w:rPr/>
        <w:t>司</w:t>
      </w:r>
      <w:r>
        <w:rPr>
          <w:spacing w:val="-60"/>
        </w:rPr>
        <w:t> </w:t>
      </w:r>
      <w:r>
        <w:rPr/>
        <w:t>2009</w:t>
      </w:r>
      <w:r>
        <w:rPr>
          <w:spacing w:val="-60"/>
        </w:rPr>
        <w:t> </w:t>
      </w:r>
      <w:r>
        <w:rPr/>
        <w:t>年度的实际情况，不存在任何虚假记载、误导性陈述或重大遗漏</w:t>
      </w:r>
    </w:p>
    <w:p>
      <w:pPr>
        <w:pStyle w:val="BodyText"/>
        <w:spacing w:line="240" w:lineRule="auto"/>
        <w:ind w:left="605" w:right="96"/>
        <w:jc w:val="left"/>
      </w:pPr>
      <w:r>
        <w:rPr/>
        <w:t>(3) 一致通过《公司</w:t>
      </w:r>
      <w:r>
        <w:rPr>
          <w:spacing w:val="-60"/>
        </w:rPr>
        <w:t> </w:t>
      </w:r>
      <w:r>
        <w:rPr/>
        <w:t>2009</w:t>
      </w:r>
      <w:r>
        <w:rPr>
          <w:spacing w:val="-60"/>
        </w:rPr>
        <w:t> </w:t>
      </w:r>
      <w:r>
        <w:rPr/>
        <w:t>年度财务决算报告》；</w:t>
      </w:r>
    </w:p>
    <w:p>
      <w:pPr>
        <w:pStyle w:val="BodyText"/>
        <w:spacing w:line="240" w:lineRule="auto" w:before="154"/>
        <w:ind w:left="605" w:right="96"/>
        <w:jc w:val="left"/>
      </w:pPr>
      <w:r>
        <w:rPr/>
        <w:t>(4) 一致通过《公司</w:t>
      </w:r>
      <w:r>
        <w:rPr>
          <w:spacing w:val="-60"/>
        </w:rPr>
        <w:t> </w:t>
      </w:r>
      <w:r>
        <w:rPr/>
        <w:t>2009</w:t>
      </w:r>
      <w:r>
        <w:rPr>
          <w:spacing w:val="-60"/>
        </w:rPr>
        <w:t> </w:t>
      </w:r>
      <w:r>
        <w:rPr/>
        <w:t>年度利润分配预案》；</w:t>
      </w:r>
    </w:p>
    <w:p>
      <w:pPr>
        <w:pStyle w:val="BodyText"/>
        <w:spacing w:line="240" w:lineRule="auto" w:before="154"/>
        <w:ind w:left="605" w:right="96"/>
        <w:jc w:val="left"/>
      </w:pPr>
      <w:r>
        <w:rPr/>
        <w:t>(5) 一致通过《公司</w:t>
      </w:r>
      <w:r>
        <w:rPr>
          <w:spacing w:val="-60"/>
        </w:rPr>
        <w:t> </w:t>
      </w:r>
      <w:r>
        <w:rPr/>
        <w:t>2010</w:t>
      </w:r>
      <w:r>
        <w:rPr>
          <w:spacing w:val="-60"/>
        </w:rPr>
        <w:t> </w:t>
      </w:r>
      <w:r>
        <w:rPr/>
        <w:t>年度日常关联交易的议案》；</w:t>
      </w:r>
    </w:p>
    <w:p>
      <w:pPr>
        <w:pStyle w:val="BodyText"/>
        <w:spacing w:line="240" w:lineRule="auto" w:before="154"/>
        <w:ind w:left="605" w:right="0"/>
        <w:jc w:val="left"/>
      </w:pPr>
      <w:r>
        <w:rPr/>
        <w:t>(6)</w:t>
      </w:r>
      <w:r>
        <w:rPr>
          <w:spacing w:val="4"/>
        </w:rPr>
        <w:t> </w:t>
      </w:r>
      <w:r>
        <w:rPr>
          <w:spacing w:val="-3"/>
        </w:rPr>
        <w:t>一致通过《关于公司募集资金</w:t>
      </w:r>
      <w:r>
        <w:rPr>
          <w:spacing w:val="-58"/>
        </w:rPr>
        <w:t> </w:t>
      </w:r>
      <w:r>
        <w:rPr/>
        <w:t>2009</w:t>
      </w:r>
      <w:r>
        <w:rPr>
          <w:spacing w:val="-58"/>
        </w:rPr>
        <w:t> </w:t>
      </w:r>
      <w:r>
        <w:rPr>
          <w:spacing w:val="-3"/>
        </w:rPr>
        <w:t>年度存放与使用情况的专项报告》；</w:t>
      </w:r>
    </w:p>
    <w:p>
      <w:pPr>
        <w:pStyle w:val="BodyText"/>
        <w:spacing w:line="240" w:lineRule="auto" w:before="154"/>
        <w:ind w:left="605" w:right="96"/>
        <w:jc w:val="left"/>
      </w:pPr>
      <w:r>
        <w:rPr/>
        <w:t>(7) 一致通过《2009</w:t>
      </w:r>
      <w:r>
        <w:rPr>
          <w:spacing w:val="-60"/>
        </w:rPr>
        <w:t> </w:t>
      </w:r>
      <w:r>
        <w:rPr/>
        <w:t>年度公司内部控制自我评价报告》；</w:t>
      </w:r>
    </w:p>
    <w:p>
      <w:pPr>
        <w:pStyle w:val="BodyText"/>
        <w:spacing w:line="240" w:lineRule="auto" w:before="154"/>
        <w:ind w:left="605" w:right="0"/>
        <w:jc w:val="left"/>
      </w:pPr>
      <w:r>
        <w:rPr/>
        <w:t>(8) 一致通</w:t>
      </w:r>
      <w:r>
        <w:rPr>
          <w:spacing w:val="-99"/>
        </w:rPr>
        <w:t>过</w:t>
      </w:r>
      <w:r>
        <w:rPr/>
        <w:t>《公司监事会换届选举及第四届监事会候选人审核推荐议案</w:t>
      </w:r>
      <w:r>
        <w:rPr>
          <w:spacing w:val="-99"/>
        </w:rPr>
        <w:t>》</w:t>
      </w:r>
      <w:r>
        <w:rPr/>
        <w:t>；</w:t>
      </w:r>
    </w:p>
    <w:p>
      <w:pPr>
        <w:pStyle w:val="BodyText"/>
        <w:spacing w:line="240" w:lineRule="auto" w:before="154"/>
        <w:ind w:left="605" w:right="96"/>
        <w:jc w:val="left"/>
      </w:pPr>
      <w:r>
        <w:rPr/>
        <w:t>(9) 一致通过《关于修改〈公司关联交易管理办法〉的议案</w:t>
      </w:r>
      <w:r>
        <w:rPr>
          <w:spacing w:val="-120"/>
        </w:rPr>
        <w:t>》</w:t>
      </w:r>
      <w:r>
        <w:rPr/>
        <w:t>。</w:t>
      </w:r>
    </w:p>
    <w:p>
      <w:pPr>
        <w:pStyle w:val="BodyText"/>
        <w:spacing w:line="240" w:lineRule="auto" w:before="154"/>
        <w:ind w:left="620" w:right="96"/>
        <w:jc w:val="left"/>
      </w:pPr>
      <w:r>
        <w:rPr/>
        <w:t>（三）2010</w:t>
      </w:r>
      <w:r>
        <w:rPr>
          <w:spacing w:val="-68"/>
        </w:rPr>
        <w:t> </w:t>
      </w:r>
      <w:r>
        <w:rPr/>
        <w:t>年</w:t>
      </w:r>
      <w:r>
        <w:rPr>
          <w:spacing w:val="-68"/>
        </w:rPr>
        <w:t> </w:t>
      </w:r>
      <w:r>
        <w:rPr/>
        <w:t>4</w:t>
      </w:r>
      <w:r>
        <w:rPr>
          <w:spacing w:val="-68"/>
        </w:rPr>
        <w:t> </w:t>
      </w:r>
      <w:r>
        <w:rPr/>
        <w:t>月</w:t>
      </w:r>
      <w:r>
        <w:rPr>
          <w:spacing w:val="-68"/>
        </w:rPr>
        <w:t> </w:t>
      </w:r>
      <w:r>
        <w:rPr/>
        <w:t>27</w:t>
      </w:r>
      <w:r>
        <w:rPr>
          <w:spacing w:val="-68"/>
        </w:rPr>
        <w:t> </w:t>
      </w:r>
      <w:r>
        <w:rPr/>
        <w:t>日召开第三届监事会第十四次会议，一致通过《公司</w:t>
      </w:r>
    </w:p>
    <w:p>
      <w:pPr>
        <w:spacing w:after="0" w:line="240" w:lineRule="auto"/>
        <w:jc w:val="left"/>
        <w:sectPr>
          <w:pgSz w:w="11900" w:h="16840"/>
          <w:pgMar w:header="874" w:footer="983" w:top="1040" w:bottom="1180" w:left="1660" w:right="1560"/>
        </w:sectPr>
      </w:pPr>
    </w:p>
    <w:p>
      <w:pPr>
        <w:spacing w:line="240" w:lineRule="auto" w:before="0"/>
        <w:rPr>
          <w:rFonts w:ascii="宋体" w:hAnsi="宋体" w:cs="宋体" w:eastAsia="宋体" w:hint="default"/>
          <w:sz w:val="20"/>
          <w:szCs w:val="20"/>
        </w:rPr>
      </w:pPr>
    </w:p>
    <w:p>
      <w:pPr>
        <w:pStyle w:val="BodyText"/>
        <w:spacing w:line="240" w:lineRule="auto" w:before="160"/>
        <w:ind w:right="0"/>
        <w:jc w:val="both"/>
      </w:pPr>
      <w:r>
        <w:rPr/>
        <w:t>2010</w:t>
      </w:r>
      <w:r>
        <w:rPr>
          <w:spacing w:val="-60"/>
        </w:rPr>
        <w:t> </w:t>
      </w:r>
      <w:r>
        <w:rPr/>
        <w:t>年第一季度季度报告》。</w:t>
      </w:r>
    </w:p>
    <w:p>
      <w:pPr>
        <w:pStyle w:val="BodyText"/>
        <w:spacing w:line="357" w:lineRule="auto" w:before="154"/>
        <w:ind w:right="211" w:firstLine="465"/>
        <w:jc w:val="both"/>
      </w:pPr>
      <w:r>
        <w:rPr/>
        <w:t>4、2010</w:t>
      </w:r>
      <w:r>
        <w:rPr>
          <w:spacing w:val="-41"/>
        </w:rPr>
        <w:t> </w:t>
      </w:r>
      <w:r>
        <w:rPr/>
        <w:t>年</w:t>
      </w:r>
      <w:r>
        <w:rPr>
          <w:spacing w:val="-41"/>
        </w:rPr>
        <w:t> </w:t>
      </w:r>
      <w:r>
        <w:rPr/>
        <w:t>5</w:t>
      </w:r>
      <w:r>
        <w:rPr>
          <w:spacing w:val="-39"/>
        </w:rPr>
        <w:t> </w:t>
      </w:r>
      <w:r>
        <w:rPr/>
        <w:t>月</w:t>
      </w:r>
      <w:r>
        <w:rPr>
          <w:spacing w:val="-41"/>
        </w:rPr>
        <w:t> </w:t>
      </w:r>
      <w:r>
        <w:rPr/>
        <w:t>12</w:t>
      </w:r>
      <w:r>
        <w:rPr>
          <w:spacing w:val="-41"/>
        </w:rPr>
        <w:t> </w:t>
      </w:r>
      <w:r>
        <w:rPr/>
        <w:t>日召开第四届监事会第一次会议，一致通过《关于选举</w:t>
      </w:r>
      <w:r>
        <w:rPr/>
        <w:t> 公司第四届监事会主席的议案》。</w:t>
      </w:r>
    </w:p>
    <w:p>
      <w:pPr>
        <w:pStyle w:val="BodyText"/>
        <w:spacing w:line="357" w:lineRule="auto"/>
        <w:ind w:right="211" w:firstLine="465"/>
        <w:jc w:val="both"/>
      </w:pPr>
      <w:r>
        <w:rPr/>
        <w:t>5、2010</w:t>
      </w:r>
      <w:r>
        <w:rPr>
          <w:spacing w:val="-54"/>
        </w:rPr>
        <w:t> </w:t>
      </w:r>
      <w:r>
        <w:rPr/>
        <w:t>年</w:t>
      </w:r>
      <w:r>
        <w:rPr>
          <w:spacing w:val="-54"/>
        </w:rPr>
        <w:t> </w:t>
      </w:r>
      <w:r>
        <w:rPr/>
        <w:t>8</w:t>
      </w:r>
      <w:r>
        <w:rPr>
          <w:spacing w:val="-54"/>
        </w:rPr>
        <w:t> </w:t>
      </w:r>
      <w:r>
        <w:rPr/>
        <w:t>月</w:t>
      </w:r>
      <w:r>
        <w:rPr>
          <w:spacing w:val="-54"/>
        </w:rPr>
        <w:t> </w:t>
      </w:r>
      <w:r>
        <w:rPr/>
        <w:t>18</w:t>
      </w:r>
      <w:r>
        <w:rPr>
          <w:spacing w:val="-54"/>
        </w:rPr>
        <w:t> </w:t>
      </w:r>
      <w:r>
        <w:rPr/>
        <w:t>日召开第四届监事会第二次会议，一致通过《公司</w:t>
      </w:r>
      <w:r>
        <w:rPr>
          <w:spacing w:val="-54"/>
        </w:rPr>
        <w:t> </w:t>
      </w:r>
      <w:r>
        <w:rPr/>
        <w:t>2010</w:t>
      </w:r>
      <w:r>
        <w:rPr/>
        <w:t> 年度半年度报告》及摘要。</w:t>
      </w:r>
    </w:p>
    <w:p>
      <w:pPr>
        <w:pStyle w:val="BodyText"/>
        <w:spacing w:line="357" w:lineRule="auto"/>
        <w:ind w:right="211" w:firstLine="465"/>
        <w:jc w:val="both"/>
      </w:pPr>
      <w:r>
        <w:rPr>
          <w:spacing w:val="-5"/>
        </w:rPr>
        <w:t>6、2010</w:t>
      </w:r>
      <w:r>
        <w:rPr>
          <w:spacing w:val="-58"/>
        </w:rPr>
        <w:t> </w:t>
      </w:r>
      <w:r>
        <w:rPr/>
        <w:t>年</w:t>
      </w:r>
      <w:r>
        <w:rPr>
          <w:spacing w:val="-58"/>
        </w:rPr>
        <w:t> </w:t>
      </w:r>
      <w:r>
        <w:rPr/>
        <w:t>10</w:t>
      </w:r>
      <w:r>
        <w:rPr>
          <w:spacing w:val="-58"/>
        </w:rPr>
        <w:t> </w:t>
      </w:r>
      <w:r>
        <w:rPr/>
        <w:t>月</w:t>
      </w:r>
      <w:r>
        <w:rPr>
          <w:spacing w:val="-58"/>
        </w:rPr>
        <w:t> </w:t>
      </w:r>
      <w:r>
        <w:rPr/>
        <w:t>25</w:t>
      </w:r>
      <w:r>
        <w:rPr>
          <w:spacing w:val="-58"/>
        </w:rPr>
        <w:t> </w:t>
      </w:r>
      <w:r>
        <w:rPr>
          <w:spacing w:val="-3"/>
        </w:rPr>
        <w:t>日召开第四届监事会第三次会议，一致通过《公司</w:t>
      </w:r>
      <w:r>
        <w:rPr>
          <w:spacing w:val="-58"/>
        </w:rPr>
        <w:t> </w:t>
      </w:r>
      <w:r>
        <w:rPr/>
        <w:t>2010</w:t>
      </w:r>
      <w:r>
        <w:rPr/>
        <w:t> 年第三季度季度报告》。</w:t>
      </w:r>
    </w:p>
    <w:p>
      <w:pPr>
        <w:spacing w:line="240" w:lineRule="auto" w:before="0"/>
        <w:rPr>
          <w:rFonts w:ascii="宋体" w:hAnsi="宋体" w:cs="宋体" w:eastAsia="宋体" w:hint="default"/>
          <w:sz w:val="24"/>
          <w:szCs w:val="24"/>
        </w:rPr>
      </w:pPr>
    </w:p>
    <w:p>
      <w:pPr>
        <w:pStyle w:val="Heading3"/>
        <w:spacing w:line="240" w:lineRule="auto" w:before="190"/>
        <w:ind w:right="0"/>
        <w:jc w:val="both"/>
        <w:rPr>
          <w:b w:val="0"/>
          <w:bCs w:val="0"/>
        </w:rPr>
      </w:pPr>
      <w:r>
        <w:rPr/>
        <w:t>二、监事会对公司</w:t>
      </w:r>
      <w:r>
        <w:rPr>
          <w:spacing w:val="-63"/>
        </w:rPr>
        <w:t> </w:t>
      </w:r>
      <w:r>
        <w:rPr/>
        <w:t>2010</w:t>
      </w:r>
      <w:r>
        <w:rPr>
          <w:spacing w:val="-63"/>
        </w:rPr>
        <w:t> </w:t>
      </w:r>
      <w:r>
        <w:rPr/>
        <w:t>年度有关事项的监事意见</w:t>
      </w:r>
      <w:r>
        <w:rPr>
          <w:b w:val="0"/>
          <w:bCs w:val="0"/>
        </w:rPr>
      </w:r>
    </w:p>
    <w:p>
      <w:pPr>
        <w:pStyle w:val="BodyText"/>
        <w:spacing w:line="357" w:lineRule="auto" w:before="154"/>
        <w:ind w:left="620" w:right="110"/>
        <w:jc w:val="left"/>
      </w:pPr>
      <w:r>
        <w:rPr/>
        <w:t>（一）公司依法运作情况 </w:t>
      </w:r>
      <w:r>
        <w:rPr>
          <w:spacing w:val="-14"/>
        </w:rPr>
        <w:t>公司监事会认为公司董事会能严格按照《公司法》、《证券法》、《公司章程》</w:t>
      </w:r>
    </w:p>
    <w:p>
      <w:pPr>
        <w:pStyle w:val="BodyText"/>
        <w:spacing w:line="357" w:lineRule="auto"/>
        <w:ind w:right="211"/>
        <w:jc w:val="both"/>
      </w:pPr>
      <w:r>
        <w:rPr>
          <w:spacing w:val="-3"/>
        </w:rPr>
        <w:t>及其它有关法律、法规进行规范运作，严格执行股东大会的各项决议，工作认真</w:t>
      </w:r>
      <w:r>
        <w:rPr>
          <w:spacing w:val="-111"/>
        </w:rPr>
        <w:t> </w:t>
      </w:r>
      <w:r>
        <w:rPr>
          <w:spacing w:val="-111"/>
        </w:rPr>
      </w:r>
      <w:r>
        <w:rPr>
          <w:spacing w:val="-3"/>
        </w:rPr>
        <w:t>负责，决策程序合法，建立并进一步完善了内部控制制度，有效地控制了公司经</w:t>
      </w:r>
      <w:r>
        <w:rPr>
          <w:spacing w:val="-111"/>
        </w:rPr>
        <w:t> </w:t>
      </w:r>
      <w:r>
        <w:rPr>
          <w:spacing w:val="-111"/>
        </w:rPr>
      </w:r>
      <w:r>
        <w:rPr>
          <w:spacing w:val="-3"/>
        </w:rPr>
        <w:t>营投资风险；公司董事、经理执行职务时没有违反法律、法规、《公司章程》或</w:t>
      </w:r>
      <w:r>
        <w:rPr>
          <w:spacing w:val="-118"/>
        </w:rPr>
        <w:t> </w:t>
      </w:r>
      <w:r>
        <w:rPr>
          <w:spacing w:val="-118"/>
        </w:rPr>
      </w:r>
      <w:r>
        <w:rPr/>
        <w:t>损害公司或股东利益的行为。</w:t>
      </w:r>
    </w:p>
    <w:p>
      <w:pPr>
        <w:pStyle w:val="BodyText"/>
        <w:spacing w:line="240" w:lineRule="auto"/>
        <w:ind w:left="620" w:right="100"/>
        <w:jc w:val="left"/>
      </w:pPr>
      <w:r>
        <w:rPr/>
        <w:t>（二）检查公司财务状况</w:t>
      </w:r>
    </w:p>
    <w:p>
      <w:pPr>
        <w:pStyle w:val="BodyText"/>
        <w:spacing w:line="357" w:lineRule="auto" w:before="154"/>
        <w:ind w:right="119" w:firstLine="480"/>
        <w:jc w:val="both"/>
      </w:pPr>
      <w:r>
        <w:rPr/>
        <w:t>公司监事会对公司 2010</w:t>
      </w:r>
      <w:r>
        <w:rPr>
          <w:spacing w:val="-95"/>
        </w:rPr>
        <w:t> </w:t>
      </w:r>
      <w:r>
        <w:rPr/>
        <w:t>年的财务情况进行了认真细致的检查和审核，认为</w:t>
      </w:r>
      <w:r>
        <w:rPr/>
        <w:t> </w:t>
      </w:r>
      <w:r>
        <w:rPr>
          <w:spacing w:val="-3"/>
        </w:rPr>
        <w:t>公司财务管理规范，符合《公司法》和《企业会计准则》及有关法律法规及公司</w:t>
      </w:r>
      <w:r>
        <w:rPr>
          <w:spacing w:val="-113"/>
        </w:rPr>
        <w:t> </w:t>
      </w:r>
      <w:r>
        <w:rPr>
          <w:spacing w:val="-113"/>
        </w:rPr>
      </w:r>
      <w:r>
        <w:rPr/>
        <w:t>章程的规定，公司财务报表真实地反映了 2010</w:t>
      </w:r>
      <w:r>
        <w:rPr>
          <w:spacing w:val="-96"/>
        </w:rPr>
        <w:t> </w:t>
      </w:r>
      <w:r>
        <w:rPr/>
        <w:t>年的公司财务状况和经营成果。</w:t>
      </w:r>
      <w:r>
        <w:rPr/>
        <w:t> 之后，经上海众华沪银会计师事务所审计，出具了标准无保留意见的审计报告。</w:t>
      </w:r>
    </w:p>
    <w:p>
      <w:pPr>
        <w:pStyle w:val="BodyText"/>
        <w:spacing w:line="357" w:lineRule="auto"/>
        <w:ind w:left="620" w:right="199"/>
        <w:jc w:val="left"/>
      </w:pPr>
      <w:r>
        <w:rPr/>
        <w:t>（三）募集资金使用情况 </w:t>
      </w:r>
      <w:r>
        <w:rPr>
          <w:spacing w:val="-3"/>
        </w:rPr>
        <w:t>公司监事会对募集资金的使用和管理进行了有效的监管，认为公司在募集资</w:t>
      </w:r>
    </w:p>
    <w:p>
      <w:pPr>
        <w:pStyle w:val="BodyText"/>
        <w:spacing w:line="357" w:lineRule="auto"/>
        <w:ind w:right="215"/>
        <w:jc w:val="both"/>
      </w:pPr>
      <w:r>
        <w:rPr>
          <w:spacing w:val="-3"/>
        </w:rPr>
        <w:t>金的使用和管理上，能严格按照承诺和深圳证券交易所《中小企业板上市公司规</w:t>
      </w:r>
      <w:r>
        <w:rPr>
          <w:spacing w:val="-111"/>
        </w:rPr>
        <w:t> </w:t>
      </w:r>
      <w:r>
        <w:rPr>
          <w:spacing w:val="-111"/>
        </w:rPr>
      </w:r>
      <w:r>
        <w:rPr>
          <w:spacing w:val="-3"/>
        </w:rPr>
        <w:t>范运作指引》、公司《募集资金管理制度》的规定执行。公司募集资金的投入与</w:t>
      </w:r>
      <w:r>
        <w:rPr>
          <w:spacing w:val="-118"/>
        </w:rPr>
        <w:t> </w:t>
      </w:r>
      <w:r>
        <w:rPr>
          <w:spacing w:val="-118"/>
        </w:rPr>
      </w:r>
      <w:r>
        <w:rPr>
          <w:spacing w:val="-3"/>
        </w:rPr>
        <w:t>使用情况与募集资金投资项目说明中披露情况一致，未发现违反法律、法规及损</w:t>
      </w:r>
      <w:r>
        <w:rPr>
          <w:spacing w:val="-111"/>
        </w:rPr>
        <w:t> </w:t>
      </w:r>
      <w:r>
        <w:rPr>
          <w:spacing w:val="-111"/>
        </w:rPr>
      </w:r>
      <w:r>
        <w:rPr/>
        <w:t>害股东利益的行为。</w:t>
      </w:r>
    </w:p>
    <w:p>
      <w:pPr>
        <w:pStyle w:val="BodyText"/>
        <w:spacing w:line="240" w:lineRule="auto"/>
        <w:ind w:left="620" w:right="100"/>
        <w:jc w:val="left"/>
      </w:pPr>
      <w:r>
        <w:rPr/>
        <w:t>（四）监事会对内部控制自我评价报告的意见</w:t>
      </w:r>
    </w:p>
    <w:p>
      <w:pPr>
        <w:pStyle w:val="BodyText"/>
        <w:spacing w:line="357" w:lineRule="auto" w:before="154"/>
        <w:ind w:right="211" w:firstLine="480"/>
        <w:jc w:val="both"/>
      </w:pPr>
      <w:r>
        <w:rPr/>
        <w:t>对董事会关于公司 2010</w:t>
      </w:r>
      <w:r>
        <w:rPr>
          <w:spacing w:val="-95"/>
        </w:rPr>
        <w:t> </w:t>
      </w:r>
      <w:r>
        <w:rPr/>
        <w:t>年度内部控制的自我评价报告、公司内部控制制度</w:t>
      </w:r>
      <w:r>
        <w:rPr/>
        <w:t> 的建设和运行情况进行了审核，监事会认为：公司《2010</w:t>
      </w:r>
      <w:r>
        <w:rPr>
          <w:spacing w:val="17"/>
        </w:rPr>
        <w:t> </w:t>
      </w:r>
      <w:r>
        <w:rPr/>
        <w:t>年度内部控制自我评</w:t>
      </w:r>
    </w:p>
    <w:p>
      <w:pPr>
        <w:spacing w:after="0" w:line="357" w:lineRule="auto"/>
        <w:jc w:val="both"/>
        <w:sectPr>
          <w:pgSz w:w="11900" w:h="16840"/>
          <w:pgMar w:header="874" w:footer="983" w:top="1040" w:bottom="1180" w:left="1660" w:right="1580"/>
        </w:sectPr>
      </w:pPr>
    </w:p>
    <w:p>
      <w:pPr>
        <w:spacing w:line="240" w:lineRule="auto" w:before="0"/>
        <w:rPr>
          <w:rFonts w:ascii="宋体" w:hAnsi="宋体" w:cs="宋体" w:eastAsia="宋体" w:hint="default"/>
          <w:sz w:val="20"/>
          <w:szCs w:val="20"/>
        </w:rPr>
      </w:pPr>
    </w:p>
    <w:p>
      <w:pPr>
        <w:pStyle w:val="BodyText"/>
        <w:spacing w:line="357" w:lineRule="auto" w:before="160"/>
        <w:ind w:right="211"/>
        <w:jc w:val="both"/>
      </w:pPr>
      <w:r>
        <w:rPr>
          <w:spacing w:val="-3"/>
        </w:rPr>
        <w:t>价报告》客观、全面地反映了公司内部控制的真实情况，公司已建立健全并有效</w:t>
      </w:r>
      <w:r>
        <w:rPr>
          <w:spacing w:val="-111"/>
        </w:rPr>
        <w:t> </w:t>
      </w:r>
      <w:r>
        <w:rPr>
          <w:spacing w:val="-111"/>
        </w:rPr>
      </w:r>
      <w:r>
        <w:rPr>
          <w:spacing w:val="-3"/>
        </w:rPr>
        <w:t>执行了内部控制制度，对防止、发现、纠正公司在生产经营过程中可能发生的错</w:t>
      </w:r>
      <w:r>
        <w:rPr>
          <w:spacing w:val="-111"/>
        </w:rPr>
        <w:t> </w:t>
      </w:r>
      <w:r>
        <w:rPr>
          <w:spacing w:val="-111"/>
        </w:rPr>
      </w:r>
      <w:r>
        <w:rPr>
          <w:spacing w:val="-3"/>
        </w:rPr>
        <w:t>误和舞弊是有效的，保护了公司资产安全和完整，保证了会计记录和会计信息的</w:t>
      </w:r>
      <w:r>
        <w:rPr>
          <w:spacing w:val="-111"/>
        </w:rPr>
        <w:t> </w:t>
      </w:r>
      <w:r>
        <w:rPr>
          <w:spacing w:val="-111"/>
        </w:rPr>
      </w:r>
      <w:r>
        <w:rPr/>
        <w:t>真实、合法、完整。</w:t>
      </w:r>
    </w:p>
    <w:p>
      <w:pPr>
        <w:pStyle w:val="BodyText"/>
        <w:spacing w:line="357" w:lineRule="auto"/>
        <w:ind w:left="620" w:right="199"/>
        <w:jc w:val="left"/>
      </w:pPr>
      <w:r>
        <w:rPr/>
        <w:t>（五）公司收购、出售资产情况 </w:t>
      </w:r>
      <w:r>
        <w:rPr>
          <w:spacing w:val="-3"/>
        </w:rPr>
        <w:t>经核实，报告期内公司发生出售资产等交易事项，不存在损害股东权益的行</w:t>
      </w:r>
    </w:p>
    <w:p>
      <w:pPr>
        <w:pStyle w:val="BodyText"/>
        <w:spacing w:line="240" w:lineRule="auto"/>
        <w:ind w:right="100"/>
        <w:jc w:val="left"/>
      </w:pPr>
      <w:r>
        <w:rPr/>
        <w:t>为，不存在造成公司资产流失的情形。</w:t>
      </w:r>
    </w:p>
    <w:p>
      <w:pPr>
        <w:pStyle w:val="BodyText"/>
        <w:spacing w:line="357" w:lineRule="auto" w:before="154"/>
        <w:ind w:left="620" w:right="100"/>
        <w:jc w:val="left"/>
      </w:pPr>
      <w:r>
        <w:rPr/>
        <w:t>（六）关联交易及对外担保情况 公司监事会认为公司关联交易公平合理，没有损害公司及股东利益的行为。</w:t>
      </w:r>
    </w:p>
    <w:p>
      <w:pPr>
        <w:pStyle w:val="BodyText"/>
        <w:spacing w:line="240" w:lineRule="auto"/>
        <w:ind w:right="100"/>
        <w:jc w:val="left"/>
      </w:pPr>
      <w:r>
        <w:rPr/>
        <w:t>报告期内公司不存在累计或当期对外担保情况。</w:t>
      </w:r>
    </w:p>
    <w:p>
      <w:pPr>
        <w:pStyle w:val="BodyText"/>
        <w:spacing w:line="357" w:lineRule="auto" w:before="154"/>
        <w:ind w:left="620" w:right="340"/>
        <w:jc w:val="left"/>
      </w:pPr>
      <w:r>
        <w:rPr/>
        <w:t>（七）关于变更部分募投项目实施地点情况 公司监事会认为公司此次变更部分募集资金投资项目实施地点的行为不属</w:t>
      </w:r>
    </w:p>
    <w:p>
      <w:pPr>
        <w:pStyle w:val="BodyText"/>
        <w:spacing w:line="357" w:lineRule="auto"/>
        <w:ind w:right="205"/>
        <w:jc w:val="left"/>
      </w:pPr>
      <w:r>
        <w:rPr/>
        <w:t>于募集资金投资项目的实质性变更，未改变募集资金的投资方向和项目建设内 </w:t>
      </w:r>
      <w:r>
        <w:rPr>
          <w:spacing w:val="-3"/>
        </w:rPr>
        <w:t>容，不会对该项目的实施造成实质性的影响，符合维护全体股东利益的需要，不</w:t>
      </w:r>
      <w:r>
        <w:rPr>
          <w:spacing w:val="-111"/>
        </w:rPr>
        <w:t> </w:t>
      </w:r>
      <w:r>
        <w:rPr>
          <w:spacing w:val="-111"/>
        </w:rPr>
      </w:r>
      <w:r>
        <w:rPr>
          <w:spacing w:val="-3"/>
        </w:rPr>
        <w:t>存在变相改变募集资金投向和损害股东利益的情况。公司本次变更部分募集资金</w:t>
      </w:r>
      <w:r>
        <w:rPr>
          <w:spacing w:val="-109"/>
        </w:rPr>
        <w:t> </w:t>
      </w:r>
      <w:r>
        <w:rPr>
          <w:spacing w:val="-109"/>
        </w:rPr>
      </w:r>
      <w:r>
        <w:rPr>
          <w:spacing w:val="-3"/>
        </w:rPr>
        <w:t>投资项目实施地点，内容及程序符合《深圳证券交易所中小企业板上市公司规范</w:t>
      </w:r>
      <w:r>
        <w:rPr>
          <w:spacing w:val="-111"/>
        </w:rPr>
        <w:t> </w:t>
      </w:r>
      <w:r>
        <w:rPr>
          <w:spacing w:val="-111"/>
        </w:rPr>
      </w:r>
      <w:r>
        <w:rPr/>
        <w:t>运作指引》相关法规及《公司章程》的相关规定。</w:t>
      </w:r>
    </w:p>
    <w:p>
      <w:pPr>
        <w:pStyle w:val="BodyText"/>
        <w:spacing w:line="240" w:lineRule="auto"/>
        <w:ind w:left="620" w:right="100"/>
        <w:jc w:val="left"/>
      </w:pPr>
      <w:r>
        <w:rPr/>
        <w:t>同意公司变更部分募集资金投资项目实施地点。</w:t>
      </w:r>
    </w:p>
    <w:p>
      <w:pPr>
        <w:spacing w:after="0" w:line="240" w:lineRule="auto"/>
        <w:jc w:val="left"/>
        <w:sectPr>
          <w:pgSz w:w="11900" w:h="16840"/>
          <w:pgMar w:header="874" w:footer="983" w:top="1040" w:bottom="1180" w:left="1660" w:right="1580"/>
        </w:sectPr>
      </w:pPr>
    </w:p>
    <w:p>
      <w:pPr>
        <w:spacing w:line="240" w:lineRule="auto" w:before="8"/>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6.6pt;height:.75pt;mso-position-horizontal-relative:char;mso-position-vertical-relative:line" coordorigin="0,0" coordsize="8532,15">
            <v:group style="position:absolute;left:7;top:7;width:8518;height:2" coordorigin="7,7" coordsize="8518,2">
              <v:shape style="position:absolute;left:7;top:7;width:8518;height:2" coordorigin="7,7" coordsize="8518,0" path="m7,7l8524,7e" filled="false" stroked="true" strokeweight=".71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7"/>
          <w:szCs w:val="27"/>
        </w:rPr>
      </w:pPr>
    </w:p>
    <w:p>
      <w:pPr>
        <w:pStyle w:val="Heading1"/>
        <w:tabs>
          <w:tab w:pos="1286" w:val="left" w:leader="none"/>
        </w:tabs>
        <w:spacing w:line="240" w:lineRule="auto"/>
        <w:ind w:right="0"/>
        <w:jc w:val="center"/>
        <w:rPr>
          <w:b w:val="0"/>
          <w:bCs w:val="0"/>
        </w:rPr>
      </w:pPr>
      <w:bookmarkStart w:name="_TOC_250002" w:id="9"/>
      <w:r>
        <w:rPr>
          <w:w w:val="95"/>
        </w:rPr>
        <w:t>第九节</w:t>
        <w:tab/>
      </w:r>
      <w:r>
        <w:rPr/>
        <w:t>重要事项</w:t>
      </w:r>
      <w:bookmarkEnd w:id="9"/>
      <w:r>
        <w:rPr>
          <w:b w:val="0"/>
          <w:bCs w:val="0"/>
        </w:rPr>
      </w:r>
    </w:p>
    <w:p>
      <w:pPr>
        <w:spacing w:line="357" w:lineRule="auto" w:before="193"/>
        <w:ind w:left="620" w:right="3780" w:hanging="480"/>
        <w:jc w:val="left"/>
        <w:rPr>
          <w:rFonts w:ascii="宋体" w:hAnsi="宋体" w:cs="宋体" w:eastAsia="宋体" w:hint="default"/>
          <w:sz w:val="24"/>
          <w:szCs w:val="24"/>
        </w:rPr>
      </w:pPr>
      <w:r>
        <w:rPr>
          <w:rFonts w:ascii="宋体" w:hAnsi="宋体" w:cs="宋体" w:eastAsia="宋体" w:hint="default"/>
          <w:b/>
          <w:bCs/>
          <w:sz w:val="24"/>
          <w:szCs w:val="24"/>
        </w:rPr>
        <w:t>一、报告期内公司重大诉讼、仲裁事项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240" w:lineRule="auto" w:before="0"/>
        <w:rPr>
          <w:rFonts w:ascii="宋体" w:hAnsi="宋体" w:cs="宋体" w:eastAsia="宋体" w:hint="default"/>
          <w:sz w:val="24"/>
          <w:szCs w:val="24"/>
        </w:rPr>
      </w:pPr>
    </w:p>
    <w:p>
      <w:pPr>
        <w:spacing w:line="357" w:lineRule="auto" w:before="190"/>
        <w:ind w:left="620" w:right="4020" w:hanging="480"/>
        <w:jc w:val="left"/>
        <w:rPr>
          <w:rFonts w:ascii="宋体" w:hAnsi="宋体" w:cs="宋体" w:eastAsia="宋体" w:hint="default"/>
          <w:sz w:val="24"/>
          <w:szCs w:val="24"/>
        </w:rPr>
      </w:pPr>
      <w:r>
        <w:rPr>
          <w:rFonts w:ascii="宋体" w:hAnsi="宋体" w:cs="宋体" w:eastAsia="宋体" w:hint="default"/>
          <w:b/>
          <w:bCs/>
          <w:sz w:val="24"/>
          <w:szCs w:val="24"/>
        </w:rPr>
        <w:t>二、报告期内破产重组事项</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报告期内，公司不存在破产重组事项。</w:t>
      </w:r>
    </w:p>
    <w:p>
      <w:pPr>
        <w:spacing w:line="240" w:lineRule="auto" w:before="0"/>
        <w:rPr>
          <w:rFonts w:ascii="宋体" w:hAnsi="宋体" w:cs="宋体" w:eastAsia="宋体" w:hint="default"/>
          <w:sz w:val="24"/>
          <w:szCs w:val="24"/>
        </w:rPr>
      </w:pPr>
    </w:p>
    <w:p>
      <w:pPr>
        <w:spacing w:line="357" w:lineRule="auto" w:before="190"/>
        <w:ind w:left="620" w:right="2820" w:hanging="480"/>
        <w:jc w:val="left"/>
        <w:rPr>
          <w:rFonts w:ascii="宋体" w:hAnsi="宋体" w:cs="宋体" w:eastAsia="宋体" w:hint="default"/>
          <w:sz w:val="24"/>
          <w:szCs w:val="24"/>
        </w:rPr>
      </w:pPr>
      <w:r>
        <w:rPr>
          <w:rFonts w:ascii="宋体" w:hAnsi="宋体" w:cs="宋体" w:eastAsia="宋体" w:hint="default"/>
          <w:b/>
          <w:bCs/>
          <w:sz w:val="24"/>
          <w:szCs w:val="24"/>
        </w:rPr>
        <w:t>三、持有其他上市公司股权等事项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报告期内，公司无持有其他上市公司股权等事项。</w:t>
      </w:r>
    </w:p>
    <w:p>
      <w:pPr>
        <w:spacing w:line="240" w:lineRule="auto" w:before="0"/>
        <w:rPr>
          <w:rFonts w:ascii="宋体" w:hAnsi="宋体" w:cs="宋体" w:eastAsia="宋体" w:hint="default"/>
          <w:sz w:val="24"/>
          <w:szCs w:val="24"/>
        </w:rPr>
      </w:pPr>
    </w:p>
    <w:p>
      <w:pPr>
        <w:spacing w:line="357" w:lineRule="auto" w:before="190"/>
        <w:ind w:left="620" w:right="1620" w:hanging="480"/>
        <w:jc w:val="left"/>
        <w:rPr>
          <w:rFonts w:ascii="宋体" w:hAnsi="宋体" w:cs="宋体" w:eastAsia="宋体" w:hint="default"/>
          <w:sz w:val="24"/>
          <w:szCs w:val="24"/>
        </w:rPr>
      </w:pPr>
      <w:r>
        <w:rPr>
          <w:rFonts w:ascii="宋体" w:hAnsi="宋体" w:cs="宋体" w:eastAsia="宋体" w:hint="default"/>
          <w:b/>
          <w:bCs/>
          <w:sz w:val="24"/>
          <w:szCs w:val="24"/>
        </w:rPr>
        <w:t>四、重大收购及出售资产、企业合并事项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报告期内，公司未发生重大收购及出售资产、企业合并事项。</w:t>
      </w:r>
    </w:p>
    <w:p>
      <w:pPr>
        <w:spacing w:line="240" w:lineRule="auto" w:before="0"/>
        <w:rPr>
          <w:rFonts w:ascii="宋体" w:hAnsi="宋体" w:cs="宋体" w:eastAsia="宋体" w:hint="default"/>
          <w:sz w:val="24"/>
          <w:szCs w:val="24"/>
        </w:rPr>
      </w:pPr>
    </w:p>
    <w:p>
      <w:pPr>
        <w:spacing w:line="357" w:lineRule="auto" w:before="190"/>
        <w:ind w:left="620" w:right="3060" w:hanging="480"/>
        <w:jc w:val="left"/>
        <w:rPr>
          <w:rFonts w:ascii="宋体" w:hAnsi="宋体" w:cs="宋体" w:eastAsia="宋体" w:hint="default"/>
          <w:sz w:val="24"/>
          <w:szCs w:val="24"/>
        </w:rPr>
      </w:pPr>
      <w:r>
        <w:rPr>
          <w:rFonts w:ascii="宋体" w:hAnsi="宋体" w:cs="宋体" w:eastAsia="宋体" w:hint="default"/>
          <w:b/>
          <w:bCs/>
          <w:sz w:val="24"/>
          <w:szCs w:val="24"/>
        </w:rPr>
        <w:t>五、股权激励计划相关事项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报告期内，公司未实施股权激励计划相关事项。</w:t>
      </w:r>
    </w:p>
    <w:p>
      <w:pPr>
        <w:spacing w:line="240" w:lineRule="auto" w:before="0"/>
        <w:rPr>
          <w:rFonts w:ascii="宋体" w:hAnsi="宋体" w:cs="宋体" w:eastAsia="宋体" w:hint="default"/>
          <w:sz w:val="24"/>
          <w:szCs w:val="24"/>
        </w:rPr>
      </w:pPr>
    </w:p>
    <w:p>
      <w:pPr>
        <w:pStyle w:val="Heading3"/>
        <w:spacing w:line="240" w:lineRule="auto" w:before="190"/>
        <w:ind w:right="3780"/>
        <w:jc w:val="left"/>
        <w:rPr>
          <w:b w:val="0"/>
          <w:bCs w:val="0"/>
        </w:rPr>
      </w:pPr>
      <w:r>
        <w:rPr/>
        <w:t>六、重大关联交易事项</w:t>
      </w:r>
      <w:r>
        <w:rPr>
          <w:b w:val="0"/>
          <w:bCs w:val="0"/>
        </w:rPr>
      </w:r>
    </w:p>
    <w:p>
      <w:pPr>
        <w:pStyle w:val="BodyText"/>
        <w:spacing w:line="240" w:lineRule="auto" w:before="154"/>
        <w:ind w:right="1620"/>
        <w:jc w:val="left"/>
      </w:pPr>
      <w:r>
        <w:rPr/>
        <w:t>（一）报告期内，公司与日常经营相关的重大关联交易事项；</w:t>
      </w:r>
    </w:p>
    <w:p>
      <w:pPr>
        <w:spacing w:before="179"/>
        <w:ind w:left="0" w:right="240" w:firstLine="0"/>
        <w:jc w:val="right"/>
        <w:rPr>
          <w:rFonts w:ascii="宋体" w:hAnsi="宋体" w:cs="宋体" w:eastAsia="宋体" w:hint="default"/>
          <w:sz w:val="21"/>
          <w:szCs w:val="21"/>
        </w:rPr>
      </w:pPr>
      <w:r>
        <w:rPr>
          <w:rFonts w:ascii="宋体" w:hAnsi="宋体" w:cs="宋体" w:eastAsia="宋体" w:hint="default"/>
          <w:w w:val="100"/>
          <w:sz w:val="21"/>
          <w:szCs w:val="21"/>
        </w:rPr>
        <w:t>单位</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line="240" w:lineRule="auto" w:before="11"/>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1985"/>
        <w:gridCol w:w="1418"/>
        <w:gridCol w:w="1699"/>
        <w:gridCol w:w="1560"/>
        <w:gridCol w:w="1702"/>
      </w:tblGrid>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26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634" w:hRule="exact"/>
        </w:trPr>
        <w:tc>
          <w:tcPr>
            <w:tcW w:w="1985" w:type="dxa"/>
            <w:vMerge/>
            <w:tcBorders>
              <w:left w:val="single" w:sz="4" w:space="0" w:color="000000"/>
              <w:bottom w:val="single" w:sz="4" w:space="0" w:color="000000"/>
              <w:right w:val="single" w:sz="4" w:space="0" w:color="000000"/>
            </w:tcBorders>
            <w:shd w:val="clear" w:color="auto" w:fill="DBDBDB"/>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28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6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527" w:right="106" w:hanging="420"/>
              <w:jc w:val="left"/>
              <w:rPr>
                <w:rFonts w:ascii="宋体" w:hAnsi="宋体" w:cs="宋体" w:eastAsia="宋体" w:hint="default"/>
                <w:sz w:val="21"/>
                <w:szCs w:val="21"/>
              </w:rPr>
            </w:pPr>
            <w:r>
              <w:rPr>
                <w:rFonts w:ascii="宋体" w:hAnsi="宋体" w:cs="宋体" w:eastAsia="宋体" w:hint="default"/>
                <w:sz w:val="21"/>
                <w:szCs w:val="21"/>
              </w:rPr>
              <w:t>占同类交易金额</w:t>
            </w:r>
            <w:r>
              <w:rPr>
                <w:rFonts w:ascii="宋体" w:hAnsi="宋体" w:cs="宋体" w:eastAsia="宋体" w:hint="default"/>
                <w:w w:val="100"/>
                <w:sz w:val="21"/>
                <w:szCs w:val="21"/>
              </w:rPr>
              <w:t> </w:t>
            </w:r>
            <w:r>
              <w:rPr>
                <w:rFonts w:ascii="宋体" w:hAnsi="宋体" w:cs="宋体" w:eastAsia="宋体" w:hint="default"/>
                <w:sz w:val="21"/>
                <w:szCs w:val="21"/>
              </w:rPr>
              <w:t>的比例</w:t>
            </w:r>
          </w:p>
        </w:tc>
        <w:tc>
          <w:tcPr>
            <w:tcW w:w="156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355"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530" w:right="106" w:hanging="420"/>
              <w:jc w:val="left"/>
              <w:rPr>
                <w:rFonts w:ascii="宋体" w:hAnsi="宋体" w:cs="宋体" w:eastAsia="宋体" w:hint="default"/>
                <w:sz w:val="21"/>
                <w:szCs w:val="21"/>
              </w:rPr>
            </w:pPr>
            <w:r>
              <w:rPr>
                <w:rFonts w:ascii="宋体" w:hAnsi="宋体" w:cs="宋体" w:eastAsia="宋体" w:hint="default"/>
                <w:sz w:val="21"/>
                <w:szCs w:val="21"/>
              </w:rPr>
              <w:t>占同类交易金额</w:t>
            </w:r>
            <w:r>
              <w:rPr>
                <w:rFonts w:ascii="宋体" w:hAnsi="宋体" w:cs="宋体" w:eastAsia="宋体" w:hint="default"/>
                <w:w w:val="100"/>
                <w:sz w:val="21"/>
                <w:szCs w:val="21"/>
              </w:rPr>
              <w:t> </w:t>
            </w:r>
            <w:r>
              <w:rPr>
                <w:rFonts w:ascii="宋体" w:hAnsi="宋体" w:cs="宋体" w:eastAsia="宋体" w:hint="default"/>
                <w:sz w:val="21"/>
                <w:szCs w:val="21"/>
              </w:rPr>
              <w:t>的比例</w:t>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center"/>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62.29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0.00%</w:t>
            </w:r>
          </w:p>
        </w:tc>
      </w:tr>
      <w:tr>
        <w:trPr>
          <w:trHeight w:val="324" w:hRule="exact"/>
        </w:trPr>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62.29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1"/>
                <w:szCs w:val="21"/>
              </w:rPr>
            </w:pPr>
            <w:r>
              <w:rPr>
                <w:rFonts w:ascii="宋体"/>
                <w:sz w:val="21"/>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sz w:val="21"/>
              </w:rPr>
              <w:t>0.00%</w:t>
            </w:r>
          </w:p>
        </w:tc>
      </w:tr>
    </w:tbl>
    <w:p>
      <w:pPr>
        <w:pStyle w:val="BodyText"/>
        <w:spacing w:line="357" w:lineRule="auto" w:before="38"/>
        <w:ind w:right="139" w:firstLine="480"/>
        <w:jc w:val="both"/>
      </w:pPr>
      <w:r>
        <w:rPr/>
        <w:t>日本欧姆龙株式会社为日本大型制造业企业，是持有我公司</w:t>
      </w:r>
      <w:r>
        <w:rPr>
          <w:spacing w:val="-60"/>
        </w:rPr>
        <w:t> </w:t>
      </w:r>
      <w:r>
        <w:rPr/>
        <w:t>17.94%股权的欧</w:t>
      </w:r>
      <w:r>
        <w:rPr/>
        <w:t> 姆龙（中国）有限公司的母公司。</w:t>
      </w:r>
    </w:p>
    <w:p>
      <w:pPr>
        <w:pStyle w:val="BodyText"/>
        <w:spacing w:line="357" w:lineRule="auto"/>
        <w:ind w:right="135" w:firstLine="480"/>
        <w:jc w:val="both"/>
      </w:pPr>
      <w:r>
        <w:rPr/>
        <w:t>根据日本欧姆龙株式会社集团内部结构调整，自</w:t>
      </w:r>
      <w:r>
        <w:rPr>
          <w:spacing w:val="-67"/>
        </w:rPr>
        <w:t> </w:t>
      </w:r>
      <w:r>
        <w:rPr/>
        <w:t>2010</w:t>
      </w:r>
      <w:r>
        <w:rPr>
          <w:spacing w:val="-67"/>
        </w:rPr>
        <w:t> </w:t>
      </w:r>
      <w:r>
        <w:rPr/>
        <w:t>年</w:t>
      </w:r>
      <w:r>
        <w:rPr>
          <w:spacing w:val="-67"/>
        </w:rPr>
        <w:t> </w:t>
      </w:r>
      <w:r>
        <w:rPr/>
        <w:t>4</w:t>
      </w:r>
      <w:r>
        <w:rPr>
          <w:spacing w:val="-67"/>
        </w:rPr>
        <w:t> </w:t>
      </w:r>
      <w:r>
        <w:rPr>
          <w:spacing w:val="-4"/>
        </w:rPr>
        <w:t>月起，其轨道交通</w:t>
      </w:r>
      <w:r>
        <w:rPr/>
        <w:t> </w:t>
      </w:r>
      <w:r>
        <w:rPr>
          <w:spacing w:val="-5"/>
        </w:rPr>
        <w:t>相关软件开发管理业务交由欧姆龙软件株式会社（简称“欧姆龙软件”）负责。因</w:t>
      </w:r>
      <w:r>
        <w:rPr/>
        <w:t> 此我公司长期向日本欧姆龙株式会社承接的软件设计和开发业务，也随之转变成 由欧姆龙软件向我公司发包。故报告期内关联交易中，原来同日本欧姆龙株式会 社公司的结算，转成了同欧姆龙软件之间的结算。根据关联交易的有关规定，欧</w:t>
      </w:r>
    </w:p>
    <w:p>
      <w:pPr>
        <w:spacing w:after="0" w:line="357" w:lineRule="auto"/>
        <w:jc w:val="both"/>
        <w:sectPr>
          <w:pgSz w:w="11900" w:h="16840"/>
          <w:pgMar w:header="874" w:footer="983" w:top="1040" w:bottom="1180" w:left="1660" w:right="1500"/>
        </w:sectPr>
      </w:pPr>
    </w:p>
    <w:p>
      <w:pPr>
        <w:spacing w:line="240" w:lineRule="auto" w:before="0"/>
        <w:rPr>
          <w:rFonts w:ascii="宋体" w:hAnsi="宋体" w:cs="宋体" w:eastAsia="宋体" w:hint="default"/>
          <w:sz w:val="20"/>
          <w:szCs w:val="20"/>
        </w:rPr>
      </w:pPr>
    </w:p>
    <w:p>
      <w:pPr>
        <w:pStyle w:val="BodyText"/>
        <w:spacing w:line="357" w:lineRule="auto" w:before="160"/>
        <w:ind w:right="280"/>
        <w:jc w:val="left"/>
      </w:pPr>
      <w:r>
        <w:rPr/>
        <w:t>姆龙软件已不属于我公司的关联公司，故报告期内的关联交易数据，同计划有较 大的差别。</w:t>
      </w:r>
    </w:p>
    <w:p>
      <w:pPr>
        <w:pStyle w:val="BodyText"/>
        <w:spacing w:line="357" w:lineRule="auto"/>
        <w:ind w:right="233" w:firstLine="480"/>
        <w:jc w:val="both"/>
      </w:pPr>
      <w:r>
        <w:rPr/>
        <w:t>此项交易，均是公司在长期经营活动中多年累积形成的，定价依据与日本欧 姆龙株式会社一致，为市场平均价格，定价公平合理，付款与结算均依据多年形</w:t>
      </w:r>
      <w:r>
        <w:rPr>
          <w:spacing w:val="-67"/>
        </w:rPr>
        <w:t> </w:t>
      </w:r>
      <w:r>
        <w:rPr>
          <w:spacing w:val="-67"/>
        </w:rPr>
      </w:r>
      <w:r>
        <w:rPr/>
        <w:t>成的商业惯例，不存在风险。</w:t>
      </w:r>
    </w:p>
    <w:p>
      <w:pPr>
        <w:pStyle w:val="BodyText"/>
        <w:spacing w:line="240" w:lineRule="auto"/>
        <w:ind w:right="280"/>
        <w:jc w:val="left"/>
      </w:pPr>
      <w:r>
        <w:rPr/>
        <w:t>（二）报告期内，公司不存在因资产收购及出售发生的重大关联交易事项；</w:t>
      </w:r>
    </w:p>
    <w:p>
      <w:pPr>
        <w:pStyle w:val="BodyText"/>
        <w:spacing w:line="240" w:lineRule="auto" w:before="154"/>
        <w:ind w:right="280"/>
        <w:jc w:val="left"/>
      </w:pPr>
      <w:r>
        <w:rPr/>
        <w:t>（三）报告期内，公司不存在与关联方共同对外投资的重大关联交易事项；</w:t>
      </w:r>
    </w:p>
    <w:p>
      <w:pPr>
        <w:pStyle w:val="BodyText"/>
        <w:spacing w:line="240" w:lineRule="auto" w:before="154"/>
        <w:ind w:right="280"/>
        <w:jc w:val="left"/>
      </w:pPr>
      <w:r>
        <w:rPr/>
        <w:t>（四）报告期内，公司不存在与关联方发生债权债务往来情况及担保事项；</w:t>
      </w:r>
    </w:p>
    <w:p>
      <w:pPr>
        <w:pStyle w:val="BodyText"/>
        <w:spacing w:line="240" w:lineRule="auto" w:before="154"/>
        <w:ind w:right="280"/>
        <w:jc w:val="left"/>
      </w:pPr>
      <w:r>
        <w:rPr/>
        <w:t>（五）报告期内，公司无其他重大关联交易。</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line="357" w:lineRule="auto" w:before="0"/>
        <w:ind w:left="620" w:right="102" w:hanging="480"/>
        <w:jc w:val="left"/>
        <w:rPr>
          <w:rFonts w:ascii="宋体" w:hAnsi="宋体" w:cs="宋体" w:eastAsia="宋体" w:hint="default"/>
          <w:sz w:val="24"/>
          <w:szCs w:val="24"/>
        </w:rPr>
      </w:pPr>
      <w:r>
        <w:rPr>
          <w:rFonts w:ascii="宋体" w:hAnsi="宋体" w:cs="宋体" w:eastAsia="宋体" w:hint="default"/>
          <w:b/>
          <w:bCs/>
          <w:sz w:val="24"/>
          <w:szCs w:val="24"/>
        </w:rPr>
        <w:t>七、关联方占用公司资金及对外担保事项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报告期内，公司未发生关联方占用资金及对外担保情况。 有关关联方占用资金详情可参见上海众华沪银会计师事务所出具的《关于上</w:t>
      </w:r>
    </w:p>
    <w:p>
      <w:pPr>
        <w:pStyle w:val="BodyText"/>
        <w:spacing w:line="357" w:lineRule="auto"/>
        <w:ind w:left="620" w:right="102" w:hanging="480"/>
        <w:jc w:val="left"/>
      </w:pPr>
      <w:r>
        <w:rPr/>
        <w:t>海海隆软件股份有限公司</w:t>
      </w:r>
      <w:r>
        <w:rPr>
          <w:spacing w:val="-82"/>
        </w:rPr>
        <w:t> </w:t>
      </w:r>
      <w:r>
        <w:rPr/>
        <w:t>2010</w:t>
      </w:r>
      <w:r>
        <w:rPr>
          <w:spacing w:val="-82"/>
        </w:rPr>
        <w:t> </w:t>
      </w:r>
      <w:r>
        <w:rPr>
          <w:spacing w:val="-6"/>
        </w:rPr>
        <w:t>年度控股股东及其他关联方占用情况的专项说明》。</w:t>
      </w:r>
      <w:r>
        <w:rPr/>
        <w:t> 公司独立董事对公司累计和当期对外担保情况及关联方占用资金情况进行了</w:t>
      </w:r>
    </w:p>
    <w:p>
      <w:pPr>
        <w:pStyle w:val="BodyText"/>
        <w:spacing w:line="357" w:lineRule="auto"/>
        <w:ind w:left="620" w:right="108" w:hanging="480"/>
        <w:jc w:val="left"/>
      </w:pPr>
      <w:r>
        <w:rPr/>
        <w:t>必要的了解和核查，相关独立董事意见如下： </w:t>
      </w:r>
      <w:r>
        <w:rPr>
          <w:spacing w:val="-2"/>
        </w:rPr>
        <w:t>报告期内，公司不存在累计和当期对外担保情况，不存在违规对外担保情况。</w:t>
      </w:r>
      <w:r>
        <w:rPr/>
        <w:t> </w:t>
      </w:r>
      <w:r>
        <w:rPr>
          <w:spacing w:val="4"/>
        </w:rPr>
        <w:t>关于关联方占用资金情况，2010</w:t>
      </w:r>
      <w:r>
        <w:rPr>
          <w:spacing w:val="16"/>
        </w:rPr>
        <w:t> </w:t>
      </w:r>
      <w:r>
        <w:rPr>
          <w:spacing w:val="5"/>
        </w:rPr>
        <w:t>年度公司除与日本欧姆龙株式会社（持股</w:t>
      </w:r>
    </w:p>
    <w:p>
      <w:pPr>
        <w:pStyle w:val="BodyText"/>
        <w:spacing w:line="357" w:lineRule="auto"/>
        <w:ind w:right="233"/>
        <w:jc w:val="both"/>
      </w:pPr>
      <w:r>
        <w:rPr>
          <w:spacing w:val="-5"/>
        </w:rPr>
        <w:t>17.94%的股东欧姆龙（中国）有限公司的实际控制人）、全资子公司日本海隆株式</w:t>
      </w:r>
      <w:r>
        <w:rPr>
          <w:spacing w:val="-105"/>
        </w:rPr>
        <w:t> </w:t>
      </w:r>
      <w:r>
        <w:rPr>
          <w:spacing w:val="-105"/>
        </w:rPr>
      </w:r>
      <w:r>
        <w:rPr/>
        <w:t>会社、控股子公司上海华钟计算机软件开发有限公司、上海海隆宜通信息技术有</w:t>
      </w:r>
      <w:r>
        <w:rPr>
          <w:spacing w:val="-67"/>
        </w:rPr>
        <w:t> </w:t>
      </w:r>
      <w:r>
        <w:rPr>
          <w:spacing w:val="-67"/>
        </w:rPr>
      </w:r>
      <w:r>
        <w:rPr/>
        <w:t>限公司因正常业务往来而发生经营性占用外，不存在公司任何股东、关联方占用</w:t>
      </w:r>
      <w:r>
        <w:rPr>
          <w:spacing w:val="-67"/>
        </w:rPr>
        <w:t> </w:t>
      </w:r>
      <w:r>
        <w:rPr>
          <w:spacing w:val="-67"/>
        </w:rPr>
      </w:r>
      <w:r>
        <w:rPr/>
        <w:t>公司资金的情况。</w:t>
      </w:r>
    </w:p>
    <w:p>
      <w:pPr>
        <w:spacing w:line="240" w:lineRule="auto" w:before="0"/>
        <w:rPr>
          <w:rFonts w:ascii="宋体" w:hAnsi="宋体" w:cs="宋体" w:eastAsia="宋体" w:hint="default"/>
          <w:sz w:val="24"/>
          <w:szCs w:val="24"/>
        </w:rPr>
      </w:pPr>
    </w:p>
    <w:p>
      <w:pPr>
        <w:pStyle w:val="Heading3"/>
        <w:spacing w:line="240" w:lineRule="auto" w:before="190"/>
        <w:ind w:right="280"/>
        <w:jc w:val="left"/>
        <w:rPr>
          <w:b w:val="0"/>
          <w:bCs w:val="0"/>
        </w:rPr>
      </w:pPr>
      <w:r>
        <w:rPr/>
        <w:t>八、与最近一期年度报告相比，合并范围发生变化的具体说明</w:t>
      </w:r>
      <w:r>
        <w:rPr>
          <w:b w:val="0"/>
          <w:bCs w:val="0"/>
        </w:rPr>
      </w:r>
    </w:p>
    <w:p>
      <w:pPr>
        <w:pStyle w:val="BodyText"/>
        <w:spacing w:line="357" w:lineRule="auto" w:before="154"/>
        <w:ind w:right="235" w:firstLine="480"/>
        <w:jc w:val="both"/>
      </w:pPr>
      <w:r>
        <w:rPr/>
        <w:t>根据本公司</w:t>
      </w:r>
      <w:r>
        <w:rPr>
          <w:spacing w:val="-60"/>
        </w:rPr>
        <w:t> </w:t>
      </w:r>
      <w:r>
        <w:rPr/>
        <w:t>2009</w:t>
      </w:r>
      <w:r>
        <w:rPr>
          <w:spacing w:val="-60"/>
        </w:rPr>
        <w:t> </w:t>
      </w:r>
      <w:r>
        <w:rPr/>
        <w:t>年</w:t>
      </w:r>
      <w:r>
        <w:rPr>
          <w:spacing w:val="-60"/>
        </w:rPr>
        <w:t> </w:t>
      </w:r>
      <w:r>
        <w:rPr/>
        <w:t>1</w:t>
      </w:r>
      <w:r>
        <w:rPr>
          <w:spacing w:val="-60"/>
        </w:rPr>
        <w:t> </w:t>
      </w:r>
      <w:r>
        <w:rPr/>
        <w:t>月</w:t>
      </w:r>
      <w:r>
        <w:rPr>
          <w:spacing w:val="-60"/>
        </w:rPr>
        <w:t> </w:t>
      </w:r>
      <w:r>
        <w:rPr/>
        <w:t>21</w:t>
      </w:r>
      <w:r>
        <w:rPr>
          <w:spacing w:val="-60"/>
        </w:rPr>
        <w:t> </w:t>
      </w:r>
      <w:r>
        <w:rPr/>
        <w:t>日第三届董事会第十五次会议决议，本公司对原</w:t>
      </w:r>
      <w:r>
        <w:rPr/>
        <w:t> 合营企业上海华钟计算机软件开发有限公司进行增资，出资比例由原</w:t>
      </w:r>
      <w:r>
        <w:rPr>
          <w:spacing w:val="-60"/>
        </w:rPr>
        <w:t> </w:t>
      </w:r>
      <w:r>
        <w:rPr/>
        <w:t>50%增加到</w:t>
      </w:r>
      <w:r>
        <w:rPr/>
        <w:t> 51%；本公司以货币资金增资金额为</w:t>
      </w:r>
      <w:r>
        <w:rPr>
          <w:spacing w:val="-64"/>
        </w:rPr>
        <w:t> </w:t>
      </w:r>
      <w:r>
        <w:rPr/>
        <w:t>676,326.53</w:t>
      </w:r>
      <w:r>
        <w:rPr>
          <w:spacing w:val="-64"/>
        </w:rPr>
        <w:t> </w:t>
      </w:r>
      <w:r>
        <w:rPr>
          <w:spacing w:val="-10"/>
        </w:rPr>
        <w:t>元，于</w:t>
      </w:r>
      <w:r>
        <w:rPr>
          <w:spacing w:val="-64"/>
        </w:rPr>
        <w:t> </w:t>
      </w:r>
      <w:r>
        <w:rPr/>
        <w:t>2009</w:t>
      </w:r>
      <w:r>
        <w:rPr>
          <w:spacing w:val="-64"/>
        </w:rPr>
        <w:t> </w:t>
      </w:r>
      <w:r>
        <w:rPr/>
        <w:t>年</w:t>
      </w:r>
      <w:r>
        <w:rPr>
          <w:spacing w:val="-64"/>
        </w:rPr>
        <w:t> </w:t>
      </w:r>
      <w:r>
        <w:rPr/>
        <w:t>8</w:t>
      </w:r>
      <w:r>
        <w:rPr>
          <w:spacing w:val="-64"/>
        </w:rPr>
        <w:t> </w:t>
      </w:r>
      <w:r>
        <w:rPr/>
        <w:t>月</w:t>
      </w:r>
      <w:r>
        <w:rPr>
          <w:spacing w:val="-64"/>
        </w:rPr>
        <w:t> </w:t>
      </w:r>
      <w:r>
        <w:rPr/>
        <w:t>5</w:t>
      </w:r>
      <w:r>
        <w:rPr>
          <w:spacing w:val="-64"/>
        </w:rPr>
        <w:t> </w:t>
      </w:r>
      <w:r>
        <w:rPr/>
        <w:t>日经上海君</w:t>
      </w:r>
    </w:p>
    <w:p>
      <w:pPr>
        <w:pStyle w:val="BodyText"/>
        <w:spacing w:line="357" w:lineRule="auto"/>
        <w:ind w:right="221"/>
        <w:jc w:val="left"/>
      </w:pPr>
      <w:r>
        <w:rPr>
          <w:spacing w:val="-7"/>
        </w:rPr>
        <w:t>衡联合会计师事务所验资确认，2009</w:t>
      </w:r>
      <w:r>
        <w:rPr>
          <w:spacing w:val="-59"/>
        </w:rPr>
        <w:t> </w:t>
      </w:r>
      <w:r>
        <w:rPr/>
        <w:t>年</w:t>
      </w:r>
      <w:r>
        <w:rPr>
          <w:spacing w:val="-59"/>
        </w:rPr>
        <w:t> </w:t>
      </w:r>
      <w:r>
        <w:rPr/>
        <w:t>8</w:t>
      </w:r>
      <w:r>
        <w:rPr>
          <w:spacing w:val="-59"/>
        </w:rPr>
        <w:t> </w:t>
      </w:r>
      <w:r>
        <w:rPr/>
        <w:t>月</w:t>
      </w:r>
      <w:r>
        <w:rPr>
          <w:spacing w:val="-59"/>
        </w:rPr>
        <w:t> </w:t>
      </w:r>
      <w:r>
        <w:rPr/>
        <w:t>20</w:t>
      </w:r>
      <w:r>
        <w:rPr>
          <w:spacing w:val="-59"/>
        </w:rPr>
        <w:t> </w:t>
      </w:r>
      <w:r>
        <w:rPr/>
        <w:t>日上海华钟计算机软件开发有限公</w:t>
      </w:r>
      <w:r>
        <w:rPr/>
        <w:t> 司完成工商变更并取得换发后的企业法人营业执照；本公司第三届董事会第二十</w:t>
      </w:r>
    </w:p>
    <w:p>
      <w:pPr>
        <w:spacing w:after="0" w:line="357" w:lineRule="auto"/>
        <w:jc w:val="left"/>
        <w:sectPr>
          <w:pgSz w:w="11900" w:h="16840"/>
          <w:pgMar w:header="874" w:footer="983" w:top="1040" w:bottom="1180" w:left="1660" w:right="1400"/>
        </w:sectPr>
      </w:pPr>
    </w:p>
    <w:p>
      <w:pPr>
        <w:spacing w:line="240" w:lineRule="auto" w:before="0"/>
        <w:rPr>
          <w:rFonts w:ascii="宋体" w:hAnsi="宋体" w:cs="宋体" w:eastAsia="宋体" w:hint="default"/>
          <w:sz w:val="20"/>
          <w:szCs w:val="20"/>
        </w:rPr>
      </w:pPr>
    </w:p>
    <w:p>
      <w:pPr>
        <w:pStyle w:val="BodyText"/>
        <w:spacing w:line="357" w:lineRule="auto" w:before="160"/>
        <w:ind w:left="260" w:right="215"/>
        <w:jc w:val="both"/>
      </w:pPr>
      <w:r>
        <w:rPr/>
        <w:t>一次会议决议确定自</w:t>
      </w:r>
      <w:r>
        <w:rPr>
          <w:spacing w:val="-70"/>
        </w:rPr>
        <w:t> </w:t>
      </w:r>
      <w:r>
        <w:rPr/>
        <w:t>2009</w:t>
      </w:r>
      <w:r>
        <w:rPr>
          <w:spacing w:val="-70"/>
        </w:rPr>
        <w:t> </w:t>
      </w:r>
      <w:r>
        <w:rPr/>
        <w:t>年</w:t>
      </w:r>
      <w:r>
        <w:rPr>
          <w:spacing w:val="-70"/>
        </w:rPr>
        <w:t> </w:t>
      </w:r>
      <w:r>
        <w:rPr/>
        <w:t>9</w:t>
      </w:r>
      <w:r>
        <w:rPr>
          <w:spacing w:val="-70"/>
        </w:rPr>
        <w:t> </w:t>
      </w:r>
      <w:r>
        <w:rPr/>
        <w:t>月</w:t>
      </w:r>
      <w:r>
        <w:rPr>
          <w:spacing w:val="-70"/>
        </w:rPr>
        <w:t> </w:t>
      </w:r>
      <w:r>
        <w:rPr/>
        <w:t>1</w:t>
      </w:r>
      <w:r>
        <w:rPr>
          <w:spacing w:val="-70"/>
        </w:rPr>
        <w:t> </w:t>
      </w:r>
      <w:r>
        <w:rPr/>
        <w:t>日起对上海华钟计算机软件开发有限公司实施</w:t>
      </w:r>
      <w:r>
        <w:rPr/>
        <w:t> 控制，将其纳入本公司合并报表范围。2010</w:t>
      </w:r>
      <w:r>
        <w:rPr>
          <w:spacing w:val="-60"/>
        </w:rPr>
        <w:t> </w:t>
      </w:r>
      <w:r>
        <w:rPr/>
        <w:t>年度，上海华钟计算机软件开发有限</w:t>
      </w:r>
      <w:r>
        <w:rPr/>
        <w:t> 公司全年纳入本公司合并报表范围。</w:t>
      </w:r>
    </w:p>
    <w:p>
      <w:pPr>
        <w:pStyle w:val="BodyText"/>
        <w:spacing w:line="357" w:lineRule="auto"/>
        <w:ind w:left="260" w:right="200" w:firstLine="480"/>
        <w:jc w:val="left"/>
      </w:pPr>
      <w:r>
        <w:rPr/>
        <w:t>本公司与日本 MTI</w:t>
      </w:r>
      <w:r>
        <w:rPr>
          <w:spacing w:val="-60"/>
        </w:rPr>
        <w:t> </w:t>
      </w:r>
      <w:r>
        <w:rPr/>
        <w:t>株式会社合资经营的控股子公司上海海隆宜通信息技术有</w:t>
      </w:r>
      <w:r>
        <w:rPr/>
        <w:t> 限公司完成工商注册登记（详见</w:t>
      </w:r>
      <w:r>
        <w:rPr>
          <w:spacing w:val="-60"/>
        </w:rPr>
        <w:t> </w:t>
      </w:r>
      <w:r>
        <w:rPr/>
        <w:t>2010 年</w:t>
      </w:r>
      <w:r>
        <w:rPr>
          <w:spacing w:val="-60"/>
        </w:rPr>
        <w:t> </w:t>
      </w:r>
      <w:r>
        <w:rPr/>
        <w:t>7 月</w:t>
      </w:r>
      <w:r>
        <w:rPr>
          <w:spacing w:val="-60"/>
        </w:rPr>
        <w:t> </w:t>
      </w:r>
      <w:r>
        <w:rPr/>
        <w:t>7 日《中国证券报》和巨潮资讯网</w:t>
      </w:r>
    </w:p>
    <w:p>
      <w:pPr>
        <w:pStyle w:val="BodyText"/>
        <w:spacing w:line="357" w:lineRule="auto"/>
        <w:ind w:left="260" w:right="215"/>
        <w:jc w:val="both"/>
      </w:pPr>
      <w:hyperlink r:id="rId9">
        <w:r>
          <w:rPr/>
          <w:t>http://www.cninfo.com.cn,</w:t>
        </w:r>
      </w:hyperlink>
      <w:r>
        <w:rPr/>
        <w:t> </w:t>
      </w:r>
      <w:r>
        <w:rPr>
          <w:spacing w:val="-10"/>
        </w:rPr>
        <w:t>公告号：2010-018），正式开始经营活动，并于</w:t>
      </w:r>
      <w:r>
        <w:rPr>
          <w:spacing w:val="-50"/>
        </w:rPr>
        <w:t> </w:t>
      </w:r>
      <w:r>
        <w:rPr/>
        <w:t>2010</w:t>
      </w:r>
      <w:r>
        <w:rPr/>
        <w:t> 年第三季度进入公司合并报表范围。</w:t>
      </w:r>
    </w:p>
    <w:p>
      <w:pPr>
        <w:pStyle w:val="BodyText"/>
        <w:spacing w:line="357" w:lineRule="auto"/>
        <w:ind w:left="260" w:right="202" w:firstLine="480"/>
        <w:jc w:val="left"/>
      </w:pPr>
      <w:r>
        <w:rPr>
          <w:spacing w:val="8"/>
        </w:rPr>
        <w:t>本公司全资子公司江苏海隆软件技术有限公司已完成工商注册登记（详见</w:t>
      </w:r>
      <w:r>
        <w:rPr/>
        <w:t> 2010</w:t>
      </w:r>
      <w:r>
        <w:rPr>
          <w:spacing w:val="1"/>
        </w:rPr>
        <w:t> </w:t>
      </w:r>
      <w:r>
        <w:rPr/>
        <w:t>年</w:t>
      </w:r>
      <w:r>
        <w:rPr>
          <w:spacing w:val="-60"/>
        </w:rPr>
        <w:t> </w:t>
      </w:r>
      <w:r>
        <w:rPr/>
        <w:t>7</w:t>
      </w:r>
      <w:r>
        <w:rPr>
          <w:spacing w:val="1"/>
        </w:rPr>
        <w:t> </w:t>
      </w:r>
      <w:r>
        <w:rPr/>
        <w:t>月</w:t>
      </w:r>
      <w:r>
        <w:rPr>
          <w:spacing w:val="-60"/>
        </w:rPr>
        <w:t> </w:t>
      </w:r>
      <w:r>
        <w:rPr/>
        <w:t>13</w:t>
      </w:r>
      <w:r>
        <w:rPr>
          <w:spacing w:val="1"/>
        </w:rPr>
        <w:t> </w:t>
      </w:r>
      <w:r>
        <w:rPr>
          <w:spacing w:val="-9"/>
        </w:rPr>
        <w:t>日《中国证券报》和巨潮资讯网</w:t>
      </w:r>
      <w:r>
        <w:rPr>
          <w:spacing w:val="-60"/>
        </w:rPr>
        <w:t> </w:t>
      </w:r>
      <w:hyperlink r:id="rId9">
        <w:r>
          <w:rPr/>
          <w:t>http://www.cninfo.com.cn,</w:t>
        </w:r>
      </w:hyperlink>
      <w:r>
        <w:rPr>
          <w:spacing w:val="1"/>
        </w:rPr>
        <w:t> </w:t>
      </w:r>
      <w:r>
        <w:rPr/>
        <w:t>公</w:t>
      </w:r>
    </w:p>
    <w:p>
      <w:pPr>
        <w:pStyle w:val="BodyText"/>
        <w:spacing w:line="357" w:lineRule="auto"/>
        <w:ind w:left="260" w:right="219"/>
        <w:jc w:val="both"/>
      </w:pPr>
      <w:r>
        <w:rPr>
          <w:spacing w:val="-5"/>
        </w:rPr>
        <w:t>告号：2010-019），正式开始经营活动，并于</w:t>
      </w:r>
      <w:r>
        <w:rPr/>
        <w:t> 2010</w:t>
      </w:r>
      <w:r>
        <w:rPr>
          <w:spacing w:val="-60"/>
        </w:rPr>
        <w:t> </w:t>
      </w:r>
      <w:r>
        <w:rPr/>
        <w:t>年第三季度进入公司合并报表</w:t>
      </w:r>
      <w:r>
        <w:rPr/>
        <w:t> 范围。</w:t>
      </w:r>
    </w:p>
    <w:p>
      <w:pPr>
        <w:spacing w:line="240" w:lineRule="auto" w:before="0"/>
        <w:rPr>
          <w:rFonts w:ascii="宋体" w:hAnsi="宋体" w:cs="宋体" w:eastAsia="宋体" w:hint="default"/>
          <w:sz w:val="24"/>
          <w:szCs w:val="24"/>
        </w:rPr>
      </w:pPr>
    </w:p>
    <w:p>
      <w:pPr>
        <w:spacing w:line="357" w:lineRule="auto" w:before="190"/>
        <w:ind w:left="740" w:right="5060" w:hanging="480"/>
        <w:jc w:val="left"/>
        <w:rPr>
          <w:rFonts w:ascii="宋体" w:hAnsi="宋体" w:cs="宋体" w:eastAsia="宋体" w:hint="default"/>
          <w:sz w:val="24"/>
          <w:szCs w:val="24"/>
        </w:rPr>
      </w:pPr>
      <w:r>
        <w:rPr>
          <w:rFonts w:ascii="宋体" w:hAnsi="宋体" w:cs="宋体" w:eastAsia="宋体" w:hint="default"/>
          <w:b/>
          <w:bCs/>
          <w:sz w:val="24"/>
          <w:szCs w:val="24"/>
        </w:rPr>
        <w:t>九、重大合同及履行情况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报告期内，公司无重大合同。</w:t>
      </w:r>
    </w:p>
    <w:p>
      <w:pPr>
        <w:spacing w:line="240" w:lineRule="auto" w:before="0"/>
        <w:rPr>
          <w:rFonts w:ascii="宋体" w:hAnsi="宋体" w:cs="宋体" w:eastAsia="宋体" w:hint="default"/>
          <w:sz w:val="24"/>
          <w:szCs w:val="24"/>
        </w:rPr>
      </w:pPr>
    </w:p>
    <w:p>
      <w:pPr>
        <w:pStyle w:val="Heading3"/>
        <w:spacing w:line="240" w:lineRule="auto" w:before="190"/>
        <w:ind w:left="260" w:right="0"/>
        <w:jc w:val="both"/>
        <w:rPr>
          <w:b w:val="0"/>
          <w:bCs w:val="0"/>
        </w:rPr>
      </w:pPr>
      <w:r>
        <w:rPr/>
        <w:t>十、公司或持股</w:t>
      </w:r>
      <w:r>
        <w:rPr>
          <w:spacing w:val="-67"/>
        </w:rPr>
        <w:t> </w:t>
      </w:r>
      <w:r>
        <w:rPr/>
        <w:t>5%以上股东在报告期内或持续到报告期内的承诺事项</w:t>
      </w:r>
      <w:r>
        <w:rPr>
          <w:b w:val="0"/>
          <w:bCs w:val="0"/>
        </w:rPr>
      </w:r>
    </w:p>
    <w:p>
      <w:pPr>
        <w:spacing w:line="240" w:lineRule="auto" w:before="11"/>
        <w:rPr>
          <w:rFonts w:ascii="宋体" w:hAnsi="宋体" w:cs="宋体" w:eastAsia="宋体" w:hint="default"/>
          <w:b/>
          <w:bCs/>
          <w:sz w:val="8"/>
          <w:szCs w:val="8"/>
        </w:rPr>
      </w:pPr>
    </w:p>
    <w:tbl>
      <w:tblPr>
        <w:tblW w:w="0" w:type="auto"/>
        <w:jc w:val="left"/>
        <w:tblInd w:w="113" w:type="dxa"/>
        <w:tblLayout w:type="fixed"/>
        <w:tblCellMar>
          <w:top w:w="0" w:type="dxa"/>
          <w:left w:w="0" w:type="dxa"/>
          <w:bottom w:w="0" w:type="dxa"/>
          <w:right w:w="0" w:type="dxa"/>
        </w:tblCellMar>
        <w:tblLook w:val="01E0"/>
      </w:tblPr>
      <w:tblGrid>
        <w:gridCol w:w="2551"/>
        <w:gridCol w:w="2182"/>
        <w:gridCol w:w="2772"/>
        <w:gridCol w:w="1205"/>
      </w:tblGrid>
      <w:tr>
        <w:trPr>
          <w:trHeight w:val="321" w:hRule="exact"/>
        </w:trPr>
        <w:tc>
          <w:tcPr>
            <w:tcW w:w="25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1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承诺人</w:t>
            </w:r>
          </w:p>
        </w:tc>
        <w:tc>
          <w:tcPr>
            <w:tcW w:w="277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2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177"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322" w:hRule="exact"/>
        </w:trPr>
        <w:tc>
          <w:tcPr>
            <w:tcW w:w="25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25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3" w:lineRule="auto"/>
              <w:ind w:left="21" w:right="204"/>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告书中所作承诺</w:t>
            </w:r>
          </w:p>
        </w:tc>
        <w:tc>
          <w:tcPr>
            <w:tcW w:w="2182" w:type="dxa"/>
            <w:tcBorders>
              <w:top w:val="single" w:sz="4" w:space="0" w:color="000000"/>
              <w:left w:val="single" w:sz="13" w:space="0" w:color="DBDBDB"/>
              <w:bottom w:val="single" w:sz="4" w:space="0" w:color="000000"/>
              <w:right w:val="single" w:sz="4" w:space="0" w:color="000000"/>
            </w:tcBorders>
          </w:tcPr>
          <w:p>
            <w:pPr>
              <w:pStyle w:val="TableParagraph"/>
              <w:spacing w:line="240" w:lineRule="auto" w:before="143"/>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重大资产重组时所作承诺</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253" w:hRule="exact"/>
        </w:trPr>
        <w:tc>
          <w:tcPr>
            <w:tcW w:w="2551" w:type="dxa"/>
            <w:tcBorders>
              <w:top w:val="single" w:sz="4" w:space="0" w:color="000000"/>
              <w:left w:val="single" w:sz="4" w:space="0" w:color="000000"/>
              <w:bottom w:val="nil" w:sz="6" w:space="0" w:color="auto"/>
              <w:right w:val="single" w:sz="4" w:space="0" w:color="000000"/>
            </w:tcBorders>
            <w:shd w:val="clear" w:color="auto" w:fill="DBDBDB"/>
          </w:tcPr>
          <w:p>
            <w:pPr/>
          </w:p>
        </w:tc>
        <w:tc>
          <w:tcPr>
            <w:tcW w:w="218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73" w:lineRule="auto"/>
              <w:ind w:left="23" w:right="-34"/>
              <w:jc w:val="left"/>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3"/>
                <w:sz w:val="21"/>
                <w:szCs w:val="21"/>
              </w:rPr>
              <w:t> </w:t>
            </w:r>
            <w:r>
              <w:rPr>
                <w:rFonts w:ascii="宋体" w:hAnsi="宋体" w:cs="宋体" w:eastAsia="宋体" w:hint="default"/>
                <w:sz w:val="21"/>
                <w:szCs w:val="21"/>
              </w:rPr>
              <w:t>38</w:t>
            </w:r>
            <w:r>
              <w:rPr>
                <w:rFonts w:ascii="宋体" w:hAnsi="宋体" w:cs="宋体" w:eastAsia="宋体" w:hint="default"/>
                <w:spacing w:val="-54"/>
                <w:sz w:val="21"/>
                <w:szCs w:val="21"/>
              </w:rPr>
              <w:t> </w:t>
            </w:r>
            <w:r>
              <w:rPr>
                <w:rFonts w:ascii="宋体" w:hAnsi="宋体" w:cs="宋体" w:eastAsia="宋体" w:hint="default"/>
                <w:sz w:val="21"/>
                <w:szCs w:val="21"/>
              </w:rPr>
              <w:t>位自然人</w:t>
            </w:r>
            <w:r>
              <w:rPr>
                <w:rFonts w:ascii="宋体" w:hAnsi="宋体" w:cs="宋体" w:eastAsia="宋体" w:hint="default"/>
                <w:w w:val="100"/>
                <w:sz w:val="21"/>
                <w:szCs w:val="21"/>
              </w:rPr>
              <w:t> </w:t>
            </w:r>
            <w:r>
              <w:rPr>
                <w:rFonts w:ascii="宋体" w:hAnsi="宋体" w:cs="宋体" w:eastAsia="宋体" w:hint="default"/>
                <w:sz w:val="21"/>
                <w:szCs w:val="21"/>
              </w:rPr>
              <w:t>股东、上海慧盛创业投</w:t>
            </w:r>
            <w:r>
              <w:rPr>
                <w:rFonts w:ascii="宋体" w:hAnsi="宋体" w:cs="宋体" w:eastAsia="宋体" w:hint="default"/>
                <w:w w:val="100"/>
                <w:sz w:val="21"/>
                <w:szCs w:val="21"/>
              </w:rPr>
              <w:t> </w:t>
            </w:r>
            <w:r>
              <w:rPr>
                <w:rFonts w:ascii="宋体" w:hAnsi="宋体" w:cs="宋体" w:eastAsia="宋体" w:hint="default"/>
                <w:sz w:val="21"/>
                <w:szCs w:val="21"/>
              </w:rPr>
              <w:t>资有限公司(原上海慧</w:t>
            </w:r>
            <w:r>
              <w:rPr>
                <w:rFonts w:ascii="宋体" w:hAnsi="宋体" w:cs="宋体" w:eastAsia="宋体" w:hint="default"/>
                <w:w w:val="100"/>
                <w:sz w:val="21"/>
                <w:szCs w:val="21"/>
              </w:rPr>
              <w:t> </w:t>
            </w:r>
            <w:r>
              <w:rPr>
                <w:rFonts w:ascii="宋体" w:hAnsi="宋体" w:cs="宋体" w:eastAsia="宋体" w:hint="default"/>
                <w:spacing w:val="-4"/>
                <w:sz w:val="21"/>
                <w:szCs w:val="21"/>
              </w:rPr>
              <w:t>盛信息投资有限公司)、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上海古德投资咨询有限</w:t>
            </w:r>
            <w:r>
              <w:rPr>
                <w:rFonts w:ascii="宋体" w:hAnsi="宋体" w:cs="宋体" w:eastAsia="宋体" w:hint="default"/>
                <w:w w:val="100"/>
                <w:sz w:val="21"/>
                <w:szCs w:val="21"/>
              </w:rPr>
              <w:t> </w:t>
            </w:r>
            <w:r>
              <w:rPr>
                <w:rFonts w:ascii="宋体" w:hAnsi="宋体" w:cs="宋体" w:eastAsia="宋体" w:hint="default"/>
                <w:sz w:val="21"/>
                <w:szCs w:val="21"/>
              </w:rPr>
              <w:t>公司、欧姆龙（中国）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772" w:type="dxa"/>
            <w:vMerge w:val="restart"/>
            <w:tcBorders>
              <w:top w:val="single" w:sz="4" w:space="0" w:color="000000"/>
              <w:left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包叔平等</w:t>
            </w:r>
            <w:r>
              <w:rPr>
                <w:rFonts w:ascii="宋体" w:hAnsi="宋体" w:cs="宋体" w:eastAsia="宋体" w:hint="default"/>
                <w:spacing w:val="-54"/>
                <w:sz w:val="21"/>
                <w:szCs w:val="21"/>
              </w:rPr>
              <w:t> </w:t>
            </w:r>
            <w:r>
              <w:rPr>
                <w:rFonts w:ascii="宋体" w:hAnsi="宋体" w:cs="宋体" w:eastAsia="宋体" w:hint="default"/>
                <w:sz w:val="21"/>
                <w:szCs w:val="21"/>
              </w:rPr>
              <w:t>38</w:t>
            </w:r>
            <w:r>
              <w:rPr>
                <w:rFonts w:ascii="宋体" w:hAnsi="宋体" w:cs="宋体" w:eastAsia="宋体" w:hint="default"/>
                <w:spacing w:val="-55"/>
                <w:sz w:val="21"/>
                <w:szCs w:val="21"/>
              </w:rPr>
              <w:t> </w:t>
            </w:r>
            <w:r>
              <w:rPr>
                <w:rFonts w:ascii="宋体" w:hAnsi="宋体" w:cs="宋体" w:eastAsia="宋体" w:hint="default"/>
                <w:sz w:val="21"/>
                <w:szCs w:val="21"/>
              </w:rPr>
              <w:t>位自然人股东、</w:t>
            </w:r>
            <w:r>
              <w:rPr>
                <w:rFonts w:ascii="宋体" w:hAnsi="宋体" w:cs="宋体" w:eastAsia="宋体" w:hint="default"/>
                <w:w w:val="100"/>
                <w:sz w:val="21"/>
                <w:szCs w:val="21"/>
              </w:rPr>
              <w:t> </w:t>
            </w:r>
            <w:r>
              <w:rPr>
                <w:rFonts w:ascii="宋体" w:hAnsi="宋体" w:cs="宋体" w:eastAsia="宋体" w:hint="default"/>
                <w:sz w:val="21"/>
                <w:szCs w:val="21"/>
              </w:rPr>
              <w:t>上海古德投资咨询有限公司</w:t>
            </w:r>
            <w:r>
              <w:rPr>
                <w:rFonts w:ascii="宋体" w:hAnsi="宋体" w:cs="宋体" w:eastAsia="宋体" w:hint="default"/>
                <w:w w:val="100"/>
                <w:sz w:val="21"/>
                <w:szCs w:val="21"/>
              </w:rPr>
              <w:t> </w:t>
            </w:r>
            <w:r>
              <w:rPr>
                <w:rFonts w:ascii="宋体" w:hAnsi="宋体" w:cs="宋体" w:eastAsia="宋体" w:hint="default"/>
                <w:sz w:val="21"/>
                <w:szCs w:val="21"/>
              </w:rPr>
              <w:t>关于不从事同业竞争生产经</w:t>
            </w:r>
            <w:r>
              <w:rPr>
                <w:rFonts w:ascii="宋体" w:hAnsi="宋体" w:cs="宋体" w:eastAsia="宋体" w:hint="default"/>
                <w:w w:val="100"/>
                <w:sz w:val="21"/>
                <w:szCs w:val="21"/>
              </w:rPr>
              <w:t> </w:t>
            </w:r>
            <w:r>
              <w:rPr>
                <w:rFonts w:ascii="宋体" w:hAnsi="宋体" w:cs="宋体" w:eastAsia="宋体" w:hint="default"/>
                <w:spacing w:val="-3"/>
                <w:sz w:val="21"/>
                <w:szCs w:val="21"/>
              </w:rPr>
              <w:t>营活动的承诺；上海慧盛创业</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投资有限公司(原上海慧盛信</w:t>
            </w:r>
            <w:r>
              <w:rPr>
                <w:rFonts w:ascii="宋体" w:hAnsi="宋体" w:cs="宋体" w:eastAsia="宋体" w:hint="default"/>
                <w:w w:val="100"/>
                <w:sz w:val="21"/>
                <w:szCs w:val="21"/>
              </w:rPr>
              <w:t> </w:t>
            </w:r>
            <w:r>
              <w:rPr>
                <w:rFonts w:ascii="宋体" w:hAnsi="宋体" w:cs="宋体" w:eastAsia="宋体" w:hint="default"/>
                <w:spacing w:val="-10"/>
                <w:sz w:val="21"/>
                <w:szCs w:val="21"/>
              </w:rPr>
              <w:t>息投资有限公司)、欧姆龙（中</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3"/>
                <w:sz w:val="21"/>
                <w:szCs w:val="21"/>
              </w:rPr>
              <w:t>国）有限公司关于不从事有损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于海隆软件利益的生产经营</w:t>
            </w:r>
            <w:r>
              <w:rPr>
                <w:rFonts w:ascii="宋体" w:hAnsi="宋体" w:cs="宋体" w:eastAsia="宋体" w:hint="default"/>
                <w:w w:val="100"/>
                <w:sz w:val="21"/>
                <w:szCs w:val="21"/>
              </w:rPr>
              <w:t> </w:t>
            </w:r>
            <w:r>
              <w:rPr>
                <w:rFonts w:ascii="宋体" w:hAnsi="宋体" w:cs="宋体" w:eastAsia="宋体" w:hint="default"/>
                <w:sz w:val="21"/>
                <w:szCs w:val="21"/>
              </w:rPr>
              <w:t>活动的承诺。</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73" w:lineRule="auto"/>
              <w:ind w:left="23" w:right="115"/>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各项承诺均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得到严格履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r>
      <w:tr>
        <w:trPr>
          <w:trHeight w:val="312" w:hRule="exact"/>
        </w:trPr>
        <w:tc>
          <w:tcPr>
            <w:tcW w:w="2551" w:type="dxa"/>
            <w:tcBorders>
              <w:top w:val="nil" w:sz="6" w:space="0" w:color="auto"/>
              <w:left w:val="single" w:sz="4" w:space="0" w:color="000000"/>
              <w:bottom w:val="nil" w:sz="6" w:space="0" w:color="auto"/>
              <w:right w:val="single" w:sz="4" w:space="0" w:color="000000"/>
            </w:tcBorders>
          </w:tcPr>
          <w:p>
            <w:pPr>
              <w:pStyle w:val="TableParagraph"/>
              <w:tabs>
                <w:tab w:pos="2517" w:val="left" w:leader="none"/>
              </w:tabs>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BDBDB" w:color="auto" w:val="clear"/>
              </w:rPr>
              <w:t>发行时所作承诺</w:t>
              <w:tab/>
            </w:r>
            <w:r>
              <w:rPr>
                <w:rFonts w:ascii="宋体" w:hAnsi="宋体" w:cs="宋体" w:eastAsia="宋体" w:hint="default"/>
                <w:sz w:val="21"/>
                <w:szCs w:val="21"/>
              </w:rPr>
            </w:r>
          </w:p>
        </w:tc>
        <w:tc>
          <w:tcPr>
            <w:tcW w:w="2182" w:type="dxa"/>
            <w:vMerge/>
            <w:tcBorders>
              <w:left w:val="single" w:sz="4" w:space="0" w:color="000000"/>
              <w:right w:val="single" w:sz="4" w:space="0" w:color="000000"/>
            </w:tcBorders>
          </w:tcPr>
          <w:p>
            <w:pPr/>
          </w:p>
        </w:tc>
        <w:tc>
          <w:tcPr>
            <w:tcW w:w="2772"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1253" w:hRule="exact"/>
        </w:trPr>
        <w:tc>
          <w:tcPr>
            <w:tcW w:w="2551" w:type="dxa"/>
            <w:tcBorders>
              <w:top w:val="nil" w:sz="6" w:space="0" w:color="auto"/>
              <w:left w:val="single" w:sz="4" w:space="0" w:color="000000"/>
              <w:bottom w:val="single" w:sz="4" w:space="0" w:color="000000"/>
              <w:right w:val="single" w:sz="4" w:space="0" w:color="000000"/>
            </w:tcBorders>
            <w:shd w:val="clear" w:color="auto" w:fill="DBDBDB"/>
          </w:tcPr>
          <w:p>
            <w:pPr/>
          </w:p>
        </w:tc>
        <w:tc>
          <w:tcPr>
            <w:tcW w:w="2182" w:type="dxa"/>
            <w:vMerge/>
            <w:tcBorders>
              <w:left w:val="single" w:sz="4" w:space="0" w:color="000000"/>
              <w:bottom w:val="single" w:sz="4" w:space="0" w:color="000000"/>
              <w:right w:val="single" w:sz="4" w:space="0" w:color="000000"/>
            </w:tcBorders>
          </w:tcPr>
          <w:p>
            <w:pPr/>
          </w:p>
        </w:tc>
        <w:tc>
          <w:tcPr>
            <w:tcW w:w="277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322" w:hRule="exact"/>
        </w:trPr>
        <w:tc>
          <w:tcPr>
            <w:tcW w:w="255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其他承诺（含追加承诺）</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ind w:left="260" w:right="224"/>
        <w:jc w:val="left"/>
        <w:rPr>
          <w:b w:val="0"/>
          <w:bCs w:val="0"/>
        </w:rPr>
      </w:pPr>
      <w:r>
        <w:rPr/>
        <w:t>十一、公司聘任会计师事务所情况</w:t>
      </w:r>
      <w:r>
        <w:rPr>
          <w:b w:val="0"/>
          <w:bCs w:val="0"/>
        </w:rPr>
      </w:r>
    </w:p>
    <w:p>
      <w:pPr>
        <w:pStyle w:val="BodyText"/>
        <w:spacing w:line="240" w:lineRule="auto" w:before="154"/>
        <w:ind w:left="860" w:right="0"/>
        <w:jc w:val="left"/>
      </w:pPr>
      <w:r>
        <w:rPr/>
        <w:t>报告期内，公司 2009</w:t>
      </w:r>
      <w:r>
        <w:rPr>
          <w:spacing w:val="-58"/>
        </w:rPr>
        <w:t> </w:t>
      </w:r>
      <w:r>
        <w:rPr/>
        <w:t>年股东大会审议通过了《关于续聘会计师事务所的议</w:t>
      </w:r>
    </w:p>
    <w:p>
      <w:pPr>
        <w:spacing w:after="0" w:line="240" w:lineRule="auto"/>
        <w:jc w:val="left"/>
        <w:sectPr>
          <w:pgSz w:w="11900" w:h="16840"/>
          <w:pgMar w:header="874" w:footer="983" w:top="1040" w:bottom="1180" w:left="1540" w:right="1420"/>
        </w:sectPr>
      </w:pPr>
    </w:p>
    <w:p>
      <w:pPr>
        <w:spacing w:line="240" w:lineRule="auto" w:before="0"/>
        <w:rPr>
          <w:rFonts w:ascii="宋体" w:hAnsi="宋体" w:cs="宋体" w:eastAsia="宋体" w:hint="default"/>
          <w:sz w:val="20"/>
          <w:szCs w:val="20"/>
        </w:rPr>
      </w:pPr>
    </w:p>
    <w:p>
      <w:pPr>
        <w:pStyle w:val="BodyText"/>
        <w:spacing w:line="240" w:lineRule="auto" w:before="160"/>
        <w:ind w:right="132"/>
        <w:jc w:val="left"/>
      </w:pPr>
      <w:r>
        <w:rPr/>
        <w:t>案</w:t>
      </w:r>
      <w:r>
        <w:rPr>
          <w:spacing w:val="-120"/>
        </w:rPr>
        <w:t>》</w:t>
      </w:r>
      <w:r>
        <w:rPr/>
        <w:t>，续聘上海众华沪银会计师事务所有限公司为公司</w:t>
      </w:r>
      <w:r>
        <w:rPr>
          <w:spacing w:val="-29"/>
        </w:rPr>
        <w:t> </w:t>
      </w:r>
      <w:r>
        <w:rPr/>
        <w:t>2010</w:t>
      </w:r>
      <w:r>
        <w:rPr>
          <w:spacing w:val="-29"/>
        </w:rPr>
        <w:t> </w:t>
      </w:r>
      <w:r>
        <w:rPr/>
        <w:t>年度</w:t>
      </w:r>
      <w:r>
        <w:rPr>
          <w:spacing w:val="-3"/>
        </w:rPr>
        <w:t>财</w:t>
      </w:r>
      <w:r>
        <w:rPr/>
        <w:t>务审计机构，</w:t>
      </w:r>
    </w:p>
    <w:p>
      <w:pPr>
        <w:pStyle w:val="BodyText"/>
        <w:spacing w:line="240" w:lineRule="auto" w:before="154"/>
        <w:ind w:right="132"/>
        <w:jc w:val="left"/>
      </w:pPr>
      <w:r>
        <w:rPr/>
        <w:t>审计费用总额</w:t>
      </w:r>
      <w:r>
        <w:rPr>
          <w:spacing w:val="-49"/>
        </w:rPr>
        <w:t> </w:t>
      </w:r>
      <w:r>
        <w:rPr/>
        <w:t>45</w:t>
      </w:r>
      <w:r>
        <w:rPr>
          <w:spacing w:val="-49"/>
        </w:rPr>
        <w:t> </w:t>
      </w:r>
      <w:r>
        <w:rPr>
          <w:spacing w:val="-3"/>
        </w:rPr>
        <w:t>万元。截止报告期末，上海众华沪银会计师事务所有限公司已为</w:t>
      </w:r>
    </w:p>
    <w:p>
      <w:pPr>
        <w:pStyle w:val="BodyText"/>
        <w:spacing w:line="357" w:lineRule="auto" w:before="154"/>
        <w:ind w:right="279"/>
        <w:jc w:val="both"/>
      </w:pPr>
      <w:r>
        <w:rPr/>
        <w:t>公司提供了首次公开发行股票前</w:t>
      </w:r>
      <w:r>
        <w:rPr>
          <w:spacing w:val="-60"/>
        </w:rPr>
        <w:t> </w:t>
      </w:r>
      <w:r>
        <w:rPr/>
        <w:t>3</w:t>
      </w:r>
      <w:r>
        <w:rPr>
          <w:spacing w:val="-60"/>
        </w:rPr>
        <w:t> </w:t>
      </w:r>
      <w:r>
        <w:rPr>
          <w:spacing w:val="-5"/>
        </w:rPr>
        <w:t>年度（2004-2006</w:t>
      </w:r>
      <w:r>
        <w:rPr>
          <w:spacing w:val="-60"/>
        </w:rPr>
        <w:t> </w:t>
      </w:r>
      <w:r>
        <w:rPr>
          <w:spacing w:val="-20"/>
        </w:rPr>
        <w:t>年）及</w:t>
      </w:r>
      <w:r>
        <w:rPr>
          <w:spacing w:val="-60"/>
        </w:rPr>
        <w:t> </w:t>
      </w:r>
      <w:r>
        <w:rPr/>
        <w:t>2007-2010</w:t>
      </w:r>
      <w:r>
        <w:rPr>
          <w:spacing w:val="-60"/>
        </w:rPr>
        <w:t> </w:t>
      </w:r>
      <w:r>
        <w:rPr/>
        <w:t>年度的审计</w:t>
      </w:r>
      <w:r>
        <w:rPr/>
        <w:t> 服务。</w:t>
      </w:r>
    </w:p>
    <w:p>
      <w:pPr>
        <w:spacing w:line="240" w:lineRule="auto" w:before="0"/>
        <w:rPr>
          <w:rFonts w:ascii="宋体" w:hAnsi="宋体" w:cs="宋体" w:eastAsia="宋体" w:hint="default"/>
          <w:sz w:val="24"/>
          <w:szCs w:val="24"/>
        </w:rPr>
      </w:pPr>
    </w:p>
    <w:p>
      <w:pPr>
        <w:spacing w:line="357" w:lineRule="auto" w:before="190"/>
        <w:ind w:left="620" w:right="132" w:hanging="480"/>
        <w:jc w:val="left"/>
        <w:rPr>
          <w:rFonts w:ascii="宋体" w:hAnsi="宋体" w:cs="宋体" w:eastAsia="宋体" w:hint="default"/>
          <w:sz w:val="24"/>
          <w:szCs w:val="24"/>
        </w:rPr>
      </w:pPr>
      <w:r>
        <w:rPr>
          <w:rFonts w:ascii="宋体" w:hAnsi="宋体" w:cs="宋体" w:eastAsia="宋体" w:hint="default"/>
          <w:b/>
          <w:bCs/>
          <w:sz w:val="24"/>
          <w:szCs w:val="24"/>
        </w:rPr>
        <w:t>十二、公司及其董事、监事、高级管理人员、实际控制人处罚及整改情况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报告期内，公司及其董事、监事、高级管理人员、实际控制人均未受有权机</w:t>
      </w:r>
    </w:p>
    <w:p>
      <w:pPr>
        <w:pStyle w:val="BodyText"/>
        <w:spacing w:line="357" w:lineRule="auto"/>
        <w:ind w:right="273"/>
        <w:jc w:val="both"/>
      </w:pPr>
      <w:r>
        <w:rPr/>
        <w:t>关、司法纪检部门采取强制措施、被移送司法机关或追究刑事责任、中国证监会</w:t>
      </w:r>
      <w:r>
        <w:rPr>
          <w:spacing w:val="-67"/>
        </w:rPr>
        <w:t> </w:t>
      </w:r>
      <w:r>
        <w:rPr>
          <w:spacing w:val="-67"/>
        </w:rPr>
      </w:r>
      <w:r>
        <w:rPr/>
        <w:t>稽查、中国证监会行政处罚、证券市场禁入、认定为不适当人选、被其他行政管</w:t>
      </w:r>
      <w:r>
        <w:rPr>
          <w:spacing w:val="-67"/>
        </w:rPr>
        <w:t> </w:t>
      </w:r>
      <w:r>
        <w:rPr>
          <w:spacing w:val="-67"/>
        </w:rPr>
      </w:r>
      <w:r>
        <w:rPr/>
        <w:t>理部门处罚及证券交易所公开谴责的情形。</w:t>
      </w:r>
    </w:p>
    <w:p>
      <w:pPr>
        <w:spacing w:line="240" w:lineRule="auto" w:before="0"/>
        <w:rPr>
          <w:rFonts w:ascii="宋体" w:hAnsi="宋体" w:cs="宋体" w:eastAsia="宋体" w:hint="default"/>
          <w:sz w:val="24"/>
          <w:szCs w:val="24"/>
        </w:rPr>
      </w:pPr>
    </w:p>
    <w:p>
      <w:pPr>
        <w:spacing w:line="357" w:lineRule="auto" w:before="190"/>
        <w:ind w:left="620" w:right="2720" w:hanging="480"/>
        <w:jc w:val="left"/>
        <w:rPr>
          <w:rFonts w:ascii="宋体" w:hAnsi="宋体" w:cs="宋体" w:eastAsia="宋体" w:hint="default"/>
          <w:sz w:val="24"/>
          <w:szCs w:val="24"/>
        </w:rPr>
      </w:pPr>
      <w:r>
        <w:rPr>
          <w:rFonts w:ascii="宋体" w:hAnsi="宋体" w:cs="宋体" w:eastAsia="宋体" w:hint="default"/>
          <w:b/>
          <w:bCs/>
          <w:sz w:val="24"/>
          <w:szCs w:val="24"/>
        </w:rPr>
        <w:t>十三、报告期内公司其他重大事项</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报告期内，公司不存在应披露而未披露的重大事项。 报告期内，公司已披露的重要事项索引如下：</w:t>
      </w:r>
    </w:p>
    <w:tbl>
      <w:tblPr>
        <w:tblW w:w="0" w:type="auto"/>
        <w:jc w:val="left"/>
        <w:tblInd w:w="120" w:type="dxa"/>
        <w:tblLayout w:type="fixed"/>
        <w:tblCellMar>
          <w:top w:w="0" w:type="dxa"/>
          <w:left w:w="0" w:type="dxa"/>
          <w:bottom w:w="0" w:type="dxa"/>
          <w:right w:w="0" w:type="dxa"/>
        </w:tblCellMar>
        <w:tblLook w:val="01E0"/>
      </w:tblPr>
      <w:tblGrid>
        <w:gridCol w:w="1190"/>
        <w:gridCol w:w="4584"/>
        <w:gridCol w:w="1505"/>
        <w:gridCol w:w="1358"/>
      </w:tblGrid>
      <w:tr>
        <w:trPr>
          <w:trHeight w:val="321" w:hRule="exact"/>
        </w:trPr>
        <w:tc>
          <w:tcPr>
            <w:tcW w:w="11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w:t>
            </w:r>
          </w:p>
        </w:tc>
        <w:tc>
          <w:tcPr>
            <w:tcW w:w="45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公告名称</w:t>
            </w:r>
          </w:p>
        </w:tc>
        <w:tc>
          <w:tcPr>
            <w:tcW w:w="15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0" w:lineRule="exact"/>
              <w:ind w:right="547"/>
              <w:jc w:val="right"/>
              <w:rPr>
                <w:rFonts w:ascii="宋体" w:hAnsi="宋体" w:cs="宋体" w:eastAsia="宋体" w:hint="default"/>
                <w:sz w:val="21"/>
                <w:szCs w:val="21"/>
              </w:rPr>
            </w:pPr>
            <w:r>
              <w:rPr>
                <w:rFonts w:ascii="宋体" w:hAnsi="宋体" w:cs="宋体" w:eastAsia="宋体" w:hint="default"/>
                <w:spacing w:val="-1"/>
                <w:sz w:val="21"/>
                <w:szCs w:val="21"/>
              </w:rPr>
              <w:t>披露媒体</w:t>
            </w:r>
          </w:p>
        </w:tc>
        <w:tc>
          <w:tcPr>
            <w:tcW w:w="135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公告日期</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6"/>
              <w:jc w:val="right"/>
              <w:rPr>
                <w:rFonts w:ascii="宋体" w:hAnsi="宋体" w:cs="宋体" w:eastAsia="宋体" w:hint="default"/>
                <w:sz w:val="21"/>
                <w:szCs w:val="21"/>
              </w:rPr>
            </w:pPr>
            <w:r>
              <w:rPr>
                <w:rFonts w:ascii="宋体"/>
                <w:spacing w:val="-1"/>
                <w:sz w:val="21"/>
              </w:rPr>
              <w:t>2010-001</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第三届董事会第二十一次会议决议公告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中国证券报、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2010-1-23</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2010-002</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第三届监事会第十二次会议决议公告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2010-1-23</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2010-003</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年度业绩快报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2010-2-9</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2010-004</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年年度报告摘要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2010-005</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第三届董事会第二十二次会议决议公告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2010-006</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日常关联交易公告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2010-007</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年度股东大会的通知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2010-008</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关于举行网上</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年度业绩说明会的通知</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2010-4-14</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2010-009</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关于选举职工代表监事的公告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2010-4-14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2010-010</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关于拟设立合资公司的对外投资公告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2010-011</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第三届监事会第十三次会议决议公告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2010-012</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年第一季度季度报告正文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2010-4-28</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2010-013</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8"/>
                <w:sz w:val="21"/>
                <w:szCs w:val="21"/>
              </w:rPr>
              <w:t> </w:t>
            </w:r>
            <w:r>
              <w:rPr>
                <w:rFonts w:ascii="宋体" w:hAnsi="宋体" w:cs="宋体" w:eastAsia="宋体" w:hint="default"/>
                <w:sz w:val="21"/>
                <w:szCs w:val="21"/>
              </w:rPr>
              <w:t>年度股东大会决议公告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2010-5-13</w:t>
            </w:r>
          </w:p>
        </w:tc>
      </w:tr>
      <w:tr>
        <w:trPr>
          <w:trHeight w:val="3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66"/>
              <w:jc w:val="right"/>
              <w:rPr>
                <w:rFonts w:ascii="宋体" w:hAnsi="宋体" w:cs="宋体" w:eastAsia="宋体" w:hint="default"/>
                <w:sz w:val="21"/>
                <w:szCs w:val="21"/>
              </w:rPr>
            </w:pPr>
            <w:r>
              <w:rPr>
                <w:rFonts w:ascii="宋体"/>
                <w:spacing w:val="-1"/>
                <w:sz w:val="21"/>
              </w:rPr>
              <w:t>2010-014</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第四届董事会第一次会议决议公告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2010-5-14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2010-015</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第四届监事会第一次会议决议公告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2010-5-14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2010-016</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2009年度权益分派实施公告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2010-5-18</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2010-017</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第四届董事会第二次会议决议公告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2010-6-21</w:t>
            </w:r>
          </w:p>
        </w:tc>
      </w:tr>
      <w:tr>
        <w:trPr>
          <w:trHeight w:val="321"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2010-018</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关于控股子公司完成工商注册登记的公告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2010-7-7</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2010-019</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关于全资子公司完成工商注册登记的公告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2010-7-13</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6"/>
              <w:jc w:val="right"/>
              <w:rPr>
                <w:rFonts w:ascii="宋体" w:hAnsi="宋体" w:cs="宋体" w:eastAsia="宋体" w:hint="default"/>
                <w:sz w:val="21"/>
                <w:szCs w:val="21"/>
              </w:rPr>
            </w:pPr>
            <w:r>
              <w:rPr>
                <w:rFonts w:ascii="宋体"/>
                <w:spacing w:val="-1"/>
                <w:sz w:val="21"/>
              </w:rPr>
              <w:t>2010-020</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2010年半年度业绩快报公告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3"/>
              <w:jc w:val="right"/>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2010-7-17</w:t>
            </w:r>
          </w:p>
        </w:tc>
      </w:tr>
    </w:tbl>
    <w:p>
      <w:pPr>
        <w:spacing w:after="0" w:line="260" w:lineRule="exact"/>
        <w:jc w:val="left"/>
        <w:rPr>
          <w:rFonts w:ascii="宋体" w:hAnsi="宋体" w:cs="宋体" w:eastAsia="宋体" w:hint="default"/>
          <w:sz w:val="21"/>
          <w:szCs w:val="21"/>
        </w:rPr>
        <w:sectPr>
          <w:pgSz w:w="11900" w:h="16840"/>
          <w:pgMar w:header="874" w:footer="983" w:top="1040" w:bottom="1180" w:left="1660" w:right="13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1190"/>
        <w:gridCol w:w="4584"/>
        <w:gridCol w:w="1505"/>
        <w:gridCol w:w="1358"/>
      </w:tblGrid>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2010-021</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关于签署《募集资金四方监管协议》的公告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2010-8-6</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2010-022</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2010年半年度报告摘要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2010-8-20</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2010-023</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关于2010年度1-9月业绩预告的修正公告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2010-9-30</w:t>
            </w:r>
          </w:p>
        </w:tc>
      </w:tr>
      <w:tr>
        <w:trPr>
          <w:trHeight w:val="32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66"/>
              <w:jc w:val="right"/>
              <w:rPr>
                <w:rFonts w:ascii="宋体" w:hAnsi="宋体" w:cs="宋体" w:eastAsia="宋体" w:hint="default"/>
                <w:sz w:val="21"/>
                <w:szCs w:val="21"/>
              </w:rPr>
            </w:pPr>
            <w:r>
              <w:rPr>
                <w:rFonts w:ascii="宋体"/>
                <w:spacing w:val="-1"/>
                <w:sz w:val="21"/>
              </w:rPr>
              <w:t>2010-024</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2010年第三季度季度报告正文</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2010-10-26</w:t>
            </w:r>
          </w:p>
        </w:tc>
      </w:tr>
      <w:tr>
        <w:trPr>
          <w:trHeight w:val="321"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2010-025</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办公地址变更的公告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2010-10-26</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2010-026</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限售股份上市流通提示性公告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2010-12-8</w:t>
            </w:r>
          </w:p>
        </w:tc>
      </w:tr>
      <w:tr>
        <w:trPr>
          <w:trHeight w:val="634"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66"/>
              <w:jc w:val="right"/>
              <w:rPr>
                <w:rFonts w:ascii="宋体" w:hAnsi="宋体" w:cs="宋体" w:eastAsia="宋体" w:hint="default"/>
                <w:sz w:val="21"/>
                <w:szCs w:val="21"/>
              </w:rPr>
            </w:pPr>
            <w:r>
              <w:rPr>
                <w:rFonts w:ascii="宋体"/>
                <w:spacing w:val="-1"/>
                <w:sz w:val="21"/>
              </w:rPr>
              <w:t>2010-027</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6"/>
                <w:sz w:val="21"/>
                <w:szCs w:val="21"/>
              </w:rPr>
              <w:t>关于实际控制人的一致行动人减持公司股份的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提示性公告</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sz w:val="21"/>
              </w:rPr>
              <w:t>2010-12-24</w:t>
            </w:r>
          </w:p>
        </w:tc>
      </w:tr>
      <w:tr>
        <w:trPr>
          <w:trHeight w:val="322" w:hRule="exact"/>
        </w:trPr>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6"/>
              <w:jc w:val="right"/>
              <w:rPr>
                <w:rFonts w:ascii="宋体" w:hAnsi="宋体" w:cs="宋体" w:eastAsia="宋体" w:hint="default"/>
                <w:sz w:val="21"/>
                <w:szCs w:val="21"/>
              </w:rPr>
            </w:pPr>
            <w:r>
              <w:rPr>
                <w:rFonts w:ascii="宋体"/>
                <w:spacing w:val="-1"/>
                <w:sz w:val="21"/>
              </w:rPr>
              <w:t>2010-028</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简式权益变动报告书</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同上</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2010-12-24</w:t>
            </w:r>
          </w:p>
        </w:tc>
      </w:tr>
    </w:tbl>
    <w:p>
      <w:pPr>
        <w:spacing w:after="0" w:line="262" w:lineRule="exact"/>
        <w:jc w:val="left"/>
        <w:rPr>
          <w:rFonts w:ascii="宋体" w:hAnsi="宋体" w:cs="宋体" w:eastAsia="宋体" w:hint="default"/>
          <w:sz w:val="21"/>
          <w:szCs w:val="21"/>
        </w:rPr>
        <w:sectPr>
          <w:pgSz w:w="11900" w:h="16840"/>
          <w:pgMar w:header="874" w:footer="983" w:top="1040" w:bottom="1180" w:left="1660" w:right="1360"/>
        </w:sectPr>
      </w:pPr>
    </w:p>
    <w:p>
      <w:pPr>
        <w:spacing w:line="240" w:lineRule="auto" w:before="1"/>
        <w:rPr>
          <w:rFonts w:ascii="Times New Roman" w:hAnsi="Times New Roman" w:cs="Times New Roman" w:eastAsia="Times New Roman" w:hint="default"/>
          <w:sz w:val="4"/>
          <w:szCs w:val="4"/>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9pt;height:.75pt;mso-position-horizontal-relative:char;mso-position-vertical-relative:line" coordorigin="0,0" coordsize="8378,15">
            <v:group style="position:absolute;left:7;top:7;width:8364;height:2" coordorigin="7,7" coordsize="8364,2">
              <v:shape style="position:absolute;left:7;top:7;width:8364;height:2" coordorigin="7,7" coordsize="8364,0" path="m7,7l8371,7e" filled="false" stroked="true" strokeweight=".71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pStyle w:val="Heading1"/>
        <w:tabs>
          <w:tab w:pos="1286" w:val="left" w:leader="none"/>
        </w:tabs>
        <w:spacing w:line="240" w:lineRule="auto" w:before="137"/>
        <w:ind w:right="75"/>
        <w:jc w:val="center"/>
        <w:rPr>
          <w:b w:val="0"/>
          <w:bCs w:val="0"/>
        </w:rPr>
      </w:pPr>
      <w:bookmarkStart w:name="_TOC_250001" w:id="10"/>
      <w:r>
        <w:rPr>
          <w:w w:val="95"/>
        </w:rPr>
        <w:t>第十节</w:t>
        <w:tab/>
      </w:r>
      <w:r>
        <w:rPr/>
        <w:t>财务报告</w:t>
      </w:r>
      <w:bookmarkEnd w:id="10"/>
      <w:r>
        <w:rPr>
          <w:b w:val="0"/>
          <w:bCs w:val="0"/>
        </w:rPr>
      </w:r>
    </w:p>
    <w:p>
      <w:pPr>
        <w:spacing w:line="240" w:lineRule="auto" w:before="10"/>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00" w:h="16840"/>
          <w:pgMar w:header="874" w:footer="983" w:top="1040" w:bottom="1180" w:left="1660" w:right="1580"/>
        </w:sectPr>
      </w:pPr>
    </w:p>
    <w:p>
      <w:pPr>
        <w:pStyle w:val="Heading3"/>
        <w:spacing w:line="240" w:lineRule="auto"/>
        <w:ind w:right="0"/>
        <w:jc w:val="left"/>
        <w:rPr>
          <w:b w:val="0"/>
          <w:bCs w:val="0"/>
        </w:rPr>
      </w:pPr>
      <w:r>
        <w:rPr>
          <w:w w:val="95"/>
        </w:rPr>
        <w:t>一、审计意见</w:t>
      </w:r>
      <w:r>
        <w:rPr>
          <w:b w:val="0"/>
          <w:bCs w:val="0"/>
        </w:rPr>
      </w:r>
    </w:p>
    <w:p>
      <w:pPr>
        <w:spacing w:before="377"/>
        <w:ind w:left="140" w:right="0" w:firstLine="0"/>
        <w:jc w:val="left"/>
        <w:rPr>
          <w:rFonts w:ascii="宋体" w:hAnsi="宋体" w:cs="宋体" w:eastAsia="宋体" w:hint="default"/>
          <w:sz w:val="48"/>
          <w:szCs w:val="48"/>
        </w:rPr>
      </w:pPr>
      <w:r>
        <w:rPr/>
        <w:br w:type="column"/>
      </w:r>
      <w:r>
        <w:rPr>
          <w:rFonts w:ascii="宋体" w:hAnsi="宋体" w:cs="宋体" w:eastAsia="宋体" w:hint="default"/>
          <w:b/>
          <w:bCs/>
          <w:sz w:val="48"/>
          <w:szCs w:val="48"/>
        </w:rPr>
        <w:t>审 计 报</w:t>
      </w:r>
      <w:r>
        <w:rPr>
          <w:rFonts w:ascii="宋体" w:hAnsi="宋体" w:cs="宋体" w:eastAsia="宋体" w:hint="default"/>
          <w:b/>
          <w:bCs/>
          <w:spacing w:val="-6"/>
          <w:sz w:val="48"/>
          <w:szCs w:val="48"/>
        </w:rPr>
        <w:t> </w:t>
      </w:r>
      <w:r>
        <w:rPr>
          <w:rFonts w:ascii="宋体" w:hAnsi="宋体" w:cs="宋体" w:eastAsia="宋体" w:hint="default"/>
          <w:b/>
          <w:bCs/>
          <w:sz w:val="48"/>
          <w:szCs w:val="48"/>
        </w:rPr>
        <w:t>告</w:t>
      </w:r>
      <w:r>
        <w:rPr>
          <w:rFonts w:ascii="宋体" w:hAnsi="宋体" w:cs="宋体" w:eastAsia="宋体" w:hint="default"/>
          <w:sz w:val="48"/>
          <w:szCs w:val="48"/>
        </w:rPr>
      </w:r>
    </w:p>
    <w:p>
      <w:pPr>
        <w:spacing w:after="0"/>
        <w:jc w:val="left"/>
        <w:rPr>
          <w:rFonts w:ascii="宋体" w:hAnsi="宋体" w:cs="宋体" w:eastAsia="宋体" w:hint="default"/>
          <w:sz w:val="48"/>
          <w:szCs w:val="48"/>
        </w:rPr>
        <w:sectPr>
          <w:type w:val="continuous"/>
          <w:pgSz w:w="11900" w:h="16840"/>
          <w:pgMar w:top="1040" w:bottom="1180" w:left="1660" w:right="1580"/>
          <w:cols w:num="2" w:equalWidth="0">
            <w:col w:w="1585" w:space="1242"/>
            <w:col w:w="5833"/>
          </w:cols>
        </w:sectPr>
      </w:pPr>
    </w:p>
    <w:p>
      <w:pPr>
        <w:spacing w:line="240" w:lineRule="auto" w:before="8"/>
        <w:rPr>
          <w:rFonts w:ascii="宋体" w:hAnsi="宋体" w:cs="宋体" w:eastAsia="宋体" w:hint="default"/>
          <w:b/>
          <w:bCs/>
          <w:sz w:val="18"/>
          <w:szCs w:val="18"/>
        </w:rPr>
      </w:pPr>
    </w:p>
    <w:p>
      <w:pPr>
        <w:spacing w:before="36"/>
        <w:ind w:left="0" w:right="209" w:firstLine="0"/>
        <w:jc w:val="right"/>
        <w:rPr>
          <w:rFonts w:ascii="宋体" w:hAnsi="宋体" w:cs="宋体" w:eastAsia="宋体" w:hint="default"/>
          <w:sz w:val="21"/>
          <w:szCs w:val="21"/>
        </w:rPr>
      </w:pPr>
      <w:r>
        <w:rPr>
          <w:rFonts w:ascii="宋体" w:hAnsi="宋体" w:cs="宋体" w:eastAsia="宋体" w:hint="default"/>
          <w:sz w:val="21"/>
          <w:szCs w:val="21"/>
        </w:rPr>
        <w:t>沪众会字</w:t>
      </w:r>
      <w:r>
        <w:rPr>
          <w:rFonts w:ascii="Times New Roman" w:hAnsi="Times New Roman" w:cs="Times New Roman" w:eastAsia="Times New Roman" w:hint="default"/>
          <w:sz w:val="21"/>
          <w:szCs w:val="21"/>
        </w:rPr>
        <w:t>(2011)</w:t>
      </w: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0030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p>
    <w:p>
      <w:pPr>
        <w:spacing w:line="240" w:lineRule="auto" w:before="4"/>
        <w:rPr>
          <w:rFonts w:ascii="宋体" w:hAnsi="宋体" w:cs="宋体" w:eastAsia="宋体" w:hint="default"/>
          <w:sz w:val="14"/>
          <w:szCs w:val="14"/>
        </w:rPr>
      </w:pPr>
    </w:p>
    <w:p>
      <w:pPr>
        <w:spacing w:before="36"/>
        <w:ind w:left="140" w:right="100" w:firstLine="0"/>
        <w:jc w:val="left"/>
        <w:rPr>
          <w:rFonts w:ascii="宋体" w:hAnsi="宋体" w:cs="宋体" w:eastAsia="宋体" w:hint="default"/>
          <w:sz w:val="21"/>
          <w:szCs w:val="21"/>
        </w:rPr>
      </w:pPr>
      <w:r>
        <w:rPr>
          <w:rFonts w:ascii="宋体" w:hAnsi="宋体" w:cs="宋体" w:eastAsia="宋体" w:hint="default"/>
          <w:b/>
          <w:bCs/>
          <w:sz w:val="21"/>
          <w:szCs w:val="21"/>
        </w:rPr>
        <w:t>上海海隆软件股份有限公司全体股东：</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225" w:lineRule="auto" w:before="0"/>
        <w:ind w:left="140" w:right="208" w:firstLine="420"/>
        <w:jc w:val="both"/>
        <w:rPr>
          <w:rFonts w:ascii="宋体" w:hAnsi="宋体" w:cs="宋体" w:eastAsia="宋体" w:hint="default"/>
          <w:sz w:val="21"/>
          <w:szCs w:val="21"/>
        </w:rPr>
      </w:pPr>
      <w:r>
        <w:rPr>
          <w:rFonts w:ascii="宋体" w:hAnsi="宋体" w:cs="宋体" w:eastAsia="宋体" w:hint="default"/>
          <w:spacing w:val="-2"/>
          <w:sz w:val="21"/>
          <w:szCs w:val="21"/>
        </w:rPr>
        <w:t>我们审计了后附的上海海隆软件股份有限公司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以下简称海隆软件公司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财务报表，包括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日的合并及公司资产负债表，</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年度的合并及公司利润表、合并及公司</w:t>
      </w:r>
      <w:r>
        <w:rPr>
          <w:rFonts w:ascii="宋体" w:hAnsi="宋体" w:cs="宋体" w:eastAsia="宋体" w:hint="default"/>
          <w:w w:val="100"/>
          <w:sz w:val="21"/>
          <w:szCs w:val="21"/>
        </w:rPr>
        <w:t> </w:t>
      </w:r>
      <w:r>
        <w:rPr>
          <w:rFonts w:ascii="宋体" w:hAnsi="宋体" w:cs="宋体" w:eastAsia="宋体" w:hint="default"/>
          <w:sz w:val="21"/>
          <w:szCs w:val="21"/>
        </w:rPr>
        <w:t>现金流量表、合并股东权益变动表及公司股东权益变动表以及财务报表附注。</w:t>
      </w:r>
    </w:p>
    <w:p>
      <w:pPr>
        <w:spacing w:line="240" w:lineRule="auto" w:before="5"/>
        <w:rPr>
          <w:rFonts w:ascii="宋体" w:hAnsi="宋体" w:cs="宋体" w:eastAsia="宋体" w:hint="default"/>
          <w:sz w:val="18"/>
          <w:szCs w:val="18"/>
        </w:rPr>
      </w:pPr>
    </w:p>
    <w:p>
      <w:pPr>
        <w:spacing w:before="0"/>
        <w:ind w:left="562" w:right="100" w:hanging="423"/>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按照企业会计准则的规定编制财务报表是海隆软件公司管理层的责任。这种责任包括：</w:t>
      </w:r>
    </w:p>
    <w:p>
      <w:pPr>
        <w:spacing w:line="274" w:lineRule="exact" w:before="22"/>
        <w:ind w:left="140" w:right="1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设计、实施和维护与财务报表编制相关的内部控制，以使财务报表不存在由于舞弊或错</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误而导致的重大错报；</w:t>
      </w:r>
      <w:r>
        <w:rPr>
          <w:rFonts w:ascii="Times New Roman" w:hAnsi="Times New Roman" w:cs="Times New Roman" w:eastAsia="Times New Roman" w:hint="default"/>
          <w:sz w:val="21"/>
          <w:szCs w:val="21"/>
        </w:rPr>
        <w:t>(2)</w:t>
      </w:r>
      <w:r>
        <w:rPr>
          <w:rFonts w:ascii="宋体" w:hAnsi="宋体" w:cs="宋体" w:eastAsia="宋体" w:hint="default"/>
          <w:sz w:val="21"/>
          <w:szCs w:val="21"/>
        </w:rPr>
        <w:t>选择和运用恰当的会计政策；</w:t>
      </w:r>
      <w:r>
        <w:rPr>
          <w:rFonts w:ascii="Times New Roman" w:hAnsi="Times New Roman" w:cs="Times New Roman" w:eastAsia="Times New Roman" w:hint="default"/>
          <w:sz w:val="21"/>
          <w:szCs w:val="21"/>
        </w:rPr>
        <w:t>(3)</w:t>
      </w:r>
      <w:r>
        <w:rPr>
          <w:rFonts w:ascii="宋体" w:hAnsi="宋体" w:cs="宋体" w:eastAsia="宋体" w:hint="default"/>
          <w:sz w:val="21"/>
          <w:szCs w:val="21"/>
        </w:rPr>
        <w:t>作出合理的会计估计。</w:t>
      </w:r>
    </w:p>
    <w:p>
      <w:pPr>
        <w:spacing w:line="240" w:lineRule="auto" w:before="6"/>
        <w:rPr>
          <w:rFonts w:ascii="宋体" w:hAnsi="宋体" w:cs="宋体" w:eastAsia="宋体" w:hint="default"/>
          <w:sz w:val="18"/>
          <w:szCs w:val="18"/>
        </w:rPr>
      </w:pPr>
    </w:p>
    <w:p>
      <w:pPr>
        <w:spacing w:line="272" w:lineRule="exact" w:before="0"/>
        <w:ind w:left="560" w:right="100" w:hanging="420"/>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我们的责任是在实施审计工作的基础上对财务报表发表审计意见。我们按照中国注册会</w:t>
      </w:r>
    </w:p>
    <w:p>
      <w:pPr>
        <w:spacing w:line="272" w:lineRule="exact" w:before="1"/>
        <w:ind w:left="140" w:right="100"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计师审计准则的规定执行了审计工作。中国注册会计师审计准则要求我们遵守职业道德规</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范，计划和实施审计工作以对财务报表是否不存在重大错报获取合理保证。</w:t>
      </w:r>
    </w:p>
    <w:p>
      <w:pPr>
        <w:spacing w:line="272" w:lineRule="exact" w:before="1"/>
        <w:ind w:left="140" w:right="100" w:firstLine="420"/>
        <w:jc w:val="left"/>
        <w:rPr>
          <w:rFonts w:ascii="宋体" w:hAnsi="宋体" w:cs="宋体" w:eastAsia="宋体" w:hint="default"/>
          <w:sz w:val="21"/>
          <w:szCs w:val="21"/>
        </w:rPr>
      </w:pPr>
      <w:r>
        <w:rPr>
          <w:rFonts w:ascii="宋体" w:hAnsi="宋体" w:cs="宋体" w:eastAsia="宋体" w:hint="default"/>
          <w:spacing w:val="-4"/>
          <w:sz w:val="21"/>
          <w:szCs w:val="21"/>
        </w:rPr>
        <w:t>审计工作涉及实施审计程序，以获取有关财务报表金额和披露的审计证据。选择的审计</w:t>
      </w:r>
      <w:r>
        <w:rPr>
          <w:rFonts w:ascii="宋体" w:hAnsi="宋体" w:cs="宋体" w:eastAsia="宋体" w:hint="default"/>
          <w:w w:val="100"/>
          <w:sz w:val="21"/>
          <w:szCs w:val="21"/>
        </w:rPr>
        <w:t> </w:t>
      </w:r>
      <w:r>
        <w:rPr>
          <w:rFonts w:ascii="宋体" w:hAnsi="宋体" w:cs="宋体" w:eastAsia="宋体" w:hint="default"/>
          <w:sz w:val="21"/>
          <w:szCs w:val="21"/>
        </w:rPr>
        <w:t>程序取决于注册会计师的判断，包括对由于舞弊或错误导致的财务报表重大错报风险的评</w:t>
      </w:r>
    </w:p>
    <w:p>
      <w:pPr>
        <w:spacing w:line="272" w:lineRule="exact" w:before="1"/>
        <w:ind w:left="140" w:right="100" w:firstLine="0"/>
        <w:jc w:val="left"/>
        <w:rPr>
          <w:rFonts w:ascii="宋体" w:hAnsi="宋体" w:cs="宋体" w:eastAsia="宋体" w:hint="default"/>
          <w:sz w:val="21"/>
          <w:szCs w:val="21"/>
        </w:rPr>
      </w:pPr>
      <w:r>
        <w:rPr>
          <w:rFonts w:ascii="宋体" w:hAnsi="宋体" w:cs="宋体" w:eastAsia="宋体" w:hint="default"/>
          <w:spacing w:val="-7"/>
          <w:sz w:val="21"/>
          <w:szCs w:val="21"/>
        </w:rPr>
        <w:t>估。在进行风险评估时，我们考虑与财务报表编制相关的内部控制，以设计恰当的审计程序，</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w w:val="100"/>
          <w:sz w:val="21"/>
          <w:szCs w:val="21"/>
        </w:rPr>
        <w:t>但目的并非对内部控制的有效性发表意见。审计工作还包括评价管理层选用会计政策的恰当</w:t>
      </w:r>
    </w:p>
    <w:p>
      <w:pPr>
        <w:spacing w:line="272" w:lineRule="exact" w:before="1"/>
        <w:ind w:left="560" w:right="100" w:hanging="420"/>
        <w:jc w:val="left"/>
        <w:rPr>
          <w:rFonts w:ascii="宋体" w:hAnsi="宋体" w:cs="宋体" w:eastAsia="宋体" w:hint="default"/>
          <w:sz w:val="21"/>
          <w:szCs w:val="21"/>
        </w:rPr>
      </w:pPr>
      <w:r>
        <w:rPr>
          <w:rFonts w:ascii="宋体" w:hAnsi="宋体" w:cs="宋体" w:eastAsia="宋体" w:hint="default"/>
          <w:sz w:val="21"/>
          <w:szCs w:val="21"/>
        </w:rPr>
        <w:t>性和作出会计估计的合理性，以及评价财务报表的总体列报。</w:t>
      </w:r>
      <w:r>
        <w:rPr>
          <w:rFonts w:ascii="宋体" w:hAnsi="宋体" w:cs="宋体" w:eastAsia="宋体" w:hint="default"/>
          <w:w w:val="100"/>
          <w:sz w:val="21"/>
          <w:szCs w:val="21"/>
        </w:rPr>
        <w:t> </w:t>
      </w:r>
      <w:r>
        <w:rPr>
          <w:rFonts w:ascii="宋体" w:hAnsi="宋体" w:cs="宋体" w:eastAsia="宋体" w:hint="default"/>
          <w:spacing w:val="-2"/>
          <w:sz w:val="21"/>
          <w:szCs w:val="21"/>
        </w:rPr>
        <w:t>我们相信，我们获取的审计证据是充分、适当的，为发表审计意见提供了基础。</w:t>
      </w:r>
    </w:p>
    <w:p>
      <w:pPr>
        <w:spacing w:line="240" w:lineRule="auto" w:before="5"/>
        <w:rPr>
          <w:rFonts w:ascii="宋体" w:hAnsi="宋体" w:cs="宋体" w:eastAsia="宋体" w:hint="default"/>
          <w:sz w:val="16"/>
          <w:szCs w:val="16"/>
        </w:rPr>
      </w:pPr>
    </w:p>
    <w:p>
      <w:pPr>
        <w:spacing w:line="274" w:lineRule="exact" w:before="0"/>
        <w:ind w:left="140" w:right="100" w:firstLine="0"/>
        <w:jc w:val="left"/>
        <w:rPr>
          <w:rFonts w:ascii="宋体" w:hAnsi="宋体" w:cs="宋体" w:eastAsia="宋体" w:hint="default"/>
          <w:sz w:val="21"/>
          <w:szCs w:val="21"/>
        </w:rPr>
      </w:pP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230" w:lineRule="auto" w:before="9"/>
        <w:ind w:left="140" w:right="208" w:firstLine="420"/>
        <w:jc w:val="both"/>
        <w:rPr>
          <w:rFonts w:ascii="宋体" w:hAnsi="宋体" w:cs="宋体" w:eastAsia="宋体" w:hint="default"/>
          <w:sz w:val="21"/>
          <w:szCs w:val="21"/>
        </w:rPr>
      </w:pPr>
      <w:r>
        <w:rPr>
          <w:rFonts w:ascii="宋体" w:hAnsi="宋体" w:cs="宋体" w:eastAsia="宋体" w:hint="default"/>
          <w:spacing w:val="-4"/>
          <w:sz w:val="21"/>
          <w:szCs w:val="21"/>
        </w:rPr>
        <w:t>我们认为，海隆软件公司财务报表已经按照企业会计准则的规定编制，在所有重大方面</w:t>
      </w:r>
      <w:r>
        <w:rPr>
          <w:rFonts w:ascii="宋体" w:hAnsi="宋体" w:cs="宋体" w:eastAsia="宋体" w:hint="default"/>
          <w:w w:val="100"/>
          <w:sz w:val="21"/>
          <w:szCs w:val="21"/>
        </w:rPr>
        <w:t> </w:t>
      </w:r>
      <w:r>
        <w:rPr>
          <w:rFonts w:ascii="宋体" w:hAnsi="宋体" w:cs="宋体" w:eastAsia="宋体" w:hint="default"/>
          <w:sz w:val="21"/>
          <w:szCs w:val="21"/>
        </w:rPr>
        <w:t>公允反映了海隆软件公司</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日的财务状况以及</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年度的经营成果和现金流</w:t>
      </w:r>
      <w:r>
        <w:rPr>
          <w:rFonts w:ascii="宋体" w:hAnsi="宋体" w:cs="宋体" w:eastAsia="宋体" w:hint="default"/>
          <w:w w:val="100"/>
          <w:sz w:val="21"/>
          <w:szCs w:val="21"/>
        </w:rPr>
        <w:t> </w:t>
      </w:r>
      <w:r>
        <w:rPr>
          <w:rFonts w:ascii="宋体" w:hAnsi="宋体" w:cs="宋体" w:eastAsia="宋体" w:hint="default"/>
          <w:sz w:val="21"/>
          <w:szCs w:val="21"/>
        </w:rPr>
        <w:t>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tabs>
          <w:tab w:pos="4342" w:val="left" w:leader="none"/>
          <w:tab w:pos="6444" w:val="left" w:leader="none"/>
        </w:tabs>
        <w:spacing w:before="0"/>
        <w:ind w:left="140" w:right="100" w:firstLine="0"/>
        <w:jc w:val="left"/>
        <w:rPr>
          <w:rFonts w:ascii="宋体" w:hAnsi="宋体" w:cs="宋体" w:eastAsia="宋体" w:hint="default"/>
          <w:sz w:val="21"/>
          <w:szCs w:val="21"/>
        </w:rPr>
      </w:pPr>
      <w:r>
        <w:rPr>
          <w:rFonts w:ascii="宋体" w:hAnsi="宋体" w:cs="宋体" w:eastAsia="宋体" w:hint="default"/>
          <w:spacing w:val="-2"/>
          <w:sz w:val="21"/>
          <w:szCs w:val="21"/>
        </w:rPr>
        <w:t>上海众华沪银会计师事务所有限公司</w:t>
        <w:tab/>
      </w:r>
      <w:r>
        <w:rPr>
          <w:rFonts w:ascii="宋体" w:hAnsi="宋体" w:cs="宋体" w:eastAsia="宋体" w:hint="default"/>
          <w:spacing w:val="-1"/>
          <w:sz w:val="21"/>
          <w:szCs w:val="21"/>
        </w:rPr>
        <w:t>中国注册会计师</w:t>
        <w:tab/>
        <w:t>林东模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6439" w:val="left" w:leader="none"/>
          <w:tab w:pos="6859" w:val="left" w:leader="none"/>
        </w:tabs>
        <w:spacing w:before="0"/>
        <w:ind w:left="4340" w:right="100" w:firstLine="0"/>
        <w:jc w:val="left"/>
        <w:rPr>
          <w:rFonts w:ascii="宋体" w:hAnsi="宋体" w:cs="宋体" w:eastAsia="宋体" w:hint="default"/>
          <w:sz w:val="21"/>
          <w:szCs w:val="21"/>
        </w:rPr>
      </w:pPr>
      <w:r>
        <w:rPr>
          <w:rFonts w:ascii="宋体" w:hAnsi="宋体" w:cs="宋体" w:eastAsia="宋体" w:hint="default"/>
          <w:spacing w:val="-2"/>
          <w:sz w:val="21"/>
          <w:szCs w:val="21"/>
        </w:rPr>
        <w:t>中国注册会计师</w:t>
        <w:tab/>
      </w:r>
      <w:r>
        <w:rPr>
          <w:rFonts w:ascii="宋体" w:hAnsi="宋体" w:cs="宋体" w:eastAsia="宋体" w:hint="default"/>
          <w:sz w:val="21"/>
          <w:szCs w:val="21"/>
        </w:rPr>
        <w:t>杨</w:t>
        <w:tab/>
        <w:t>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tabs>
          <w:tab w:pos="4865" w:val="left" w:leader="none"/>
        </w:tabs>
        <w:spacing w:before="0"/>
        <w:ind w:left="140" w:right="100" w:firstLine="0"/>
        <w:jc w:val="left"/>
        <w:rPr>
          <w:rFonts w:ascii="宋体" w:hAnsi="宋体" w:cs="宋体" w:eastAsia="宋体" w:hint="default"/>
          <w:sz w:val="21"/>
          <w:szCs w:val="21"/>
        </w:rPr>
      </w:pPr>
      <w:r>
        <w:rPr>
          <w:rFonts w:ascii="宋体" w:hAnsi="宋体" w:cs="宋体" w:eastAsia="宋体" w:hint="default"/>
          <w:spacing w:val="-1"/>
          <w:sz w:val="21"/>
          <w:szCs w:val="21"/>
        </w:rPr>
        <w:t>中国，上海</w:t>
        <w:tab/>
      </w:r>
      <w:r>
        <w:rPr>
          <w:rFonts w:ascii="宋体" w:hAnsi="宋体" w:cs="宋体" w:eastAsia="宋体" w:hint="default"/>
          <w:spacing w:val="-2"/>
          <w:sz w:val="21"/>
          <w:szCs w:val="21"/>
        </w:rPr>
        <w:t>二〇一一年四月十一日</w:t>
      </w:r>
    </w:p>
    <w:p>
      <w:pPr>
        <w:spacing w:after="0"/>
        <w:jc w:val="left"/>
        <w:rPr>
          <w:rFonts w:ascii="宋体" w:hAnsi="宋体" w:cs="宋体" w:eastAsia="宋体" w:hint="default"/>
          <w:sz w:val="21"/>
          <w:szCs w:val="21"/>
        </w:rPr>
        <w:sectPr>
          <w:type w:val="continuous"/>
          <w:pgSz w:w="11900" w:h="16840"/>
          <w:pgMar w:top="1040" w:bottom="1180" w:left="1660" w:right="1580"/>
        </w:sectPr>
      </w:pPr>
    </w:p>
    <w:p>
      <w:pPr>
        <w:spacing w:line="240" w:lineRule="auto" w:before="2"/>
        <w:rPr>
          <w:rFonts w:ascii="宋体" w:hAnsi="宋体" w:cs="宋体" w:eastAsia="宋体" w:hint="default"/>
          <w:sz w:val="24"/>
          <w:szCs w:val="24"/>
        </w:rPr>
      </w:pPr>
    </w:p>
    <w:p>
      <w:pPr>
        <w:pStyle w:val="Heading3"/>
        <w:spacing w:line="313" w:lineRule="exact"/>
        <w:ind w:left="960" w:right="0"/>
        <w:jc w:val="left"/>
        <w:rPr>
          <w:b w:val="0"/>
          <w:bCs w:val="0"/>
        </w:rPr>
      </w:pPr>
      <w:r>
        <w:rPr/>
        <w:t>二、财务报表</w:t>
      </w:r>
      <w:r>
        <w:rPr>
          <w:b w:val="0"/>
          <w:bCs w:val="0"/>
        </w:rPr>
      </w:r>
    </w:p>
    <w:p>
      <w:pPr>
        <w:pStyle w:val="Heading3"/>
        <w:spacing w:line="313" w:lineRule="exact" w:before="0"/>
        <w:ind w:left="960" w:right="0"/>
        <w:jc w:val="left"/>
        <w:rPr>
          <w:b w:val="0"/>
          <w:bCs w:val="0"/>
        </w:rPr>
      </w:pPr>
      <w:r>
        <w:rPr/>
        <w:t>（一）资产负债表</w:t>
      </w:r>
      <w:r>
        <w:rPr>
          <w:b w:val="0"/>
          <w:bCs w:val="0"/>
        </w:rPr>
      </w:r>
    </w:p>
    <w:p>
      <w:pPr>
        <w:tabs>
          <w:tab w:pos="5056" w:val="left" w:leader="none"/>
          <w:tab w:pos="8522" w:val="left" w:leader="none"/>
        </w:tabs>
        <w:spacing w:before="46"/>
        <w:ind w:left="110"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8"/>
          <w:sz w:val="18"/>
          <w:szCs w:val="18"/>
        </w:rPr>
        <w:t>：</w:t>
      </w:r>
      <w:r>
        <w:rPr>
          <w:rFonts w:ascii="宋体" w:hAnsi="宋体" w:cs="宋体" w:eastAsia="宋体" w:hint="default"/>
          <w:sz w:val="18"/>
          <w:szCs w:val="18"/>
        </w:rPr>
        <w:t>上海海隆软件股份有限公司</w:t>
        <w:tab/>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9"/>
          <w:sz w:val="18"/>
          <w:szCs w:val="18"/>
        </w:rPr>
        <w:t>：</w:t>
      </w:r>
      <w:r>
        <w:rPr>
          <w:rFonts w:ascii="宋体" w:hAnsi="宋体" w:cs="宋体" w:eastAsia="宋体" w:hint="default"/>
          <w:sz w:val="18"/>
          <w:szCs w:val="18"/>
        </w:rPr>
        <w:t>（人民</w:t>
      </w:r>
      <w:r>
        <w:rPr>
          <w:rFonts w:ascii="宋体" w:hAnsi="宋体" w:cs="宋体" w:eastAsia="宋体" w:hint="default"/>
          <w:spacing w:val="-3"/>
          <w:sz w:val="18"/>
          <w:szCs w:val="18"/>
        </w:rPr>
        <w:t>币</w:t>
      </w:r>
      <w:r>
        <w:rPr>
          <w:rFonts w:ascii="宋体" w:hAnsi="宋体" w:cs="宋体" w:eastAsia="宋体" w:hint="default"/>
          <w:spacing w:val="-10"/>
          <w:sz w:val="18"/>
          <w:szCs w:val="18"/>
        </w:rPr>
        <w:t>）</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706"/>
        <w:gridCol w:w="775"/>
        <w:gridCol w:w="708"/>
        <w:gridCol w:w="1702"/>
        <w:gridCol w:w="1702"/>
        <w:gridCol w:w="1702"/>
        <w:gridCol w:w="1673"/>
      </w:tblGrid>
      <w:tr>
        <w:trPr>
          <w:trHeight w:val="358" w:hRule="exact"/>
        </w:trPr>
        <w:tc>
          <w:tcPr>
            <w:tcW w:w="1706"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48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02"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02"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02"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73" w:type="dxa"/>
            <w:vMerge w:val="restart"/>
            <w:tcBorders>
              <w:top w:val="single" w:sz="17" w:space="0" w:color="000000"/>
              <w:left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60" w:hRule="exact"/>
        </w:trPr>
        <w:tc>
          <w:tcPr>
            <w:tcW w:w="1706" w:type="dxa"/>
            <w:vMerge/>
            <w:tcBorders>
              <w:left w:val="nil" w:sz="6" w:space="0" w:color="auto"/>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73" w:type="dxa"/>
            <w:vMerge/>
            <w:tcBorders>
              <w:left w:val="single" w:sz="4" w:space="0" w:color="000000"/>
              <w:bottom w:val="single" w:sz="4" w:space="0" w:color="000000"/>
              <w:right w:val="nil" w:sz="6" w:space="0" w:color="auto"/>
            </w:tcBorders>
          </w:tcPr>
          <w:p>
            <w:pPr/>
          </w:p>
        </w:tc>
      </w:tr>
      <w:tr>
        <w:trPr>
          <w:trHeight w:val="370"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6.1</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296,183,647.67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272,389,143.46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246,645,739.02</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242,064,061.70</w:t>
            </w: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25,388,054.15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15,303,085.21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23,106,703.13</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5,657,003.96</w:t>
            </w:r>
          </w:p>
        </w:tc>
      </w:tr>
      <w:tr>
        <w:trPr>
          <w:trHeight w:val="321"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6.4</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1,119,686.44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492,783.19</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8,115,134.41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3,185,874.87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7,413,667.07</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1,702,703.75</w:t>
            </w: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6.5</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1,357,967.49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1,653,701.72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08" w:right="151"/>
              <w:jc w:val="left"/>
              <w:rPr>
                <w:rFonts w:ascii="宋体" w:hAnsi="宋体" w:cs="宋体" w:eastAsia="宋体" w:hint="default"/>
                <w:sz w:val="18"/>
                <w:szCs w:val="18"/>
              </w:rPr>
            </w:pPr>
            <w:r>
              <w:rPr>
                <w:rFonts w:ascii="宋体" w:hAnsi="宋体" w:cs="宋体" w:eastAsia="宋体" w:hint="default"/>
                <w:sz w:val="18"/>
                <w:szCs w:val="18"/>
              </w:rPr>
              <w:t>一年内到期的非流 动资产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332,164,490.16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293,024,588.45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277,166,109.22</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249,423,769.41</w:t>
            </w:r>
          </w:p>
        </w:tc>
      </w:tr>
      <w:tr>
        <w:trPr>
          <w:trHeight w:val="32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6.6</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248,700.00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248,700.00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12.3</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18,916,919.95</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7,386,419.95</w:t>
            </w: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6.7</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14,062,094.49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13,769,748.66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11,791,448.47</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12,352,298.00</w:t>
            </w:r>
          </w:p>
        </w:tc>
      </w:tr>
      <w:tr>
        <w:trPr>
          <w:trHeight w:val="321"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7,697,953.23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4,588,281.38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7,237,703.81</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4,211,993.18</w:t>
            </w: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6.8</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1,715,732.24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1,656,211.83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1,715,732.24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1,656,211.83</w:t>
            </w: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6.9</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146,337.55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146,337.55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6.10</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2,834,010.34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1,327,310.04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881,349.01</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1,238,273.04</w:t>
            </w:r>
          </w:p>
        </w:tc>
      </w:tr>
      <w:tr>
        <w:trPr>
          <w:trHeight w:val="321"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6.11</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44,067.50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20,000.00</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44,067.50</w:t>
            </w:r>
          </w:p>
        </w:tc>
      </w:tr>
      <w:tr>
        <w:trPr>
          <w:trHeight w:val="322"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17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26,724,827.85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21,780,656.96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40,563,153.48</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26,889,263.50</w:t>
            </w:r>
          </w:p>
        </w:tc>
      </w:tr>
      <w:tr>
        <w:trPr>
          <w:trHeight w:val="338" w:hRule="exact"/>
        </w:trPr>
        <w:tc>
          <w:tcPr>
            <w:tcW w:w="170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775" w:type="dxa"/>
            <w:tcBorders>
              <w:top w:val="single" w:sz="4" w:space="0" w:color="000000"/>
              <w:left w:val="single" w:sz="4" w:space="0" w:color="000000"/>
              <w:bottom w:val="single" w:sz="17" w:space="0" w:color="000000"/>
              <w:right w:val="single" w:sz="4" w:space="0" w:color="000000"/>
            </w:tcBorders>
          </w:tcPr>
          <w:p>
            <w:pPr/>
          </w:p>
        </w:tc>
        <w:tc>
          <w:tcPr>
            <w:tcW w:w="708" w:type="dxa"/>
            <w:tcBorders>
              <w:top w:val="single" w:sz="4" w:space="0" w:color="000000"/>
              <w:left w:val="single" w:sz="4" w:space="0" w:color="000000"/>
              <w:bottom w:val="single" w:sz="17" w:space="0" w:color="000000"/>
              <w:right w:val="single" w:sz="4" w:space="0" w:color="000000"/>
            </w:tcBorders>
          </w:tcPr>
          <w:p>
            <w:pP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358,889,318.01</w:t>
            </w: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314,805,245.41</w:t>
            </w: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317,729,262.70</w:t>
            </w:r>
          </w:p>
        </w:tc>
        <w:tc>
          <w:tcPr>
            <w:tcW w:w="1673"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276,313,032.91</w:t>
            </w:r>
          </w:p>
        </w:tc>
      </w:tr>
    </w:tbl>
    <w:p>
      <w:pPr>
        <w:spacing w:after="0" w:line="240" w:lineRule="auto"/>
        <w:jc w:val="right"/>
        <w:rPr>
          <w:rFonts w:ascii="宋体" w:hAnsi="宋体" w:cs="宋体" w:eastAsia="宋体" w:hint="default"/>
          <w:sz w:val="18"/>
          <w:szCs w:val="18"/>
        </w:rPr>
        <w:sectPr>
          <w:footerReference w:type="default" r:id="rId23"/>
          <w:pgSz w:w="11900" w:h="16840"/>
          <w:pgMar w:footer="983" w:header="874" w:top="1040" w:bottom="1180" w:left="840" w:right="820"/>
          <w:pgNumType w:start="70"/>
        </w:sectPr>
      </w:pPr>
    </w:p>
    <w:p>
      <w:pPr>
        <w:spacing w:line="240" w:lineRule="auto" w:before="2"/>
        <w:rPr>
          <w:rFonts w:ascii="宋体" w:hAnsi="宋体" w:cs="宋体" w:eastAsia="宋体" w:hint="default"/>
          <w:sz w:val="24"/>
          <w:szCs w:val="24"/>
        </w:rPr>
      </w:pPr>
    </w:p>
    <w:p>
      <w:pPr>
        <w:pStyle w:val="Heading3"/>
        <w:spacing w:line="240" w:lineRule="auto"/>
        <w:ind w:left="1040" w:right="0"/>
        <w:jc w:val="left"/>
        <w:rPr>
          <w:b w:val="0"/>
          <w:bCs w:val="0"/>
        </w:rPr>
      </w:pPr>
      <w:r>
        <w:rPr/>
        <w:t>（一）资产负债表（续）</w:t>
      </w:r>
      <w:r>
        <w:rPr>
          <w:b w:val="0"/>
          <w:bCs w:val="0"/>
        </w:rPr>
      </w:r>
    </w:p>
    <w:p>
      <w:pPr>
        <w:tabs>
          <w:tab w:pos="5136" w:val="left" w:leader="none"/>
          <w:tab w:pos="8602" w:val="left" w:leader="none"/>
        </w:tabs>
        <w:spacing w:before="46"/>
        <w:ind w:left="190"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8"/>
          <w:sz w:val="18"/>
          <w:szCs w:val="18"/>
        </w:rPr>
        <w:t>：</w:t>
      </w:r>
      <w:r>
        <w:rPr>
          <w:rFonts w:ascii="宋体" w:hAnsi="宋体" w:cs="宋体" w:eastAsia="宋体" w:hint="default"/>
          <w:sz w:val="18"/>
          <w:szCs w:val="18"/>
        </w:rPr>
        <w:t>上海海隆软件股份有限公司</w:t>
        <w:tab/>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9"/>
          <w:sz w:val="18"/>
          <w:szCs w:val="18"/>
        </w:rPr>
        <w:t>：</w:t>
      </w:r>
      <w:r>
        <w:rPr>
          <w:rFonts w:ascii="宋体" w:hAnsi="宋体" w:cs="宋体" w:eastAsia="宋体" w:hint="default"/>
          <w:sz w:val="18"/>
          <w:szCs w:val="18"/>
        </w:rPr>
        <w:t>（人民</w:t>
      </w:r>
      <w:r>
        <w:rPr>
          <w:rFonts w:ascii="宋体" w:hAnsi="宋体" w:cs="宋体" w:eastAsia="宋体" w:hint="default"/>
          <w:spacing w:val="-3"/>
          <w:sz w:val="18"/>
          <w:szCs w:val="18"/>
        </w:rPr>
        <w:t>币</w:t>
      </w:r>
      <w:r>
        <w:rPr>
          <w:rFonts w:ascii="宋体" w:hAnsi="宋体" w:cs="宋体" w:eastAsia="宋体" w:hint="default"/>
          <w:spacing w:val="-10"/>
          <w:sz w:val="18"/>
          <w:szCs w:val="18"/>
        </w:rPr>
        <w:t>）</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686"/>
        <w:gridCol w:w="708"/>
        <w:gridCol w:w="758"/>
        <w:gridCol w:w="1476"/>
        <w:gridCol w:w="1476"/>
        <w:gridCol w:w="1541"/>
        <w:gridCol w:w="1476"/>
      </w:tblGrid>
      <w:tr>
        <w:trPr>
          <w:trHeight w:val="358" w:hRule="exact"/>
        </w:trPr>
        <w:tc>
          <w:tcPr>
            <w:tcW w:w="2686"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720"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146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476" w:type="dxa"/>
            <w:vMerge w:val="restart"/>
            <w:tcBorders>
              <w:top w:val="single" w:sz="17" w:space="0" w:color="000000"/>
              <w:left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54"/>
                <w:sz w:val="16"/>
                <w:szCs w:val="16"/>
              </w:rPr>
              <w:t> </w:t>
            </w:r>
            <w:r>
              <w:rPr>
                <w:rFonts w:ascii="宋体" w:hAnsi="宋体" w:cs="宋体" w:eastAsia="宋体" w:hint="default"/>
                <w:sz w:val="16"/>
                <w:szCs w:val="16"/>
              </w:rPr>
              <w:t>年</w:t>
            </w:r>
            <w:r>
              <w:rPr>
                <w:rFonts w:ascii="宋体" w:hAnsi="宋体" w:cs="宋体" w:eastAsia="宋体" w:hint="default"/>
                <w:spacing w:val="-52"/>
                <w:sz w:val="16"/>
                <w:szCs w:val="16"/>
              </w:rPr>
              <w:t> </w:t>
            </w:r>
            <w:r>
              <w:rPr>
                <w:rFonts w:ascii="宋体" w:hAnsi="宋体" w:cs="宋体" w:eastAsia="宋体" w:hint="default"/>
                <w:sz w:val="16"/>
                <w:szCs w:val="16"/>
              </w:rPr>
              <w:t>12</w:t>
            </w:r>
            <w:r>
              <w:rPr>
                <w:rFonts w:ascii="宋体" w:hAnsi="宋体" w:cs="宋体" w:eastAsia="宋体" w:hint="default"/>
                <w:spacing w:val="-54"/>
                <w:sz w:val="16"/>
                <w:szCs w:val="16"/>
              </w:rPr>
              <w:t> </w:t>
            </w:r>
            <w:r>
              <w:rPr>
                <w:rFonts w:ascii="宋体" w:hAnsi="宋体" w:cs="宋体" w:eastAsia="宋体" w:hint="default"/>
                <w:sz w:val="16"/>
                <w:szCs w:val="16"/>
              </w:rPr>
              <w:t>月</w:t>
            </w:r>
            <w:r>
              <w:rPr>
                <w:rFonts w:ascii="宋体" w:hAnsi="宋体" w:cs="宋体" w:eastAsia="宋体" w:hint="default"/>
                <w:spacing w:val="-55"/>
                <w:sz w:val="16"/>
                <w:szCs w:val="16"/>
              </w:rPr>
              <w:t> </w:t>
            </w:r>
            <w:r>
              <w:rPr>
                <w:rFonts w:ascii="宋体" w:hAnsi="宋体" w:cs="宋体" w:eastAsia="宋体" w:hint="default"/>
                <w:sz w:val="16"/>
                <w:szCs w:val="16"/>
              </w:rPr>
              <w:t>31</w:t>
            </w:r>
            <w:r>
              <w:rPr>
                <w:rFonts w:ascii="宋体" w:hAnsi="宋体" w:cs="宋体" w:eastAsia="宋体" w:hint="default"/>
                <w:spacing w:val="-51"/>
                <w:sz w:val="16"/>
                <w:szCs w:val="16"/>
              </w:rPr>
              <w:t> </w:t>
            </w:r>
            <w:r>
              <w:rPr>
                <w:rFonts w:ascii="宋体" w:hAnsi="宋体" w:cs="宋体" w:eastAsia="宋体" w:hint="default"/>
                <w:sz w:val="16"/>
                <w:szCs w:val="16"/>
              </w:rPr>
              <w:t>日</w:t>
            </w:r>
          </w:p>
          <w:p>
            <w:pPr>
              <w:pStyle w:val="TableParagraph"/>
              <w:spacing w:line="240" w:lineRule="auto" w:before="102"/>
              <w:ind w:left="2"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476" w:type="dxa"/>
            <w:vMerge w:val="restart"/>
            <w:tcBorders>
              <w:top w:val="single" w:sz="17" w:space="0" w:color="000000"/>
              <w:left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54"/>
                <w:sz w:val="16"/>
                <w:szCs w:val="16"/>
              </w:rPr>
              <w:t> </w:t>
            </w:r>
            <w:r>
              <w:rPr>
                <w:rFonts w:ascii="宋体" w:hAnsi="宋体" w:cs="宋体" w:eastAsia="宋体" w:hint="default"/>
                <w:sz w:val="16"/>
                <w:szCs w:val="16"/>
              </w:rPr>
              <w:t>年</w:t>
            </w:r>
            <w:r>
              <w:rPr>
                <w:rFonts w:ascii="宋体" w:hAnsi="宋体" w:cs="宋体" w:eastAsia="宋体" w:hint="default"/>
                <w:spacing w:val="-52"/>
                <w:sz w:val="16"/>
                <w:szCs w:val="16"/>
              </w:rPr>
              <w:t> </w:t>
            </w:r>
            <w:r>
              <w:rPr>
                <w:rFonts w:ascii="宋体" w:hAnsi="宋体" w:cs="宋体" w:eastAsia="宋体" w:hint="default"/>
                <w:sz w:val="16"/>
                <w:szCs w:val="16"/>
              </w:rPr>
              <w:t>12</w:t>
            </w:r>
            <w:r>
              <w:rPr>
                <w:rFonts w:ascii="宋体" w:hAnsi="宋体" w:cs="宋体" w:eastAsia="宋体" w:hint="default"/>
                <w:spacing w:val="-54"/>
                <w:sz w:val="16"/>
                <w:szCs w:val="16"/>
              </w:rPr>
              <w:t> </w:t>
            </w:r>
            <w:r>
              <w:rPr>
                <w:rFonts w:ascii="宋体" w:hAnsi="宋体" w:cs="宋体" w:eastAsia="宋体" w:hint="default"/>
                <w:sz w:val="16"/>
                <w:szCs w:val="16"/>
              </w:rPr>
              <w:t>月</w:t>
            </w:r>
            <w:r>
              <w:rPr>
                <w:rFonts w:ascii="宋体" w:hAnsi="宋体" w:cs="宋体" w:eastAsia="宋体" w:hint="default"/>
                <w:spacing w:val="-55"/>
                <w:sz w:val="16"/>
                <w:szCs w:val="16"/>
              </w:rPr>
              <w:t> </w:t>
            </w:r>
            <w:r>
              <w:rPr>
                <w:rFonts w:ascii="宋体" w:hAnsi="宋体" w:cs="宋体" w:eastAsia="宋体" w:hint="default"/>
                <w:sz w:val="16"/>
                <w:szCs w:val="16"/>
              </w:rPr>
              <w:t>31</w:t>
            </w:r>
            <w:r>
              <w:rPr>
                <w:rFonts w:ascii="宋体" w:hAnsi="宋体" w:cs="宋体" w:eastAsia="宋体" w:hint="default"/>
                <w:spacing w:val="-51"/>
                <w:sz w:val="16"/>
                <w:szCs w:val="16"/>
              </w:rPr>
              <w:t> </w:t>
            </w:r>
            <w:r>
              <w:rPr>
                <w:rFonts w:ascii="宋体" w:hAnsi="宋体" w:cs="宋体" w:eastAsia="宋体" w:hint="default"/>
                <w:sz w:val="16"/>
                <w:szCs w:val="16"/>
              </w:rPr>
              <w:t>日</w:t>
            </w:r>
          </w:p>
          <w:p>
            <w:pPr>
              <w:pStyle w:val="TableParagraph"/>
              <w:spacing w:line="240" w:lineRule="auto" w:before="102"/>
              <w:ind w:left="2"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541" w:type="dxa"/>
            <w:vMerge w:val="restart"/>
            <w:tcBorders>
              <w:top w:val="single" w:sz="17" w:space="0" w:color="000000"/>
              <w:left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p>
            <w:pPr>
              <w:pStyle w:val="TableParagraph"/>
              <w:spacing w:line="240" w:lineRule="auto" w:before="102"/>
              <w:ind w:left="2"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476" w:type="dxa"/>
            <w:vMerge w:val="restart"/>
            <w:tcBorders>
              <w:top w:val="single" w:sz="17" w:space="0" w:color="000000"/>
              <w:left w:val="single" w:sz="4" w:space="0" w:color="000000"/>
              <w:right w:val="nil" w:sz="6" w:space="0" w:color="auto"/>
            </w:tcBorders>
          </w:tcPr>
          <w:p>
            <w:pPr>
              <w:pStyle w:val="TableParagraph"/>
              <w:spacing w:line="240" w:lineRule="auto" w:before="60"/>
              <w:ind w:right="0"/>
              <w:jc w:val="center"/>
              <w:rPr>
                <w:rFonts w:ascii="宋体" w:hAnsi="宋体" w:cs="宋体" w:eastAsia="宋体" w:hint="default"/>
                <w:sz w:val="16"/>
                <w:szCs w:val="16"/>
              </w:rPr>
            </w:pPr>
            <w:r>
              <w:rPr>
                <w:rFonts w:ascii="宋体" w:hAnsi="宋体" w:cs="宋体" w:eastAsia="宋体" w:hint="default"/>
                <w:sz w:val="16"/>
                <w:szCs w:val="16"/>
              </w:rPr>
              <w:t>2009</w:t>
            </w:r>
            <w:r>
              <w:rPr>
                <w:rFonts w:ascii="宋体" w:hAnsi="宋体" w:cs="宋体" w:eastAsia="宋体" w:hint="default"/>
                <w:spacing w:val="-54"/>
                <w:sz w:val="16"/>
                <w:szCs w:val="16"/>
              </w:rPr>
              <w:t> </w:t>
            </w:r>
            <w:r>
              <w:rPr>
                <w:rFonts w:ascii="宋体" w:hAnsi="宋体" w:cs="宋体" w:eastAsia="宋体" w:hint="default"/>
                <w:sz w:val="16"/>
                <w:szCs w:val="16"/>
              </w:rPr>
              <w:t>年</w:t>
            </w:r>
            <w:r>
              <w:rPr>
                <w:rFonts w:ascii="宋体" w:hAnsi="宋体" w:cs="宋体" w:eastAsia="宋体" w:hint="default"/>
                <w:spacing w:val="-52"/>
                <w:sz w:val="16"/>
                <w:szCs w:val="16"/>
              </w:rPr>
              <w:t> </w:t>
            </w:r>
            <w:r>
              <w:rPr>
                <w:rFonts w:ascii="宋体" w:hAnsi="宋体" w:cs="宋体" w:eastAsia="宋体" w:hint="default"/>
                <w:sz w:val="16"/>
                <w:szCs w:val="16"/>
              </w:rPr>
              <w:t>12</w:t>
            </w:r>
            <w:r>
              <w:rPr>
                <w:rFonts w:ascii="宋体" w:hAnsi="宋体" w:cs="宋体" w:eastAsia="宋体" w:hint="default"/>
                <w:spacing w:val="-54"/>
                <w:sz w:val="16"/>
                <w:szCs w:val="16"/>
              </w:rPr>
              <w:t> </w:t>
            </w:r>
            <w:r>
              <w:rPr>
                <w:rFonts w:ascii="宋体" w:hAnsi="宋体" w:cs="宋体" w:eastAsia="宋体" w:hint="default"/>
                <w:sz w:val="16"/>
                <w:szCs w:val="16"/>
              </w:rPr>
              <w:t>月</w:t>
            </w:r>
            <w:r>
              <w:rPr>
                <w:rFonts w:ascii="宋体" w:hAnsi="宋体" w:cs="宋体" w:eastAsia="宋体" w:hint="default"/>
                <w:spacing w:val="-55"/>
                <w:sz w:val="16"/>
                <w:szCs w:val="16"/>
              </w:rPr>
              <w:t> </w:t>
            </w:r>
            <w:r>
              <w:rPr>
                <w:rFonts w:ascii="宋体" w:hAnsi="宋体" w:cs="宋体" w:eastAsia="宋体" w:hint="default"/>
                <w:sz w:val="16"/>
                <w:szCs w:val="16"/>
              </w:rPr>
              <w:t>31</w:t>
            </w:r>
            <w:r>
              <w:rPr>
                <w:rFonts w:ascii="宋体" w:hAnsi="宋体" w:cs="宋体" w:eastAsia="宋体" w:hint="default"/>
                <w:spacing w:val="-51"/>
                <w:sz w:val="16"/>
                <w:szCs w:val="16"/>
              </w:rPr>
              <w:t> </w:t>
            </w:r>
            <w:r>
              <w:rPr>
                <w:rFonts w:ascii="宋体" w:hAnsi="宋体" w:cs="宋体" w:eastAsia="宋体" w:hint="default"/>
                <w:sz w:val="16"/>
                <w:szCs w:val="16"/>
              </w:rPr>
              <w:t>日</w:t>
            </w:r>
          </w:p>
          <w:p>
            <w:pPr>
              <w:pStyle w:val="TableParagraph"/>
              <w:spacing w:line="240" w:lineRule="auto" w:before="102"/>
              <w:ind w:right="2"/>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360" w:hRule="exact"/>
        </w:trPr>
        <w:tc>
          <w:tcPr>
            <w:tcW w:w="2686" w:type="dxa"/>
            <w:vMerge/>
            <w:tcBorders>
              <w:left w:val="nil" w:sz="6" w:space="0" w:color="auto"/>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sz w:val="18"/>
                <w:szCs w:val="18"/>
              </w:rPr>
              <w:t>合并</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7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541"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nil" w:sz="6" w:space="0" w:color="auto"/>
            </w:tcBorders>
          </w:tcPr>
          <w:p>
            <w:pPr/>
          </w:p>
        </w:tc>
      </w:tr>
      <w:tr>
        <w:trPr>
          <w:trHeight w:val="321"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6.13</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14,063,000.00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18,853,840.00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10,000,000.00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10,000,000.00</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6.14</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678,579.56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2,549,660.00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3,643,590.27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2,584,862.00</w:t>
            </w:r>
          </w:p>
        </w:tc>
      </w:tr>
      <w:tr>
        <w:trPr>
          <w:trHeight w:val="321"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6.15</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1,487,591.04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1,796,499.98</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6.16</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11,327,483.25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9,279,609.51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8,264,699.26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4,444,579.20</w:t>
            </w:r>
          </w:p>
        </w:tc>
      </w:tr>
      <w:tr>
        <w:trPr>
          <w:trHeight w:val="324"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6.17</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7,052,159.27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3,216,331.47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2,297,865.08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1,526,072.56</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6.18</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958,910.34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443,157.90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400,465.07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273,504.10</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6.19</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2,136,748.02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873,000.00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1,943,327.02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100,000.00</w:t>
            </w:r>
          </w:p>
        </w:tc>
      </w:tr>
      <w:tr>
        <w:trPr>
          <w:trHeight w:val="324"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37,704,471.48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37,012,098.86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26,549,946.70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18,929,017.86</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37,704,471.48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37,012,098.86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26,549,946.70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18,929,017.86</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股东权益（或股东权益）：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
              <w:jc w:val="center"/>
              <w:rPr>
                <w:rFonts w:ascii="宋体" w:hAnsi="宋体" w:cs="宋体" w:eastAsia="宋体" w:hint="default"/>
                <w:sz w:val="18"/>
                <w:szCs w:val="18"/>
              </w:rPr>
            </w:pPr>
            <w:r>
              <w:rPr>
                <w:rFonts w:ascii="宋体"/>
                <w:sz w:val="18"/>
              </w:rPr>
              <w:t>6.20</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74,620,000.00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74,620,000.00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74,620,000.00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74,620,000.00</w:t>
            </w:r>
          </w:p>
        </w:tc>
      </w:tr>
      <w:tr>
        <w:trPr>
          <w:trHeight w:val="321"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6.21</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99,526,908.26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99,506,213.46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99,506,213.46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99,506,213.46</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6.22</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18,203,483.87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14,077,753.77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18,203,483.87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14,077,753.77</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sz w:val="18"/>
              </w:rPr>
              <w:t>6.23</w:t>
            </w: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112,584,973.95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78,969,897.63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98,849,618.67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69,180,047.82</w:t>
            </w:r>
          </w:p>
        </w:tc>
      </w:tr>
      <w:tr>
        <w:trPr>
          <w:trHeight w:val="321"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850,972.34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512,301.15</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305,786,338.42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267,686,166.01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291,179,316.00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257,384,015.05</w:t>
            </w: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15,398,508.11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10,106,980.54</w:t>
            </w:r>
          </w:p>
        </w:tc>
        <w:tc>
          <w:tcPr>
            <w:tcW w:w="15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321,184,846.53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277,793,146.55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291,179,316.00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257,384,015.05</w:t>
            </w:r>
          </w:p>
        </w:tc>
      </w:tr>
      <w:tr>
        <w:trPr>
          <w:trHeight w:val="389" w:hRule="exact"/>
        </w:trPr>
        <w:tc>
          <w:tcPr>
            <w:tcW w:w="268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负债及股东权益总计</w:t>
            </w:r>
            <w:r>
              <w:rPr>
                <w:rFonts w:ascii="宋体" w:hAnsi="宋体" w:cs="宋体" w:eastAsia="宋体" w:hint="default"/>
                <w:sz w:val="18"/>
                <w:szCs w:val="18"/>
              </w:rPr>
            </w:r>
          </w:p>
        </w:tc>
        <w:tc>
          <w:tcPr>
            <w:tcW w:w="708" w:type="dxa"/>
            <w:tcBorders>
              <w:top w:val="single" w:sz="4" w:space="0" w:color="000000"/>
              <w:left w:val="single" w:sz="4" w:space="0" w:color="000000"/>
              <w:bottom w:val="single" w:sz="17" w:space="0" w:color="000000"/>
              <w:right w:val="single" w:sz="4" w:space="0" w:color="000000"/>
            </w:tcBorders>
          </w:tcPr>
          <w:p>
            <w:pPr/>
          </w:p>
        </w:tc>
        <w:tc>
          <w:tcPr>
            <w:tcW w:w="758" w:type="dxa"/>
            <w:tcBorders>
              <w:top w:val="single" w:sz="4" w:space="0" w:color="000000"/>
              <w:left w:val="single" w:sz="4" w:space="0" w:color="000000"/>
              <w:bottom w:val="single" w:sz="17" w:space="0" w:color="000000"/>
              <w:right w:val="single" w:sz="4" w:space="0" w:color="000000"/>
            </w:tcBorders>
          </w:tcPr>
          <w:p>
            <w:pP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358,889,318.01</w:t>
            </w:r>
          </w:p>
        </w:tc>
        <w:tc>
          <w:tcPr>
            <w:tcW w:w="147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314,805,245.41</w:t>
            </w:r>
          </w:p>
        </w:tc>
        <w:tc>
          <w:tcPr>
            <w:tcW w:w="15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6"/>
              <w:ind w:right="102"/>
              <w:jc w:val="right"/>
              <w:rPr>
                <w:rFonts w:ascii="宋体" w:hAnsi="宋体" w:cs="宋体" w:eastAsia="宋体" w:hint="default"/>
                <w:sz w:val="18"/>
                <w:szCs w:val="18"/>
              </w:rPr>
            </w:pPr>
            <w:r>
              <w:rPr>
                <w:rFonts w:ascii="宋体"/>
                <w:spacing w:val="-1"/>
                <w:sz w:val="18"/>
              </w:rPr>
              <w:t>317,729,262.70</w:t>
            </w:r>
          </w:p>
        </w:tc>
        <w:tc>
          <w:tcPr>
            <w:tcW w:w="147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276,313,032.91</w:t>
            </w:r>
          </w:p>
        </w:tc>
      </w:tr>
    </w:tbl>
    <w:p>
      <w:pPr>
        <w:spacing w:line="266" w:lineRule="exact" w:before="0"/>
        <w:ind w:left="190" w:right="0" w:firstLine="0"/>
        <w:jc w:val="left"/>
        <w:rPr>
          <w:rFonts w:ascii="宋体" w:hAnsi="宋体" w:cs="宋体" w:eastAsia="宋体" w:hint="default"/>
          <w:sz w:val="22"/>
          <w:szCs w:val="22"/>
        </w:rPr>
      </w:pPr>
      <w:r>
        <w:rPr>
          <w:rFonts w:ascii="宋体" w:hAnsi="宋体" w:cs="宋体" w:eastAsia="宋体" w:hint="default"/>
          <w:sz w:val="22"/>
          <w:szCs w:val="22"/>
        </w:rPr>
        <w:t>后附财务报表附注为本财务报表的必要组成部分。</w:t>
      </w:r>
    </w:p>
    <w:p>
      <w:pPr>
        <w:spacing w:line="240" w:lineRule="auto" w:before="9"/>
        <w:rPr>
          <w:rFonts w:ascii="宋体" w:hAnsi="宋体" w:cs="宋体" w:eastAsia="宋体" w:hint="default"/>
          <w:sz w:val="25"/>
          <w:szCs w:val="25"/>
        </w:rPr>
      </w:pPr>
    </w:p>
    <w:p>
      <w:pPr>
        <w:tabs>
          <w:tab w:pos="3051" w:val="left" w:leader="none"/>
          <w:tab w:pos="6900" w:val="left" w:leader="none"/>
        </w:tabs>
        <w:spacing w:before="0"/>
        <w:ind w:left="190"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t>主管会计工作负责人：包叔平</w:t>
        <w:tab/>
        <w:t>会计机构负责人：董</w:t>
      </w:r>
      <w:r>
        <w:rPr>
          <w:rFonts w:ascii="宋体" w:hAnsi="宋体" w:cs="宋体" w:eastAsia="宋体" w:hint="default"/>
          <w:spacing w:val="7"/>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1900" w:h="16840"/>
          <w:pgMar w:header="874" w:footer="983" w:top="1040" w:bottom="1180" w:left="760" w:right="740"/>
        </w:sectPr>
      </w:pPr>
    </w:p>
    <w:p>
      <w:pPr>
        <w:spacing w:line="240" w:lineRule="auto" w:before="2"/>
        <w:rPr>
          <w:rFonts w:ascii="宋体" w:hAnsi="宋体" w:cs="宋体" w:eastAsia="宋体" w:hint="default"/>
          <w:sz w:val="24"/>
          <w:szCs w:val="24"/>
        </w:rPr>
      </w:pPr>
    </w:p>
    <w:p>
      <w:pPr>
        <w:pStyle w:val="Heading3"/>
        <w:spacing w:line="240" w:lineRule="auto"/>
        <w:ind w:left="1100" w:right="0"/>
        <w:jc w:val="left"/>
        <w:rPr>
          <w:b w:val="0"/>
          <w:bCs w:val="0"/>
        </w:rPr>
      </w:pPr>
      <w:r>
        <w:rPr/>
        <w:t>（二）利润表</w:t>
      </w:r>
      <w:r>
        <w:rPr>
          <w:b w:val="0"/>
          <w:bCs w:val="0"/>
        </w:rPr>
      </w:r>
    </w:p>
    <w:p>
      <w:pPr>
        <w:tabs>
          <w:tab w:pos="5196" w:val="left" w:leader="none"/>
          <w:tab w:pos="8662" w:val="left" w:leader="none"/>
        </w:tabs>
        <w:spacing w:before="46"/>
        <w:ind w:left="250" w:right="0" w:firstLine="0"/>
        <w:jc w:val="left"/>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8"/>
          <w:sz w:val="18"/>
          <w:szCs w:val="18"/>
        </w:rPr>
        <w:t>：</w:t>
      </w:r>
      <w:r>
        <w:rPr>
          <w:rFonts w:ascii="宋体" w:hAnsi="宋体" w:cs="宋体" w:eastAsia="宋体" w:hint="default"/>
          <w:sz w:val="18"/>
          <w:szCs w:val="18"/>
        </w:rPr>
        <w:t>上海海隆软件股份有限公司</w:t>
        <w:tab/>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9"/>
          <w:sz w:val="18"/>
          <w:szCs w:val="18"/>
        </w:rPr>
        <w:t>：</w:t>
      </w:r>
      <w:r>
        <w:rPr>
          <w:rFonts w:ascii="宋体" w:hAnsi="宋体" w:cs="宋体" w:eastAsia="宋体" w:hint="default"/>
          <w:sz w:val="18"/>
          <w:szCs w:val="18"/>
        </w:rPr>
        <w:t>（人民</w:t>
      </w:r>
      <w:r>
        <w:rPr>
          <w:rFonts w:ascii="宋体" w:hAnsi="宋体" w:cs="宋体" w:eastAsia="宋体" w:hint="default"/>
          <w:spacing w:val="-3"/>
          <w:sz w:val="18"/>
          <w:szCs w:val="18"/>
        </w:rPr>
        <w:t>币</w:t>
      </w:r>
      <w:r>
        <w:rPr>
          <w:rFonts w:ascii="宋体" w:hAnsi="宋体" w:cs="宋体" w:eastAsia="宋体" w:hint="default"/>
          <w:spacing w:val="-10"/>
          <w:sz w:val="18"/>
          <w:szCs w:val="18"/>
        </w:rPr>
        <w:t>）</w:t>
      </w:r>
      <w:r>
        <w:rPr>
          <w:rFonts w:ascii="宋体" w:hAnsi="宋体" w:cs="宋体" w:eastAsia="宋体" w:hint="default"/>
          <w:sz w:val="18"/>
          <w:szCs w:val="18"/>
        </w:rPr>
        <w:t>元</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191"/>
        <w:gridCol w:w="576"/>
        <w:gridCol w:w="576"/>
        <w:gridCol w:w="1694"/>
        <w:gridCol w:w="1702"/>
        <w:gridCol w:w="1699"/>
        <w:gridCol w:w="1771"/>
      </w:tblGrid>
      <w:tr>
        <w:trPr>
          <w:trHeight w:val="358" w:hRule="exact"/>
        </w:trPr>
        <w:tc>
          <w:tcPr>
            <w:tcW w:w="2191"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94"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02"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99" w:type="dxa"/>
            <w:vMerge w:val="restart"/>
            <w:tcBorders>
              <w:top w:val="single" w:sz="17" w:space="0" w:color="000000"/>
              <w:left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771" w:type="dxa"/>
            <w:vMerge w:val="restart"/>
            <w:tcBorders>
              <w:top w:val="single" w:sz="17" w:space="0" w:color="000000"/>
              <w:left w:val="single" w:sz="4" w:space="0" w:color="000000"/>
              <w:right w:val="nil" w:sz="6" w:space="0" w:color="auto"/>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6"/>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60" w:hRule="exact"/>
        </w:trPr>
        <w:tc>
          <w:tcPr>
            <w:tcW w:w="2191" w:type="dxa"/>
            <w:vMerge/>
            <w:tcBorders>
              <w:left w:val="nil" w:sz="6" w:space="0" w:color="auto"/>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69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nil" w:sz="6" w:space="0" w:color="auto"/>
            </w:tcBorders>
          </w:tcPr>
          <w:p>
            <w:pPr/>
          </w:p>
        </w:tc>
      </w:tr>
      <w:tr>
        <w:trPr>
          <w:trHeight w:val="321"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12.4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294,250,120.89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192,961,837.63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177,271,977.87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125,149,150.78</w:t>
            </w:r>
          </w:p>
        </w:tc>
      </w:tr>
      <w:tr>
        <w:trPr>
          <w:trHeight w:val="324"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6.24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12.4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175,755,281.47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125,022,741.89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91,929,467.52</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72,118,415.08</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6.25</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413,976.57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133,595.85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178,250.79</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93,757.05</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6.26</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13,693,061.69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11,121,347.56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9,633,337.33</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8,793,474.82</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6.27</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61,519,913.66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43,194,968.62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39,737,398.72</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32,226,508.90</w:t>
            </w:r>
          </w:p>
        </w:tc>
      </w:tr>
      <w:tr>
        <w:trPr>
          <w:trHeight w:val="321"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6.28</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-1,886,313.64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-3,057,838.30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-1,535,927.14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-3,002,022.38</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6.30</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-59,348.24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485,798.82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440,675.00</w:t>
            </w:r>
          </w:p>
        </w:tc>
      </w:tr>
      <w:tr>
        <w:trPr>
          <w:trHeight w:val="324"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6.29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12.5</w:t>
            </w:r>
          </w:p>
        </w:tc>
        <w:tc>
          <w:tcPr>
            <w:tcW w:w="16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597,574.15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-183,878.68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445,009.00</w:t>
            </w:r>
          </w:p>
        </w:tc>
      </w:tr>
      <w:tr>
        <w:trPr>
          <w:trHeight w:val="634"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firstLine="362"/>
              <w:jc w:val="left"/>
              <w:rPr>
                <w:rFonts w:ascii="宋体" w:hAnsi="宋体" w:cs="宋体" w:eastAsia="宋体" w:hint="default"/>
                <w:sz w:val="18"/>
                <w:szCs w:val="18"/>
              </w:rPr>
            </w:pPr>
            <w:r>
              <w:rPr>
                <w:rFonts w:ascii="宋体" w:hAnsi="宋体" w:cs="宋体" w:eastAsia="宋体" w:hint="default"/>
                <w:spacing w:val="-3"/>
                <w:sz w:val="18"/>
                <w:szCs w:val="18"/>
              </w:rPr>
              <w:t>其中：对联营企业和</w:t>
            </w:r>
            <w:r>
              <w:rPr>
                <w:rFonts w:ascii="宋体" w:hAnsi="宋体" w:cs="宋体" w:eastAsia="宋体" w:hint="default"/>
                <w:sz w:val="18"/>
                <w:szCs w:val="18"/>
              </w:rPr>
              <w:t> 合营企业的投资收益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44,813,549.38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16,658,797.34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37,145,571.97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14,923,351.31</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6.31</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9,619,080.53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6,908,694.08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8,764,293.00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6,278,830.00</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6.32</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506,126.11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130,426.69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441,977.90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127,254.69</w:t>
            </w:r>
          </w:p>
        </w:tc>
      </w:tr>
      <w:tr>
        <w:trPr>
          <w:trHeight w:val="636"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68" w:firstLine="273"/>
              <w:jc w:val="left"/>
              <w:rPr>
                <w:rFonts w:ascii="宋体" w:hAnsi="宋体" w:cs="宋体" w:eastAsia="宋体" w:hint="default"/>
                <w:sz w:val="18"/>
                <w:szCs w:val="18"/>
              </w:rPr>
            </w:pPr>
            <w:r>
              <w:rPr>
                <w:rFonts w:ascii="宋体" w:hAnsi="宋体" w:cs="宋体" w:eastAsia="宋体" w:hint="default"/>
                <w:sz w:val="18"/>
                <w:szCs w:val="18"/>
              </w:rPr>
              <w:t>其中：非流动资产处 置损失</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126,801.11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130,004.38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82,652.90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126,832.38</w:t>
            </w:r>
          </w:p>
        </w:tc>
      </w:tr>
      <w:tr>
        <w:trPr>
          <w:trHeight w:val="321"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53,926,503.80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23,437,064.73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45,467,887.07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21,074,926.62</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6.33</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6,580,544.01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2,455,508.20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4,210,586.12</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2,057,259.33</w:t>
            </w: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47,345,959.79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20,981,556.53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41,257,300.95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19,017,667.29</w:t>
            </w:r>
          </w:p>
        </w:tc>
      </w:tr>
      <w:tr>
        <w:trPr>
          <w:trHeight w:val="634"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70" w:firstLine="271"/>
              <w:jc w:val="left"/>
              <w:rPr>
                <w:rFonts w:ascii="宋体" w:hAnsi="宋体" w:cs="宋体" w:eastAsia="宋体" w:hint="default"/>
                <w:sz w:val="18"/>
                <w:szCs w:val="18"/>
              </w:rPr>
            </w:pPr>
            <w:r>
              <w:rPr>
                <w:rFonts w:ascii="宋体" w:hAnsi="宋体" w:cs="宋体" w:eastAsia="宋体" w:hint="default"/>
                <w:sz w:val="18"/>
                <w:szCs w:val="18"/>
              </w:rPr>
              <w:t>其中：被合并方在合 并前实现的净利润</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63"/>
              <w:jc w:val="left"/>
              <w:rPr>
                <w:rFonts w:ascii="宋体" w:hAnsi="宋体" w:cs="宋体" w:eastAsia="宋体" w:hint="default"/>
                <w:sz w:val="18"/>
                <w:szCs w:val="18"/>
              </w:rPr>
            </w:pPr>
            <w:r>
              <w:rPr>
                <w:rFonts w:ascii="宋体" w:hAnsi="宋体" w:cs="宋体" w:eastAsia="宋体" w:hint="default"/>
                <w:sz w:val="18"/>
                <w:szCs w:val="18"/>
              </w:rPr>
              <w:t>归属于母公司所有者的 净利润</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45,202,806.42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20,274,036.09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41,257,300.95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19,017,667.29</w:t>
            </w:r>
          </w:p>
        </w:tc>
      </w:tr>
      <w:tr>
        <w:trPr>
          <w:trHeight w:val="324"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2,143,153.37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707,520.44</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6.34</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0.27</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0.27</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6.35</w:t>
            </w: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338,671.19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-72,864.50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47,684,630.98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20,908,692.03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41,257,300.95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19,017,667.29</w:t>
            </w:r>
          </w:p>
        </w:tc>
      </w:tr>
      <w:tr>
        <w:trPr>
          <w:trHeight w:val="636"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63"/>
              <w:jc w:val="left"/>
              <w:rPr>
                <w:rFonts w:ascii="宋体" w:hAnsi="宋体" w:cs="宋体" w:eastAsia="宋体" w:hint="default"/>
                <w:sz w:val="18"/>
                <w:szCs w:val="18"/>
              </w:rPr>
            </w:pPr>
            <w:r>
              <w:rPr>
                <w:rFonts w:ascii="宋体" w:hAnsi="宋体" w:cs="宋体" w:eastAsia="宋体" w:hint="default"/>
                <w:sz w:val="18"/>
                <w:szCs w:val="18"/>
              </w:rPr>
              <w:t>归属于母公司所有者的 综合收益总额</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45,541,477.61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20,201,171.59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41,257,300.95</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19,017,667.29</w:t>
            </w:r>
          </w:p>
        </w:tc>
      </w:tr>
      <w:tr>
        <w:trPr>
          <w:trHeight w:val="650" w:hRule="exact"/>
        </w:trPr>
        <w:tc>
          <w:tcPr>
            <w:tcW w:w="2191" w:type="dxa"/>
            <w:tcBorders>
              <w:top w:val="single" w:sz="4" w:space="0" w:color="000000"/>
              <w:left w:val="nil" w:sz="6" w:space="0" w:color="auto"/>
              <w:bottom w:val="single" w:sz="17" w:space="0" w:color="000000"/>
              <w:right w:val="single" w:sz="4" w:space="0" w:color="000000"/>
            </w:tcBorders>
          </w:tcPr>
          <w:p>
            <w:pPr>
              <w:pStyle w:val="TableParagraph"/>
              <w:spacing w:line="316" w:lineRule="auto" w:before="8"/>
              <w:ind w:left="122" w:right="263"/>
              <w:jc w:val="left"/>
              <w:rPr>
                <w:rFonts w:ascii="宋体" w:hAnsi="宋体" w:cs="宋体" w:eastAsia="宋体" w:hint="default"/>
                <w:sz w:val="18"/>
                <w:szCs w:val="18"/>
              </w:rPr>
            </w:pPr>
            <w:r>
              <w:rPr>
                <w:rFonts w:ascii="宋体" w:hAnsi="宋体" w:cs="宋体" w:eastAsia="宋体" w:hint="default"/>
                <w:sz w:val="18"/>
                <w:szCs w:val="18"/>
              </w:rPr>
              <w:t>归属于少数股东的综合 收益总额</w:t>
            </w:r>
          </w:p>
        </w:tc>
        <w:tc>
          <w:tcPr>
            <w:tcW w:w="576" w:type="dxa"/>
            <w:tcBorders>
              <w:top w:val="single" w:sz="4" w:space="0" w:color="000000"/>
              <w:left w:val="single" w:sz="4" w:space="0" w:color="000000"/>
              <w:bottom w:val="single" w:sz="17" w:space="0" w:color="000000"/>
              <w:right w:val="single" w:sz="4" w:space="0" w:color="000000"/>
            </w:tcBorders>
          </w:tcPr>
          <w:p>
            <w:pPr/>
          </w:p>
        </w:tc>
        <w:tc>
          <w:tcPr>
            <w:tcW w:w="576" w:type="dxa"/>
            <w:tcBorders>
              <w:top w:val="single" w:sz="4" w:space="0" w:color="000000"/>
              <w:left w:val="single" w:sz="4" w:space="0" w:color="000000"/>
              <w:bottom w:val="single" w:sz="17" w:space="0" w:color="000000"/>
              <w:right w:val="single" w:sz="4" w:space="0" w:color="000000"/>
            </w:tcBorders>
          </w:tcPr>
          <w:p>
            <w:pPr/>
          </w:p>
        </w:tc>
        <w:tc>
          <w:tcPr>
            <w:tcW w:w="169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2,143,153.37</w:t>
            </w: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707,520.44</w:t>
            </w:r>
          </w:p>
        </w:tc>
        <w:tc>
          <w:tcPr>
            <w:tcW w:w="1699" w:type="dxa"/>
            <w:tcBorders>
              <w:top w:val="single" w:sz="4" w:space="0" w:color="000000"/>
              <w:left w:val="single" w:sz="4" w:space="0" w:color="000000"/>
              <w:bottom w:val="single" w:sz="17" w:space="0" w:color="000000"/>
              <w:right w:val="single" w:sz="4" w:space="0" w:color="000000"/>
            </w:tcBorders>
          </w:tcPr>
          <w:p>
            <w:pPr/>
          </w:p>
        </w:tc>
        <w:tc>
          <w:tcPr>
            <w:tcW w:w="1771" w:type="dxa"/>
            <w:tcBorders>
              <w:top w:val="single" w:sz="4" w:space="0" w:color="000000"/>
              <w:left w:val="single" w:sz="4" w:space="0" w:color="000000"/>
              <w:bottom w:val="single" w:sz="17" w:space="0" w:color="000000"/>
              <w:right w:val="nil" w:sz="6" w:space="0" w:color="auto"/>
            </w:tcBorders>
          </w:tcPr>
          <w:p>
            <w:pPr/>
          </w:p>
        </w:tc>
      </w:tr>
    </w:tbl>
    <w:p>
      <w:pPr>
        <w:tabs>
          <w:tab w:pos="3451" w:val="left" w:leader="none"/>
          <w:tab w:pos="7200" w:val="left" w:leader="none"/>
        </w:tabs>
        <w:spacing w:line="266" w:lineRule="exact" w:before="0"/>
        <w:ind w:left="250" w:right="0" w:firstLine="0"/>
        <w:jc w:val="left"/>
        <w:rPr>
          <w:rFonts w:ascii="宋体" w:hAnsi="宋体" w:cs="宋体" w:eastAsia="宋体" w:hint="default"/>
          <w:sz w:val="22"/>
          <w:szCs w:val="22"/>
        </w:rPr>
      </w:pPr>
      <w:r>
        <w:rPr>
          <w:rFonts w:ascii="宋体" w:hAnsi="宋体" w:cs="宋体" w:eastAsia="宋体" w:hint="default"/>
          <w:w w:val="100"/>
          <w:sz w:val="22"/>
          <w:szCs w:val="22"/>
        </w:rPr>
        <w:t>法定代</w:t>
      </w:r>
      <w:r>
        <w:rPr>
          <w:rFonts w:ascii="宋体" w:hAnsi="宋体" w:cs="宋体" w:eastAsia="宋体" w:hint="default"/>
          <w:spacing w:val="-3"/>
          <w:w w:val="100"/>
          <w:sz w:val="22"/>
          <w:szCs w:val="22"/>
        </w:rPr>
        <w:t>表</w:t>
      </w:r>
      <w:r>
        <w:rPr>
          <w:rFonts w:ascii="宋体" w:hAnsi="宋体" w:cs="宋体" w:eastAsia="宋体" w:hint="default"/>
          <w:w w:val="100"/>
          <w:sz w:val="22"/>
          <w:szCs w:val="22"/>
        </w:rPr>
        <w:t>人</w:t>
      </w:r>
      <w:r>
        <w:rPr>
          <w:rFonts w:ascii="宋体" w:hAnsi="宋体" w:cs="宋体" w:eastAsia="宋体" w:hint="default"/>
          <w:spacing w:val="-104"/>
          <w:w w:val="100"/>
          <w:sz w:val="22"/>
          <w:szCs w:val="22"/>
        </w:rPr>
        <w:t>：</w:t>
      </w:r>
      <w:r>
        <w:rPr>
          <w:rFonts w:ascii="宋体" w:hAnsi="宋体" w:cs="宋体" w:eastAsia="宋体" w:hint="default"/>
          <w:w w:val="100"/>
          <w:sz w:val="22"/>
          <w:szCs w:val="22"/>
        </w:rPr>
        <w:t>包叔平</w:t>
      </w:r>
      <w:r>
        <w:rPr>
          <w:rFonts w:ascii="宋体" w:hAnsi="宋体" w:cs="宋体" w:eastAsia="宋体" w:hint="default"/>
          <w:sz w:val="22"/>
          <w:szCs w:val="22"/>
        </w:rPr>
        <w:tab/>
      </w:r>
      <w:r>
        <w:rPr>
          <w:rFonts w:ascii="宋体" w:hAnsi="宋体" w:cs="宋体" w:eastAsia="宋体" w:hint="default"/>
          <w:spacing w:val="-3"/>
          <w:w w:val="100"/>
          <w:sz w:val="22"/>
          <w:szCs w:val="22"/>
        </w:rPr>
        <w:t>主</w:t>
      </w:r>
      <w:r>
        <w:rPr>
          <w:rFonts w:ascii="宋体" w:hAnsi="宋体" w:cs="宋体" w:eastAsia="宋体" w:hint="default"/>
          <w:w w:val="100"/>
          <w:sz w:val="22"/>
          <w:szCs w:val="22"/>
        </w:rPr>
        <w:t>管会</w:t>
      </w:r>
      <w:r>
        <w:rPr>
          <w:rFonts w:ascii="宋体" w:hAnsi="宋体" w:cs="宋体" w:eastAsia="宋体" w:hint="default"/>
          <w:spacing w:val="-3"/>
          <w:w w:val="100"/>
          <w:sz w:val="22"/>
          <w:szCs w:val="22"/>
        </w:rPr>
        <w:t>计</w:t>
      </w:r>
      <w:r>
        <w:rPr>
          <w:rFonts w:ascii="宋体" w:hAnsi="宋体" w:cs="宋体" w:eastAsia="宋体" w:hint="default"/>
          <w:w w:val="100"/>
          <w:sz w:val="22"/>
          <w:szCs w:val="22"/>
        </w:rPr>
        <w:t>工作</w:t>
      </w:r>
      <w:r>
        <w:rPr>
          <w:rFonts w:ascii="宋体" w:hAnsi="宋体" w:cs="宋体" w:eastAsia="宋体" w:hint="default"/>
          <w:spacing w:val="-3"/>
          <w:w w:val="100"/>
          <w:sz w:val="22"/>
          <w:szCs w:val="22"/>
        </w:rPr>
        <w:t>负</w:t>
      </w:r>
      <w:r>
        <w:rPr>
          <w:rFonts w:ascii="宋体" w:hAnsi="宋体" w:cs="宋体" w:eastAsia="宋体" w:hint="default"/>
          <w:w w:val="100"/>
          <w:sz w:val="22"/>
          <w:szCs w:val="22"/>
        </w:rPr>
        <w:t>责人</w:t>
      </w:r>
      <w:r>
        <w:rPr>
          <w:rFonts w:ascii="宋体" w:hAnsi="宋体" w:cs="宋体" w:eastAsia="宋体" w:hint="default"/>
          <w:spacing w:val="-104"/>
          <w:w w:val="100"/>
          <w:sz w:val="22"/>
          <w:szCs w:val="22"/>
        </w:rPr>
        <w:t>：</w:t>
      </w:r>
      <w:r>
        <w:rPr>
          <w:rFonts w:ascii="宋体" w:hAnsi="宋体" w:cs="宋体" w:eastAsia="宋体" w:hint="default"/>
          <w:w w:val="100"/>
          <w:sz w:val="22"/>
          <w:szCs w:val="22"/>
        </w:rPr>
        <w:t>包叔平</w:t>
      </w:r>
      <w:r>
        <w:rPr>
          <w:rFonts w:ascii="宋体" w:hAnsi="宋体" w:cs="宋体" w:eastAsia="宋体" w:hint="default"/>
          <w:sz w:val="22"/>
          <w:szCs w:val="22"/>
        </w:rPr>
        <w:tab/>
      </w:r>
      <w:r>
        <w:rPr>
          <w:rFonts w:ascii="宋体" w:hAnsi="宋体" w:cs="宋体" w:eastAsia="宋体" w:hint="default"/>
          <w:spacing w:val="-3"/>
          <w:w w:val="100"/>
          <w:sz w:val="22"/>
          <w:szCs w:val="22"/>
        </w:rPr>
        <w:t>会</w:t>
      </w:r>
      <w:r>
        <w:rPr>
          <w:rFonts w:ascii="宋体" w:hAnsi="宋体" w:cs="宋体" w:eastAsia="宋体" w:hint="default"/>
          <w:w w:val="100"/>
          <w:sz w:val="22"/>
          <w:szCs w:val="22"/>
        </w:rPr>
        <w:t>计机构</w:t>
      </w:r>
      <w:r>
        <w:rPr>
          <w:rFonts w:ascii="宋体" w:hAnsi="宋体" w:cs="宋体" w:eastAsia="宋体" w:hint="default"/>
          <w:spacing w:val="-3"/>
          <w:w w:val="100"/>
          <w:sz w:val="22"/>
          <w:szCs w:val="22"/>
        </w:rPr>
        <w:t>负</w:t>
      </w:r>
      <w:r>
        <w:rPr>
          <w:rFonts w:ascii="宋体" w:hAnsi="宋体" w:cs="宋体" w:eastAsia="宋体" w:hint="default"/>
          <w:w w:val="100"/>
          <w:sz w:val="22"/>
          <w:szCs w:val="22"/>
        </w:rPr>
        <w:t>责</w:t>
      </w:r>
      <w:r>
        <w:rPr>
          <w:rFonts w:ascii="宋体" w:hAnsi="宋体" w:cs="宋体" w:eastAsia="宋体" w:hint="default"/>
          <w:spacing w:val="-3"/>
          <w:w w:val="100"/>
          <w:sz w:val="22"/>
          <w:szCs w:val="22"/>
        </w:rPr>
        <w:t>人</w:t>
      </w:r>
      <w:r>
        <w:rPr>
          <w:rFonts w:ascii="宋体" w:hAnsi="宋体" w:cs="宋体" w:eastAsia="宋体" w:hint="default"/>
          <w:spacing w:val="-101"/>
          <w:w w:val="100"/>
          <w:sz w:val="22"/>
          <w:szCs w:val="22"/>
        </w:rPr>
        <w:t>：</w:t>
      </w:r>
      <w:r>
        <w:rPr>
          <w:rFonts w:ascii="宋体" w:hAnsi="宋体" w:cs="宋体" w:eastAsia="宋体" w:hint="default"/>
          <w:w w:val="100"/>
          <w:sz w:val="22"/>
          <w:szCs w:val="22"/>
        </w:rPr>
        <w:t>董</w:t>
      </w:r>
      <w:r>
        <w:rPr>
          <w:rFonts w:ascii="宋体" w:hAnsi="宋体" w:cs="宋体" w:eastAsia="宋体" w:hint="default"/>
          <w:spacing w:val="-2"/>
          <w:sz w:val="22"/>
          <w:szCs w:val="22"/>
        </w:rPr>
        <w:t> </w:t>
      </w:r>
      <w:r>
        <w:rPr>
          <w:rFonts w:ascii="宋体" w:hAnsi="宋体" w:cs="宋体" w:eastAsia="宋体" w:hint="default"/>
          <w:w w:val="100"/>
          <w:sz w:val="22"/>
          <w:szCs w:val="22"/>
        </w:rPr>
        <w:t>樑</w:t>
      </w:r>
    </w:p>
    <w:p>
      <w:pPr>
        <w:spacing w:after="0" w:line="266" w:lineRule="exact"/>
        <w:jc w:val="left"/>
        <w:rPr>
          <w:rFonts w:ascii="宋体" w:hAnsi="宋体" w:cs="宋体" w:eastAsia="宋体" w:hint="default"/>
          <w:sz w:val="22"/>
          <w:szCs w:val="22"/>
        </w:rPr>
        <w:sectPr>
          <w:pgSz w:w="11900" w:h="16840"/>
          <w:pgMar w:header="874" w:footer="983" w:top="1040" w:bottom="1180" w:left="700" w:right="7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ind w:left="240" w:right="0"/>
        <w:jc w:val="left"/>
        <w:rPr>
          <w:b w:val="0"/>
          <w:bCs w:val="0"/>
        </w:rPr>
      </w:pPr>
      <w:r>
        <w:rPr/>
        <w:t>（三）现金流量表</w:t>
      </w:r>
      <w:r>
        <w:rPr>
          <w:b w:val="0"/>
          <w:bCs w:val="0"/>
        </w:rPr>
      </w:r>
    </w:p>
    <w:p>
      <w:pPr>
        <w:tabs>
          <w:tab w:pos="6952" w:val="left" w:leader="none"/>
          <w:tab w:pos="12760" w:val="left" w:leader="none"/>
        </w:tabs>
        <w:spacing w:before="46"/>
        <w:ind w:left="11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836"/>
        <w:gridCol w:w="756"/>
        <w:gridCol w:w="660"/>
        <w:gridCol w:w="1985"/>
        <w:gridCol w:w="1985"/>
        <w:gridCol w:w="1985"/>
        <w:gridCol w:w="1942"/>
      </w:tblGrid>
      <w:tr>
        <w:trPr>
          <w:trHeight w:val="358" w:hRule="exact"/>
        </w:trPr>
        <w:tc>
          <w:tcPr>
            <w:tcW w:w="4836"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41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985"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985"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942" w:type="dxa"/>
            <w:vMerge w:val="restart"/>
            <w:tcBorders>
              <w:top w:val="single" w:sz="17" w:space="0" w:color="000000"/>
              <w:left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60" w:hRule="exact"/>
        </w:trPr>
        <w:tc>
          <w:tcPr>
            <w:tcW w:w="4836" w:type="dxa"/>
            <w:vMerge/>
            <w:tcBorders>
              <w:left w:val="nil" w:sz="6" w:space="0" w:color="auto"/>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296,787,235.93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183,962,669.79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160,056,248.83</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125,297,325.07</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216,500.00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830,606.31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830,606.31</w:t>
            </w:r>
          </w:p>
        </w:tc>
      </w:tr>
      <w:tr>
        <w:trPr>
          <w:trHeight w:val="324"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6.36.1</w:t>
            </w: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12,787,205.87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12,472,103.43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11,972,753.19</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11,512,520.92</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309,790,941.80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197,265,379.53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172,029,002.02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137,640,452.30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80,400,228.11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41,675,444.18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35,821,688.08</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26,297,457.08</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136,409,006.77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99,074,356.51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76,139,443.34</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66,734,648.62</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18,080,166.93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14,883,068.61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9,613,191.17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7,384,621.68</w:t>
            </w:r>
          </w:p>
        </w:tc>
      </w:tr>
      <w:tr>
        <w:trPr>
          <w:trHeight w:val="37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sz w:val="18"/>
              </w:rPr>
              <w:t>6.36.2</w:t>
            </w: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32,010,794.21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16,186,097.95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17,981,020.31</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10,094,948.53</w:t>
            </w:r>
          </w:p>
        </w:tc>
      </w:tr>
      <w:tr>
        <w:trPr>
          <w:trHeight w:val="324"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266,900,196.02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171,818,967.25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139,555,342.90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110,511,675.91</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6.36.4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42,890,745.78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25,446,412.28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32,473,659.12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27,128,776.39</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445,009.00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253,499.10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445,009.00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151,940.74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90,000.00</w:t>
            </w: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6.36.3</w:t>
            </w: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17,695,409.90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151,940.74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18,140,418.90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343,499.10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445,009.00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11,069,291.35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3,984,407.17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7,375,883.06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3,876,332.36</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14,125,000.00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676,326.53</w:t>
            </w:r>
          </w:p>
        </w:tc>
      </w:tr>
    </w:tbl>
    <w:p>
      <w:pPr>
        <w:spacing w:after="0" w:line="240" w:lineRule="auto"/>
        <w:jc w:val="right"/>
        <w:rPr>
          <w:rFonts w:ascii="宋体" w:hAnsi="宋体" w:cs="宋体" w:eastAsia="宋体" w:hint="default"/>
          <w:sz w:val="18"/>
          <w:szCs w:val="18"/>
        </w:rPr>
        <w:sectPr>
          <w:headerReference w:type="default" r:id="rId24"/>
          <w:footerReference w:type="default" r:id="rId25"/>
          <w:pgSz w:w="16840" w:h="11900" w:orient="landscape"/>
          <w:pgMar w:header="874" w:footer="975" w:top="1100" w:bottom="1160" w:left="1200" w:right="1180"/>
          <w:pgNumType w:start="73"/>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ind w:left="240" w:right="0"/>
        <w:jc w:val="left"/>
        <w:rPr>
          <w:b w:val="0"/>
          <w:bCs w:val="0"/>
        </w:rPr>
      </w:pPr>
      <w:r>
        <w:rPr/>
        <w:t>（三）现金流量表（续）</w:t>
      </w:r>
      <w:r>
        <w:rPr>
          <w:b w:val="0"/>
          <w:bCs w:val="0"/>
        </w:rPr>
      </w:r>
    </w:p>
    <w:p>
      <w:pPr>
        <w:tabs>
          <w:tab w:pos="6952" w:val="left" w:leader="none"/>
          <w:tab w:pos="12760" w:val="left" w:leader="none"/>
        </w:tabs>
        <w:spacing w:before="46"/>
        <w:ind w:left="11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836"/>
        <w:gridCol w:w="756"/>
        <w:gridCol w:w="660"/>
        <w:gridCol w:w="1985"/>
        <w:gridCol w:w="1985"/>
        <w:gridCol w:w="1985"/>
        <w:gridCol w:w="1942"/>
      </w:tblGrid>
      <w:tr>
        <w:trPr>
          <w:trHeight w:val="358" w:hRule="exact"/>
        </w:trPr>
        <w:tc>
          <w:tcPr>
            <w:tcW w:w="4836"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6"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41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985"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985"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985" w:type="dxa"/>
            <w:vMerge w:val="restart"/>
            <w:tcBorders>
              <w:top w:val="single" w:sz="17" w:space="0" w:color="000000"/>
              <w:left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942" w:type="dxa"/>
            <w:vMerge w:val="restart"/>
            <w:tcBorders>
              <w:top w:val="single" w:sz="17" w:space="0" w:color="000000"/>
              <w:left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60" w:hRule="exact"/>
        </w:trPr>
        <w:tc>
          <w:tcPr>
            <w:tcW w:w="4836" w:type="dxa"/>
            <w:vMerge/>
            <w:tcBorders>
              <w:left w:val="nil" w:sz="6" w:space="0" w:color="auto"/>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11,069,291.35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3,984,407.17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21,500,883.06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4,552,658.89</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-10,917,350.61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14,156,011.73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-21,157,383.96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-4,107,649.89</w:t>
            </w:r>
          </w:p>
        </w:tc>
      </w:tr>
      <w:tr>
        <w:trPr>
          <w:trHeight w:val="324"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3,412,626.90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926"/>
              <w:jc w:val="right"/>
              <w:rPr>
                <w:rFonts w:ascii="宋体" w:hAnsi="宋体" w:cs="宋体" w:eastAsia="宋体" w:hint="default"/>
                <w:sz w:val="18"/>
                <w:szCs w:val="18"/>
              </w:rPr>
            </w:pPr>
            <w:r>
              <w:rPr>
                <w:rFonts w:ascii="宋体" w:hAnsi="宋体" w:cs="宋体" w:eastAsia="宋体" w:hint="default"/>
                <w:spacing w:val="-1"/>
                <w:sz w:val="18"/>
                <w:szCs w:val="18"/>
              </w:rPr>
              <w:t>其中：子公司吸收少数股东投资收到的现金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3,412,626.90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18,126,000.00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18,853,840.00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10,000,000.00</w:t>
            </w:r>
          </w:p>
        </w:tc>
      </w:tr>
      <w:tr>
        <w:trPr>
          <w:trHeight w:val="370"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21,538,626.90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18,853,840.00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10,000,000.00</w:t>
            </w:r>
          </w:p>
        </w:tc>
      </w:tr>
      <w:tr>
        <w:trPr>
          <w:trHeight w:val="324"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22,916,840.00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21,347,500.00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10,000,000.00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10,000,000.00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8,340,125.80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8,082,119.54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7,988,150.00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7,981,950.00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926"/>
              <w:jc w:val="right"/>
              <w:rPr>
                <w:rFonts w:ascii="宋体" w:hAnsi="宋体" w:cs="宋体" w:eastAsia="宋体" w:hint="default"/>
                <w:sz w:val="18"/>
                <w:szCs w:val="18"/>
              </w:rPr>
            </w:pPr>
            <w:r>
              <w:rPr>
                <w:rFonts w:ascii="宋体" w:hAnsi="宋体" w:cs="宋体" w:eastAsia="宋体" w:hint="default"/>
                <w:spacing w:val="-1"/>
                <w:sz w:val="18"/>
                <w:szCs w:val="18"/>
              </w:rPr>
              <w:t>其中：子公司支付给少数股东的股利、利润</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243,557.90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31,256,965.80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29,429,619.54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17,988,150.00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17,981,950.00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-9,718,338.90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-10,575,779.54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-7,988,150.00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-7,981,950.00</w:t>
            </w:r>
          </w:p>
        </w:tc>
      </w:tr>
      <w:tr>
        <w:trPr>
          <w:trHeight w:val="324"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1,539,447.94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-4,159,845.11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1,253,552.16</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-4,019,648.00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23,794,504.21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24,866,799.36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4,581,677.32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11,019,528.50</w:t>
            </w:r>
          </w:p>
        </w:tc>
      </w:tr>
      <w:tr>
        <w:trPr>
          <w:trHeight w:val="321"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272,389,143.46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247,522,344.10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242,064,061.70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231,044,533.20</w:t>
            </w:r>
          </w:p>
        </w:tc>
      </w:tr>
      <w:tr>
        <w:trPr>
          <w:trHeight w:val="322" w:hRule="exact"/>
        </w:trPr>
        <w:tc>
          <w:tcPr>
            <w:tcW w:w="48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6.36.6</w:t>
            </w:r>
          </w:p>
        </w:tc>
        <w:tc>
          <w:tcPr>
            <w:tcW w:w="6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296,183,647.67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272,389,143.46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246,645,739.02</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242,064,061.70</w:t>
            </w:r>
          </w:p>
        </w:tc>
      </w:tr>
    </w:tbl>
    <w:p>
      <w:pPr>
        <w:tabs>
          <w:tab w:pos="5519" w:val="left" w:leader="none"/>
          <w:tab w:pos="11678" w:val="left" w:leader="none"/>
        </w:tabs>
        <w:spacing w:before="55"/>
        <w:ind w:left="240"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t>主管会计工作负责人：包叔平</w:t>
        <w:tab/>
        <w:t>会计机构负责人：董</w:t>
      </w:r>
      <w:r>
        <w:rPr>
          <w:rFonts w:ascii="宋体" w:hAnsi="宋体" w:cs="宋体" w:eastAsia="宋体" w:hint="default"/>
          <w:spacing w:val="6"/>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6840" w:h="11900" w:orient="landscape"/>
          <w:pgMar w:header="874" w:footer="975" w:top="1100" w:bottom="1160" w:left="1200" w:right="1180"/>
        </w:sectPr>
      </w:pPr>
    </w:p>
    <w:p>
      <w:pPr>
        <w:pStyle w:val="Heading3"/>
        <w:spacing w:line="240" w:lineRule="auto" w:before="118"/>
        <w:ind w:left="900" w:right="0"/>
        <w:jc w:val="left"/>
        <w:rPr>
          <w:b w:val="0"/>
          <w:bCs w:val="0"/>
        </w:rPr>
      </w:pPr>
      <w:r>
        <w:rPr/>
        <w:t>（四）合并股东权益变动表</w:t>
      </w:r>
      <w:r>
        <w:rPr>
          <w:b w:val="0"/>
          <w:bCs w:val="0"/>
        </w:rPr>
      </w:r>
    </w:p>
    <w:p>
      <w:pPr>
        <w:tabs>
          <w:tab w:pos="7612" w:val="left" w:leader="none"/>
          <w:tab w:pos="13420" w:val="left" w:leader="none"/>
        </w:tabs>
        <w:spacing w:before="46"/>
        <w:ind w:left="77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293"/>
        <w:gridCol w:w="1416"/>
        <w:gridCol w:w="1418"/>
        <w:gridCol w:w="1159"/>
        <w:gridCol w:w="1418"/>
        <w:gridCol w:w="1560"/>
        <w:gridCol w:w="1699"/>
        <w:gridCol w:w="1392"/>
        <w:gridCol w:w="1476"/>
      </w:tblGrid>
      <w:tr>
        <w:trPr>
          <w:trHeight w:val="338" w:hRule="exact"/>
        </w:trPr>
        <w:tc>
          <w:tcPr>
            <w:tcW w:w="3293" w:type="dxa"/>
            <w:vMerge w:val="restart"/>
            <w:tcBorders>
              <w:top w:val="single" w:sz="17"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71" w:type="dxa"/>
            <w:gridSpan w:val="6"/>
            <w:tcBorders>
              <w:top w:val="single" w:sz="17"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392" w:type="dxa"/>
            <w:vMerge w:val="restart"/>
            <w:tcBorders>
              <w:top w:val="single" w:sz="17"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17"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58" w:hRule="exact"/>
        </w:trPr>
        <w:tc>
          <w:tcPr>
            <w:tcW w:w="3293"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2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5"/>
              <w:jc w:val="righ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392"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宋体" w:hAnsi="宋体" w:cs="宋体" w:eastAsia="宋体" w:hint="default"/>
                <w:sz w:val="18"/>
                <w:szCs w:val="18"/>
              </w:rPr>
            </w:pPr>
            <w:r>
              <w:rPr>
                <w:rFonts w:ascii="宋体"/>
                <w:sz w:val="18"/>
              </w:rPr>
              <w:t>74,620,000.00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宋体" w:hAnsi="宋体" w:cs="宋体" w:eastAsia="宋体" w:hint="default"/>
                <w:sz w:val="18"/>
                <w:szCs w:val="18"/>
              </w:rPr>
            </w:pPr>
            <w:r>
              <w:rPr>
                <w:rFonts w:ascii="宋体"/>
                <w:sz w:val="18"/>
              </w:rPr>
              <w:t>99,506,213.46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12,175,987.04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68,059,628.27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585,165.65</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254,946,994.42</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宋体" w:hAnsi="宋体" w:cs="宋体" w:eastAsia="宋体" w:hint="default"/>
                <w:sz w:val="18"/>
                <w:szCs w:val="18"/>
              </w:rPr>
            </w:pPr>
            <w:r>
              <w:rPr>
                <w:rFonts w:ascii="宋体"/>
                <w:sz w:val="18"/>
              </w:rPr>
              <w:t>74,620,000.00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宋体" w:hAnsi="宋体" w:cs="宋体" w:eastAsia="宋体" w:hint="default"/>
                <w:sz w:val="18"/>
                <w:szCs w:val="18"/>
              </w:rPr>
            </w:pPr>
            <w:r>
              <w:rPr>
                <w:rFonts w:ascii="宋体"/>
                <w:sz w:val="18"/>
              </w:rPr>
              <w:t>99,506,213.46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12,175,987.04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68,059,628.27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585,165.65</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254,946,994.42</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1,901,766.73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10,910,269.36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-72,864.50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10,106,980.54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22,846,152.13</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20,274,036.09</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707,520.44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20,981,556.53</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-72,864.50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-72,864.50</w:t>
            </w:r>
          </w:p>
        </w:tc>
      </w:tr>
      <w:tr>
        <w:trPr>
          <w:trHeight w:val="32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sz w:val="18"/>
              </w:rPr>
              <w:t>20,274,036.09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-72,864.50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707,520.44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20,908,692.03</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9,399,460.10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9,399,460.10</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9,399,460.10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9,399,460.10</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1,901,766.73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-9,363,766.73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-7,462,000.00</w:t>
            </w:r>
          </w:p>
        </w:tc>
      </w:tr>
      <w:tr>
        <w:trPr>
          <w:trHeight w:val="32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1,901,766.73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3" w:right="0"/>
              <w:jc w:val="left"/>
              <w:rPr>
                <w:rFonts w:ascii="宋体" w:hAnsi="宋体" w:cs="宋体" w:eastAsia="宋体" w:hint="default"/>
                <w:sz w:val="18"/>
                <w:szCs w:val="18"/>
              </w:rPr>
            </w:pPr>
            <w:r>
              <w:rPr>
                <w:rFonts w:ascii="宋体"/>
                <w:sz w:val="18"/>
              </w:rPr>
              <w:t>-1,901,766.73</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-7,462,000.00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-7,462,000.00</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3293" w:type="dxa"/>
            <w:tcBorders>
              <w:top w:val="single" w:sz="4" w:space="0" w:color="000000"/>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宋体" w:hAnsi="宋体" w:cs="宋体" w:eastAsia="宋体" w:hint="default"/>
                <w:sz w:val="18"/>
                <w:szCs w:val="18"/>
              </w:rPr>
            </w:pPr>
            <w:r>
              <w:rPr>
                <w:rFonts w:ascii="宋体"/>
                <w:sz w:val="18"/>
              </w:rPr>
              <w:t>74,620,000.00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center"/>
              <w:rPr>
                <w:rFonts w:ascii="宋体" w:hAnsi="宋体" w:cs="宋体" w:eastAsia="宋体" w:hint="default"/>
                <w:sz w:val="18"/>
                <w:szCs w:val="18"/>
              </w:rPr>
            </w:pPr>
            <w:r>
              <w:rPr>
                <w:rFonts w:ascii="宋体"/>
                <w:sz w:val="18"/>
              </w:rPr>
              <w:t>99,506,213.46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14,077,753.77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78,969,897.63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512,301.15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10,106,980.54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277,793,146.55</w:t>
            </w:r>
          </w:p>
        </w:tc>
      </w:tr>
    </w:tbl>
    <w:p>
      <w:pPr>
        <w:spacing w:after="0" w:line="240" w:lineRule="auto"/>
        <w:jc w:val="right"/>
        <w:rPr>
          <w:rFonts w:ascii="宋体" w:hAnsi="宋体" w:cs="宋体" w:eastAsia="宋体" w:hint="default"/>
          <w:sz w:val="18"/>
          <w:szCs w:val="18"/>
        </w:rPr>
        <w:sectPr>
          <w:pgSz w:w="16840" w:h="11900" w:orient="landscape"/>
          <w:pgMar w:header="874" w:footer="975" w:top="1100" w:bottom="1160" w:left="540" w:right="1180"/>
        </w:sectPr>
      </w:pPr>
    </w:p>
    <w:p>
      <w:pPr>
        <w:pStyle w:val="Heading3"/>
        <w:spacing w:line="240" w:lineRule="auto" w:before="118"/>
        <w:ind w:left="900" w:right="0"/>
        <w:jc w:val="left"/>
        <w:rPr>
          <w:b w:val="0"/>
          <w:bCs w:val="0"/>
        </w:rPr>
      </w:pPr>
      <w:r>
        <w:rPr/>
        <w:t>（四）合并股东权益变动表（续）</w:t>
      </w:r>
      <w:r>
        <w:rPr>
          <w:b w:val="0"/>
          <w:bCs w:val="0"/>
        </w:rPr>
      </w:r>
    </w:p>
    <w:p>
      <w:pPr>
        <w:tabs>
          <w:tab w:pos="7612" w:val="left" w:leader="none"/>
          <w:tab w:pos="13420" w:val="left" w:leader="none"/>
        </w:tabs>
        <w:spacing w:before="46"/>
        <w:ind w:left="77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3293"/>
        <w:gridCol w:w="1416"/>
        <w:gridCol w:w="1418"/>
        <w:gridCol w:w="1159"/>
        <w:gridCol w:w="1418"/>
        <w:gridCol w:w="1560"/>
        <w:gridCol w:w="1699"/>
        <w:gridCol w:w="1392"/>
        <w:gridCol w:w="1476"/>
      </w:tblGrid>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宋体" w:hAnsi="宋体" w:cs="宋体" w:eastAsia="宋体" w:hint="default"/>
                <w:sz w:val="18"/>
                <w:szCs w:val="18"/>
              </w:rPr>
            </w:pPr>
            <w:r>
              <w:rPr>
                <w:rFonts w:ascii="宋体"/>
                <w:sz w:val="18"/>
              </w:rPr>
              <w:t>74,620,000.00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99,506,213.46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center"/>
              <w:rPr>
                <w:rFonts w:ascii="宋体" w:hAnsi="宋体" w:cs="宋体" w:eastAsia="宋体" w:hint="default"/>
                <w:sz w:val="18"/>
                <w:szCs w:val="18"/>
              </w:rPr>
            </w:pPr>
            <w:r>
              <w:rPr>
                <w:rFonts w:ascii="宋体"/>
                <w:sz w:val="18"/>
              </w:rPr>
              <w:t>14,077,753.77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78,969,897.63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512,301.15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10,106,980.54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277,793,146.55</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center"/>
              <w:rPr>
                <w:rFonts w:ascii="宋体" w:hAnsi="宋体" w:cs="宋体" w:eastAsia="宋体" w:hint="default"/>
                <w:sz w:val="18"/>
                <w:szCs w:val="18"/>
              </w:rPr>
            </w:pPr>
            <w:r>
              <w:rPr>
                <w:rFonts w:ascii="宋体"/>
                <w:sz w:val="18"/>
              </w:rPr>
              <w:t>74,620,000.00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99,506,213.46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 w:right="0"/>
              <w:jc w:val="center"/>
              <w:rPr>
                <w:rFonts w:ascii="宋体" w:hAnsi="宋体" w:cs="宋体" w:eastAsia="宋体" w:hint="default"/>
                <w:sz w:val="18"/>
                <w:szCs w:val="18"/>
              </w:rPr>
            </w:pPr>
            <w:r>
              <w:rPr>
                <w:rFonts w:ascii="宋体"/>
                <w:sz w:val="18"/>
              </w:rPr>
              <w:t>14,077,753.77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78,969,897.63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512,301.15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10,106,980.54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277,793,146.55</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20,694.80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3" w:right="0"/>
              <w:jc w:val="center"/>
              <w:rPr>
                <w:rFonts w:ascii="宋体" w:hAnsi="宋体" w:cs="宋体" w:eastAsia="宋体" w:hint="default"/>
                <w:sz w:val="18"/>
                <w:szCs w:val="18"/>
              </w:rPr>
            </w:pPr>
            <w:r>
              <w:rPr>
                <w:rFonts w:ascii="宋体"/>
                <w:sz w:val="18"/>
              </w:rPr>
              <w:t>4,125,730.10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33,615,076.32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338,671.19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sz w:val="18"/>
              </w:rPr>
              <w:t>5,291,527.57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43,391,699.98</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45,202,806.42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2,143,153.37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47,345,959.79</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338,671.19</w:t>
            </w: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338,671.19</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45,202,806.42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338,671.19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2,143,153.37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47,684,630.98</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20,694.80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3,391,932.10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3,412,626.90</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20,694.80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3,391,932.10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3,412,626.90</w:t>
            </w:r>
          </w:p>
        </w:tc>
      </w:tr>
      <w:tr>
        <w:trPr>
          <w:trHeight w:val="32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3" w:right="0"/>
              <w:jc w:val="center"/>
              <w:rPr>
                <w:rFonts w:ascii="宋体" w:hAnsi="宋体" w:cs="宋体" w:eastAsia="宋体" w:hint="default"/>
                <w:sz w:val="18"/>
                <w:szCs w:val="18"/>
              </w:rPr>
            </w:pPr>
            <w:r>
              <w:rPr>
                <w:rFonts w:ascii="宋体"/>
                <w:sz w:val="18"/>
              </w:rPr>
              <w:t>4,125,730.10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-11,587,730.10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6" w:right="0"/>
              <w:jc w:val="center"/>
              <w:rPr>
                <w:rFonts w:ascii="宋体" w:hAnsi="宋体" w:cs="宋体" w:eastAsia="宋体" w:hint="default"/>
                <w:sz w:val="18"/>
                <w:szCs w:val="18"/>
              </w:rPr>
            </w:pPr>
            <w:r>
              <w:rPr>
                <w:rFonts w:ascii="宋体"/>
                <w:sz w:val="18"/>
              </w:rPr>
              <w:t>-243,557.90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-7,705,557.90</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3" w:right="0"/>
              <w:jc w:val="center"/>
              <w:rPr>
                <w:rFonts w:ascii="宋体" w:hAnsi="宋体" w:cs="宋体" w:eastAsia="宋体" w:hint="default"/>
                <w:sz w:val="18"/>
                <w:szCs w:val="18"/>
              </w:rPr>
            </w:pPr>
            <w:r>
              <w:rPr>
                <w:rFonts w:ascii="宋体"/>
                <w:sz w:val="18"/>
              </w:rPr>
              <w:t>4,125,730.10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-4,125,730.10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-7,462,000.00</w:t>
            </w: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6" w:right="0"/>
              <w:jc w:val="center"/>
              <w:rPr>
                <w:rFonts w:ascii="宋体" w:hAnsi="宋体" w:cs="宋体" w:eastAsia="宋体" w:hint="default"/>
                <w:sz w:val="18"/>
                <w:szCs w:val="18"/>
              </w:rPr>
            </w:pPr>
            <w:r>
              <w:rPr>
                <w:rFonts w:ascii="宋体"/>
                <w:sz w:val="18"/>
              </w:rPr>
              <w:t>-243,557.90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-7,705,557.90</w:t>
            </w: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3293" w:type="dxa"/>
            <w:tcBorders>
              <w:top w:val="single" w:sz="4" w:space="0" w:color="000000"/>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329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4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25" w:right="0"/>
              <w:jc w:val="center"/>
              <w:rPr>
                <w:rFonts w:ascii="宋体" w:hAnsi="宋体" w:cs="宋体" w:eastAsia="宋体" w:hint="default"/>
                <w:sz w:val="18"/>
                <w:szCs w:val="18"/>
              </w:rPr>
            </w:pPr>
            <w:r>
              <w:rPr>
                <w:rFonts w:ascii="宋体"/>
                <w:sz w:val="18"/>
              </w:rPr>
              <w:t>74,620,000.00</w:t>
            </w: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99,526,908.26</w:t>
            </w:r>
          </w:p>
        </w:tc>
        <w:tc>
          <w:tcPr>
            <w:tcW w:w="1159" w:type="dxa"/>
            <w:tcBorders>
              <w:top w:val="single" w:sz="4" w:space="0" w:color="000000"/>
              <w:left w:val="single" w:sz="4" w:space="0" w:color="000000"/>
              <w:bottom w:val="single" w:sz="17" w:space="0" w:color="000000"/>
              <w:right w:val="single" w:sz="4" w:space="0" w:color="000000"/>
            </w:tcBorders>
          </w:tcPr>
          <w:p>
            <w:pPr/>
          </w:p>
        </w:tc>
        <w:tc>
          <w:tcPr>
            <w:tcW w:w="141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27" w:right="0"/>
              <w:jc w:val="center"/>
              <w:rPr>
                <w:rFonts w:ascii="宋体" w:hAnsi="宋体" w:cs="宋体" w:eastAsia="宋体" w:hint="default"/>
                <w:sz w:val="18"/>
                <w:szCs w:val="18"/>
              </w:rPr>
            </w:pPr>
            <w:r>
              <w:rPr>
                <w:rFonts w:ascii="宋体"/>
                <w:sz w:val="18"/>
              </w:rPr>
              <w:t>18,203,483.87</w:t>
            </w: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112,584,973.95</w:t>
            </w:r>
          </w:p>
        </w:tc>
        <w:tc>
          <w:tcPr>
            <w:tcW w:w="169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850,972.34</w:t>
            </w:r>
          </w:p>
        </w:tc>
        <w:tc>
          <w:tcPr>
            <w:tcW w:w="13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sz w:val="18"/>
              </w:rPr>
              <w:t>15,398,508.11</w:t>
            </w:r>
          </w:p>
        </w:tc>
        <w:tc>
          <w:tcPr>
            <w:tcW w:w="147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321,184,846.53</w:t>
            </w:r>
          </w:p>
        </w:tc>
      </w:tr>
    </w:tbl>
    <w:p>
      <w:pPr>
        <w:tabs>
          <w:tab w:pos="6179" w:val="left" w:leader="none"/>
          <w:tab w:pos="12338" w:val="left" w:leader="none"/>
        </w:tabs>
        <w:spacing w:before="55"/>
        <w:ind w:left="900"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t>主管会计工作负责人：包叔平</w:t>
        <w:tab/>
        <w:t>会计机构负责人：董</w:t>
      </w:r>
      <w:r>
        <w:rPr>
          <w:rFonts w:ascii="宋体" w:hAnsi="宋体" w:cs="宋体" w:eastAsia="宋体" w:hint="default"/>
          <w:spacing w:val="6"/>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6840" w:h="11900" w:orient="landscape"/>
          <w:pgMar w:header="874" w:footer="975" w:top="1100" w:bottom="1160" w:left="540" w:right="1180"/>
        </w:sectPr>
      </w:pPr>
    </w:p>
    <w:p>
      <w:pPr>
        <w:spacing w:line="240" w:lineRule="auto" w:before="1"/>
        <w:rPr>
          <w:rFonts w:ascii="宋体" w:hAnsi="宋体" w:cs="宋体" w:eastAsia="宋体" w:hint="default"/>
          <w:sz w:val="13"/>
          <w:szCs w:val="13"/>
        </w:rPr>
      </w:pPr>
    </w:p>
    <w:p>
      <w:pPr>
        <w:pStyle w:val="Heading3"/>
        <w:spacing w:line="240" w:lineRule="auto"/>
        <w:ind w:left="400" w:right="0"/>
        <w:jc w:val="left"/>
        <w:rPr>
          <w:b w:val="0"/>
          <w:bCs w:val="0"/>
        </w:rPr>
      </w:pPr>
      <w:r>
        <w:rPr/>
        <w:t>（五）母公司股东权益变动表</w:t>
      </w:r>
      <w:r>
        <w:rPr>
          <w:b w:val="0"/>
          <w:bCs w:val="0"/>
        </w:rPr>
      </w:r>
    </w:p>
    <w:p>
      <w:pPr>
        <w:tabs>
          <w:tab w:pos="7112" w:val="left" w:leader="none"/>
          <w:tab w:pos="12920" w:val="left" w:leader="none"/>
        </w:tabs>
        <w:spacing w:before="123"/>
        <w:ind w:left="27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4390"/>
        <w:gridCol w:w="1702"/>
        <w:gridCol w:w="1558"/>
        <w:gridCol w:w="1418"/>
        <w:gridCol w:w="1560"/>
        <w:gridCol w:w="1558"/>
        <w:gridCol w:w="2160"/>
      </w:tblGrid>
      <w:tr>
        <w:trPr>
          <w:trHeight w:val="341" w:hRule="exact"/>
        </w:trPr>
        <w:tc>
          <w:tcPr>
            <w:tcW w:w="4390"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5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6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0"/>
              <w:ind w:left="53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74,620,000.00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99,506,213.46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12,175,987.04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59,526,147.26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245,828,347.76</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74,620,000.00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99,506,213.46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12,175,987.04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59,526,147.26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245,828,347.76</w:t>
            </w:r>
          </w:p>
        </w:tc>
      </w:tr>
      <w:tr>
        <w:trPr>
          <w:trHeight w:val="324" w:hRule="exact"/>
        </w:trPr>
        <w:tc>
          <w:tcPr>
            <w:tcW w:w="4390"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1,901,766.73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4" w:right="0"/>
              <w:jc w:val="left"/>
              <w:rPr>
                <w:rFonts w:ascii="宋体" w:hAnsi="宋体" w:cs="宋体" w:eastAsia="宋体" w:hint="default"/>
                <w:sz w:val="18"/>
                <w:szCs w:val="18"/>
              </w:rPr>
            </w:pPr>
            <w:r>
              <w:rPr>
                <w:rFonts w:ascii="宋体"/>
                <w:sz w:val="18"/>
              </w:rPr>
              <w:t>9,653,900.56</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11,555,667.29</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19,017,667.29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19,017,667.29</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19,017,667.29</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19,017,667.29</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1,901,766.73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-9,363,766.73</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-7,462,000.00</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1,901,766.73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-1,901,766.73</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-7,462,000.00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-7,462,000.00</w:t>
            </w:r>
          </w:p>
        </w:tc>
      </w:tr>
      <w:tr>
        <w:trPr>
          <w:trHeight w:val="324"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390"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74,620,000.00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99,506,213.46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14,077,753.77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5" w:right="0"/>
              <w:jc w:val="left"/>
              <w:rPr>
                <w:rFonts w:ascii="宋体" w:hAnsi="宋体" w:cs="宋体" w:eastAsia="宋体" w:hint="default"/>
                <w:sz w:val="18"/>
                <w:szCs w:val="18"/>
              </w:rPr>
            </w:pPr>
            <w:r>
              <w:rPr>
                <w:rFonts w:ascii="宋体"/>
                <w:sz w:val="18"/>
              </w:rPr>
              <w:t>69,180,047.82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257,384,015.05</w:t>
            </w:r>
          </w:p>
        </w:tc>
      </w:tr>
    </w:tbl>
    <w:p>
      <w:pPr>
        <w:spacing w:after="0" w:line="240" w:lineRule="auto"/>
        <w:jc w:val="right"/>
        <w:rPr>
          <w:rFonts w:ascii="宋体" w:hAnsi="宋体" w:cs="宋体" w:eastAsia="宋体" w:hint="default"/>
          <w:sz w:val="18"/>
          <w:szCs w:val="18"/>
        </w:rPr>
        <w:sectPr>
          <w:pgSz w:w="16840" w:h="11900" w:orient="landscape"/>
          <w:pgMar w:header="874" w:footer="975" w:top="1100" w:bottom="1160" w:left="1040" w:right="1180"/>
        </w:sectPr>
      </w:pPr>
    </w:p>
    <w:p>
      <w:pPr>
        <w:spacing w:line="240" w:lineRule="auto" w:before="1"/>
        <w:rPr>
          <w:rFonts w:ascii="宋体" w:hAnsi="宋体" w:cs="宋体" w:eastAsia="宋体" w:hint="default"/>
          <w:sz w:val="13"/>
          <w:szCs w:val="13"/>
        </w:rPr>
      </w:pPr>
    </w:p>
    <w:p>
      <w:pPr>
        <w:pStyle w:val="Heading3"/>
        <w:spacing w:line="240" w:lineRule="auto"/>
        <w:ind w:left="400" w:right="0"/>
        <w:jc w:val="left"/>
        <w:rPr>
          <w:b w:val="0"/>
          <w:bCs w:val="0"/>
        </w:rPr>
      </w:pPr>
      <w:r>
        <w:rPr/>
        <w:t>（五）母公司股东权益变动表（续）</w:t>
      </w:r>
      <w:r>
        <w:rPr>
          <w:b w:val="0"/>
          <w:bCs w:val="0"/>
        </w:rPr>
      </w:r>
    </w:p>
    <w:p>
      <w:pPr>
        <w:tabs>
          <w:tab w:pos="7112" w:val="left" w:leader="none"/>
          <w:tab w:pos="12920" w:val="left" w:leader="none"/>
        </w:tabs>
        <w:spacing w:before="123"/>
        <w:ind w:left="270" w:right="0" w:firstLine="0"/>
        <w:jc w:val="left"/>
        <w:rPr>
          <w:rFonts w:ascii="宋体" w:hAnsi="宋体" w:cs="宋体" w:eastAsia="宋体" w:hint="default"/>
          <w:sz w:val="18"/>
          <w:szCs w:val="18"/>
        </w:rPr>
      </w:pPr>
      <w:r>
        <w:rPr>
          <w:rFonts w:ascii="宋体" w:hAnsi="宋体" w:cs="宋体" w:eastAsia="宋体" w:hint="default"/>
          <w:sz w:val="18"/>
          <w:szCs w:val="18"/>
        </w:rPr>
        <w:t>编制单位：上海海隆软件股份有限公司</w:t>
        <w:tab/>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tab/>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3"/>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4390"/>
        <w:gridCol w:w="1702"/>
        <w:gridCol w:w="1558"/>
        <w:gridCol w:w="1418"/>
        <w:gridCol w:w="1560"/>
        <w:gridCol w:w="1558"/>
        <w:gridCol w:w="2160"/>
      </w:tblGrid>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74,620,000.00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99,506,213.46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14,077,753.77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69,180,047.82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257,384,015.05</w:t>
            </w:r>
          </w:p>
        </w:tc>
      </w:tr>
      <w:tr>
        <w:trPr>
          <w:trHeight w:val="321"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日年初余额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74,620,000.00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99,506,213.46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14,077,753.77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69,180,047.82</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pacing w:val="-1"/>
                <w:sz w:val="18"/>
              </w:rPr>
              <w:t>257,384,015.05</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年度增减变动额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pacing w:val="-1"/>
                <w:sz w:val="18"/>
              </w:rPr>
              <w:t>4,125,730.10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29,669,570.85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4"/>
              <w:jc w:val="right"/>
              <w:rPr>
                <w:rFonts w:ascii="宋体" w:hAnsi="宋体" w:cs="宋体" w:eastAsia="宋体" w:hint="default"/>
                <w:sz w:val="18"/>
                <w:szCs w:val="18"/>
              </w:rPr>
            </w:pPr>
            <w:r>
              <w:rPr>
                <w:rFonts w:ascii="宋体"/>
                <w:spacing w:val="-1"/>
                <w:sz w:val="18"/>
              </w:rPr>
              <w:t>33,795,300.95</w:t>
            </w:r>
          </w:p>
        </w:tc>
      </w:tr>
      <w:tr>
        <w:trPr>
          <w:trHeight w:val="321"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41,257,300.95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41,257,300.95</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1"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b/>
                <w:bCs/>
                <w:sz w:val="18"/>
                <w:szCs w:val="18"/>
              </w:rPr>
              <w:t>上述（一）和（二）小计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41,257,300.95</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41,257,300.95</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4,125,730.10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-11,587,730.10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-7,462,000.00</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4,125,730.10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-4,125,730.10</w:t>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-7,462,000.00</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-7,462,000.00</w:t>
            </w: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4390" w:type="dxa"/>
            <w:tcBorders>
              <w:top w:val="single" w:sz="4" w:space="0" w:color="000000"/>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439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日年末余额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74,620,000.00</w:t>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99,506,213.46</w:t>
            </w:r>
          </w:p>
        </w:tc>
        <w:tc>
          <w:tcPr>
            <w:tcW w:w="1418" w:type="dxa"/>
            <w:tcBorders>
              <w:top w:val="single" w:sz="4" w:space="0" w:color="000000"/>
              <w:left w:val="single" w:sz="4" w:space="0" w:color="000000"/>
              <w:bottom w:val="single" w:sz="17" w:space="0" w:color="000000"/>
              <w:right w:val="single" w:sz="4" w:space="0" w:color="000000"/>
            </w:tcBorders>
          </w:tcPr>
          <w:p>
            <w:pPr/>
          </w:p>
        </w:tc>
        <w:tc>
          <w:tcPr>
            <w:tcW w:w="156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18,203,483.87</w:t>
            </w:r>
          </w:p>
        </w:tc>
        <w:tc>
          <w:tcPr>
            <w:tcW w:w="155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98,849,618.67</w:t>
            </w:r>
          </w:p>
        </w:tc>
        <w:tc>
          <w:tcPr>
            <w:tcW w:w="216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pacing w:val="-1"/>
                <w:sz w:val="18"/>
              </w:rPr>
              <w:t>291,179,316.00</w:t>
            </w:r>
          </w:p>
        </w:tc>
      </w:tr>
    </w:tbl>
    <w:p>
      <w:pPr>
        <w:tabs>
          <w:tab w:pos="5679" w:val="left" w:leader="none"/>
          <w:tab w:pos="11838" w:val="left" w:leader="none"/>
        </w:tabs>
        <w:spacing w:before="55"/>
        <w:ind w:left="400" w:right="0"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法定代表人：包叔平</w:t>
        <w:tab/>
        <w:t>主管会计工作负责人：包叔平</w:t>
        <w:tab/>
        <w:t>会计机构负责人：董</w:t>
      </w:r>
      <w:r>
        <w:rPr>
          <w:rFonts w:ascii="宋体" w:hAnsi="宋体" w:cs="宋体" w:eastAsia="宋体" w:hint="default"/>
          <w:spacing w:val="6"/>
          <w:sz w:val="22"/>
          <w:szCs w:val="22"/>
        </w:rPr>
        <w:t> </w:t>
      </w:r>
      <w:r>
        <w:rPr>
          <w:rFonts w:ascii="宋体" w:hAnsi="宋体" w:cs="宋体" w:eastAsia="宋体" w:hint="default"/>
          <w:sz w:val="22"/>
          <w:szCs w:val="22"/>
        </w:rPr>
        <w:t>樑</w:t>
      </w:r>
    </w:p>
    <w:p>
      <w:pPr>
        <w:spacing w:after="0"/>
        <w:jc w:val="left"/>
        <w:rPr>
          <w:rFonts w:ascii="宋体" w:hAnsi="宋体" w:cs="宋体" w:eastAsia="宋体" w:hint="default"/>
          <w:sz w:val="22"/>
          <w:szCs w:val="22"/>
        </w:rPr>
        <w:sectPr>
          <w:pgSz w:w="16840" w:h="11900" w:orient="landscape"/>
          <w:pgMar w:header="874" w:footer="975" w:top="1100" w:bottom="1160" w:left="1040" w:right="118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1</w:t>
        <w:tab/>
      </w:r>
      <w:r>
        <w:rPr>
          <w:rFonts w:ascii="宋体" w:hAnsi="宋体" w:cs="宋体" w:eastAsia="宋体" w:hint="default"/>
          <w:b/>
          <w:bCs/>
          <w:sz w:val="21"/>
          <w:szCs w:val="21"/>
        </w:rPr>
        <w:t>公司基本情况</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281"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上海海隆软件股份有限公司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系于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月经上海市人民政府以沪府体改审</w:t>
      </w:r>
    </w:p>
    <w:p>
      <w:pPr>
        <w:spacing w:line="274" w:lineRule="exact" w:before="16"/>
        <w:ind w:left="808" w:right="269"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2001</w:t>
      </w:r>
      <w:r>
        <w:rPr>
          <w:rFonts w:ascii="宋体" w:hAnsi="宋体" w:cs="宋体" w:eastAsia="宋体" w:hint="default"/>
          <w:sz w:val="21"/>
          <w:szCs w:val="21"/>
        </w:rPr>
        <w:t>）</w:t>
      </w:r>
      <w:r>
        <w:rPr>
          <w:rFonts w:ascii="Times New Roman" w:hAnsi="Times New Roman" w:cs="Times New Roman" w:eastAsia="Times New Roman" w:hint="default"/>
          <w:sz w:val="21"/>
          <w:szCs w:val="21"/>
        </w:rPr>
        <w:t>012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号文《关于同意设立上海交大欧姆龙软件股份有限公司的批复》的批准，由上海欧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姆龙计算机有限公司整体变更而设立的股份有限公司，设立时股本总额为 </w:t>
      </w:r>
      <w:r>
        <w:rPr>
          <w:rFonts w:ascii="Times New Roman" w:hAnsi="Times New Roman" w:cs="Times New Roman" w:eastAsia="Times New Roman" w:hint="default"/>
          <w:sz w:val="21"/>
          <w:szCs w:val="21"/>
        </w:rPr>
        <w:t>3,000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3</w:t>
      </w:r>
    </w:p>
    <w:p>
      <w:pPr>
        <w:spacing w:line="253"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月经股东会决议向全体股东每</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6"/>
          <w:sz w:val="21"/>
          <w:szCs w:val="21"/>
        </w:rPr>
        <w:t>股，股本总额变更为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3,900 </w:t>
      </w:r>
      <w:r>
        <w:rPr>
          <w:rFonts w:ascii="宋体" w:hAnsi="宋体" w:cs="宋体" w:eastAsia="宋体" w:hint="default"/>
          <w:spacing w:val="-7"/>
          <w:sz w:val="21"/>
          <w:szCs w:val="21"/>
        </w:rPr>
        <w:t>万元；</w:t>
      </w:r>
      <w:r>
        <w:rPr>
          <w:rFonts w:ascii="Times New Roman" w:hAnsi="Times New Roman" w:cs="Times New Roman" w:eastAsia="Times New Roman" w:hint="default"/>
          <w:spacing w:val="-7"/>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月再经股东会</w:t>
      </w:r>
    </w:p>
    <w:p>
      <w:pPr>
        <w:spacing w:line="225" w:lineRule="auto" w:before="6"/>
        <w:ind w:left="808" w:right="163" w:firstLine="0"/>
        <w:jc w:val="both"/>
        <w:rPr>
          <w:rFonts w:ascii="宋体" w:hAnsi="宋体" w:cs="宋体" w:eastAsia="宋体" w:hint="default"/>
          <w:sz w:val="21"/>
          <w:szCs w:val="21"/>
        </w:rPr>
      </w:pPr>
      <w:r>
        <w:rPr>
          <w:rFonts w:ascii="宋体" w:hAnsi="宋体" w:cs="宋体" w:eastAsia="宋体" w:hint="default"/>
          <w:sz w:val="21"/>
          <w:szCs w:val="21"/>
        </w:rPr>
        <w:t>决议在前次基础上向全体股东每</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股，股本总额变更为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4,290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月经中国</w:t>
      </w:r>
      <w:r>
        <w:rPr>
          <w:rFonts w:ascii="宋体" w:hAnsi="宋体" w:cs="宋体" w:eastAsia="宋体" w:hint="default"/>
          <w:w w:val="100"/>
          <w:sz w:val="21"/>
          <w:szCs w:val="21"/>
        </w:rPr>
        <w:t> </w:t>
      </w:r>
      <w:r>
        <w:rPr>
          <w:rFonts w:ascii="宋体" w:hAnsi="宋体" w:cs="宋体" w:eastAsia="宋体" w:hint="default"/>
          <w:sz w:val="21"/>
          <w:szCs w:val="21"/>
        </w:rPr>
        <w:t>证券监督管理委员会以证监发行字</w:t>
      </w:r>
      <w:r>
        <w:rPr>
          <w:rFonts w:ascii="Times New Roman" w:hAnsi="Times New Roman" w:cs="Times New Roman" w:eastAsia="Times New Roman" w:hint="default"/>
          <w:sz w:val="21"/>
          <w:szCs w:val="21"/>
        </w:rPr>
        <w:t>[2007]413 </w:t>
      </w:r>
      <w:r>
        <w:rPr>
          <w:rFonts w:ascii="宋体" w:hAnsi="宋体" w:cs="宋体" w:eastAsia="宋体" w:hint="default"/>
          <w:spacing w:val="-4"/>
          <w:sz w:val="21"/>
          <w:szCs w:val="21"/>
        </w:rPr>
        <w:t>号文《关于核准上海海隆软件股份有限公司首次公开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发行股票的通知》的核准，本公司于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月向社会公开发行人民币普通股股票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1,450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w:t>
      </w:r>
    </w:p>
    <w:p>
      <w:pPr>
        <w:spacing w:line="265" w:lineRule="exact" w:before="0"/>
        <w:ind w:left="808"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每股面值</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3"/>
          <w:sz w:val="21"/>
          <w:szCs w:val="21"/>
        </w:rPr>
        <w:t> </w:t>
      </w:r>
      <w:r>
        <w:rPr>
          <w:rFonts w:ascii="宋体" w:hAnsi="宋体" w:cs="宋体" w:eastAsia="宋体" w:hint="default"/>
          <w:spacing w:val="-9"/>
          <w:sz w:val="21"/>
          <w:szCs w:val="21"/>
        </w:rPr>
        <w:t>元，每股发行价为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10.49</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元，发行后股本总额变更为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5,740</w:t>
      </w:r>
      <w:r>
        <w:rPr>
          <w:rFonts w:ascii="Times New Roman" w:hAnsi="Times New Roman" w:cs="Times New Roman" w:eastAsia="Times New Roman" w:hint="default"/>
          <w:spacing w:val="3"/>
          <w:sz w:val="21"/>
          <w:szCs w:val="21"/>
        </w:rPr>
        <w:t> </w:t>
      </w:r>
      <w:r>
        <w:rPr>
          <w:rFonts w:ascii="宋体" w:hAnsi="宋体" w:cs="宋体" w:eastAsia="宋体" w:hint="default"/>
          <w:spacing w:val="-8"/>
          <w:sz w:val="21"/>
          <w:szCs w:val="21"/>
        </w:rPr>
        <w:t>万元。本公司股票于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2007</w:t>
      </w:r>
    </w:p>
    <w:p>
      <w:pPr>
        <w:spacing w:line="272"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日起在深圳证券交易所挂牌交易。</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月经股东大会决议通过以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年末总股</w:t>
      </w:r>
    </w:p>
    <w:p>
      <w:pPr>
        <w:spacing w:line="281"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5,740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万股为基数，以资本公积向全体股东每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股，股本总额变更为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7,462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17"/>
          <w:szCs w:val="17"/>
        </w:rPr>
      </w:pPr>
    </w:p>
    <w:p>
      <w:pPr>
        <w:spacing w:line="282" w:lineRule="exact"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本公司现注册资本为 </w:t>
      </w:r>
      <w:r>
        <w:rPr>
          <w:rFonts w:ascii="Times New Roman" w:hAnsi="Times New Roman" w:cs="Times New Roman" w:eastAsia="Times New Roman" w:hint="default"/>
          <w:sz w:val="21"/>
          <w:szCs w:val="21"/>
        </w:rPr>
        <w:t>7,462  </w:t>
      </w:r>
      <w:r>
        <w:rPr>
          <w:rFonts w:ascii="宋体" w:hAnsi="宋体" w:cs="宋体" w:eastAsia="宋体" w:hint="default"/>
          <w:sz w:val="21"/>
          <w:szCs w:val="21"/>
        </w:rPr>
        <w:t>万元，于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日取得由上海市工商行政管理局换发的</w:t>
      </w:r>
    </w:p>
    <w:p>
      <w:pPr>
        <w:spacing w:line="232" w:lineRule="auto" w:before="0"/>
        <w:ind w:left="808" w:right="269" w:firstLine="0"/>
        <w:jc w:val="both"/>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310000000003153</w:t>
      </w:r>
      <w:r>
        <w:rPr>
          <w:rFonts w:ascii="宋体" w:hAnsi="宋体" w:cs="宋体" w:eastAsia="宋体" w:hint="default"/>
          <w:spacing w:val="-4"/>
          <w:w w:val="100"/>
          <w:sz w:val="21"/>
          <w:szCs w:val="21"/>
        </w:rPr>
        <w:t>（市局）号《企业法人营业执照》，注册地址为上海市天钥桥路</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号煤科大厦</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14</w:t>
      </w:r>
      <w:r>
        <w:rPr>
          <w:rFonts w:ascii="Times New Roman" w:hAnsi="Times New Roman" w:cs="Times New Roman" w:eastAsia="Times New Roman" w:hint="default"/>
          <w:w w:val="100"/>
          <w:sz w:val="21"/>
          <w:szCs w:val="21"/>
        </w:rPr>
        <w:t> </w:t>
      </w:r>
      <w:r>
        <w:rPr>
          <w:rFonts w:ascii="宋体" w:hAnsi="宋体" w:cs="宋体" w:eastAsia="宋体" w:hint="default"/>
          <w:spacing w:val="-1"/>
          <w:sz w:val="21"/>
          <w:szCs w:val="21"/>
        </w:rPr>
        <w:t>楼，经营范围为计算机软、硬件系统及相关系统的集成、开发、咨询、销售及服务，经营本企业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自产产品的出口业务和本企业所需的机械设备、零配件、原辅材料的进出口业务，控股企业信息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服务业务。</w:t>
      </w:r>
    </w:p>
    <w:p>
      <w:pPr>
        <w:spacing w:line="240" w:lineRule="auto" w:before="4"/>
        <w:rPr>
          <w:rFonts w:ascii="宋体" w:hAnsi="宋体" w:cs="宋体" w:eastAsia="宋体" w:hint="default"/>
          <w:sz w:val="18"/>
          <w:szCs w:val="18"/>
        </w:rPr>
      </w:pPr>
    </w:p>
    <w:p>
      <w:pPr>
        <w:tabs>
          <w:tab w:pos="807" w:val="left" w:leader="none"/>
        </w:tabs>
        <w:spacing w:before="0"/>
        <w:ind w:left="100"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2</w:t>
        <w:tab/>
      </w:r>
      <w:r>
        <w:rPr>
          <w:rFonts w:ascii="宋体" w:hAnsi="宋体" w:cs="宋体" w:eastAsia="宋体" w:hint="default"/>
          <w:b/>
          <w:bCs/>
          <w:sz w:val="21"/>
          <w:szCs w:val="21"/>
        </w:rPr>
        <w:t>遵循企业会计准则的声明及财务报表的编制基础</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2.1</w:t>
        <w:tab/>
      </w:r>
      <w:r>
        <w:rPr>
          <w:rFonts w:ascii="宋体" w:hAnsi="宋体" w:cs="宋体" w:eastAsia="宋体" w:hint="default"/>
          <w:sz w:val="21"/>
          <w:szCs w:val="21"/>
        </w:rPr>
        <w:t>财务报表的编制基础</w:t>
      </w:r>
    </w:p>
    <w:p>
      <w:pPr>
        <w:spacing w:line="240" w:lineRule="auto" w:before="3"/>
        <w:rPr>
          <w:rFonts w:ascii="宋体" w:hAnsi="宋体" w:cs="宋体" w:eastAsia="宋体" w:hint="default"/>
          <w:sz w:val="20"/>
          <w:szCs w:val="20"/>
        </w:rPr>
      </w:pPr>
    </w:p>
    <w:p>
      <w:pPr>
        <w:spacing w:line="274" w:lineRule="exact"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本公司以持续经营为基础，根据实际发生的交易和事项，按照《企业会计准则</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基本准则》和其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他各项会计准则的规定进行确认和计量，在此基础上编制财务报表。</w:t>
      </w:r>
    </w:p>
    <w:p>
      <w:pPr>
        <w:spacing w:line="240" w:lineRule="auto" w:before="4"/>
        <w:rPr>
          <w:rFonts w:ascii="宋体" w:hAnsi="宋体" w:cs="宋体" w:eastAsia="宋体" w:hint="default"/>
          <w:sz w:val="16"/>
          <w:szCs w:val="16"/>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2.2</w:t>
        <w:tab/>
      </w:r>
      <w:r>
        <w:rPr>
          <w:rFonts w:ascii="宋体" w:hAnsi="宋体" w:cs="宋体" w:eastAsia="宋体" w:hint="default"/>
          <w:sz w:val="21"/>
          <w:szCs w:val="21"/>
        </w:rPr>
        <w:t>遵循企业会计准则的声明</w:t>
      </w:r>
    </w:p>
    <w:p>
      <w:pPr>
        <w:spacing w:line="240" w:lineRule="auto" w:before="6"/>
        <w:rPr>
          <w:rFonts w:ascii="宋体" w:hAnsi="宋体" w:cs="宋体" w:eastAsia="宋体" w:hint="default"/>
          <w:sz w:val="18"/>
          <w:szCs w:val="18"/>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本公司所编制的财务报表符合企业会计准则的要求，真实、完整地反映了本公司的财务状况、经</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营成果、股东权益变动和现金流量等有关信息，本公司管理层对财务报表的真实性、合法性和完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整性承担责任。</w:t>
      </w:r>
    </w:p>
    <w:p>
      <w:pPr>
        <w:spacing w:after="0" w:line="237" w:lineRule="auto"/>
        <w:jc w:val="both"/>
        <w:rPr>
          <w:rFonts w:ascii="宋体" w:hAnsi="宋体" w:cs="宋体" w:eastAsia="宋体" w:hint="default"/>
          <w:sz w:val="21"/>
          <w:szCs w:val="21"/>
        </w:rPr>
        <w:sectPr>
          <w:headerReference w:type="default" r:id="rId26"/>
          <w:footerReference w:type="default" r:id="rId27"/>
          <w:pgSz w:w="11900" w:h="16840"/>
          <w:pgMar w:header="886" w:footer="983" w:top="1800" w:bottom="1180" w:left="1100" w:right="860"/>
          <w:pgNumType w:start="79"/>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3.1</w:t>
        <w:tab/>
      </w:r>
      <w:r>
        <w:rPr>
          <w:rFonts w:ascii="宋体" w:hAnsi="宋体" w:cs="宋体" w:eastAsia="宋体" w:hint="default"/>
          <w:sz w:val="21"/>
          <w:szCs w:val="21"/>
        </w:rPr>
        <w:t>会计期间</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会计期间为公历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w:t>
      </w:r>
    </w:p>
    <w:p>
      <w:pPr>
        <w:spacing w:line="240" w:lineRule="auto" w:before="0"/>
        <w:rPr>
          <w:rFonts w:ascii="宋体" w:hAnsi="宋体" w:cs="宋体" w:eastAsia="宋体" w:hint="default"/>
          <w:sz w:val="17"/>
          <w:szCs w:val="17"/>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3.2</w:t>
        <w:tab/>
      </w:r>
      <w:r>
        <w:rPr>
          <w:rFonts w:ascii="宋体" w:hAnsi="宋体" w:cs="宋体" w:eastAsia="宋体" w:hint="default"/>
          <w:sz w:val="21"/>
          <w:szCs w:val="21"/>
        </w:rPr>
        <w:t>记账本位币</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记账本位币为人民币。</w:t>
      </w:r>
    </w:p>
    <w:p>
      <w:pPr>
        <w:spacing w:line="240" w:lineRule="auto" w:before="3"/>
        <w:rPr>
          <w:rFonts w:ascii="宋体" w:hAnsi="宋体" w:cs="宋体" w:eastAsia="宋体" w:hint="default"/>
          <w:sz w:val="18"/>
          <w:szCs w:val="18"/>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3.3</w:t>
        <w:tab/>
      </w:r>
      <w:r>
        <w:rPr>
          <w:rFonts w:ascii="宋体" w:hAnsi="宋体" w:cs="宋体" w:eastAsia="宋体" w:hint="default"/>
          <w:sz w:val="21"/>
          <w:szCs w:val="21"/>
        </w:rPr>
        <w:t>同一控制下和非同一控制下企业合并的会计处理方法</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3.3.1</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同一控制下的企业合并</w:t>
      </w:r>
    </w:p>
    <w:p>
      <w:pPr>
        <w:spacing w:line="240" w:lineRule="auto" w:before="0"/>
        <w:rPr>
          <w:rFonts w:ascii="宋体" w:hAnsi="宋体" w:cs="宋体" w:eastAsia="宋体" w:hint="default"/>
          <w:sz w:val="17"/>
          <w:szCs w:val="17"/>
        </w:rPr>
      </w:pPr>
    </w:p>
    <w:p>
      <w:pPr>
        <w:spacing w:before="0"/>
        <w:ind w:left="808" w:right="127" w:firstLine="0"/>
        <w:jc w:val="both"/>
        <w:rPr>
          <w:rFonts w:ascii="宋体" w:hAnsi="宋体" w:cs="宋体" w:eastAsia="宋体" w:hint="default"/>
          <w:sz w:val="21"/>
          <w:szCs w:val="21"/>
        </w:rPr>
      </w:pPr>
      <w:r>
        <w:rPr>
          <w:rFonts w:ascii="宋体" w:hAnsi="宋体" w:cs="宋体" w:eastAsia="宋体" w:hint="default"/>
          <w:spacing w:val="-3"/>
          <w:sz w:val="21"/>
          <w:szCs w:val="21"/>
        </w:rPr>
        <w:t>参与合并的企业在合并前后均受同一方或相同的多方最终控制且该控制并非暂时性的，认定为同一</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控制下的企业合并。</w:t>
      </w:r>
    </w:p>
    <w:p>
      <w:pPr>
        <w:spacing w:line="240" w:lineRule="auto" w:before="6"/>
        <w:rPr>
          <w:rFonts w:ascii="宋体" w:hAnsi="宋体" w:cs="宋体" w:eastAsia="宋体" w:hint="default"/>
          <w:sz w:val="18"/>
          <w:szCs w:val="18"/>
        </w:rPr>
      </w:pPr>
    </w:p>
    <w:p>
      <w:pPr>
        <w:spacing w:line="237" w:lineRule="auto" w:before="0"/>
        <w:ind w:left="808" w:right="127" w:firstLine="0"/>
        <w:jc w:val="both"/>
        <w:rPr>
          <w:rFonts w:ascii="宋体" w:hAnsi="宋体" w:cs="宋体" w:eastAsia="宋体" w:hint="default"/>
          <w:sz w:val="21"/>
          <w:szCs w:val="21"/>
        </w:rPr>
      </w:pPr>
      <w:r>
        <w:rPr>
          <w:rFonts w:ascii="宋体" w:hAnsi="宋体" w:cs="宋体" w:eastAsia="宋体" w:hint="default"/>
          <w:spacing w:val="-3"/>
          <w:sz w:val="21"/>
          <w:szCs w:val="21"/>
        </w:rPr>
        <w:t>合并方以支付现金、转让非现金资产或承担债务方式作为合并对价的，在合并日按照取得被合并方</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所有者权益账面价值的份额作为长期股权投资的初始投资成本。长期股权投资初始投资成本与支付</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的现金、转让的非现金资产以及所承担债务账面价值之间的差额，调整资本公积；资本公积不足冲</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减的，调整留存收益。</w:t>
      </w:r>
    </w:p>
    <w:p>
      <w:pPr>
        <w:spacing w:line="240" w:lineRule="auto" w:before="6"/>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为进行企业合并发生的各项直接相关费用于发生时计入当期损益。</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3.3.2</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非同一控制下的企业合并</w:t>
      </w:r>
    </w:p>
    <w:p>
      <w:pPr>
        <w:spacing w:line="240" w:lineRule="auto" w:before="2"/>
        <w:rPr>
          <w:rFonts w:ascii="宋体" w:hAnsi="宋体" w:cs="宋体" w:eastAsia="宋体" w:hint="default"/>
          <w:sz w:val="19"/>
          <w:szCs w:val="19"/>
        </w:rPr>
      </w:pPr>
    </w:p>
    <w:p>
      <w:pPr>
        <w:spacing w:line="272" w:lineRule="exact" w:before="0"/>
        <w:ind w:left="808" w:right="127" w:firstLine="0"/>
        <w:jc w:val="both"/>
        <w:rPr>
          <w:rFonts w:ascii="宋体" w:hAnsi="宋体" w:cs="宋体" w:eastAsia="宋体" w:hint="default"/>
          <w:sz w:val="21"/>
          <w:szCs w:val="21"/>
        </w:rPr>
      </w:pPr>
      <w:r>
        <w:rPr>
          <w:rFonts w:ascii="宋体" w:hAnsi="宋体" w:cs="宋体" w:eastAsia="宋体" w:hint="default"/>
          <w:spacing w:val="2"/>
          <w:sz w:val="21"/>
          <w:szCs w:val="21"/>
        </w:rPr>
        <w:t>参与合并的各方在合并前后不受同一方或相同的多方最终控制的，认定为非同一控制下的企业合</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并。</w:t>
      </w:r>
    </w:p>
    <w:p>
      <w:pPr>
        <w:spacing w:line="240" w:lineRule="auto" w:before="7"/>
        <w:rPr>
          <w:rFonts w:ascii="宋体" w:hAnsi="宋体" w:cs="宋体" w:eastAsia="宋体" w:hint="default"/>
          <w:sz w:val="16"/>
          <w:szCs w:val="16"/>
        </w:rPr>
      </w:pPr>
    </w:p>
    <w:p>
      <w:pPr>
        <w:spacing w:line="237" w:lineRule="auto" w:before="0"/>
        <w:ind w:left="808" w:right="127" w:firstLine="0"/>
        <w:jc w:val="both"/>
        <w:rPr>
          <w:rFonts w:ascii="宋体" w:hAnsi="宋体" w:cs="宋体" w:eastAsia="宋体" w:hint="default"/>
          <w:sz w:val="21"/>
          <w:szCs w:val="21"/>
        </w:rPr>
      </w:pPr>
      <w:r>
        <w:rPr>
          <w:rFonts w:ascii="宋体" w:hAnsi="宋体" w:cs="宋体" w:eastAsia="宋体" w:hint="default"/>
          <w:spacing w:val="-3"/>
          <w:sz w:val="21"/>
          <w:szCs w:val="21"/>
        </w:rPr>
        <w:t>购买方通过一次交换交易实现的企业合并，合并成本为购买方在购买日为取得对被购买方的控制权</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而付出的资产、发生或承担的负债以及发行的权益性证券的公允价值。通过多次交换交易分步实现</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的企业合并，合并成本为每一单项交易成本之和。购买方为进行企业合并发生的各项直接相关费用</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也计入企业合并成本。</w:t>
      </w:r>
    </w:p>
    <w:p>
      <w:pPr>
        <w:spacing w:line="240" w:lineRule="auto" w:before="6"/>
        <w:rPr>
          <w:rFonts w:ascii="宋体" w:hAnsi="宋体" w:cs="宋体" w:eastAsia="宋体" w:hint="default"/>
          <w:sz w:val="18"/>
          <w:szCs w:val="18"/>
        </w:rPr>
      </w:pPr>
    </w:p>
    <w:p>
      <w:pPr>
        <w:spacing w:line="237" w:lineRule="auto" w:before="0"/>
        <w:ind w:left="808" w:right="127" w:firstLine="0"/>
        <w:jc w:val="both"/>
        <w:rPr>
          <w:rFonts w:ascii="宋体" w:hAnsi="宋体" w:cs="宋体" w:eastAsia="宋体" w:hint="default"/>
          <w:sz w:val="21"/>
          <w:szCs w:val="21"/>
        </w:rPr>
      </w:pPr>
      <w:r>
        <w:rPr>
          <w:rFonts w:ascii="宋体" w:hAnsi="宋体" w:cs="宋体" w:eastAsia="宋体" w:hint="default"/>
          <w:spacing w:val="-3"/>
          <w:sz w:val="21"/>
          <w:szCs w:val="21"/>
        </w:rPr>
        <w:t>购买方的合并成本和购买方在合并中取得的可辨认净资产按购买日的公允价值计量。合并成本大于</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合并中取得的被购买方于购买日可辨认净资产公允价值份额的差额，确认为商誉；合并成本小于合</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并中取得的被购买方可辨认净资产公允价值份额的差额，计入当期损益。</w:t>
      </w:r>
    </w:p>
    <w:p>
      <w:pPr>
        <w:spacing w:after="0" w:line="237" w:lineRule="auto"/>
        <w:jc w:val="both"/>
        <w:rPr>
          <w:rFonts w:ascii="宋体" w:hAnsi="宋体" w:cs="宋体" w:eastAsia="宋体" w:hint="default"/>
          <w:sz w:val="21"/>
          <w:szCs w:val="21"/>
        </w:rPr>
        <w:sectPr>
          <w:footerReference w:type="default" r:id="rId28"/>
          <w:pgSz w:w="11900" w:h="16840"/>
          <w:pgMar w:footer="983" w:header="886" w:top="1800" w:bottom="1180" w:left="1100" w:right="860"/>
          <w:pgNumType w:start="80"/>
        </w:sectPr>
      </w:pPr>
    </w:p>
    <w:p>
      <w:pPr>
        <w:spacing w:line="240" w:lineRule="auto" w:before="10"/>
        <w:rPr>
          <w:rFonts w:ascii="宋体" w:hAnsi="宋体" w:cs="宋体" w:eastAsia="宋体" w:hint="default"/>
          <w:sz w:val="12"/>
          <w:szCs w:val="12"/>
        </w:rPr>
      </w:pPr>
    </w:p>
    <w:p>
      <w:pPr>
        <w:tabs>
          <w:tab w:pos="707" w:val="left" w:leader="none"/>
        </w:tabs>
        <w:spacing w:before="41"/>
        <w:ind w:left="0" w:right="6578"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line="448" w:lineRule="auto" w:before="0"/>
        <w:ind w:left="808" w:right="4936" w:hanging="478"/>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3.4</w:t>
        <w:tab/>
      </w:r>
      <w:r>
        <w:rPr>
          <w:rFonts w:ascii="宋体" w:hAnsi="宋体" w:cs="宋体" w:eastAsia="宋体" w:hint="default"/>
          <w:sz w:val="21"/>
          <w:szCs w:val="21"/>
        </w:rPr>
        <w:t>合并财务报表的编制方法</w:t>
      </w:r>
      <w:r>
        <w:rPr>
          <w:rFonts w:ascii="宋体" w:hAnsi="宋体" w:cs="宋体" w:eastAsia="宋体" w:hint="default"/>
          <w:w w:val="100"/>
          <w:sz w:val="21"/>
          <w:szCs w:val="21"/>
        </w:rPr>
        <w:t> </w:t>
      </w:r>
      <w:r>
        <w:rPr>
          <w:rFonts w:ascii="宋体" w:hAnsi="宋体" w:cs="宋体" w:eastAsia="宋体" w:hint="default"/>
          <w:spacing w:val="-2"/>
          <w:sz w:val="21"/>
          <w:szCs w:val="21"/>
        </w:rPr>
        <w:t>合并财务报表的合并范围包括本公司及子公司。</w:t>
      </w:r>
    </w:p>
    <w:p>
      <w:pPr>
        <w:spacing w:line="237" w:lineRule="auto" w:before="58"/>
        <w:ind w:left="808" w:right="152" w:firstLine="0"/>
        <w:jc w:val="both"/>
        <w:rPr>
          <w:rFonts w:ascii="宋体" w:hAnsi="宋体" w:cs="宋体" w:eastAsia="宋体" w:hint="default"/>
          <w:sz w:val="21"/>
          <w:szCs w:val="21"/>
        </w:rPr>
      </w:pPr>
      <w:r>
        <w:rPr>
          <w:rFonts w:ascii="宋体" w:hAnsi="宋体" w:cs="宋体" w:eastAsia="宋体" w:hint="default"/>
          <w:spacing w:val="-3"/>
          <w:sz w:val="21"/>
          <w:szCs w:val="21"/>
        </w:rPr>
        <w:t>从取得子公司实际控制权之日起，本公司开始将其予以合并；从丧失实际控制权之日起停止合并。公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司间所有重大往来余额、交易及未实现利润在合并财务报表编制时予以抵销。子公司的股东权益中不</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属于公司所拥有的部分作为少数股东权益在合并资产负债表中股东权益项下单独列示；子公司净利润</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中不属于公司所拥有的部分作为少数股东损益在合并利润表中净利润项下单独列示。</w:t>
      </w:r>
    </w:p>
    <w:p>
      <w:pPr>
        <w:spacing w:line="240" w:lineRule="auto" w:before="7"/>
        <w:rPr>
          <w:rFonts w:ascii="宋体" w:hAnsi="宋体" w:cs="宋体" w:eastAsia="宋体" w:hint="default"/>
          <w:sz w:val="20"/>
          <w:szCs w:val="20"/>
        </w:rPr>
      </w:pPr>
    </w:p>
    <w:p>
      <w:pPr>
        <w:spacing w:line="272" w:lineRule="exact" w:before="0"/>
        <w:ind w:left="808" w:right="206" w:firstLine="0"/>
        <w:jc w:val="both"/>
        <w:rPr>
          <w:rFonts w:ascii="宋体" w:hAnsi="宋体" w:cs="宋体" w:eastAsia="宋体" w:hint="default"/>
          <w:sz w:val="21"/>
          <w:szCs w:val="21"/>
        </w:rPr>
      </w:pPr>
      <w:r>
        <w:rPr>
          <w:rFonts w:ascii="宋体" w:hAnsi="宋体" w:cs="宋体" w:eastAsia="宋体" w:hint="default"/>
          <w:spacing w:val="-4"/>
          <w:sz w:val="21"/>
          <w:szCs w:val="21"/>
        </w:rPr>
        <w:t>子公司与本公司采用的会计政策或会计期间不一致的，在编制合并财务报表时，按照本公司的会计政</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策或会计期间对子公司财务报表进行必要的调整。</w:t>
      </w:r>
    </w:p>
    <w:p>
      <w:pPr>
        <w:spacing w:line="240" w:lineRule="auto" w:before="7"/>
        <w:rPr>
          <w:rFonts w:ascii="宋体" w:hAnsi="宋体" w:cs="宋体" w:eastAsia="宋体" w:hint="default"/>
          <w:sz w:val="16"/>
          <w:szCs w:val="16"/>
        </w:rPr>
      </w:pPr>
    </w:p>
    <w:p>
      <w:pPr>
        <w:spacing w:line="237" w:lineRule="auto" w:before="0"/>
        <w:ind w:left="808" w:right="206" w:firstLine="0"/>
        <w:jc w:val="both"/>
        <w:rPr>
          <w:rFonts w:ascii="宋体" w:hAnsi="宋体" w:cs="宋体" w:eastAsia="宋体" w:hint="default"/>
          <w:sz w:val="21"/>
          <w:szCs w:val="21"/>
        </w:rPr>
      </w:pPr>
      <w:r>
        <w:rPr>
          <w:rFonts w:ascii="宋体" w:hAnsi="宋体" w:cs="宋体" w:eastAsia="宋体" w:hint="default"/>
          <w:spacing w:val="-4"/>
          <w:sz w:val="21"/>
          <w:szCs w:val="21"/>
        </w:rPr>
        <w:t>对于因非同一控制下企业合并取得的子公司，在编制合并财务报表时，以购买日可辨认净资产公允价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值为基础对其个别财务报表进行调整；对于因同一控制下企业合并取得的子公司，在编制合并财务报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表时，视同该企业合并于报告期最早期间的期初已经发生，从报告期最早期间的期初起将其资产、负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债、经营成果和现金流量纳入合并财务报表，且其合并日前实现的净利润在合并利润表中单列项目反</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映。</w:t>
      </w:r>
    </w:p>
    <w:p>
      <w:pPr>
        <w:spacing w:line="240" w:lineRule="auto" w:before="4"/>
        <w:rPr>
          <w:rFonts w:ascii="宋体" w:hAnsi="宋体" w:cs="宋体" w:eastAsia="宋体" w:hint="default"/>
          <w:sz w:val="18"/>
          <w:szCs w:val="18"/>
        </w:rPr>
      </w:pPr>
    </w:p>
    <w:p>
      <w:pPr>
        <w:tabs>
          <w:tab w:pos="815" w:val="left" w:leader="none"/>
        </w:tabs>
        <w:spacing w:before="0"/>
        <w:ind w:left="34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3.5</w:t>
        <w:tab/>
      </w:r>
      <w:r>
        <w:rPr>
          <w:rFonts w:ascii="宋体" w:hAnsi="宋体" w:cs="宋体" w:eastAsia="宋体" w:hint="default"/>
          <w:sz w:val="21"/>
          <w:szCs w:val="21"/>
        </w:rPr>
        <w:t>现金及现金等价物的确定标准</w:t>
      </w:r>
    </w:p>
    <w:p>
      <w:pPr>
        <w:spacing w:line="240" w:lineRule="auto" w:before="3"/>
        <w:rPr>
          <w:rFonts w:ascii="宋体" w:hAnsi="宋体" w:cs="宋体" w:eastAsia="宋体" w:hint="default"/>
          <w:sz w:val="18"/>
          <w:szCs w:val="18"/>
        </w:rPr>
      </w:pPr>
    </w:p>
    <w:p>
      <w:pPr>
        <w:spacing w:before="0"/>
        <w:ind w:left="815" w:right="0" w:firstLine="0"/>
        <w:jc w:val="left"/>
        <w:rPr>
          <w:rFonts w:ascii="宋体" w:hAnsi="宋体" w:cs="宋体" w:eastAsia="宋体" w:hint="default"/>
          <w:sz w:val="21"/>
          <w:szCs w:val="21"/>
        </w:rPr>
      </w:pPr>
      <w:r>
        <w:rPr>
          <w:rFonts w:ascii="宋体" w:hAnsi="宋体" w:cs="宋体" w:eastAsia="宋体" w:hint="default"/>
          <w:spacing w:val="-2"/>
          <w:sz w:val="21"/>
          <w:szCs w:val="21"/>
        </w:rPr>
        <w:t>列示于现金流量表中的现金是指库存现金及可随时用于支付的存款，现金等价物是指持有的期限短、</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流动性强、易于转换为已知金额现金及价值变动风险很小的投资。</w:t>
      </w:r>
    </w:p>
    <w:p>
      <w:pPr>
        <w:spacing w:line="240" w:lineRule="auto" w:before="3"/>
        <w:rPr>
          <w:rFonts w:ascii="宋体" w:hAnsi="宋体" w:cs="宋体" w:eastAsia="宋体" w:hint="default"/>
          <w:sz w:val="18"/>
          <w:szCs w:val="18"/>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3.6</w:t>
        <w:tab/>
      </w:r>
      <w:r>
        <w:rPr>
          <w:rFonts w:ascii="宋体" w:hAnsi="宋体" w:cs="宋体" w:eastAsia="宋体" w:hint="default"/>
          <w:sz w:val="21"/>
          <w:szCs w:val="21"/>
        </w:rPr>
        <w:t>外币业务和外币报表折算</w:t>
      </w:r>
    </w:p>
    <w:p>
      <w:pPr>
        <w:spacing w:line="240" w:lineRule="auto" w:before="3"/>
        <w:rPr>
          <w:rFonts w:ascii="宋体" w:hAnsi="宋体" w:cs="宋体" w:eastAsia="宋体" w:hint="default"/>
          <w:sz w:val="18"/>
          <w:szCs w:val="18"/>
        </w:rPr>
      </w:pPr>
    </w:p>
    <w:p>
      <w:pPr>
        <w:spacing w:line="424" w:lineRule="auto" w:before="0"/>
        <w:ind w:left="808" w:right="20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3.6.1 </w:t>
      </w:r>
      <w:r>
        <w:rPr>
          <w:rFonts w:ascii="宋体" w:hAnsi="宋体" w:cs="宋体" w:eastAsia="宋体" w:hint="default"/>
          <w:sz w:val="21"/>
          <w:szCs w:val="21"/>
        </w:rPr>
        <w:t>外币业务</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外币业务按业务发生日的即期汇率将外币金额折算为人民币入账。</w:t>
      </w:r>
    </w:p>
    <w:p>
      <w:pPr>
        <w:spacing w:line="237" w:lineRule="auto" w:before="79"/>
        <w:ind w:left="808" w:right="206" w:firstLine="0"/>
        <w:jc w:val="both"/>
        <w:rPr>
          <w:rFonts w:ascii="宋体" w:hAnsi="宋体" w:cs="宋体" w:eastAsia="宋体" w:hint="default"/>
          <w:sz w:val="21"/>
          <w:szCs w:val="21"/>
        </w:rPr>
      </w:pPr>
      <w:r>
        <w:rPr>
          <w:rFonts w:ascii="宋体" w:hAnsi="宋体" w:cs="宋体" w:eastAsia="宋体" w:hint="default"/>
          <w:spacing w:val="-4"/>
          <w:sz w:val="21"/>
          <w:szCs w:val="21"/>
        </w:rPr>
        <w:t>于资产负债表日，外币货币性项目采用资产负债表日的即期汇率折算为人民币，所产生的折算差额除</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w w:val="100"/>
          <w:sz w:val="21"/>
          <w:szCs w:val="21"/>
        </w:rPr>
        <w:t>了为购建或生产符合资本化条件的资产而借入的外币借款产生的汇兑差额按资本化的原则处理外，直</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sz w:val="21"/>
          <w:szCs w:val="21"/>
        </w:rPr>
        <w:t>接计入当期损益。以历史成本计量的外币非货币性项目，于资产负债表日采用交易发生日的即期汇率</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折算。</w:t>
      </w:r>
    </w:p>
    <w:p>
      <w:pPr>
        <w:spacing w:line="240" w:lineRule="auto" w:before="4"/>
        <w:rPr>
          <w:rFonts w:ascii="宋体" w:hAnsi="宋体" w:cs="宋体" w:eastAsia="宋体" w:hint="default"/>
          <w:sz w:val="18"/>
          <w:szCs w:val="18"/>
        </w:rPr>
      </w:pPr>
    </w:p>
    <w:p>
      <w:pPr>
        <w:spacing w:before="0"/>
        <w:ind w:left="815"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3.6.2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外币财务报表的折算</w:t>
      </w:r>
    </w:p>
    <w:p>
      <w:pPr>
        <w:spacing w:line="240" w:lineRule="auto" w:before="3"/>
        <w:rPr>
          <w:rFonts w:ascii="宋体" w:hAnsi="宋体" w:cs="宋体" w:eastAsia="宋体" w:hint="default"/>
          <w:sz w:val="17"/>
          <w:szCs w:val="17"/>
        </w:rPr>
      </w:pPr>
    </w:p>
    <w:p>
      <w:pPr>
        <w:spacing w:line="237" w:lineRule="auto" w:before="0"/>
        <w:ind w:left="815" w:right="206" w:firstLine="0"/>
        <w:jc w:val="both"/>
        <w:rPr>
          <w:rFonts w:ascii="宋体" w:hAnsi="宋体" w:cs="宋体" w:eastAsia="宋体" w:hint="default"/>
          <w:sz w:val="21"/>
          <w:szCs w:val="21"/>
        </w:rPr>
      </w:pPr>
      <w:r>
        <w:rPr>
          <w:rFonts w:ascii="宋体" w:hAnsi="宋体" w:cs="宋体" w:eastAsia="宋体" w:hint="default"/>
          <w:sz w:val="21"/>
          <w:szCs w:val="21"/>
        </w:rPr>
        <w:t>以非记账本位币编制的资产负债表中的资产和负债项目，采用资产负债表日的即期汇率折算成记账</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本位币，股东权益中除未分配利润项目外，其他项目采用发生时的即期汇率折算。以非记账本位币</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编制的利润表中的收入与费用项目，采用交易发生日的即期汇率折算成记账本位币。上述折算产生</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的外币报表折算差额，在股东权益中以单独项目列示。以非记账本位币编制的现金流量表中各项目</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的现金流量采用现金流量发生日的即期汇率折算成记账本位币。汇率变动对现金的影响额，在现金</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流量表中单独列示。</w:t>
      </w:r>
    </w:p>
    <w:p>
      <w:pPr>
        <w:spacing w:after="0" w:line="237" w:lineRule="auto"/>
        <w:jc w:val="both"/>
        <w:rPr>
          <w:rFonts w:ascii="宋体" w:hAnsi="宋体" w:cs="宋体" w:eastAsia="宋体" w:hint="default"/>
          <w:sz w:val="21"/>
          <w:szCs w:val="21"/>
        </w:rPr>
        <w:sectPr>
          <w:pgSz w:w="11900" w:h="16840"/>
          <w:pgMar w:header="886" w:footer="983" w:top="1800" w:bottom="1180" w:left="1100" w:right="64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3.7</w:t>
        <w:tab/>
      </w:r>
      <w:r>
        <w:rPr>
          <w:rFonts w:ascii="宋体" w:hAnsi="宋体" w:cs="宋体" w:eastAsia="宋体" w:hint="default"/>
          <w:sz w:val="21"/>
          <w:szCs w:val="21"/>
        </w:rPr>
        <w:t>金融工具</w:t>
      </w:r>
    </w:p>
    <w:p>
      <w:pPr>
        <w:spacing w:line="240" w:lineRule="auto" w:before="3"/>
        <w:rPr>
          <w:rFonts w:ascii="宋体" w:hAnsi="宋体" w:cs="宋体" w:eastAsia="宋体" w:hint="default"/>
          <w:sz w:val="18"/>
          <w:szCs w:val="18"/>
        </w:rPr>
      </w:pPr>
    </w:p>
    <w:p>
      <w:pPr>
        <w:spacing w:line="424" w:lineRule="auto" w:before="0"/>
        <w:ind w:left="8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3.7.1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金融工具的确认和终止确认</w:t>
      </w:r>
      <w:r>
        <w:rPr>
          <w:rFonts w:ascii="宋体" w:hAnsi="宋体" w:cs="宋体" w:eastAsia="宋体" w:hint="default"/>
          <w:w w:val="100"/>
          <w:sz w:val="21"/>
          <w:szCs w:val="21"/>
        </w:rPr>
        <w:t> </w:t>
      </w:r>
      <w:r>
        <w:rPr>
          <w:rFonts w:ascii="宋体" w:hAnsi="宋体" w:cs="宋体" w:eastAsia="宋体" w:hint="default"/>
          <w:spacing w:val="-2"/>
          <w:sz w:val="21"/>
          <w:szCs w:val="21"/>
        </w:rPr>
        <w:t>本公司于成为金融工具合同的一方时确认一项金融资产或金融负债。</w:t>
      </w:r>
    </w:p>
    <w:p>
      <w:pPr>
        <w:spacing w:line="274" w:lineRule="exact" w:before="158"/>
        <w:ind w:left="808" w:right="0" w:firstLine="0"/>
        <w:jc w:val="both"/>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spacing w:line="282"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收取该金融资产现金流量的合同权利终止；</w:t>
      </w:r>
    </w:p>
    <w:p>
      <w:pPr>
        <w:spacing w:line="274" w:lineRule="exact" w:before="17"/>
        <w:ind w:left="1168" w:right="0"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该金融资产已转移，且符合《企业会计准则第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号－金融资产转移》规定的金融资产终止确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认条件。</w:t>
      </w:r>
    </w:p>
    <w:p>
      <w:pPr>
        <w:spacing w:line="240" w:lineRule="auto" w:before="2"/>
        <w:rPr>
          <w:rFonts w:ascii="宋体" w:hAnsi="宋体" w:cs="宋体" w:eastAsia="宋体" w:hint="default"/>
          <w:sz w:val="16"/>
          <w:szCs w:val="16"/>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w:t>
      </w:r>
    </w:p>
    <w:p>
      <w:pPr>
        <w:spacing w:line="240" w:lineRule="auto" w:before="6"/>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金融资产的分类</w:t>
      </w:r>
    </w:p>
    <w:p>
      <w:pPr>
        <w:spacing w:line="240" w:lineRule="auto" w:before="3"/>
        <w:rPr>
          <w:rFonts w:ascii="宋体" w:hAnsi="宋体" w:cs="宋体" w:eastAsia="宋体" w:hint="default"/>
          <w:sz w:val="17"/>
          <w:szCs w:val="17"/>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金融资产于初始确认时分类为：以公允价值计量且其变动计入当期损益的金融资产、应收款项、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可供出售金融资产和持有至到期投资。金融资产的分类取决于本公司对金融资产的持有意图和持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有能力。</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以公允价值计量且其变动计入当期损益的金融资产</w:t>
      </w:r>
    </w:p>
    <w:p>
      <w:pPr>
        <w:spacing w:line="240" w:lineRule="auto" w:before="0"/>
        <w:rPr>
          <w:rFonts w:ascii="宋体" w:hAnsi="宋体" w:cs="宋体" w:eastAsia="宋体" w:hint="default"/>
          <w:sz w:val="17"/>
          <w:szCs w:val="17"/>
        </w:rPr>
      </w:pPr>
    </w:p>
    <w:p>
      <w:pPr>
        <w:spacing w:before="0"/>
        <w:ind w:left="808" w:right="0" w:firstLine="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产在资产负债表中以交易性金融资产列示。</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应收款项</w:t>
      </w:r>
    </w:p>
    <w:p>
      <w:pPr>
        <w:spacing w:line="240" w:lineRule="auto" w:before="2"/>
        <w:rPr>
          <w:rFonts w:ascii="宋体" w:hAnsi="宋体" w:cs="宋体" w:eastAsia="宋体" w:hint="default"/>
          <w:sz w:val="19"/>
          <w:szCs w:val="19"/>
        </w:rPr>
      </w:pPr>
    </w:p>
    <w:p>
      <w:pPr>
        <w:spacing w:line="272" w:lineRule="exact" w:before="0"/>
        <w:ind w:left="808" w:right="0" w:firstLine="0"/>
        <w:jc w:val="left"/>
        <w:rPr>
          <w:rFonts w:ascii="宋体" w:hAnsi="宋体" w:cs="宋体" w:eastAsia="宋体" w:hint="default"/>
          <w:sz w:val="21"/>
          <w:szCs w:val="21"/>
        </w:rPr>
      </w:pPr>
      <w:r>
        <w:rPr>
          <w:rFonts w:ascii="宋体" w:hAnsi="宋体" w:cs="宋体" w:eastAsia="宋体" w:hint="default"/>
          <w:spacing w:val="-3"/>
          <w:sz w:val="21"/>
          <w:szCs w:val="21"/>
        </w:rPr>
        <w:t>应收款项是指在活跃市场中没有报价、回收金额固定或可确定的非衍生金融资产，包括应收账款、</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其他应收款和长期应收款等。</w:t>
      </w:r>
    </w:p>
    <w:p>
      <w:pPr>
        <w:spacing w:line="240" w:lineRule="auto" w:before="5"/>
        <w:rPr>
          <w:rFonts w:ascii="宋体" w:hAnsi="宋体" w:cs="宋体" w:eastAsia="宋体" w:hint="default"/>
          <w:sz w:val="16"/>
          <w:szCs w:val="16"/>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可供出售金融资产</w:t>
      </w:r>
    </w:p>
    <w:p>
      <w:pPr>
        <w:spacing w:line="240" w:lineRule="auto" w:before="13"/>
        <w:rPr>
          <w:rFonts w:ascii="宋体" w:hAnsi="宋体" w:cs="宋体" w:eastAsia="宋体" w:hint="default"/>
          <w:sz w:val="17"/>
          <w:szCs w:val="17"/>
        </w:rPr>
      </w:pPr>
    </w:p>
    <w:p>
      <w:pPr>
        <w:spacing w:line="230" w:lineRule="auto" w:before="0"/>
        <w:ind w:left="808" w:right="245" w:firstLine="0"/>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5"/>
          <w:sz w:val="21"/>
          <w:szCs w:val="21"/>
        </w:rPr>
        <w:t>金融资产。自资产负债表日起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个月内将出售的可供出售金融资产在资产负债表中列示为一年内</w:t>
      </w:r>
      <w:r>
        <w:rPr>
          <w:rFonts w:ascii="宋体" w:hAnsi="宋体" w:cs="宋体" w:eastAsia="宋体" w:hint="default"/>
          <w:w w:val="100"/>
          <w:sz w:val="21"/>
          <w:szCs w:val="21"/>
        </w:rPr>
        <w:t> </w:t>
      </w:r>
      <w:r>
        <w:rPr>
          <w:rFonts w:ascii="宋体" w:hAnsi="宋体" w:cs="宋体" w:eastAsia="宋体" w:hint="default"/>
          <w:sz w:val="21"/>
          <w:szCs w:val="21"/>
        </w:rPr>
        <w:t>到期的非流动资产。</w:t>
      </w:r>
    </w:p>
    <w:p>
      <w:pPr>
        <w:spacing w:after="0" w:line="230" w:lineRule="auto"/>
        <w:jc w:val="both"/>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3.7</w:t>
        <w:tab/>
      </w:r>
      <w:r>
        <w:rPr>
          <w:rFonts w:ascii="宋体" w:hAnsi="宋体" w:cs="宋体" w:eastAsia="宋体" w:hint="default"/>
          <w:sz w:val="21"/>
          <w:szCs w:val="21"/>
        </w:rPr>
        <w:t>金融工具（续）</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持有至到期投资</w:t>
      </w:r>
    </w:p>
    <w:p>
      <w:pPr>
        <w:spacing w:line="240" w:lineRule="auto" w:before="10"/>
        <w:rPr>
          <w:rFonts w:ascii="宋体" w:hAnsi="宋体" w:cs="宋体" w:eastAsia="宋体" w:hint="default"/>
          <w:sz w:val="17"/>
          <w:szCs w:val="17"/>
        </w:rPr>
      </w:pPr>
    </w:p>
    <w:p>
      <w:pPr>
        <w:spacing w:line="230" w:lineRule="auto" w:before="0"/>
        <w:ind w:left="808" w:right="245" w:firstLine="0"/>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sz w:val="21"/>
          <w:szCs w:val="21"/>
        </w:rPr>
        <w:t>期的非衍生金融资产。自资产负债表日起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个月内到期的持有至到期投资在资产负债表中列示为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一年内到期的非流动资产。</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3.7.3</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金融资产的计量</w:t>
      </w:r>
    </w:p>
    <w:p>
      <w:pPr>
        <w:spacing w:line="240" w:lineRule="auto" w:before="3"/>
        <w:rPr>
          <w:rFonts w:ascii="宋体" w:hAnsi="宋体" w:cs="宋体" w:eastAsia="宋体" w:hint="default"/>
          <w:sz w:val="17"/>
          <w:szCs w:val="17"/>
        </w:rPr>
      </w:pPr>
    </w:p>
    <w:p>
      <w:pPr>
        <w:spacing w:line="237" w:lineRule="auto" w:before="0"/>
        <w:ind w:left="808" w:right="247" w:firstLine="28"/>
        <w:jc w:val="both"/>
        <w:rPr>
          <w:rFonts w:ascii="宋体" w:hAnsi="宋体" w:cs="宋体" w:eastAsia="宋体" w:hint="default"/>
          <w:sz w:val="21"/>
          <w:szCs w:val="21"/>
        </w:rPr>
      </w:pPr>
      <w:r>
        <w:rPr>
          <w:rFonts w:ascii="宋体" w:hAnsi="宋体" w:cs="宋体" w:eastAsia="宋体" w:hint="default"/>
          <w:spacing w:val="-2"/>
          <w:sz w:val="21"/>
          <w:szCs w:val="21"/>
        </w:rPr>
        <w:t>金融资产于本公司成为金融工具合同的一方时，按公允价值在资产负债表内确认。以公允价值计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量且其变动计入当期损益的金融资产，取得时发生的相关交易费用直接计入当期损益。其他金融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资产的相关交易费用计入初始确认金额。</w:t>
      </w:r>
    </w:p>
    <w:p>
      <w:pPr>
        <w:spacing w:line="240" w:lineRule="auto" w:before="6"/>
        <w:rPr>
          <w:rFonts w:ascii="宋体" w:hAnsi="宋体" w:cs="宋体" w:eastAsia="宋体" w:hint="default"/>
          <w:sz w:val="18"/>
          <w:szCs w:val="18"/>
        </w:rPr>
      </w:pPr>
    </w:p>
    <w:p>
      <w:pPr>
        <w:spacing w:line="237" w:lineRule="auto"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款项以及持有至到期投资采用实际利率法，以摊余成本计量。</w:t>
      </w:r>
    </w:p>
    <w:p>
      <w:pPr>
        <w:spacing w:line="240" w:lineRule="auto" w:before="4"/>
        <w:rPr>
          <w:rFonts w:ascii="宋体" w:hAnsi="宋体" w:cs="宋体" w:eastAsia="宋体" w:hint="default"/>
          <w:sz w:val="18"/>
          <w:szCs w:val="18"/>
        </w:rPr>
      </w:pPr>
    </w:p>
    <w:p>
      <w:pPr>
        <w:spacing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产持有期间所取得的利息或现金股利以及在处置时产生的处置损益，计入当期损益。</w:t>
      </w:r>
    </w:p>
    <w:p>
      <w:pPr>
        <w:spacing w:line="240" w:lineRule="auto" w:before="6"/>
        <w:rPr>
          <w:rFonts w:ascii="宋体" w:hAnsi="宋体" w:cs="宋体" w:eastAsia="宋体" w:hint="default"/>
          <w:sz w:val="18"/>
          <w:szCs w:val="18"/>
        </w:rPr>
      </w:pPr>
    </w:p>
    <w:p>
      <w:pPr>
        <w:spacing w:line="237" w:lineRule="auto"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除减值损失及外币货币性金融资产形成的汇兑损益外，可供出售金融资产公允价值变动计入股东</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权益，待该金融资产终止确认时，原直接计入权益的公允价值变动累计额转入当期损益。可供出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售债务工具投资在持有期间按实际利率法计算利息，计入投资收益；可供出售权益工具投资的现</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金股利，于被投资单位宣告发放股利时计入投资收益。</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金融负债的分类</w:t>
      </w:r>
    </w:p>
    <w:p>
      <w:pPr>
        <w:spacing w:line="240" w:lineRule="auto" w:before="3"/>
        <w:rPr>
          <w:rFonts w:ascii="宋体" w:hAnsi="宋体" w:cs="宋体" w:eastAsia="宋体" w:hint="default"/>
          <w:sz w:val="17"/>
          <w:szCs w:val="17"/>
        </w:rPr>
      </w:pPr>
    </w:p>
    <w:p>
      <w:pPr>
        <w:spacing w:line="237" w:lineRule="auto"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债。以公允价值计量且其变动计入当期损益的金融负债，包括交易性金融负债和初始确认时指定</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为以公允价值计量且其变动计入当期损益的金融负债。</w:t>
      </w:r>
    </w:p>
    <w:p>
      <w:pPr>
        <w:spacing w:after="0" w:line="237" w:lineRule="auto"/>
        <w:jc w:val="both"/>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3.7</w:t>
        <w:tab/>
      </w:r>
      <w:r>
        <w:rPr>
          <w:rFonts w:ascii="宋体" w:hAnsi="宋体" w:cs="宋体" w:eastAsia="宋体" w:hint="default"/>
          <w:sz w:val="21"/>
          <w:szCs w:val="21"/>
        </w:rPr>
        <w:t>金融工具（续）</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金融负债的计量</w:t>
      </w:r>
    </w:p>
    <w:p>
      <w:pPr>
        <w:spacing w:line="240" w:lineRule="auto" w:before="3"/>
        <w:rPr>
          <w:rFonts w:ascii="宋体" w:hAnsi="宋体" w:cs="宋体" w:eastAsia="宋体" w:hint="default"/>
          <w:sz w:val="17"/>
          <w:szCs w:val="17"/>
        </w:rPr>
      </w:pPr>
    </w:p>
    <w:p>
      <w:pPr>
        <w:spacing w:line="237" w:lineRule="auto"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负债的相关交易费用计入初始确认金额。</w:t>
      </w:r>
    </w:p>
    <w:p>
      <w:pPr>
        <w:spacing w:line="240" w:lineRule="auto" w:before="4"/>
        <w:rPr>
          <w:rFonts w:ascii="宋体" w:hAnsi="宋体" w:cs="宋体" w:eastAsia="宋体" w:hint="default"/>
          <w:sz w:val="18"/>
          <w:szCs w:val="18"/>
        </w:rPr>
      </w:pPr>
    </w:p>
    <w:p>
      <w:pPr>
        <w:spacing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金融负债时可能发生的交易费用。</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3.7.6</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金融工具的公允价值</w:t>
      </w:r>
    </w:p>
    <w:p>
      <w:pPr>
        <w:spacing w:line="240" w:lineRule="auto" w:before="3"/>
        <w:rPr>
          <w:rFonts w:ascii="宋体" w:hAnsi="宋体" w:cs="宋体" w:eastAsia="宋体" w:hint="default"/>
          <w:sz w:val="17"/>
          <w:szCs w:val="17"/>
        </w:rPr>
      </w:pPr>
    </w:p>
    <w:p>
      <w:pPr>
        <w:spacing w:line="237" w:lineRule="auto"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法和期权定价模型等。</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3.7.7  </w:t>
      </w:r>
      <w:r>
        <w:rPr>
          <w:rFonts w:ascii="宋体" w:hAnsi="宋体" w:cs="宋体" w:eastAsia="宋体" w:hint="default"/>
          <w:sz w:val="21"/>
          <w:szCs w:val="21"/>
        </w:rPr>
        <w:t>金融资产减值</w:t>
      </w:r>
    </w:p>
    <w:p>
      <w:pPr>
        <w:spacing w:line="240" w:lineRule="auto" w:before="0"/>
        <w:rPr>
          <w:rFonts w:ascii="宋体" w:hAnsi="宋体" w:cs="宋体" w:eastAsia="宋体" w:hint="default"/>
          <w:sz w:val="17"/>
          <w:szCs w:val="17"/>
        </w:rPr>
      </w:pPr>
    </w:p>
    <w:p>
      <w:pPr>
        <w:spacing w:before="0"/>
        <w:ind w:left="808" w:right="246" w:firstLine="0"/>
        <w:jc w:val="both"/>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面价值进行检查，如果有客观证据表明某项金融资产发生减值的，计提减值准备。</w:t>
      </w:r>
    </w:p>
    <w:p>
      <w:pPr>
        <w:spacing w:line="240" w:lineRule="auto" w:before="13"/>
        <w:rPr>
          <w:rFonts w:ascii="宋体" w:hAnsi="宋体" w:cs="宋体" w:eastAsia="宋体" w:hint="default"/>
          <w:sz w:val="18"/>
          <w:szCs w:val="18"/>
        </w:rPr>
      </w:pPr>
    </w:p>
    <w:p>
      <w:pPr>
        <w:spacing w:line="230" w:lineRule="auto" w:before="0"/>
        <w:ind w:left="808" w:right="246" w:firstLine="0"/>
        <w:jc w:val="both"/>
        <w:rPr>
          <w:rFonts w:ascii="宋体" w:hAnsi="宋体" w:cs="宋体" w:eastAsia="宋体" w:hint="default"/>
          <w:sz w:val="21"/>
          <w:szCs w:val="21"/>
        </w:rPr>
      </w:pPr>
      <w:r>
        <w:rPr>
          <w:rFonts w:ascii="宋体" w:hAnsi="宋体" w:cs="宋体" w:eastAsia="宋体" w:hint="default"/>
          <w:sz w:val="21"/>
          <w:szCs w:val="21"/>
        </w:rPr>
        <w:t>以摊余成本计量的金融资产发生减值时，按预计未来现金流量</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不包括尚未发生的未来信用损失</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现值低于账面价值的差额，计提减值准备。如果有客观证据表明该金融资产价值已恢复，且客观</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上与确认该损失后发生的事项有关，原确认的减值损失予以转回，计入当期损益。</w:t>
      </w:r>
    </w:p>
    <w:p>
      <w:pPr>
        <w:spacing w:line="240" w:lineRule="auto" w:before="7"/>
        <w:rPr>
          <w:rFonts w:ascii="宋体" w:hAnsi="宋体" w:cs="宋体" w:eastAsia="宋体" w:hint="default"/>
          <w:sz w:val="18"/>
          <w:szCs w:val="18"/>
        </w:rPr>
      </w:pPr>
    </w:p>
    <w:p>
      <w:pPr>
        <w:spacing w:line="237" w:lineRule="auto" w:before="0"/>
        <w:ind w:left="808" w:right="247" w:firstLine="0"/>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中没有报价且其公允价值不能可靠计量的权益工具投资发生的减值损失，如果在以后期间价值得</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以恢复，也不予转回。</w:t>
      </w:r>
    </w:p>
    <w:p>
      <w:pPr>
        <w:spacing w:after="0" w:line="237" w:lineRule="auto"/>
        <w:jc w:val="both"/>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3.8</w:t>
        <w:tab/>
      </w:r>
      <w:r>
        <w:rPr>
          <w:rFonts w:ascii="宋体" w:hAnsi="宋体" w:cs="宋体" w:eastAsia="宋体" w:hint="default"/>
          <w:sz w:val="21"/>
          <w:szCs w:val="21"/>
        </w:rPr>
        <w:t>应收款项</w:t>
      </w:r>
    </w:p>
    <w:p>
      <w:pPr>
        <w:spacing w:line="240" w:lineRule="auto" w:before="3"/>
        <w:rPr>
          <w:rFonts w:ascii="宋体" w:hAnsi="宋体" w:cs="宋体" w:eastAsia="宋体" w:hint="default"/>
          <w:sz w:val="18"/>
          <w:szCs w:val="18"/>
        </w:rPr>
      </w:pPr>
    </w:p>
    <w:p>
      <w:pPr>
        <w:spacing w:before="0"/>
        <w:ind w:left="8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单项金额重大并单项计提坏账准备的应收款项：</w:t>
      </w:r>
    </w:p>
    <w:p>
      <w:pPr>
        <w:spacing w:line="240" w:lineRule="auto" w:before="9"/>
        <w:rPr>
          <w:rFonts w:ascii="宋体" w:hAnsi="宋体" w:cs="宋体" w:eastAsia="宋体" w:hint="default"/>
          <w:sz w:val="19"/>
          <w:szCs w:val="19"/>
        </w:rPr>
      </w:pPr>
    </w:p>
    <w:tbl>
      <w:tblPr>
        <w:tblW w:w="0" w:type="auto"/>
        <w:jc w:val="left"/>
        <w:tblInd w:w="695" w:type="dxa"/>
        <w:tblLayout w:type="fixed"/>
        <w:tblCellMar>
          <w:top w:w="0" w:type="dxa"/>
          <w:left w:w="0" w:type="dxa"/>
          <w:bottom w:w="0" w:type="dxa"/>
          <w:right w:w="0" w:type="dxa"/>
        </w:tblCellMar>
        <w:tblLook w:val="01E0"/>
      </w:tblPr>
      <w:tblGrid>
        <w:gridCol w:w="4536"/>
        <w:gridCol w:w="4536"/>
      </w:tblGrid>
      <w:tr>
        <w:trPr>
          <w:trHeight w:val="1099"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对于单项金额重大的应收款项（单项金额在</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500</w:t>
            </w:r>
          </w:p>
          <w:p>
            <w:pPr>
              <w:pStyle w:val="TableParagraph"/>
              <w:spacing w:line="230" w:lineRule="auto" w:before="1"/>
              <w:ind w:left="103" w:right="72"/>
              <w:jc w:val="both"/>
              <w:rPr>
                <w:rFonts w:ascii="宋体" w:hAnsi="宋体" w:cs="宋体" w:eastAsia="宋体" w:hint="default"/>
                <w:sz w:val="21"/>
                <w:szCs w:val="21"/>
              </w:rPr>
            </w:pPr>
            <w:r>
              <w:rPr>
                <w:rFonts w:ascii="宋体" w:hAnsi="宋体" w:cs="宋体" w:eastAsia="宋体" w:hint="default"/>
                <w:spacing w:val="-1"/>
                <w:w w:val="100"/>
                <w:sz w:val="21"/>
                <w:szCs w:val="21"/>
              </w:rPr>
              <w:t>万元以上，含</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500</w:t>
            </w:r>
            <w:r>
              <w:rPr>
                <w:rFonts w:ascii="Times New Roman" w:hAnsi="Times New Roman" w:cs="Times New Roman" w:eastAsia="Times New Roman" w:hint="default"/>
                <w:spacing w:val="-9"/>
                <w:w w:val="100"/>
                <w:sz w:val="21"/>
                <w:szCs w:val="21"/>
              </w:rPr>
              <w:t> </w:t>
            </w:r>
            <w:r>
              <w:rPr>
                <w:rFonts w:ascii="宋体" w:hAnsi="宋体" w:cs="宋体" w:eastAsia="宋体" w:hint="default"/>
                <w:spacing w:val="-10"/>
                <w:w w:val="100"/>
                <w:sz w:val="21"/>
                <w:szCs w:val="21"/>
              </w:rPr>
              <w:t>万元），当存在客观证据表明</w:t>
            </w:r>
            <w:r>
              <w:rPr>
                <w:rFonts w:ascii="宋体" w:hAnsi="宋体" w:cs="宋体" w:eastAsia="宋体" w:hint="default"/>
                <w:w w:val="100"/>
                <w:sz w:val="21"/>
                <w:szCs w:val="21"/>
              </w:rPr>
              <w:t> </w:t>
            </w:r>
            <w:r>
              <w:rPr>
                <w:rFonts w:ascii="宋体" w:hAnsi="宋体" w:cs="宋体" w:eastAsia="宋体" w:hint="default"/>
                <w:spacing w:val="5"/>
                <w:sz w:val="21"/>
                <w:szCs w:val="21"/>
              </w:rPr>
              <w:t>本公司将无法按应收款项的原有条款收回所有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款项时，确认相应的坏账准备。</w:t>
            </w:r>
          </w:p>
        </w:tc>
      </w:tr>
      <w:tr>
        <w:trPr>
          <w:trHeight w:val="55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9"/>
              <w:jc w:val="left"/>
              <w:rPr>
                <w:rFonts w:ascii="宋体" w:hAnsi="宋体" w:cs="宋体" w:eastAsia="宋体" w:hint="default"/>
                <w:sz w:val="21"/>
                <w:szCs w:val="21"/>
              </w:rPr>
            </w:pPr>
            <w:r>
              <w:rPr>
                <w:rFonts w:ascii="宋体" w:hAnsi="宋体" w:cs="宋体" w:eastAsia="宋体" w:hint="default"/>
                <w:spacing w:val="5"/>
                <w:sz w:val="21"/>
                <w:szCs w:val="21"/>
              </w:rPr>
              <w:t>根据该款项预计未来现金流量现值低于其账面</w:t>
            </w:r>
          </w:p>
          <w:p>
            <w:pPr>
              <w:pStyle w:val="TableParagraph"/>
              <w:spacing w:line="274" w:lineRule="exact"/>
              <w:ind w:left="103" w:right="-29"/>
              <w:jc w:val="left"/>
              <w:rPr>
                <w:rFonts w:ascii="宋体" w:hAnsi="宋体" w:cs="宋体" w:eastAsia="宋体" w:hint="default"/>
                <w:sz w:val="21"/>
                <w:szCs w:val="21"/>
              </w:rPr>
            </w:pPr>
            <w:r>
              <w:rPr>
                <w:rFonts w:ascii="宋体" w:hAnsi="宋体" w:cs="宋体" w:eastAsia="宋体" w:hint="default"/>
                <w:w w:val="100"/>
                <w:sz w:val="21"/>
                <w:szCs w:val="21"/>
              </w:rPr>
              <w:t>价值</w:t>
            </w:r>
            <w:r>
              <w:rPr>
                <w:rFonts w:ascii="宋体" w:hAnsi="宋体" w:cs="宋体" w:eastAsia="宋体" w:hint="default"/>
                <w:spacing w:val="-3"/>
                <w:w w:val="100"/>
                <w:sz w:val="21"/>
                <w:szCs w:val="21"/>
              </w:rPr>
              <w:t>的</w:t>
            </w:r>
            <w:r>
              <w:rPr>
                <w:rFonts w:ascii="宋体" w:hAnsi="宋体" w:cs="宋体" w:eastAsia="宋体" w:hint="default"/>
                <w:w w:val="100"/>
                <w:sz w:val="21"/>
                <w:szCs w:val="21"/>
              </w:rPr>
              <w:t>差</w:t>
            </w:r>
            <w:r>
              <w:rPr>
                <w:rFonts w:ascii="宋体" w:hAnsi="宋体" w:cs="宋体" w:eastAsia="宋体" w:hint="default"/>
                <w:spacing w:val="-3"/>
                <w:w w:val="100"/>
                <w:sz w:val="21"/>
                <w:szCs w:val="21"/>
              </w:rPr>
              <w:t>额</w:t>
            </w:r>
            <w:r>
              <w:rPr>
                <w:rFonts w:ascii="宋体" w:hAnsi="宋体" w:cs="宋体" w:eastAsia="宋体" w:hint="default"/>
                <w:spacing w:val="-87"/>
                <w:w w:val="100"/>
                <w:sz w:val="21"/>
                <w:szCs w:val="21"/>
              </w:rPr>
              <w:t>，</w:t>
            </w:r>
            <w:r>
              <w:rPr>
                <w:rFonts w:ascii="宋体" w:hAnsi="宋体" w:cs="宋体" w:eastAsia="宋体" w:hint="default"/>
                <w:w w:val="100"/>
                <w:sz w:val="21"/>
                <w:szCs w:val="21"/>
              </w:rPr>
              <w:t>单</w:t>
            </w:r>
            <w:r>
              <w:rPr>
                <w:rFonts w:ascii="宋体" w:hAnsi="宋体" w:cs="宋体" w:eastAsia="宋体" w:hint="default"/>
                <w:spacing w:val="-3"/>
                <w:w w:val="100"/>
                <w:sz w:val="21"/>
                <w:szCs w:val="21"/>
              </w:rPr>
              <w:t>独</w:t>
            </w:r>
            <w:r>
              <w:rPr>
                <w:rFonts w:ascii="宋体" w:hAnsi="宋体" w:cs="宋体" w:eastAsia="宋体" w:hint="default"/>
                <w:w w:val="100"/>
                <w:sz w:val="21"/>
                <w:szCs w:val="21"/>
              </w:rPr>
              <w:t>进</w:t>
            </w:r>
            <w:r>
              <w:rPr>
                <w:rFonts w:ascii="宋体" w:hAnsi="宋体" w:cs="宋体" w:eastAsia="宋体" w:hint="default"/>
                <w:spacing w:val="-3"/>
                <w:w w:val="100"/>
                <w:sz w:val="21"/>
                <w:szCs w:val="21"/>
              </w:rPr>
              <w:t>行</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测</w:t>
            </w:r>
            <w:r>
              <w:rPr>
                <w:rFonts w:ascii="宋体" w:hAnsi="宋体" w:cs="宋体" w:eastAsia="宋体" w:hint="default"/>
                <w:spacing w:val="-3"/>
                <w:w w:val="100"/>
                <w:sz w:val="21"/>
                <w:szCs w:val="21"/>
              </w:rPr>
              <w:t>试</w:t>
            </w:r>
            <w:r>
              <w:rPr>
                <w:rFonts w:ascii="宋体" w:hAnsi="宋体" w:cs="宋体" w:eastAsia="宋体" w:hint="default"/>
                <w:spacing w:val="-84"/>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提</w:t>
            </w:r>
            <w:r>
              <w:rPr>
                <w:rFonts w:ascii="宋体" w:hAnsi="宋体" w:cs="宋体" w:eastAsia="宋体" w:hint="default"/>
                <w:spacing w:val="-3"/>
                <w:w w:val="100"/>
                <w:sz w:val="21"/>
                <w:szCs w:val="21"/>
              </w:rPr>
              <w:t>坏</w:t>
            </w:r>
            <w:r>
              <w:rPr>
                <w:rFonts w:ascii="宋体" w:hAnsi="宋体" w:cs="宋体" w:eastAsia="宋体" w:hint="default"/>
                <w:w w:val="100"/>
                <w:sz w:val="21"/>
                <w:szCs w:val="21"/>
              </w:rPr>
              <w:t>账</w:t>
            </w:r>
            <w:r>
              <w:rPr>
                <w:rFonts w:ascii="宋体" w:hAnsi="宋体" w:cs="宋体" w:eastAsia="宋体" w:hint="default"/>
                <w:spacing w:val="-3"/>
                <w:w w:val="100"/>
                <w:sz w:val="21"/>
                <w:szCs w:val="21"/>
              </w:rPr>
              <w:t>准备</w:t>
            </w:r>
            <w:r>
              <w:rPr>
                <w:rFonts w:ascii="宋体" w:hAnsi="宋体" w:cs="宋体" w:eastAsia="宋体" w:hint="default"/>
                <w:w w:val="100"/>
                <w:sz w:val="21"/>
                <w:szCs w:val="21"/>
              </w:rPr>
              <w:t>。</w:t>
            </w:r>
          </w:p>
        </w:tc>
      </w:tr>
    </w:tbl>
    <w:p>
      <w:pPr>
        <w:spacing w:line="240" w:lineRule="auto" w:before="2"/>
        <w:rPr>
          <w:rFonts w:ascii="宋体" w:hAnsi="宋体" w:cs="宋体" w:eastAsia="宋体" w:hint="default"/>
          <w:sz w:val="13"/>
          <w:szCs w:val="13"/>
        </w:rPr>
      </w:pPr>
    </w:p>
    <w:p>
      <w:pPr>
        <w:spacing w:before="36"/>
        <w:ind w:left="8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按组合计提坏账准备应收款项：</w:t>
      </w:r>
    </w:p>
    <w:p>
      <w:pPr>
        <w:spacing w:line="240" w:lineRule="auto" w:before="9"/>
        <w:rPr>
          <w:rFonts w:ascii="宋体" w:hAnsi="宋体" w:cs="宋体" w:eastAsia="宋体" w:hint="default"/>
          <w:sz w:val="19"/>
          <w:szCs w:val="19"/>
        </w:rPr>
      </w:pPr>
    </w:p>
    <w:tbl>
      <w:tblPr>
        <w:tblW w:w="0" w:type="auto"/>
        <w:jc w:val="left"/>
        <w:tblInd w:w="695" w:type="dxa"/>
        <w:tblLayout w:type="fixed"/>
        <w:tblCellMar>
          <w:top w:w="0" w:type="dxa"/>
          <w:left w:w="0" w:type="dxa"/>
          <w:bottom w:w="0" w:type="dxa"/>
          <w:right w:w="0" w:type="dxa"/>
        </w:tblCellMar>
        <w:tblLook w:val="01E0"/>
      </w:tblPr>
      <w:tblGrid>
        <w:gridCol w:w="4536"/>
        <w:gridCol w:w="4536"/>
      </w:tblGrid>
      <w:tr>
        <w:trPr>
          <w:trHeight w:val="283" w:hRule="exact"/>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相同账龄的应收款项具有类似的信用风险特征</w:t>
            </w:r>
          </w:p>
        </w:tc>
      </w:tr>
      <w:tr>
        <w:trPr>
          <w:trHeight w:val="557"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合并报表范围内应收款项组合</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合并报表范围内的应收款项具有类似的信用风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险特征</w:t>
            </w:r>
          </w:p>
        </w:tc>
      </w:tr>
      <w:tr>
        <w:trPr>
          <w:trHeight w:val="281" w:hRule="exact"/>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合并报表范围内应收款项组合</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单独进行减值测试，根据其未来现金流量现值低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2"/>
        <w:rPr>
          <w:rFonts w:ascii="宋体" w:hAnsi="宋体" w:cs="宋体" w:eastAsia="宋体" w:hint="default"/>
          <w:sz w:val="13"/>
          <w:szCs w:val="13"/>
        </w:rPr>
      </w:pPr>
    </w:p>
    <w:p>
      <w:pPr>
        <w:spacing w:before="36"/>
        <w:ind w:left="808" w:right="0" w:firstLine="0"/>
        <w:jc w:val="left"/>
        <w:rPr>
          <w:rFonts w:ascii="宋体" w:hAnsi="宋体" w:cs="宋体" w:eastAsia="宋体" w:hint="default"/>
          <w:sz w:val="21"/>
          <w:szCs w:val="21"/>
        </w:rPr>
      </w:pPr>
      <w:r>
        <w:rPr>
          <w:rFonts w:ascii="宋体" w:hAnsi="宋体" w:cs="宋体" w:eastAsia="宋体" w:hint="default"/>
          <w:sz w:val="21"/>
          <w:szCs w:val="21"/>
        </w:rPr>
        <w:t>组合中，采用账龄分析法计提坏账准备的：</w:t>
      </w:r>
    </w:p>
    <w:p>
      <w:pPr>
        <w:spacing w:line="240" w:lineRule="auto" w:before="11"/>
        <w:rPr>
          <w:rFonts w:ascii="宋体" w:hAnsi="宋体" w:cs="宋体" w:eastAsia="宋体" w:hint="default"/>
          <w:sz w:val="20"/>
          <w:szCs w:val="20"/>
        </w:rPr>
      </w:pPr>
    </w:p>
    <w:tbl>
      <w:tblPr>
        <w:tblW w:w="0" w:type="auto"/>
        <w:jc w:val="left"/>
        <w:tblInd w:w="695" w:type="dxa"/>
        <w:tblLayout w:type="fixed"/>
        <w:tblCellMar>
          <w:top w:w="0" w:type="dxa"/>
          <w:left w:w="0" w:type="dxa"/>
          <w:bottom w:w="0" w:type="dxa"/>
          <w:right w:w="0" w:type="dxa"/>
        </w:tblCellMar>
        <w:tblLook w:val="01E0"/>
      </w:tblPr>
      <w:tblGrid>
        <w:gridCol w:w="4536"/>
        <w:gridCol w:w="2126"/>
        <w:gridCol w:w="2410"/>
      </w:tblGrid>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2"/>
              <w:jc w:val="right"/>
              <w:rPr>
                <w:rFonts w:ascii="宋体" w:hAnsi="宋体" w:cs="宋体" w:eastAsia="宋体" w:hint="default"/>
                <w:sz w:val="21"/>
                <w:szCs w:val="21"/>
              </w:rPr>
            </w:pPr>
            <w:r>
              <w:rPr>
                <w:rFonts w:ascii="宋体" w:hAnsi="宋体" w:cs="宋体" w:eastAsia="宋体" w:hint="default"/>
                <w:spacing w:val="-4"/>
                <w:sz w:val="21"/>
                <w:szCs w:val="21"/>
              </w:rPr>
              <w:t>应收账款计提比（</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5"/>
              <w:jc w:val="right"/>
              <w:rPr>
                <w:rFonts w:ascii="Times New Roman" w:hAnsi="Times New Roman" w:cs="Times New Roman" w:eastAsia="Times New Roman" w:hint="default"/>
                <w:sz w:val="21"/>
                <w:szCs w:val="21"/>
              </w:rPr>
            </w:pPr>
            <w:r>
              <w:rPr>
                <w:rFonts w:ascii="宋体" w:hAnsi="宋体" w:cs="宋体" w:eastAsia="宋体" w:hint="default"/>
                <w:spacing w:val="-5"/>
                <w:sz w:val="21"/>
                <w:szCs w:val="21"/>
              </w:rPr>
              <w:t>其他应收款计提比例（</w:t>
            </w:r>
            <w:r>
              <w:rPr>
                <w:rFonts w:ascii="Times New Roman" w:hAnsi="Times New Roman" w:cs="Times New Roman" w:eastAsia="Times New Roman" w:hint="default"/>
                <w:spacing w:val="-5"/>
                <w:sz w:val="21"/>
                <w:szCs w:val="21"/>
              </w:rPr>
              <w:t>%</w:t>
            </w:r>
          </w:p>
        </w:tc>
      </w:tr>
      <w:tr>
        <w:trPr>
          <w:trHeight w:val="28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4"/>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76"/>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2"/>
              <w:jc w:val="right"/>
              <w:rPr>
                <w:rFonts w:ascii="Times New Roman" w:hAnsi="Times New Roman" w:cs="Times New Roman" w:eastAsia="Times New Roman" w:hint="default"/>
                <w:sz w:val="21"/>
                <w:szCs w:val="21"/>
              </w:rPr>
            </w:pPr>
            <w:r>
              <w:rPr>
                <w:rFonts w:ascii="Times New Roman"/>
                <w:sz w:val="21"/>
              </w:rPr>
              <w:t>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4"/>
              <w:jc w:val="right"/>
              <w:rPr>
                <w:rFonts w:ascii="Times New Roman" w:hAnsi="Times New Roman" w:cs="Times New Roman" w:eastAsia="Times New Roman" w:hint="default"/>
                <w:sz w:val="21"/>
                <w:szCs w:val="21"/>
              </w:rPr>
            </w:pPr>
            <w:r>
              <w:rPr>
                <w:rFonts w:ascii="Times New Roman"/>
                <w:sz w:val="21"/>
              </w:rPr>
              <w:t>25%</w:t>
            </w:r>
          </w:p>
        </w:tc>
      </w:tr>
      <w:tr>
        <w:trPr>
          <w:trHeight w:val="3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2"/>
              <w:jc w:val="right"/>
              <w:rPr>
                <w:rFonts w:ascii="Times New Roman" w:hAnsi="Times New Roman" w:cs="Times New Roman" w:eastAsia="Times New Roman" w:hint="default"/>
                <w:sz w:val="21"/>
                <w:szCs w:val="21"/>
              </w:rPr>
            </w:pPr>
            <w:r>
              <w:rPr>
                <w:rFonts w:ascii="Times New Roman"/>
                <w:sz w:val="21"/>
              </w:rPr>
              <w:t>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4"/>
              <w:jc w:val="right"/>
              <w:rPr>
                <w:rFonts w:ascii="Times New Roman" w:hAnsi="Times New Roman" w:cs="Times New Roman" w:eastAsia="Times New Roman" w:hint="default"/>
                <w:sz w:val="21"/>
                <w:szCs w:val="21"/>
              </w:rPr>
            </w:pPr>
            <w:r>
              <w:rPr>
                <w:rFonts w:ascii="Times New Roman"/>
                <w:sz w:val="21"/>
              </w:rPr>
              <w:t>50%</w:t>
            </w:r>
          </w:p>
        </w:tc>
      </w:tr>
      <w:tr>
        <w:trPr>
          <w:trHeight w:val="32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2"/>
              <w:jc w:val="right"/>
              <w:rPr>
                <w:rFonts w:ascii="Times New Roman" w:hAnsi="Times New Roman" w:cs="Times New Roman" w:eastAsia="Times New Roman" w:hint="default"/>
                <w:sz w:val="21"/>
                <w:szCs w:val="21"/>
              </w:rPr>
            </w:pPr>
            <w:r>
              <w:rPr>
                <w:rFonts w:ascii="Times New Roman"/>
                <w:sz w:val="21"/>
              </w:rPr>
              <w:t>100%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4"/>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6"/>
        <w:rPr>
          <w:rFonts w:ascii="宋体" w:hAnsi="宋体" w:cs="宋体" w:eastAsia="宋体" w:hint="default"/>
          <w:sz w:val="18"/>
          <w:szCs w:val="18"/>
        </w:rPr>
      </w:pPr>
    </w:p>
    <w:p>
      <w:pPr>
        <w:spacing w:before="36"/>
        <w:ind w:left="8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单项金额虽不重大但单项计提坏账准备的应收账款：</w:t>
      </w:r>
    </w:p>
    <w:p>
      <w:pPr>
        <w:spacing w:line="240" w:lineRule="auto" w:before="8"/>
        <w:rPr>
          <w:rFonts w:ascii="宋体" w:hAnsi="宋体" w:cs="宋体" w:eastAsia="宋体" w:hint="default"/>
          <w:sz w:val="22"/>
          <w:szCs w:val="22"/>
        </w:rPr>
      </w:pPr>
    </w:p>
    <w:tbl>
      <w:tblPr>
        <w:tblW w:w="0" w:type="auto"/>
        <w:jc w:val="left"/>
        <w:tblInd w:w="695" w:type="dxa"/>
        <w:tblLayout w:type="fixed"/>
        <w:tblCellMar>
          <w:top w:w="0" w:type="dxa"/>
          <w:left w:w="0" w:type="dxa"/>
          <w:bottom w:w="0" w:type="dxa"/>
          <w:right w:w="0" w:type="dxa"/>
        </w:tblCellMar>
        <w:tblLook w:val="01E0"/>
      </w:tblPr>
      <w:tblGrid>
        <w:gridCol w:w="4536"/>
        <w:gridCol w:w="4536"/>
      </w:tblGrid>
      <w:tr>
        <w:trPr>
          <w:trHeight w:val="283"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有确凿证据表明其可收回性存在明显差异</w:t>
            </w:r>
          </w:p>
        </w:tc>
      </w:tr>
      <w:tr>
        <w:trPr>
          <w:trHeight w:val="277" w:hRule="exact"/>
        </w:trPr>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单独进行减值测试，根据其未来现金流量现值低</w:t>
            </w:r>
          </w:p>
        </w:tc>
      </w:tr>
      <w:tr>
        <w:trPr>
          <w:trHeight w:val="272" w:hRule="exact"/>
        </w:trPr>
        <w:tc>
          <w:tcPr>
            <w:tcW w:w="453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于其账面价值的差额计提坏账准备；经单独测试</w:t>
            </w:r>
          </w:p>
        </w:tc>
      </w:tr>
      <w:tr>
        <w:trPr>
          <w:trHeight w:val="272" w:hRule="exact"/>
        </w:trPr>
        <w:tc>
          <w:tcPr>
            <w:tcW w:w="4536"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未发生减值的，包括在具有类似信用风险特征的</w:t>
            </w:r>
          </w:p>
        </w:tc>
      </w:tr>
      <w:tr>
        <w:trPr>
          <w:trHeight w:val="278" w:hRule="exact"/>
        </w:trPr>
        <w:tc>
          <w:tcPr>
            <w:tcW w:w="4536"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应收款项组合中计提坏账准备。</w:t>
            </w:r>
          </w:p>
        </w:tc>
      </w:tr>
    </w:tbl>
    <w:p>
      <w:pPr>
        <w:spacing w:after="0" w:line="242" w:lineRule="exact"/>
        <w:jc w:val="left"/>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07" w:val="left" w:leader="none"/>
        </w:tabs>
        <w:spacing w:before="0"/>
        <w:ind w:left="33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w:t>
        <w:tab/>
      </w:r>
      <w:r>
        <w:rPr>
          <w:rFonts w:ascii="宋体" w:hAnsi="宋体" w:cs="宋体" w:eastAsia="宋体" w:hint="default"/>
          <w:position w:val="-1"/>
          <w:sz w:val="21"/>
          <w:szCs w:val="21"/>
        </w:rPr>
        <w:t>存货</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spacing w:line="436" w:lineRule="auto" w:before="0"/>
        <w:ind w:left="808" w:right="132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存货的分类</w:t>
      </w:r>
      <w:r>
        <w:rPr>
          <w:rFonts w:ascii="宋体" w:hAnsi="宋体" w:cs="宋体" w:eastAsia="宋体" w:hint="default"/>
          <w:w w:val="100"/>
          <w:sz w:val="21"/>
          <w:szCs w:val="21"/>
        </w:rPr>
        <w:t> </w:t>
      </w:r>
      <w:r>
        <w:rPr>
          <w:rFonts w:ascii="宋体" w:hAnsi="宋体" w:cs="宋体" w:eastAsia="宋体" w:hint="default"/>
          <w:spacing w:val="-2"/>
          <w:sz w:val="21"/>
          <w:szCs w:val="21"/>
        </w:rPr>
        <w:t>存货包括原材料、在产品、产成品和周转材料等，按成本与可变现净值孰低列示。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发出存货的计价方法</w:t>
      </w:r>
    </w:p>
    <w:p>
      <w:pPr>
        <w:spacing w:before="32"/>
        <w:ind w:left="808" w:right="0" w:firstLine="0"/>
        <w:jc w:val="left"/>
        <w:rPr>
          <w:rFonts w:ascii="宋体" w:hAnsi="宋体" w:cs="宋体" w:eastAsia="宋体" w:hint="default"/>
          <w:sz w:val="21"/>
          <w:szCs w:val="21"/>
        </w:rPr>
      </w:pPr>
      <w:r>
        <w:rPr>
          <w:rFonts w:ascii="宋体" w:hAnsi="宋体" w:cs="宋体" w:eastAsia="宋体" w:hint="default"/>
          <w:spacing w:val="-3"/>
          <w:sz w:val="21"/>
          <w:szCs w:val="21"/>
        </w:rPr>
        <w:t>存货发出时的成本按加权平均法核算，产成品和在产品成本包括原材料、直接人工以及在正常生产</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能力下按照一定方法分配的制造费用。周转材料包括低值易耗品和包装物等。</w:t>
      </w:r>
    </w:p>
    <w:p>
      <w:pPr>
        <w:spacing w:line="240" w:lineRule="auto" w:before="3"/>
        <w:rPr>
          <w:rFonts w:ascii="宋体" w:hAnsi="宋体" w:cs="宋体" w:eastAsia="宋体" w:hint="default"/>
          <w:sz w:val="18"/>
          <w:szCs w:val="18"/>
        </w:rPr>
      </w:pPr>
    </w:p>
    <w:p>
      <w:pPr>
        <w:spacing w:before="0"/>
        <w:ind w:left="8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存货可变现净值的确定依据及存货跌价准备的计提方法</w:t>
      </w:r>
    </w:p>
    <w:p>
      <w:pPr>
        <w:spacing w:line="240" w:lineRule="auto" w:before="3"/>
        <w:rPr>
          <w:rFonts w:ascii="宋体" w:hAnsi="宋体" w:cs="宋体" w:eastAsia="宋体" w:hint="default"/>
          <w:sz w:val="17"/>
          <w:szCs w:val="17"/>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存货成本高于其可变现净值的，计提存货跌价准备，计入当期损益。可变现净值，是指在日常活</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动中，存货的估计售价减去至完工时估计将要发生的成本、估计的销售费用以及相关税费后的金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额。公司确定存货的可变现净值，以取得的确凿证据为基础，并且考虑持有存货的目的、资产负</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债表日后事项的影响等因素。</w:t>
      </w:r>
    </w:p>
    <w:p>
      <w:pPr>
        <w:spacing w:line="240" w:lineRule="auto" w:before="4"/>
        <w:rPr>
          <w:rFonts w:ascii="宋体" w:hAnsi="宋体" w:cs="宋体" w:eastAsia="宋体" w:hint="default"/>
          <w:sz w:val="18"/>
          <w:szCs w:val="18"/>
        </w:rPr>
      </w:pPr>
    </w:p>
    <w:p>
      <w:pPr>
        <w:spacing w:line="427" w:lineRule="auto" w:before="0"/>
        <w:ind w:left="808" w:right="424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存货的盘存制度</w:t>
      </w:r>
      <w:r>
        <w:rPr>
          <w:rFonts w:ascii="宋体" w:hAnsi="宋体" w:cs="宋体" w:eastAsia="宋体" w:hint="default"/>
          <w:w w:val="100"/>
          <w:sz w:val="21"/>
          <w:szCs w:val="21"/>
        </w:rPr>
        <w:t> </w:t>
      </w:r>
      <w:r>
        <w:rPr>
          <w:rFonts w:ascii="宋体" w:hAnsi="宋体" w:cs="宋体" w:eastAsia="宋体" w:hint="default"/>
          <w:spacing w:val="-2"/>
          <w:sz w:val="21"/>
          <w:szCs w:val="21"/>
        </w:rPr>
        <w:t>存货盘存制度采用永续盘存制。</w:t>
      </w:r>
    </w:p>
    <w:p>
      <w:pPr>
        <w:spacing w:line="436" w:lineRule="auto" w:before="75"/>
        <w:ind w:left="808" w:right="132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3.9.5</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低值易耗品和包装物的摊销方法</w:t>
      </w:r>
      <w:r>
        <w:rPr>
          <w:rFonts w:ascii="宋体" w:hAnsi="宋体" w:cs="宋体" w:eastAsia="宋体" w:hint="default"/>
          <w:w w:val="100"/>
          <w:sz w:val="21"/>
          <w:szCs w:val="21"/>
        </w:rPr>
        <w:t> </w:t>
      </w:r>
      <w:r>
        <w:rPr>
          <w:rFonts w:ascii="宋体" w:hAnsi="宋体" w:cs="宋体" w:eastAsia="宋体" w:hint="default"/>
          <w:spacing w:val="-2"/>
          <w:sz w:val="21"/>
          <w:szCs w:val="21"/>
        </w:rPr>
        <w:t>低值易耗品在领用时采用五五摊销法核算成本。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包装物在领用时采用一次转销法核算成本。</w:t>
      </w:r>
    </w:p>
    <w:p>
      <w:pPr>
        <w:spacing w:after="0" w:line="436" w:lineRule="auto"/>
        <w:jc w:val="left"/>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707" w:val="left" w:leader="none"/>
        </w:tabs>
        <w:spacing w:before="41"/>
        <w:ind w:left="0" w:right="6358"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224"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3.10</w:t>
        <w:tab/>
      </w:r>
      <w:r>
        <w:rPr>
          <w:rFonts w:ascii="宋体" w:hAnsi="宋体" w:cs="宋体" w:eastAsia="宋体" w:hint="default"/>
          <w:sz w:val="21"/>
          <w:szCs w:val="21"/>
        </w:rPr>
        <w:t>长期股权投资</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投资成本的确定</w:t>
      </w:r>
    </w:p>
    <w:p>
      <w:pPr>
        <w:spacing w:line="240" w:lineRule="auto" w:before="8"/>
        <w:rPr>
          <w:rFonts w:ascii="宋体" w:hAnsi="宋体" w:cs="宋体" w:eastAsia="宋体" w:hint="default"/>
          <w:sz w:val="17"/>
          <w:szCs w:val="17"/>
        </w:rPr>
      </w:pPr>
    </w:p>
    <w:p>
      <w:pPr>
        <w:spacing w:line="232" w:lineRule="auto" w:before="0"/>
        <w:ind w:left="808" w:right="0" w:firstLine="0"/>
        <w:jc w:val="left"/>
        <w:rPr>
          <w:rFonts w:ascii="宋体" w:hAnsi="宋体" w:cs="宋体" w:eastAsia="宋体" w:hint="default"/>
          <w:sz w:val="21"/>
          <w:szCs w:val="21"/>
        </w:rPr>
      </w:pPr>
      <w:r>
        <w:rPr>
          <w:rFonts w:ascii="宋体" w:hAnsi="宋体" w:cs="宋体" w:eastAsia="宋体" w:hint="default"/>
          <w:spacing w:val="-5"/>
          <w:sz w:val="21"/>
          <w:szCs w:val="21"/>
        </w:rPr>
        <w:t>企业合并形成的长期股权投资，按照本附注“</w:t>
      </w:r>
      <w:r>
        <w:rPr>
          <w:rFonts w:ascii="Times New Roman" w:hAnsi="Times New Roman" w:cs="Times New Roman" w:eastAsia="Times New Roman" w:hint="default"/>
          <w:spacing w:val="-5"/>
          <w:sz w:val="21"/>
          <w:szCs w:val="21"/>
        </w:rPr>
        <w:t>3.3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同一控制下和非同一控制下企业合并的会计处理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方法”的相关内容确认初始投资成本；除企业合并形成的长期股权投资以外，其他方式取得的长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期股权投资，按照下述方法确认其初始投资成本：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）以支付现金方式取得的长期股权投资，按照实际支付的购买价款作为初始投资成本。</w:t>
      </w:r>
    </w:p>
    <w:p>
      <w:pPr>
        <w:spacing w:line="265"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）以发行权益性证券取得的长期股权投资，按照发行权益性证券的公允价值作为初始投资成本。</w:t>
      </w:r>
    </w:p>
    <w:p>
      <w:pPr>
        <w:spacing w:line="232" w:lineRule="auto" w:before="0"/>
        <w:ind w:left="808"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）投资者投入的长期股权投资，按照投资合同或协议约定的价值作为初始投资成本，但合同或协</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议约定价值不公允的除外。</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）在非货币性资产交换具备商业实质和换入资产或换出资产的公允价值能够可靠计量的前提下，</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非货币性资产交换换入的长期股权投资以换出资产的公允价值为基础确定其初始投资成本，除非</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有确凿证据表明换入资产的公允价值更加可靠；不满足上述前提的非货币性资产交换，以换出资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产的账面价值和应支付的相关税费作为换入长期股权投资的初始投资成本。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）通过债务重组取得的长期股权投资，其初始投资成本按照公允价值为基础确定。</w:t>
      </w:r>
    </w:p>
    <w:p>
      <w:pPr>
        <w:spacing w:line="240" w:lineRule="auto" w:before="2"/>
        <w:rPr>
          <w:rFonts w:ascii="宋体" w:hAnsi="宋体" w:cs="宋体" w:eastAsia="宋体" w:hint="default"/>
          <w:sz w:val="17"/>
          <w:szCs w:val="17"/>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后续计量及损益确认方法</w:t>
      </w:r>
    </w:p>
    <w:p>
      <w:pPr>
        <w:spacing w:line="240" w:lineRule="auto" w:before="3"/>
        <w:rPr>
          <w:rFonts w:ascii="宋体" w:hAnsi="宋体" w:cs="宋体" w:eastAsia="宋体" w:hint="default"/>
          <w:sz w:val="17"/>
          <w:szCs w:val="17"/>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公司对子公司的长期股权投资，采用成本法核算，编制合并财务报表时按照权益法进行调整。对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被投资单位不具有共同控制或重大影响，并且在活跃市场中没有报价、公允价值不能可靠计量的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长期股权投资，采用成本法核算。对被投资单位具有共同控制或重大影响的长期股权投资，采用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权益法核算。</w:t>
      </w:r>
    </w:p>
    <w:p>
      <w:pPr>
        <w:spacing w:line="240" w:lineRule="auto" w:before="6"/>
        <w:rPr>
          <w:rFonts w:ascii="宋体" w:hAnsi="宋体" w:cs="宋体" w:eastAsia="宋体" w:hint="default"/>
          <w:sz w:val="18"/>
          <w:szCs w:val="18"/>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采用成本法核算的长期股权投资，除取得投资时实际支付的价款或对价中包含的已宣告但尚未发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放的现金股利或利润外，投资企业应当按照享有被投资单位宣告发放的现金股利或利润确认投资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收益。采用权益法核算的长期股权投资，初始投资成本大于投资时应享有被投资单位可辨认净资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产公允价值份额的，其差额包含在初始投资成本中；初始投资成本小于投资时应享有被投资单位</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可辨认净资产公允价值份额且经复核两者差额仍存在时，该差额计入当期损益，同时调整长期股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权投资成本。</w:t>
      </w:r>
    </w:p>
    <w:p>
      <w:pPr>
        <w:spacing w:line="240" w:lineRule="auto" w:before="6"/>
        <w:rPr>
          <w:rFonts w:ascii="宋体" w:hAnsi="宋体" w:cs="宋体" w:eastAsia="宋体" w:hint="default"/>
          <w:sz w:val="18"/>
          <w:szCs w:val="18"/>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采用权益法核算时，按应享有或应分担的被投资单位的净损益份额确认当期投资损益。确认被投</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资单位发生的净亏损，以长期股权投资的账面价值以及其他实质上构成对被投资单位净投资的长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期权益减记至零为限，但本公司负有承担额外损失义务且符合或有事项准则所规定的预计负债确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认条件的，继续确认投资损失和预计负债。被投资单位除净损益以外股东权益的其他变动，本公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司按照持股比例计算应享有或承担的部分直接计入资本公积。被投资单位分派的利润或现金股利</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于宣告分派时按照本公司应分得的部分，相应减少长期股权投资的账面价值。本公司与被投资单</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位之间的交易产生的未实现损益在本公司拥有被投资单位的权益范围内予以抵销，惟该交易所转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让的资产发生减值的，则相应的未实现损益不予抵销。</w:t>
      </w:r>
    </w:p>
    <w:p>
      <w:pPr>
        <w:spacing w:after="0" w:line="237" w:lineRule="auto"/>
        <w:jc w:val="both"/>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确定对被投资单位具有共同控制、重大影响的依据</w:t>
      </w:r>
    </w:p>
    <w:p>
      <w:pPr>
        <w:spacing w:line="240" w:lineRule="auto" w:before="3"/>
        <w:rPr>
          <w:rFonts w:ascii="宋体" w:hAnsi="宋体" w:cs="宋体" w:eastAsia="宋体" w:hint="default"/>
          <w:sz w:val="17"/>
          <w:szCs w:val="17"/>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按照合同约定对某项经济活动所共有的控制，仅在与该项经济活动相关的重要财务和经营决策需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要分享控制权的投资方一致同意时存在，则视为与其他方对被投资单位实施共同控制；对一个企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业的财务和经营决策有参与决策的权力，但并不能够控制或者与其他方一起共同控制这些政策的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制定，则视为对被投资单位施加重大影响。</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3.10.4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减值测试方法及减值准备计提方法</w:t>
      </w:r>
    </w:p>
    <w:p>
      <w:pPr>
        <w:spacing w:line="240" w:lineRule="auto" w:before="5"/>
        <w:rPr>
          <w:rFonts w:ascii="宋体" w:hAnsi="宋体" w:cs="宋体" w:eastAsia="宋体" w:hint="default"/>
          <w:sz w:val="17"/>
          <w:szCs w:val="17"/>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采用成本法核算的、在活跃市场中没有报价、公允价值不能可靠计量的长期股权投资，其账面价</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值高于按照类似投资当时市场收益率对未来现金流量折现确定的现值，确认该项投资存在减值。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采用权益法核算的联营企业和合营企业以及采用成本法核算的子公司的长期股权投资，当长期股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权投资的账面价值高于可收回金额时，确认该项投资存在减值。长期股权投资存在减值迹象的，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其账面价值减记至可收回金额。可收回金额根据长期股权投资的公允价值减去处置费用后的净额</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与长期股权投资预计未来现金流量的现值两者之间较高者确定。</w:t>
      </w:r>
    </w:p>
    <w:p>
      <w:pPr>
        <w:spacing w:line="240" w:lineRule="auto" w:before="4"/>
        <w:rPr>
          <w:rFonts w:ascii="宋体" w:hAnsi="宋体" w:cs="宋体" w:eastAsia="宋体" w:hint="default"/>
          <w:sz w:val="18"/>
          <w:szCs w:val="18"/>
        </w:rPr>
      </w:pPr>
    </w:p>
    <w:p>
      <w:pPr>
        <w:tabs>
          <w:tab w:pos="807" w:val="left" w:leader="none"/>
        </w:tabs>
        <w:spacing w:before="0"/>
        <w:ind w:left="231" w:right="0" w:firstLine="0"/>
        <w:jc w:val="left"/>
        <w:rPr>
          <w:rFonts w:ascii="宋体" w:hAnsi="宋体" w:cs="宋体" w:eastAsia="宋体" w:hint="default"/>
          <w:sz w:val="21"/>
          <w:szCs w:val="21"/>
        </w:rPr>
      </w:pPr>
      <w:r>
        <w:rPr>
          <w:rFonts w:ascii="Times New Roman" w:hAnsi="Times New Roman" w:cs="Times New Roman" w:eastAsia="Times New Roman" w:hint="default"/>
          <w:spacing w:val="-2"/>
          <w:position w:val="2"/>
          <w:sz w:val="21"/>
          <w:szCs w:val="21"/>
        </w:rPr>
        <w:t>3.11</w:t>
        <w:tab/>
      </w:r>
      <w:r>
        <w:rPr>
          <w:rFonts w:ascii="宋体" w:hAnsi="宋体" w:cs="宋体" w:eastAsia="宋体" w:hint="default"/>
          <w:spacing w:val="-1"/>
          <w:sz w:val="21"/>
          <w:szCs w:val="21"/>
        </w:rPr>
        <w:t>投资性房地产</w:t>
      </w:r>
    </w:p>
    <w:p>
      <w:pPr>
        <w:spacing w:line="240" w:lineRule="auto" w:before="6"/>
        <w:rPr>
          <w:rFonts w:ascii="宋体" w:hAnsi="宋体" w:cs="宋体" w:eastAsia="宋体" w:hint="default"/>
          <w:sz w:val="18"/>
          <w:szCs w:val="18"/>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投资性房地产包括已出租持有并准备增值后转让的土地使用权以及已出租的建筑物，以实际成本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进行初始计量。与投资性房地产有关的后续支出，在相关的经济利益很可能流入本公司且其成本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能够可靠的计量时，计入投资性房地产成本；否则，在发生时计入当期损益。</w:t>
      </w:r>
    </w:p>
    <w:p>
      <w:pPr>
        <w:spacing w:line="240" w:lineRule="auto" w:before="0"/>
        <w:rPr>
          <w:rFonts w:ascii="宋体" w:hAnsi="宋体" w:cs="宋体" w:eastAsia="宋体" w:hint="default"/>
          <w:sz w:val="19"/>
          <w:szCs w:val="19"/>
        </w:rPr>
      </w:pPr>
    </w:p>
    <w:p>
      <w:pPr>
        <w:spacing w:line="230"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本公司采用成本模式对所有投资性房地产进行后续计量，按其预计使用寿命及净残值率对建筑物</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和土地使用权计提折旧或摊销。投资性房地产的预计使用寿命、净残值率及年折旧</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摊销</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率列示如</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下：</w:t>
      </w:r>
    </w:p>
    <w:p>
      <w:pPr>
        <w:spacing w:line="240" w:lineRule="auto" w:before="13"/>
        <w:rPr>
          <w:rFonts w:ascii="宋体" w:hAnsi="宋体" w:cs="宋体" w:eastAsia="宋体" w:hint="default"/>
          <w:sz w:val="20"/>
          <w:szCs w:val="20"/>
        </w:rPr>
      </w:pPr>
    </w:p>
    <w:tbl>
      <w:tblPr>
        <w:tblW w:w="0" w:type="auto"/>
        <w:jc w:val="left"/>
        <w:tblInd w:w="695" w:type="dxa"/>
        <w:tblLayout w:type="fixed"/>
        <w:tblCellMar>
          <w:top w:w="0" w:type="dxa"/>
          <w:left w:w="0" w:type="dxa"/>
          <w:bottom w:w="0" w:type="dxa"/>
          <w:right w:w="0" w:type="dxa"/>
        </w:tblCellMar>
        <w:tblLook w:val="01E0"/>
      </w:tblPr>
      <w:tblGrid>
        <w:gridCol w:w="2134"/>
        <w:gridCol w:w="1994"/>
        <w:gridCol w:w="2393"/>
        <w:gridCol w:w="2551"/>
      </w:tblGrid>
      <w:tr>
        <w:trPr>
          <w:trHeight w:val="28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预计使用寿命（年）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hAnsi="宋体" w:cs="宋体" w:eastAsia="宋体" w:hint="default"/>
                <w:spacing w:val="-2"/>
                <w:sz w:val="21"/>
                <w:szCs w:val="21"/>
              </w:rPr>
              <w:t>预计净残值率（</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年折旧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28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1.9%</w:t>
            </w:r>
          </w:p>
        </w:tc>
      </w:tr>
    </w:tbl>
    <w:p>
      <w:pPr>
        <w:spacing w:line="240" w:lineRule="auto" w:before="13"/>
        <w:rPr>
          <w:rFonts w:ascii="宋体" w:hAnsi="宋体" w:cs="宋体" w:eastAsia="宋体" w:hint="default"/>
          <w:sz w:val="12"/>
          <w:szCs w:val="12"/>
        </w:rPr>
      </w:pPr>
    </w:p>
    <w:p>
      <w:pPr>
        <w:spacing w:line="237" w:lineRule="auto" w:before="38"/>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投资性房地产的用途改变为自用时，自改变之日起，将该投资性房地产转换为固定资产或无形资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产。自用房地产的用途改变为赚取租金或资本增值时，自改变之日起，将固定资产或无形资产转</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换为投资性房地产。发生转换时，以转换前的账面价值作为转换后的入账价值。</w:t>
      </w:r>
    </w:p>
    <w:p>
      <w:pPr>
        <w:spacing w:line="240" w:lineRule="auto" w:before="3"/>
        <w:rPr>
          <w:rFonts w:ascii="宋体" w:hAnsi="宋体" w:cs="宋体" w:eastAsia="宋体" w:hint="default"/>
          <w:sz w:val="20"/>
          <w:szCs w:val="20"/>
        </w:rPr>
      </w:pPr>
    </w:p>
    <w:p>
      <w:pPr>
        <w:spacing w:line="274" w:lineRule="exact" w:before="0"/>
        <w:ind w:left="808" w:right="269" w:firstLine="0"/>
        <w:jc w:val="both"/>
        <w:rPr>
          <w:rFonts w:ascii="宋体" w:hAnsi="宋体" w:cs="宋体" w:eastAsia="宋体" w:hint="default"/>
          <w:sz w:val="21"/>
          <w:szCs w:val="21"/>
        </w:rPr>
      </w:pPr>
      <w:r>
        <w:rPr>
          <w:rFonts w:ascii="宋体" w:hAnsi="宋体" w:cs="宋体" w:eastAsia="宋体" w:hint="default"/>
          <w:spacing w:val="-4"/>
          <w:w w:val="100"/>
          <w:sz w:val="21"/>
          <w:szCs w:val="21"/>
        </w:rPr>
        <w:t>对投资性房地产的预计使用寿命、预计净残值和折旧</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摊销</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方法于每年年度终了进行复核并作适当</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调整。</w:t>
      </w:r>
    </w:p>
    <w:p>
      <w:pPr>
        <w:spacing w:line="240" w:lineRule="auto" w:before="7"/>
        <w:rPr>
          <w:rFonts w:ascii="宋体" w:hAnsi="宋体" w:cs="宋体" w:eastAsia="宋体" w:hint="default"/>
          <w:sz w:val="16"/>
          <w:szCs w:val="16"/>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当投资性房地产被处置、或者永久退出使用且预计不能从其处置中取得经济利益时，终止确认该</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项投资性房地产。投资性房地产出售、转让、报废或毁损的处置收入扣除其账面价值和相关税费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后的金额计入当期损益。</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当投资性房地产的可收回金额低于其账面价值时，账面价值减记至可收回金额。</w:t>
      </w:r>
    </w:p>
    <w:p>
      <w:pPr>
        <w:spacing w:after="0"/>
        <w:jc w:val="both"/>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07" w:val="left" w:leader="none"/>
        </w:tabs>
        <w:spacing w:before="0"/>
        <w:ind w:left="10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3.12</w:t>
        <w:tab/>
      </w:r>
      <w:r>
        <w:rPr>
          <w:rFonts w:ascii="宋体" w:hAnsi="宋体" w:cs="宋体" w:eastAsia="宋体" w:hint="default"/>
          <w:position w:val="-1"/>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固定资产确认条件</w:t>
      </w:r>
    </w:p>
    <w:p>
      <w:pPr>
        <w:spacing w:line="240" w:lineRule="auto" w:before="0"/>
        <w:rPr>
          <w:rFonts w:ascii="宋体" w:hAnsi="宋体" w:cs="宋体" w:eastAsia="宋体" w:hint="default"/>
          <w:sz w:val="17"/>
          <w:szCs w:val="17"/>
        </w:rPr>
      </w:pPr>
    </w:p>
    <w:p>
      <w:pPr>
        <w:spacing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固定资产是指为生产商品、提供劳务、出租或经营管理而持有的，使用寿命超过一个会计年度的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有形资产。固定资产同时满足下列条件的，才能予以确认：</w:t>
      </w:r>
    </w:p>
    <w:p>
      <w:pPr>
        <w:spacing w:line="277"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与该固定资产有关的经济利益很可能流入企业；</w:t>
      </w:r>
    </w:p>
    <w:p>
      <w:pPr>
        <w:spacing w:line="281"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该固定资产的成本能够可靠地计量。</w:t>
      </w:r>
    </w:p>
    <w:p>
      <w:pPr>
        <w:spacing w:line="240" w:lineRule="auto" w:before="3"/>
        <w:rPr>
          <w:rFonts w:ascii="宋体" w:hAnsi="宋体" w:cs="宋体" w:eastAsia="宋体" w:hint="default"/>
          <w:sz w:val="17"/>
          <w:szCs w:val="17"/>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固定资产初始计量和后续计量</w:t>
      </w:r>
    </w:p>
    <w:p>
      <w:pPr>
        <w:spacing w:line="240" w:lineRule="auto" w:before="3"/>
        <w:rPr>
          <w:rFonts w:ascii="宋体" w:hAnsi="宋体" w:cs="宋体" w:eastAsia="宋体" w:hint="default"/>
          <w:sz w:val="17"/>
          <w:szCs w:val="17"/>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购置或新建的固定资产按取得时的实际成本进行初始计量。本公司在进行公司制改建时，国有股</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股东投入的固定资产，按国有资产管理部门确认的评估值作为入账价值。与固定资产有关的后续</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支出，在相关的经济利益很可能流入本公司且其成本能够可靠的计量时，计入固定资产成本；对</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于被替换的部分，终止确认其账面价值；所有其他后续支出于发生时计入当期损益。当固定资产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被处置、或者预期通过使用或处置不能产生经济利益时，终止确认该固定资产。固定资产出售、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转让、报废或毁损的处置收入扣除其账面价值和相关税费后的金额计入当期损益。</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各类固定资产的折旧方法</w:t>
      </w:r>
    </w:p>
    <w:tbl>
      <w:tblPr>
        <w:tblW w:w="0" w:type="auto"/>
        <w:jc w:val="left"/>
        <w:tblInd w:w="695" w:type="dxa"/>
        <w:tblLayout w:type="fixed"/>
        <w:tblCellMar>
          <w:top w:w="0" w:type="dxa"/>
          <w:left w:w="0" w:type="dxa"/>
          <w:bottom w:w="0" w:type="dxa"/>
          <w:right w:w="0" w:type="dxa"/>
        </w:tblCellMar>
        <w:tblLook w:val="01E0"/>
      </w:tblPr>
      <w:tblGrid>
        <w:gridCol w:w="3684"/>
        <w:gridCol w:w="1824"/>
        <w:gridCol w:w="1757"/>
        <w:gridCol w:w="1807"/>
      </w:tblGrid>
      <w:tr>
        <w:trPr>
          <w:trHeight w:val="281"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折旧年限（年）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残值率（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年折旧率（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321"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1.9%</w:t>
            </w:r>
          </w:p>
        </w:tc>
      </w:tr>
      <w:tr>
        <w:trPr>
          <w:trHeight w:val="324"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p>
        </w:tc>
      </w:tr>
      <w:tr>
        <w:trPr>
          <w:trHeight w:val="322" w:hRule="exact"/>
        </w:trPr>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办公设备及电子设备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27"/>
              <w:jc w:val="righ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33.33%</w:t>
            </w:r>
          </w:p>
        </w:tc>
      </w:tr>
    </w:tbl>
    <w:p>
      <w:pPr>
        <w:spacing w:line="240" w:lineRule="auto" w:before="6"/>
        <w:rPr>
          <w:rFonts w:ascii="宋体" w:hAnsi="宋体" w:cs="宋体" w:eastAsia="宋体" w:hint="default"/>
          <w:sz w:val="14"/>
          <w:szCs w:val="14"/>
        </w:rPr>
      </w:pPr>
    </w:p>
    <w:p>
      <w:pPr>
        <w:spacing w:before="36"/>
        <w:ind w:left="808" w:right="0" w:firstLine="0"/>
        <w:jc w:val="both"/>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w:t>
      </w:r>
    </w:p>
    <w:p>
      <w:pPr>
        <w:spacing w:line="240" w:lineRule="auto" w:before="3"/>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3.12.4</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固定资产的减值测试方法、减值准备计提方法</w:t>
      </w:r>
    </w:p>
    <w:p>
      <w:pPr>
        <w:spacing w:line="240" w:lineRule="auto" w:before="3"/>
        <w:rPr>
          <w:rFonts w:ascii="宋体" w:hAnsi="宋体" w:cs="宋体" w:eastAsia="宋体" w:hint="default"/>
          <w:sz w:val="17"/>
          <w:szCs w:val="17"/>
        </w:rPr>
      </w:pPr>
    </w:p>
    <w:p>
      <w:pPr>
        <w:spacing w:line="237"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当固定资产的公允价值减去处置费用后的净额和资产预计未来现金流量的现值均低于固定资产账</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面价值时，确认固定资产存在减值迹象。固定资产存在减值迹象的，其账面价值减记至可收回金</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额。可收回金额根据固定资产的公允价值减去处置费用后的净额与固定资产预计未来现金流量的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现值两者之间较高者确定。</w:t>
      </w:r>
    </w:p>
    <w:p>
      <w:pPr>
        <w:spacing w:line="240" w:lineRule="auto" w:before="4"/>
        <w:rPr>
          <w:rFonts w:ascii="宋体" w:hAnsi="宋体" w:cs="宋体" w:eastAsia="宋体" w:hint="default"/>
          <w:sz w:val="18"/>
          <w:szCs w:val="18"/>
        </w:rPr>
      </w:pPr>
    </w:p>
    <w:p>
      <w:pPr>
        <w:spacing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符合持有待售条件的固定资产，以账面价值与公允价值减去处置费用孰低的金额列示。公允价值</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减去处置费用低于原账面价值的金额，确认为资产减值损失。</w:t>
      </w:r>
    </w:p>
    <w:p>
      <w:pPr>
        <w:spacing w:after="0"/>
        <w:jc w:val="both"/>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07" w:val="left" w:leader="none"/>
        </w:tabs>
        <w:spacing w:before="0"/>
        <w:ind w:left="10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3.13</w:t>
        <w:tab/>
      </w:r>
      <w:r>
        <w:rPr>
          <w:rFonts w:ascii="宋体" w:hAnsi="宋体" w:cs="宋体" w:eastAsia="宋体" w:hint="default"/>
          <w:position w:val="-1"/>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sz w:val="18"/>
          <w:szCs w:val="18"/>
        </w:rPr>
      </w:pPr>
    </w:p>
    <w:p>
      <w:pPr>
        <w:spacing w:line="237" w:lineRule="auto" w:before="0"/>
        <w:ind w:left="808" w:right="209" w:firstLine="0"/>
        <w:jc w:val="both"/>
        <w:rPr>
          <w:rFonts w:ascii="宋体" w:hAnsi="宋体" w:cs="宋体" w:eastAsia="宋体" w:hint="default"/>
          <w:sz w:val="21"/>
          <w:szCs w:val="21"/>
        </w:rPr>
      </w:pPr>
      <w:r>
        <w:rPr>
          <w:rFonts w:ascii="宋体" w:hAnsi="宋体" w:cs="宋体" w:eastAsia="宋体" w:hint="default"/>
          <w:sz w:val="21"/>
          <w:szCs w:val="21"/>
        </w:rPr>
        <w:t>在建工程按实际发生的成本计量。实际成本包括建筑费用、其他为使在建工程达到预定可使用状态</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所发生的必要支出以及在资产达到预定可使用状态之前所发生的符合资本化条件的借款费用。在建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工程在达到预定可使用状态时，转入固定资产并自次月起开始计提折旧。</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当在建工程的可收回金额低于其账面价值时，账面价值减记至可收回金额。</w:t>
      </w:r>
    </w:p>
    <w:p>
      <w:pPr>
        <w:spacing w:line="240" w:lineRule="auto" w:before="2"/>
        <w:rPr>
          <w:rFonts w:ascii="宋体" w:hAnsi="宋体" w:cs="宋体" w:eastAsia="宋体" w:hint="default"/>
          <w:sz w:val="18"/>
          <w:szCs w:val="18"/>
        </w:rPr>
      </w:pPr>
    </w:p>
    <w:p>
      <w:pPr>
        <w:tabs>
          <w:tab w:pos="807" w:val="left" w:leader="none"/>
        </w:tabs>
        <w:spacing w:before="0"/>
        <w:ind w:left="10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3.14</w:t>
        <w:tab/>
      </w:r>
      <w:r>
        <w:rPr>
          <w:rFonts w:ascii="宋体" w:hAnsi="宋体" w:cs="宋体" w:eastAsia="宋体" w:hint="default"/>
          <w:position w:val="-1"/>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sz w:val="18"/>
          <w:szCs w:val="18"/>
        </w:rPr>
      </w:pPr>
    </w:p>
    <w:p>
      <w:pPr>
        <w:spacing w:line="235" w:lineRule="auto" w:before="0"/>
        <w:ind w:left="808" w:right="0" w:firstLine="0"/>
        <w:jc w:val="left"/>
        <w:rPr>
          <w:rFonts w:ascii="宋体" w:hAnsi="宋体" w:cs="宋体" w:eastAsia="宋体" w:hint="default"/>
          <w:sz w:val="21"/>
          <w:szCs w:val="21"/>
        </w:rPr>
      </w:pPr>
      <w:r>
        <w:rPr>
          <w:rFonts w:ascii="宋体" w:hAnsi="宋体" w:cs="宋体" w:eastAsia="宋体" w:hint="default"/>
          <w:sz w:val="21"/>
          <w:szCs w:val="21"/>
        </w:rPr>
        <w:t>发生的可直接归属于需要经过相当长时间的购建活动才能达到预定可使用状态之固定资产的购建的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借款费用，在资产支出及借款费用已经发生、为使资产达到预定可使用状态所必要的购建活动已经</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开始时，开始资本化并计入该资产的成本。当购建的资产达到预定可使用状态时停止资本化，其后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发生的借款费用计入当期损益。如果资产的购建活动发生非正常中断，并且中断时间连续超过</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个月，</w:t>
      </w:r>
      <w:r>
        <w:rPr>
          <w:rFonts w:ascii="宋体" w:hAnsi="宋体" w:cs="宋体" w:eastAsia="宋体" w:hint="default"/>
          <w:spacing w:val="-35"/>
          <w:sz w:val="21"/>
          <w:szCs w:val="21"/>
        </w:rPr>
        <w:t> </w:t>
      </w:r>
      <w:r>
        <w:rPr>
          <w:rFonts w:ascii="宋体" w:hAnsi="宋体" w:cs="宋体" w:eastAsia="宋体" w:hint="default"/>
          <w:sz w:val="21"/>
          <w:szCs w:val="21"/>
        </w:rPr>
        <w:t>暂停借款费用的资本化，直至资产的购建活动重新开始。</w:t>
      </w:r>
    </w:p>
    <w:p>
      <w:pPr>
        <w:spacing w:line="240" w:lineRule="auto" w:before="9"/>
        <w:rPr>
          <w:rFonts w:ascii="宋体" w:hAnsi="宋体" w:cs="宋体" w:eastAsia="宋体" w:hint="default"/>
          <w:sz w:val="18"/>
          <w:szCs w:val="18"/>
        </w:rPr>
      </w:pPr>
    </w:p>
    <w:p>
      <w:pPr>
        <w:spacing w:line="235" w:lineRule="auto" w:before="0"/>
        <w:ind w:left="808" w:right="204" w:firstLine="0"/>
        <w:jc w:val="both"/>
        <w:rPr>
          <w:rFonts w:ascii="宋体" w:hAnsi="宋体" w:cs="宋体" w:eastAsia="宋体" w:hint="default"/>
          <w:sz w:val="21"/>
          <w:szCs w:val="21"/>
        </w:rPr>
      </w:pPr>
      <w:r>
        <w:rPr>
          <w:rFonts w:ascii="宋体" w:hAnsi="宋体" w:cs="宋体" w:eastAsia="宋体" w:hint="default"/>
          <w:spacing w:val="-3"/>
          <w:sz w:val="21"/>
          <w:szCs w:val="21"/>
        </w:rPr>
        <w:t>在资本化期间内，专门借款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指为购建或者生产符合资本化条件的资产而专门借入的款项</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以专门借款</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当期实际发生的利息费用，减去将尚未动用的借款资金存入银行取得的利息收入或进行暂时性投资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取得的投资收益后确定应予资本化的利息金额；一般借款则根据累计资产支出超过专门借款部分的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资产支出加权平均数乘以所占用一般借款的资本化率，计算确定一般借款应予资本化的利息金额。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资本化率根据一般借款加权平均利率计算确定。</w:t>
      </w:r>
    </w:p>
    <w:p>
      <w:pPr>
        <w:spacing w:line="240" w:lineRule="auto" w:before="4"/>
        <w:rPr>
          <w:rFonts w:ascii="宋体" w:hAnsi="宋体" w:cs="宋体" w:eastAsia="宋体" w:hint="default"/>
          <w:sz w:val="18"/>
          <w:szCs w:val="18"/>
        </w:rPr>
      </w:pPr>
    </w:p>
    <w:p>
      <w:pPr>
        <w:spacing w:before="0"/>
        <w:ind w:left="808" w:right="209" w:firstLine="0"/>
        <w:jc w:val="both"/>
        <w:rPr>
          <w:rFonts w:ascii="宋体" w:hAnsi="宋体" w:cs="宋体" w:eastAsia="宋体" w:hint="default"/>
          <w:sz w:val="21"/>
          <w:szCs w:val="21"/>
        </w:rPr>
      </w:pPr>
      <w:r>
        <w:rPr>
          <w:rFonts w:ascii="宋体" w:hAnsi="宋体" w:cs="宋体" w:eastAsia="宋体" w:hint="default"/>
          <w:sz w:val="21"/>
          <w:szCs w:val="21"/>
        </w:rPr>
        <w:t>借款存在折价或者溢价的，按照实际利率法确定每一会计期间应摊销的折价或者溢价金额，调整每</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期利息金额。</w:t>
      </w:r>
    </w:p>
    <w:p>
      <w:pPr>
        <w:spacing w:line="240" w:lineRule="auto" w:before="2"/>
        <w:rPr>
          <w:rFonts w:ascii="宋体" w:hAnsi="宋体" w:cs="宋体" w:eastAsia="宋体" w:hint="default"/>
          <w:sz w:val="18"/>
          <w:szCs w:val="18"/>
        </w:rPr>
      </w:pPr>
    </w:p>
    <w:p>
      <w:pPr>
        <w:tabs>
          <w:tab w:pos="807" w:val="left" w:leader="none"/>
        </w:tabs>
        <w:spacing w:line="448" w:lineRule="auto" w:before="0"/>
        <w:ind w:left="808" w:right="1954" w:hanging="708"/>
        <w:jc w:val="left"/>
        <w:rPr>
          <w:rFonts w:ascii="宋体" w:hAnsi="宋体" w:cs="宋体" w:eastAsia="宋体" w:hint="default"/>
          <w:sz w:val="21"/>
          <w:szCs w:val="21"/>
        </w:rPr>
      </w:pPr>
      <w:r>
        <w:rPr>
          <w:rFonts w:ascii="Times New Roman" w:hAnsi="Times New Roman" w:cs="Times New Roman" w:eastAsia="Times New Roman" w:hint="default"/>
          <w:sz w:val="21"/>
          <w:szCs w:val="21"/>
        </w:rPr>
        <w:t>3.15</w:t>
        <w:tab/>
      </w:r>
      <w:r>
        <w:rPr>
          <w:rFonts w:ascii="宋体" w:hAnsi="宋体" w:cs="宋体" w:eastAsia="宋体" w:hint="default"/>
          <w:position w:val="-1"/>
          <w:sz w:val="21"/>
          <w:szCs w:val="21"/>
        </w:rPr>
        <w:t>无形资产</w:t>
      </w:r>
      <w:r>
        <w:rPr>
          <w:rFonts w:ascii="宋体" w:hAnsi="宋体" w:cs="宋体" w:eastAsia="宋体" w:hint="default"/>
          <w:w w:val="100"/>
          <w:position w:val="-1"/>
          <w:sz w:val="21"/>
          <w:szCs w:val="21"/>
        </w:rPr>
        <w:t> </w:t>
      </w:r>
      <w:r>
        <w:rPr>
          <w:rFonts w:ascii="宋体" w:hAnsi="宋体" w:cs="宋体" w:eastAsia="宋体" w:hint="default"/>
          <w:sz w:val="21"/>
          <w:szCs w:val="21"/>
        </w:rPr>
        <w:t>无形资产包括高尔夫权证、外购软件、专利权等。无形资产以实际成本计量。</w:t>
      </w:r>
      <w:r>
        <w:rPr>
          <w:rFonts w:ascii="宋体" w:hAnsi="宋体" w:cs="宋体" w:eastAsia="宋体" w:hint="default"/>
          <w:w w:val="100"/>
          <w:sz w:val="21"/>
          <w:szCs w:val="21"/>
        </w:rPr>
        <w:t> </w:t>
      </w:r>
      <w:r>
        <w:rPr>
          <w:rFonts w:ascii="宋体" w:hAnsi="宋体" w:cs="宋体" w:eastAsia="宋体" w:hint="default"/>
          <w:sz w:val="21"/>
          <w:szCs w:val="21"/>
        </w:rPr>
        <w:t>外购软件和专利权按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年平均摊销，高尔夫权证为使用寿命不确定的无形资产。</w:t>
      </w:r>
    </w:p>
    <w:p>
      <w:pPr>
        <w:spacing w:line="237" w:lineRule="auto" w:before="23"/>
        <w:ind w:left="808" w:right="209" w:firstLine="0"/>
        <w:jc w:val="both"/>
        <w:rPr>
          <w:rFonts w:ascii="宋体" w:hAnsi="宋体" w:cs="宋体" w:eastAsia="宋体" w:hint="default"/>
          <w:sz w:val="21"/>
          <w:szCs w:val="21"/>
        </w:rPr>
      </w:pPr>
      <w:r>
        <w:rPr>
          <w:rFonts w:ascii="宋体" w:hAnsi="宋体" w:cs="宋体" w:eastAsia="宋体" w:hint="default"/>
          <w:sz w:val="21"/>
          <w:szCs w:val="21"/>
        </w:rPr>
        <w:t>当无形资产的公允价值减去处置费用后的净额和资产预计未来现金流量的现值均低于无形资产账面</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价值时，确认无形资产存在减值迹象。无形资产存在减值迹象的，其账面价值减记至可收回金额。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可收回金额根据无形资产的公允价值减去处置费用后的净额与无形资产预计未来现金流量的现值两</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者之间较高者确定。</w:t>
      </w:r>
    </w:p>
    <w:p>
      <w:pPr>
        <w:spacing w:line="240" w:lineRule="auto" w:before="8"/>
        <w:rPr>
          <w:rFonts w:ascii="宋体" w:hAnsi="宋体" w:cs="宋体" w:eastAsia="宋体" w:hint="default"/>
          <w:sz w:val="18"/>
          <w:szCs w:val="18"/>
        </w:rPr>
      </w:pPr>
    </w:p>
    <w:p>
      <w:pPr>
        <w:spacing w:line="237" w:lineRule="auto" w:before="0"/>
        <w:ind w:left="808" w:right="209" w:firstLine="0"/>
        <w:jc w:val="both"/>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对使用寿命有限的无形资产的预计使用寿命及摊销方法于每年年度终了进行复核并作适当调整。使</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用寿命不确定的无形资产，说明使用寿命不确定的判断依据；对使用寿命不确定的无形资产，还应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说明每一个会计期间对该无形资产使用寿命进行复核的程序，以及针对该项无形资产的减值测试结</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果</w:t>
      </w:r>
    </w:p>
    <w:p>
      <w:pPr>
        <w:spacing w:after="0" w:line="237" w:lineRule="auto"/>
        <w:jc w:val="both"/>
        <w:rPr>
          <w:rFonts w:ascii="宋体" w:hAnsi="宋体" w:cs="宋体" w:eastAsia="宋体" w:hint="default"/>
          <w:sz w:val="21"/>
          <w:szCs w:val="21"/>
        </w:rPr>
        <w:sectPr>
          <w:footerReference w:type="default" r:id="rId29"/>
          <w:pgSz w:w="11900" w:h="16840"/>
          <w:pgMar w:footer="983" w:header="886" w:top="1800" w:bottom="1180" w:left="1100" w:right="680"/>
          <w:pgNumType w:start="90"/>
        </w:sectPr>
      </w:pPr>
    </w:p>
    <w:p>
      <w:pPr>
        <w:spacing w:line="240" w:lineRule="auto" w:before="1"/>
        <w:rPr>
          <w:rFonts w:ascii="宋体" w:hAnsi="宋体" w:cs="宋体" w:eastAsia="宋体" w:hint="default"/>
          <w:sz w:val="18"/>
          <w:szCs w:val="18"/>
        </w:rPr>
      </w:pPr>
    </w:p>
    <w:p>
      <w:pPr>
        <w:tabs>
          <w:tab w:pos="807" w:val="left" w:leader="none"/>
        </w:tabs>
        <w:spacing w:before="41"/>
        <w:ind w:left="100" w:right="10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224" w:right="101"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3.16</w:t>
        <w:tab/>
      </w:r>
      <w:r>
        <w:rPr>
          <w:rFonts w:ascii="宋体" w:hAnsi="宋体" w:cs="宋体" w:eastAsia="宋体" w:hint="default"/>
          <w:sz w:val="21"/>
          <w:szCs w:val="21"/>
        </w:rPr>
        <w:t>研究与开发</w:t>
      </w:r>
    </w:p>
    <w:p>
      <w:pPr>
        <w:spacing w:line="240" w:lineRule="auto" w:before="3"/>
        <w:rPr>
          <w:rFonts w:ascii="宋体" w:hAnsi="宋体" w:cs="宋体" w:eastAsia="宋体" w:hint="default"/>
          <w:sz w:val="18"/>
          <w:szCs w:val="18"/>
        </w:rPr>
      </w:pPr>
    </w:p>
    <w:p>
      <w:pPr>
        <w:spacing w:before="0"/>
        <w:ind w:left="808" w:right="106" w:firstLine="0"/>
        <w:jc w:val="both"/>
        <w:rPr>
          <w:rFonts w:ascii="宋体" w:hAnsi="宋体" w:cs="宋体" w:eastAsia="宋体" w:hint="default"/>
          <w:sz w:val="21"/>
          <w:szCs w:val="21"/>
        </w:rPr>
      </w:pPr>
      <w:r>
        <w:rPr>
          <w:rFonts w:ascii="宋体" w:hAnsi="宋体" w:cs="宋体" w:eastAsia="宋体" w:hint="default"/>
          <w:sz w:val="21"/>
          <w:szCs w:val="21"/>
        </w:rPr>
        <w:t>根据内部研究开发项目支出的性质以及研发活动最终形成无形资产是否具有较大不确定性，分为研</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究阶段支出和开发阶段支出。</w:t>
      </w:r>
    </w:p>
    <w:p>
      <w:pPr>
        <w:spacing w:line="240" w:lineRule="auto" w:before="5"/>
        <w:rPr>
          <w:rFonts w:ascii="宋体" w:hAnsi="宋体" w:cs="宋体" w:eastAsia="宋体" w:hint="default"/>
          <w:sz w:val="20"/>
          <w:szCs w:val="20"/>
        </w:rPr>
      </w:pPr>
    </w:p>
    <w:p>
      <w:pPr>
        <w:spacing w:line="272" w:lineRule="exact" w:before="0"/>
        <w:ind w:left="808" w:right="106" w:firstLine="0"/>
        <w:jc w:val="both"/>
        <w:rPr>
          <w:rFonts w:ascii="宋体" w:hAnsi="宋体" w:cs="宋体" w:eastAsia="宋体" w:hint="default"/>
          <w:sz w:val="21"/>
          <w:szCs w:val="21"/>
        </w:rPr>
      </w:pPr>
      <w:r>
        <w:rPr>
          <w:rFonts w:ascii="宋体" w:hAnsi="宋体" w:cs="宋体" w:eastAsia="宋体" w:hint="default"/>
          <w:sz w:val="21"/>
          <w:szCs w:val="21"/>
        </w:rPr>
        <w:t>研究阶段的支出，于发生时计入当期损益；开发阶段的支出，同时满足下列条件的，确认为无形资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产：</w:t>
      </w:r>
    </w:p>
    <w:p>
      <w:pPr>
        <w:spacing w:line="225" w:lineRule="auto" w:before="0"/>
        <w:ind w:left="808" w:right="1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管理层具有完成该无形资产并使用或出售的意图；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能够证明该无形资产将如何产生经济利益；</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有足够的技术、财务资源和其他资源支持，以完成该无形资产的开发，并有能力使用或出售该无</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形资产；</w:t>
      </w:r>
    </w:p>
    <w:p>
      <w:pPr>
        <w:spacing w:line="289" w:lineRule="exact"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p>
      <w:pPr>
        <w:spacing w:line="240" w:lineRule="auto" w:before="3"/>
        <w:rPr>
          <w:rFonts w:ascii="宋体" w:hAnsi="宋体" w:cs="宋体" w:eastAsia="宋体" w:hint="default"/>
          <w:sz w:val="17"/>
          <w:szCs w:val="17"/>
        </w:rPr>
      </w:pPr>
    </w:p>
    <w:p>
      <w:pPr>
        <w:spacing w:line="237" w:lineRule="auto" w:before="0"/>
        <w:ind w:left="808" w:right="106" w:firstLine="0"/>
        <w:jc w:val="both"/>
        <w:rPr>
          <w:rFonts w:ascii="宋体" w:hAnsi="宋体" w:cs="宋体" w:eastAsia="宋体" w:hint="default"/>
          <w:sz w:val="21"/>
          <w:szCs w:val="21"/>
        </w:rPr>
      </w:pPr>
      <w:r>
        <w:rPr>
          <w:rFonts w:ascii="宋体" w:hAnsi="宋体" w:cs="宋体" w:eastAsia="宋体" w:hint="default"/>
          <w:sz w:val="21"/>
          <w:szCs w:val="21"/>
        </w:rPr>
        <w:t>不满足上述条件的开发阶段的支出，于发生时计入当期损益。前期已计入损益的开发支出不在以后</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期间确认为资产。已资本化的开发阶段的支出在资产负债表上列示为开发支出，自该项目达到预定</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可使用状态之日起转为无形资产。</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w:t>
      </w:r>
    </w:p>
    <w:p>
      <w:pPr>
        <w:spacing w:line="240" w:lineRule="auto" w:before="2"/>
        <w:rPr>
          <w:rFonts w:ascii="宋体" w:hAnsi="宋体" w:cs="宋体" w:eastAsia="宋体" w:hint="default"/>
          <w:sz w:val="18"/>
          <w:szCs w:val="18"/>
        </w:rPr>
      </w:pPr>
    </w:p>
    <w:p>
      <w:pPr>
        <w:tabs>
          <w:tab w:pos="807" w:val="left" w:leader="none"/>
        </w:tabs>
        <w:spacing w:before="0"/>
        <w:ind w:left="224" w:right="1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3.17</w:t>
        <w:tab/>
      </w:r>
      <w:r>
        <w:rPr>
          <w:rFonts w:ascii="宋体" w:hAnsi="宋体" w:cs="宋体" w:eastAsia="宋体" w:hint="default"/>
          <w:position w:val="-1"/>
          <w:sz w:val="21"/>
          <w:szCs w:val="21"/>
        </w:rPr>
        <w:t>商誉</w:t>
      </w:r>
      <w:r>
        <w:rPr>
          <w:rFonts w:ascii="宋体" w:hAnsi="宋体" w:cs="宋体" w:eastAsia="宋体" w:hint="default"/>
          <w:sz w:val="21"/>
          <w:szCs w:val="21"/>
        </w:rPr>
      </w:r>
    </w:p>
    <w:p>
      <w:pPr>
        <w:spacing w:line="240" w:lineRule="auto" w:before="4"/>
        <w:rPr>
          <w:rFonts w:ascii="宋体" w:hAnsi="宋体" w:cs="宋体" w:eastAsia="宋体" w:hint="default"/>
          <w:sz w:val="21"/>
          <w:szCs w:val="21"/>
        </w:rPr>
      </w:pPr>
    </w:p>
    <w:p>
      <w:pPr>
        <w:spacing w:line="237" w:lineRule="auto" w:before="0"/>
        <w:ind w:left="808" w:right="103" w:firstLine="0"/>
        <w:jc w:val="both"/>
        <w:rPr>
          <w:rFonts w:ascii="宋体" w:hAnsi="宋体" w:cs="宋体" w:eastAsia="宋体" w:hint="default"/>
          <w:sz w:val="21"/>
          <w:szCs w:val="21"/>
        </w:rPr>
      </w:pPr>
      <w:r>
        <w:rPr>
          <w:rFonts w:ascii="宋体" w:hAnsi="宋体" w:cs="宋体" w:eastAsia="宋体" w:hint="default"/>
          <w:sz w:val="21"/>
          <w:szCs w:val="21"/>
        </w:rPr>
        <w:t>商誉为股权投资成本超过应享有的被投资单位于投资取得日的公允价值份额的差额，或者为非同一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控制下企业合并成本超过企业合并中取得的被购买方可辨认净资产于购买日的公允价值份额的差</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额。</w:t>
      </w:r>
    </w:p>
    <w:p>
      <w:pPr>
        <w:spacing w:line="240" w:lineRule="auto" w:before="11"/>
        <w:rPr>
          <w:rFonts w:ascii="宋体" w:hAnsi="宋体" w:cs="宋体" w:eastAsia="宋体" w:hint="default"/>
          <w:sz w:val="20"/>
          <w:szCs w:val="20"/>
        </w:rPr>
      </w:pPr>
    </w:p>
    <w:p>
      <w:pPr>
        <w:spacing w:before="0"/>
        <w:ind w:left="808" w:right="106" w:firstLine="0"/>
        <w:jc w:val="both"/>
        <w:rPr>
          <w:rFonts w:ascii="宋体" w:hAnsi="宋体" w:cs="宋体" w:eastAsia="宋体" w:hint="default"/>
          <w:sz w:val="21"/>
          <w:szCs w:val="21"/>
        </w:rPr>
      </w:pPr>
      <w:r>
        <w:rPr>
          <w:rFonts w:ascii="宋体" w:hAnsi="宋体" w:cs="宋体" w:eastAsia="宋体" w:hint="default"/>
          <w:sz w:val="21"/>
          <w:szCs w:val="21"/>
        </w:rPr>
        <w:t>企业合并形成的商誉在合并财务报表上单独列示。购买联营企业和合营企业股权投资成本超过投资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时应享有被投资单位的公允价值份额的差额，包含于长期股权投资。</w:t>
      </w:r>
    </w:p>
    <w:p>
      <w:pPr>
        <w:spacing w:line="240" w:lineRule="auto" w:before="11"/>
        <w:rPr>
          <w:rFonts w:ascii="宋体" w:hAnsi="宋体" w:cs="宋体" w:eastAsia="宋体" w:hint="default"/>
          <w:sz w:val="20"/>
          <w:szCs w:val="20"/>
        </w:rPr>
      </w:pPr>
    </w:p>
    <w:p>
      <w:pPr>
        <w:spacing w:before="0"/>
        <w:ind w:left="808" w:right="106" w:firstLine="0"/>
        <w:jc w:val="both"/>
        <w:rPr>
          <w:rFonts w:ascii="宋体" w:hAnsi="宋体" w:cs="宋体" w:eastAsia="宋体" w:hint="default"/>
          <w:sz w:val="21"/>
          <w:szCs w:val="21"/>
        </w:rPr>
      </w:pPr>
      <w:r>
        <w:rPr>
          <w:rFonts w:ascii="宋体" w:hAnsi="宋体" w:cs="宋体" w:eastAsia="宋体" w:hint="default"/>
          <w:sz w:val="21"/>
          <w:szCs w:val="21"/>
        </w:rPr>
        <w:t>企业合并形成的商誉每年进行减值测试。减值测试时，商誉的账面价值根据企业合并的协同效应分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摊至受益的资产组或资产组组合。期末商誉按成本减去累计减值损失后的净额列示。</w:t>
      </w:r>
    </w:p>
    <w:p>
      <w:pPr>
        <w:spacing w:line="240" w:lineRule="auto" w:before="11"/>
        <w:rPr>
          <w:rFonts w:ascii="宋体" w:hAnsi="宋体" w:cs="宋体" w:eastAsia="宋体" w:hint="default"/>
          <w:sz w:val="20"/>
          <w:szCs w:val="20"/>
        </w:rPr>
      </w:pPr>
    </w:p>
    <w:p>
      <w:pPr>
        <w:tabs>
          <w:tab w:pos="807" w:val="left" w:leader="none"/>
        </w:tabs>
        <w:spacing w:before="0"/>
        <w:ind w:left="224" w:right="101"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3.18</w:t>
        <w:tab/>
      </w:r>
      <w:r>
        <w:rPr>
          <w:rFonts w:ascii="宋体" w:hAnsi="宋体" w:cs="宋体" w:eastAsia="宋体" w:hint="default"/>
          <w:sz w:val="21"/>
          <w:szCs w:val="21"/>
        </w:rPr>
        <w:t>长期待摊费用</w:t>
      </w:r>
    </w:p>
    <w:p>
      <w:pPr>
        <w:spacing w:line="240" w:lineRule="auto" w:before="3"/>
        <w:rPr>
          <w:rFonts w:ascii="宋体" w:hAnsi="宋体" w:cs="宋体" w:eastAsia="宋体" w:hint="default"/>
          <w:sz w:val="18"/>
          <w:szCs w:val="18"/>
        </w:rPr>
      </w:pPr>
    </w:p>
    <w:p>
      <w:pPr>
        <w:spacing w:before="0"/>
        <w:ind w:left="808" w:right="106" w:firstLine="0"/>
        <w:jc w:val="both"/>
        <w:rPr>
          <w:rFonts w:ascii="宋体" w:hAnsi="宋体" w:cs="宋体" w:eastAsia="宋体" w:hint="default"/>
          <w:sz w:val="21"/>
          <w:szCs w:val="21"/>
        </w:rPr>
      </w:pPr>
      <w:r>
        <w:rPr>
          <w:rFonts w:ascii="宋体" w:hAnsi="宋体" w:cs="宋体" w:eastAsia="宋体" w:hint="default"/>
          <w:sz w:val="21"/>
          <w:szCs w:val="21"/>
        </w:rPr>
        <w:t>长期待摊费用包括经营租入固定资产改良及其他已经发生但应由本期和以后各期负担的分摊期限在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一年以上的各项费用，按预计受益期间分期平均摊销，并以实际支出减去累计摊销后的净额列示。</w:t>
      </w:r>
    </w:p>
    <w:p>
      <w:pPr>
        <w:spacing w:after="0"/>
        <w:jc w:val="both"/>
        <w:rPr>
          <w:rFonts w:ascii="宋体" w:hAnsi="宋体" w:cs="宋体" w:eastAsia="宋体" w:hint="default"/>
          <w:sz w:val="21"/>
          <w:szCs w:val="21"/>
        </w:rPr>
        <w:sectPr>
          <w:pgSz w:w="11900" w:h="16840"/>
          <w:pgMar w:header="886" w:footer="983" w:top="1800" w:bottom="1180" w:left="1100" w:right="800"/>
        </w:sectPr>
      </w:pPr>
    </w:p>
    <w:p>
      <w:pPr>
        <w:spacing w:line="240" w:lineRule="auto" w:before="10"/>
        <w:rPr>
          <w:rFonts w:ascii="宋体" w:hAnsi="宋体" w:cs="宋体" w:eastAsia="宋体" w:hint="default"/>
          <w:sz w:val="12"/>
          <w:szCs w:val="12"/>
        </w:rPr>
      </w:pPr>
    </w:p>
    <w:p>
      <w:pPr>
        <w:tabs>
          <w:tab w:pos="807" w:val="left" w:leader="none"/>
        </w:tabs>
        <w:spacing w:before="41"/>
        <w:ind w:left="100" w:right="32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07" w:val="left" w:leader="none"/>
        </w:tabs>
        <w:spacing w:before="0"/>
        <w:ind w:left="222" w:right="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3.19</w:t>
        <w:tab/>
      </w:r>
      <w:r>
        <w:rPr>
          <w:rFonts w:ascii="宋体" w:hAnsi="宋体" w:cs="宋体" w:eastAsia="宋体" w:hint="default"/>
          <w:position w:val="-1"/>
          <w:sz w:val="21"/>
          <w:szCs w:val="21"/>
        </w:rPr>
        <w:t>预计负债</w:t>
      </w:r>
      <w:r>
        <w:rPr>
          <w:rFonts w:ascii="宋体" w:hAnsi="宋体" w:cs="宋体" w:eastAsia="宋体" w:hint="default"/>
          <w:sz w:val="21"/>
          <w:szCs w:val="21"/>
        </w:rPr>
      </w:r>
    </w:p>
    <w:p>
      <w:pPr>
        <w:spacing w:line="240" w:lineRule="auto" w:before="6"/>
        <w:rPr>
          <w:rFonts w:ascii="宋体" w:hAnsi="宋体" w:cs="宋体" w:eastAsia="宋体" w:hint="default"/>
          <w:sz w:val="20"/>
          <w:szCs w:val="20"/>
        </w:rPr>
      </w:pPr>
    </w:p>
    <w:p>
      <w:pPr>
        <w:spacing w:line="272" w:lineRule="exact" w:before="0"/>
        <w:ind w:left="808" w:right="145" w:firstLine="0"/>
        <w:jc w:val="both"/>
        <w:rPr>
          <w:rFonts w:ascii="宋体" w:hAnsi="宋体" w:cs="宋体" w:eastAsia="宋体" w:hint="default"/>
          <w:sz w:val="21"/>
          <w:szCs w:val="21"/>
        </w:rPr>
      </w:pPr>
      <w:r>
        <w:rPr>
          <w:rFonts w:ascii="宋体" w:hAnsi="宋体" w:cs="宋体" w:eastAsia="宋体" w:hint="default"/>
          <w:spacing w:val="-3"/>
          <w:sz w:val="21"/>
          <w:szCs w:val="21"/>
        </w:rPr>
        <w:t>对因产品质量保证、亏损合同等形成的现时义务，其履行很可能导致经济利益的流出，在该义务的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金额能够可靠计量时，确认为预计负债。对于未来经营亏损，不确认预计负债。</w:t>
      </w:r>
    </w:p>
    <w:p>
      <w:pPr>
        <w:spacing w:line="240" w:lineRule="auto" w:before="9"/>
        <w:rPr>
          <w:rFonts w:ascii="宋体" w:hAnsi="宋体" w:cs="宋体" w:eastAsia="宋体" w:hint="default"/>
          <w:sz w:val="16"/>
          <w:szCs w:val="16"/>
        </w:rPr>
      </w:pPr>
    </w:p>
    <w:p>
      <w:pPr>
        <w:spacing w:line="237" w:lineRule="auto" w:before="0"/>
        <w:ind w:left="808" w:right="145" w:firstLine="0"/>
        <w:jc w:val="both"/>
        <w:rPr>
          <w:rFonts w:ascii="宋体" w:hAnsi="宋体" w:cs="宋体" w:eastAsia="宋体" w:hint="default"/>
          <w:sz w:val="21"/>
          <w:szCs w:val="21"/>
        </w:rPr>
      </w:pPr>
      <w:r>
        <w:rPr>
          <w:rFonts w:ascii="宋体" w:hAnsi="宋体" w:cs="宋体" w:eastAsia="宋体" w:hint="default"/>
          <w:spacing w:val="-3"/>
          <w:sz w:val="21"/>
          <w:szCs w:val="21"/>
        </w:rPr>
        <w:t>预计负债按照履行相关现时义务所需支出的最佳估计数进行初始计量，并综合考虑与或有事项有关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的风险、不确定性和货币时间价值等因素。货币时间价值影响重大的，通过对相关未来现金流出进</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行折现后确定最佳估计数；因随着时间推移所进行的折现还原而导致的预计负债账面价值的增加金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额，确认为利息费用。</w:t>
      </w:r>
    </w:p>
    <w:p>
      <w:pPr>
        <w:spacing w:line="240" w:lineRule="auto" w:before="4"/>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p>
      <w:pPr>
        <w:spacing w:line="240" w:lineRule="auto" w:before="8"/>
        <w:rPr>
          <w:rFonts w:ascii="宋体" w:hAnsi="宋体" w:cs="宋体" w:eastAsia="宋体" w:hint="default"/>
          <w:sz w:val="23"/>
          <w:szCs w:val="23"/>
        </w:rPr>
      </w:pPr>
    </w:p>
    <w:p>
      <w:pPr>
        <w:tabs>
          <w:tab w:pos="807" w:val="left" w:leader="none"/>
        </w:tabs>
        <w:spacing w:before="0"/>
        <w:ind w:left="224" w:right="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3.20</w:t>
        <w:tab/>
      </w:r>
      <w:r>
        <w:rPr>
          <w:rFonts w:ascii="宋体" w:hAnsi="宋体" w:cs="宋体" w:eastAsia="宋体" w:hint="default"/>
          <w:position w:val="-1"/>
          <w:sz w:val="21"/>
          <w:szCs w:val="21"/>
        </w:rPr>
        <w:t>资产减值</w:t>
      </w:r>
      <w:r>
        <w:rPr>
          <w:rFonts w:ascii="宋体" w:hAnsi="宋体" w:cs="宋体" w:eastAsia="宋体" w:hint="default"/>
          <w:sz w:val="21"/>
          <w:szCs w:val="21"/>
        </w:rPr>
      </w:r>
    </w:p>
    <w:p>
      <w:pPr>
        <w:spacing w:line="240" w:lineRule="auto" w:before="7"/>
        <w:rPr>
          <w:rFonts w:ascii="宋体" w:hAnsi="宋体" w:cs="宋体" w:eastAsia="宋体" w:hint="default"/>
          <w:sz w:val="18"/>
          <w:szCs w:val="18"/>
        </w:rPr>
      </w:pPr>
    </w:p>
    <w:p>
      <w:pPr>
        <w:spacing w:line="237" w:lineRule="auto" w:before="0"/>
        <w:ind w:left="808" w:right="114" w:firstLine="0"/>
        <w:jc w:val="both"/>
        <w:rPr>
          <w:rFonts w:ascii="宋体" w:hAnsi="宋体" w:cs="宋体" w:eastAsia="宋体" w:hint="default"/>
          <w:sz w:val="21"/>
          <w:szCs w:val="21"/>
        </w:rPr>
      </w:pPr>
      <w:r>
        <w:rPr>
          <w:rFonts w:ascii="宋体" w:hAnsi="宋体" w:cs="宋体" w:eastAsia="宋体" w:hint="default"/>
          <w:spacing w:val="-3"/>
          <w:sz w:val="21"/>
          <w:szCs w:val="21"/>
        </w:rPr>
        <w:t>在财务报表中单独列示的商誉和使用寿命不确定的无形资产，无论是否存在减值迹象，至少每年进</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行减值测试。固定资产、无形资产、以成本模式计量的投资性房地产及长期股权投资等，于资产负</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债表日存在减值迹象的，进行减值测试。减值测试结果表明资产的可收回金额低于其账面价值的，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按其差额计提减值准备并计入减值损失。可收回金额为资产的公允价值减去处置费用后的净额与资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产预计未来现金流量的现值两者之间的较高者。资产减值准备按单项资产为基础计算并确认，如果</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难以对单项资产的可收回金额进行估计的，以该资产所属的资产组确定资产组的可收回金额。资产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组是能够独立产生现金流入的最小资产组合。</w:t>
      </w:r>
    </w:p>
    <w:p>
      <w:pPr>
        <w:spacing w:line="240" w:lineRule="auto" w:before="6"/>
        <w:rPr>
          <w:rFonts w:ascii="宋体" w:hAnsi="宋体" w:cs="宋体" w:eastAsia="宋体" w:hint="default"/>
          <w:sz w:val="18"/>
          <w:szCs w:val="18"/>
        </w:rPr>
      </w:pPr>
    </w:p>
    <w:p>
      <w:pPr>
        <w:spacing w:before="0"/>
        <w:ind w:left="808" w:right="0" w:firstLine="0"/>
        <w:jc w:val="both"/>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w:t>
      </w:r>
    </w:p>
    <w:p>
      <w:pPr>
        <w:spacing w:line="240" w:lineRule="auto" w:before="2"/>
        <w:rPr>
          <w:rFonts w:ascii="宋体" w:hAnsi="宋体" w:cs="宋体" w:eastAsia="宋体" w:hint="default"/>
          <w:sz w:val="18"/>
          <w:szCs w:val="18"/>
        </w:rPr>
      </w:pPr>
    </w:p>
    <w:p>
      <w:pPr>
        <w:tabs>
          <w:tab w:pos="807" w:val="left" w:leader="none"/>
        </w:tabs>
        <w:spacing w:before="0"/>
        <w:ind w:left="224" w:right="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3.21</w:t>
        <w:tab/>
      </w:r>
      <w:r>
        <w:rPr>
          <w:rFonts w:ascii="宋体" w:hAnsi="宋体" w:cs="宋体" w:eastAsia="宋体" w:hint="default"/>
          <w:position w:val="-1"/>
          <w:sz w:val="21"/>
          <w:szCs w:val="21"/>
        </w:rPr>
        <w:t>资产组</w:t>
      </w:r>
      <w:r>
        <w:rPr>
          <w:rFonts w:ascii="宋体" w:hAnsi="宋体" w:cs="宋体" w:eastAsia="宋体" w:hint="default"/>
          <w:sz w:val="21"/>
          <w:szCs w:val="21"/>
        </w:rPr>
      </w:r>
    </w:p>
    <w:p>
      <w:pPr>
        <w:spacing w:line="240" w:lineRule="auto" w:before="7"/>
        <w:rPr>
          <w:rFonts w:ascii="宋体" w:hAnsi="宋体" w:cs="宋体" w:eastAsia="宋体" w:hint="default"/>
          <w:sz w:val="18"/>
          <w:szCs w:val="18"/>
        </w:rPr>
      </w:pPr>
    </w:p>
    <w:p>
      <w:pPr>
        <w:spacing w:line="237" w:lineRule="auto" w:before="0"/>
        <w:ind w:left="808" w:right="114" w:firstLine="0"/>
        <w:jc w:val="both"/>
        <w:rPr>
          <w:rFonts w:ascii="宋体" w:hAnsi="宋体" w:cs="宋体" w:eastAsia="宋体" w:hint="default"/>
          <w:sz w:val="21"/>
          <w:szCs w:val="21"/>
        </w:rPr>
      </w:pPr>
      <w:r>
        <w:rPr>
          <w:rFonts w:ascii="宋体" w:hAnsi="宋体" w:cs="宋体" w:eastAsia="宋体" w:hint="default"/>
          <w:spacing w:val="-2"/>
          <w:sz w:val="21"/>
          <w:szCs w:val="21"/>
        </w:rPr>
        <w:t>资产组的认定，以资产组产生的主要现金流入是否独立于其他资产或者资产组的现金流入为依据。</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同时，在认定资产组时，考虑公司管理层管理生产经营活动的方式和对资产的持续使用或者处置的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决策方式等。</w:t>
      </w:r>
    </w:p>
    <w:p>
      <w:pPr>
        <w:spacing w:line="240" w:lineRule="auto" w:before="6"/>
        <w:rPr>
          <w:rFonts w:ascii="宋体" w:hAnsi="宋体" w:cs="宋体" w:eastAsia="宋体" w:hint="default"/>
          <w:sz w:val="18"/>
          <w:szCs w:val="18"/>
        </w:rPr>
      </w:pPr>
    </w:p>
    <w:p>
      <w:pPr>
        <w:spacing w:line="237" w:lineRule="auto" w:before="0"/>
        <w:ind w:left="808" w:right="114" w:firstLine="0"/>
        <w:jc w:val="both"/>
        <w:rPr>
          <w:rFonts w:ascii="宋体" w:hAnsi="宋体" w:cs="宋体" w:eastAsia="宋体" w:hint="default"/>
          <w:sz w:val="21"/>
          <w:szCs w:val="21"/>
        </w:rPr>
      </w:pPr>
      <w:r>
        <w:rPr>
          <w:rFonts w:ascii="宋体" w:hAnsi="宋体" w:cs="宋体" w:eastAsia="宋体" w:hint="default"/>
          <w:spacing w:val="-3"/>
          <w:sz w:val="21"/>
          <w:szCs w:val="21"/>
        </w:rPr>
        <w:t>资产组的可收回金额低于其账面价值的，确认相应的减值损失。资产组的可收回金额按该资产组的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公允价值减去处置费用后的净额与其预计未来现金流量的现值两者之间较高者确定。在合并财务报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表中反映的商誉，不包括子公司归属于少数股东权益的商誉。但对相关的资产组进行减值测试时，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将归属于少数股东权益的商誉包括在内，调整资产组的账面价值，然后根据调整后的资产组账面价</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值与其可收回金额进行比较。如上述资产组发生减值的，该损失按比例扣除少数股东权益份额后，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确认归属于公司的商誉减值损失。</w:t>
      </w:r>
    </w:p>
    <w:p>
      <w:pPr>
        <w:spacing w:line="240" w:lineRule="auto" w:before="2"/>
        <w:rPr>
          <w:rFonts w:ascii="宋体" w:hAnsi="宋体" w:cs="宋体" w:eastAsia="宋体" w:hint="default"/>
          <w:sz w:val="18"/>
          <w:szCs w:val="18"/>
        </w:rPr>
      </w:pPr>
    </w:p>
    <w:p>
      <w:pPr>
        <w:tabs>
          <w:tab w:pos="807" w:val="left" w:leader="none"/>
        </w:tabs>
        <w:spacing w:before="0"/>
        <w:ind w:left="224" w:right="3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3.22</w:t>
        <w:tab/>
      </w:r>
      <w:r>
        <w:rPr>
          <w:rFonts w:ascii="宋体" w:hAnsi="宋体" w:cs="宋体" w:eastAsia="宋体" w:hint="default"/>
          <w:position w:val="-1"/>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sz w:val="18"/>
          <w:szCs w:val="18"/>
        </w:rPr>
      </w:pPr>
    </w:p>
    <w:p>
      <w:pPr>
        <w:spacing w:line="237" w:lineRule="auto" w:before="0"/>
        <w:ind w:left="808" w:right="145" w:firstLine="0"/>
        <w:jc w:val="both"/>
        <w:rPr>
          <w:rFonts w:ascii="宋体" w:hAnsi="宋体" w:cs="宋体" w:eastAsia="宋体" w:hint="default"/>
          <w:sz w:val="21"/>
          <w:szCs w:val="21"/>
        </w:rPr>
      </w:pPr>
      <w:r>
        <w:rPr>
          <w:rFonts w:ascii="宋体" w:hAnsi="宋体" w:cs="宋体" w:eastAsia="宋体" w:hint="default"/>
          <w:spacing w:val="-3"/>
          <w:sz w:val="21"/>
          <w:szCs w:val="21"/>
        </w:rPr>
        <w:t>于职工提供服务的期间确认应付的职工薪酬，并根据职工提供服务的受益对象计入相关资产成本和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费用。职工薪酬主要包括工资、奖金、津贴和补贴、职工福利费、社会保险费及住房公积金、工会</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经费和职工教育经费等其他与获得职工提供的服务相关的支出。</w:t>
      </w:r>
    </w:p>
    <w:p>
      <w:pPr>
        <w:spacing w:after="0" w:line="237" w:lineRule="auto"/>
        <w:jc w:val="both"/>
        <w:rPr>
          <w:rFonts w:ascii="宋体" w:hAnsi="宋体" w:cs="宋体" w:eastAsia="宋体" w:hint="default"/>
          <w:sz w:val="21"/>
          <w:szCs w:val="21"/>
        </w:rPr>
        <w:sectPr>
          <w:pgSz w:w="11900" w:h="16840"/>
          <w:pgMar w:header="886" w:footer="983" w:top="1800" w:bottom="1180" w:left="1100" w:right="840"/>
        </w:sectPr>
      </w:pPr>
    </w:p>
    <w:p>
      <w:pPr>
        <w:spacing w:line="240" w:lineRule="auto" w:before="10"/>
        <w:rPr>
          <w:rFonts w:ascii="宋体" w:hAnsi="宋体" w:cs="宋体" w:eastAsia="宋体" w:hint="default"/>
          <w:sz w:val="12"/>
          <w:szCs w:val="12"/>
        </w:rPr>
      </w:pPr>
    </w:p>
    <w:p>
      <w:pPr>
        <w:tabs>
          <w:tab w:pos="807" w:val="left" w:leader="none"/>
        </w:tabs>
        <w:spacing w:before="41"/>
        <w:ind w:left="100" w:right="44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tabs>
          <w:tab w:pos="807" w:val="left" w:leader="none"/>
        </w:tabs>
        <w:spacing w:before="0"/>
        <w:ind w:left="227" w:right="4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3.23</w:t>
        <w:tab/>
      </w:r>
      <w:r>
        <w:rPr>
          <w:rFonts w:ascii="宋体" w:hAnsi="宋体" w:cs="宋体" w:eastAsia="宋体" w:hint="default"/>
          <w:position w:val="-1"/>
          <w:sz w:val="21"/>
          <w:szCs w:val="21"/>
        </w:rPr>
        <w:t>收入确认</w:t>
      </w:r>
      <w:r>
        <w:rPr>
          <w:rFonts w:ascii="宋体" w:hAnsi="宋体" w:cs="宋体" w:eastAsia="宋体" w:hint="default"/>
          <w:sz w:val="21"/>
          <w:szCs w:val="21"/>
        </w:rPr>
      </w:r>
    </w:p>
    <w:p>
      <w:pPr>
        <w:spacing w:line="240" w:lineRule="auto" w:before="6"/>
        <w:rPr>
          <w:rFonts w:ascii="宋体" w:hAnsi="宋体" w:cs="宋体" w:eastAsia="宋体" w:hint="default"/>
          <w:sz w:val="20"/>
          <w:szCs w:val="20"/>
        </w:rPr>
      </w:pPr>
    </w:p>
    <w:p>
      <w:pPr>
        <w:spacing w:line="272" w:lineRule="exact" w:before="0"/>
        <w:ind w:left="791" w:right="0" w:firstLine="0"/>
        <w:jc w:val="left"/>
        <w:rPr>
          <w:rFonts w:ascii="宋体" w:hAnsi="宋体" w:cs="宋体" w:eastAsia="宋体" w:hint="default"/>
          <w:sz w:val="21"/>
          <w:szCs w:val="21"/>
        </w:rPr>
      </w:pPr>
      <w:r>
        <w:rPr>
          <w:rFonts w:ascii="宋体" w:hAnsi="宋体" w:cs="宋体" w:eastAsia="宋体" w:hint="default"/>
          <w:spacing w:val="-2"/>
          <w:sz w:val="21"/>
          <w:szCs w:val="21"/>
        </w:rPr>
        <w:t>收入的金额按照本公司在日常经营活动中销售商品和提供劳务时，已收或应收合同或协议价款的公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允价值确定。收入按扣除增值税、商业折扣、销售折让及销售退回的净额列示。</w:t>
      </w:r>
    </w:p>
    <w:p>
      <w:pPr>
        <w:spacing w:line="240" w:lineRule="auto" w:before="8"/>
        <w:rPr>
          <w:rFonts w:ascii="宋体" w:hAnsi="宋体" w:cs="宋体" w:eastAsia="宋体" w:hint="default"/>
          <w:sz w:val="18"/>
          <w:szCs w:val="18"/>
        </w:rPr>
      </w:pPr>
    </w:p>
    <w:p>
      <w:pPr>
        <w:spacing w:line="272" w:lineRule="exact" w:before="0"/>
        <w:ind w:left="808" w:right="0" w:hanging="17"/>
        <w:jc w:val="left"/>
        <w:rPr>
          <w:rFonts w:ascii="宋体" w:hAnsi="宋体" w:cs="宋体" w:eastAsia="宋体" w:hint="default"/>
          <w:sz w:val="21"/>
          <w:szCs w:val="21"/>
        </w:rPr>
      </w:pPr>
      <w:r>
        <w:rPr>
          <w:rFonts w:ascii="宋体" w:hAnsi="宋体" w:cs="宋体" w:eastAsia="宋体" w:hint="default"/>
          <w:spacing w:val="-2"/>
          <w:sz w:val="21"/>
          <w:szCs w:val="21"/>
        </w:rPr>
        <w:t>与交易相关的经济利益能够流入本公司，相关的收入能够可靠计量且满足下列各项经营活动的特定</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收入确认标准时，确认相关的收入。</w:t>
      </w:r>
    </w:p>
    <w:p>
      <w:pPr>
        <w:spacing w:line="240" w:lineRule="auto" w:before="5"/>
        <w:rPr>
          <w:rFonts w:ascii="宋体" w:hAnsi="宋体" w:cs="宋体" w:eastAsia="宋体" w:hint="default"/>
          <w:sz w:val="16"/>
          <w:szCs w:val="16"/>
        </w:rPr>
      </w:pPr>
    </w:p>
    <w:p>
      <w:pPr>
        <w:spacing w:before="0"/>
        <w:ind w:left="791" w:right="4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3.23.1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销售商品</w:t>
      </w:r>
    </w:p>
    <w:p>
      <w:pPr>
        <w:spacing w:line="240" w:lineRule="auto" w:before="3"/>
        <w:rPr>
          <w:rFonts w:ascii="宋体" w:hAnsi="宋体" w:cs="宋体" w:eastAsia="宋体" w:hint="default"/>
          <w:sz w:val="17"/>
          <w:szCs w:val="17"/>
        </w:rPr>
      </w:pPr>
    </w:p>
    <w:p>
      <w:pPr>
        <w:spacing w:line="237" w:lineRule="auto" w:before="0"/>
        <w:ind w:left="808" w:right="207" w:firstLine="0"/>
        <w:jc w:val="both"/>
        <w:rPr>
          <w:rFonts w:ascii="宋体" w:hAnsi="宋体" w:cs="宋体" w:eastAsia="宋体" w:hint="default"/>
          <w:sz w:val="21"/>
          <w:szCs w:val="21"/>
        </w:rPr>
      </w:pPr>
      <w:r>
        <w:rPr>
          <w:rFonts w:ascii="宋体" w:hAnsi="宋体" w:cs="宋体" w:eastAsia="宋体" w:hint="default"/>
          <w:spacing w:val="-3"/>
          <w:sz w:val="21"/>
          <w:szCs w:val="21"/>
        </w:rPr>
        <w:t>商品销售在商品所有权上的主要风险和报酬已转移给买方，本公司不再对该商品实施继续管理权和</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实际控制权，与交易相关的经济利益很可能流入企业，并且与销售该商品相关的收入和成本能够可</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靠地计量时，确认营业收入的实现。</w:t>
      </w:r>
    </w:p>
    <w:p>
      <w:pPr>
        <w:spacing w:line="240" w:lineRule="auto" w:before="4"/>
        <w:rPr>
          <w:rFonts w:ascii="宋体" w:hAnsi="宋体" w:cs="宋体" w:eastAsia="宋体" w:hint="default"/>
          <w:sz w:val="18"/>
          <w:szCs w:val="18"/>
        </w:rPr>
      </w:pPr>
    </w:p>
    <w:p>
      <w:pPr>
        <w:spacing w:before="0"/>
        <w:ind w:left="791" w:right="4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3.23.2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提供劳务</w:t>
      </w:r>
    </w:p>
    <w:p>
      <w:pPr>
        <w:spacing w:line="240" w:lineRule="auto" w:before="3"/>
        <w:rPr>
          <w:rFonts w:ascii="宋体" w:hAnsi="宋体" w:cs="宋体" w:eastAsia="宋体" w:hint="default"/>
          <w:sz w:val="17"/>
          <w:szCs w:val="17"/>
        </w:rPr>
      </w:pPr>
    </w:p>
    <w:p>
      <w:pPr>
        <w:spacing w:line="237" w:lineRule="auto" w:before="0"/>
        <w:ind w:left="808" w:right="174" w:firstLine="0"/>
        <w:jc w:val="both"/>
        <w:rPr>
          <w:rFonts w:ascii="宋体" w:hAnsi="宋体" w:cs="宋体" w:eastAsia="宋体" w:hint="default"/>
          <w:sz w:val="21"/>
          <w:szCs w:val="21"/>
        </w:rPr>
      </w:pPr>
      <w:r>
        <w:rPr>
          <w:rFonts w:ascii="宋体" w:hAnsi="宋体" w:cs="宋体" w:eastAsia="宋体" w:hint="default"/>
          <w:spacing w:val="-2"/>
          <w:sz w:val="21"/>
          <w:szCs w:val="21"/>
        </w:rPr>
        <w:t>提供的劳务在同一会计年度开始并完成的，在劳务已经提供，收到价款或取得收取价款的证据时，</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确认营业收入的实现；劳务的开始和完成分属不同会计年度的，在劳务合同的总收入、劳务的完成</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程度能够可靠地确定，与交易相关的价款能够流入，已经发生的成本和为完成劳务将要发生的成本</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能够可靠地计量时，按完工百分比法确认营业收入的实现；长期合同工程在合同结果已经能够合理</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地预见时，按结账时已完成工程进度的百分比法确认营业收入的实现。</w:t>
      </w:r>
    </w:p>
    <w:p>
      <w:pPr>
        <w:spacing w:line="240" w:lineRule="auto" w:before="4"/>
        <w:rPr>
          <w:rFonts w:ascii="宋体" w:hAnsi="宋体" w:cs="宋体" w:eastAsia="宋体" w:hint="default"/>
          <w:sz w:val="18"/>
          <w:szCs w:val="18"/>
        </w:rPr>
      </w:pPr>
    </w:p>
    <w:p>
      <w:pPr>
        <w:spacing w:before="0"/>
        <w:ind w:left="808" w:right="4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3.23.3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让渡资产使用权</w:t>
      </w:r>
    </w:p>
    <w:p>
      <w:pPr>
        <w:spacing w:line="240" w:lineRule="auto" w:before="0"/>
        <w:rPr>
          <w:rFonts w:ascii="宋体" w:hAnsi="宋体" w:cs="宋体" w:eastAsia="宋体" w:hint="default"/>
          <w:sz w:val="17"/>
          <w:szCs w:val="17"/>
        </w:rPr>
      </w:pPr>
    </w:p>
    <w:p>
      <w:pPr>
        <w:spacing w:before="0"/>
        <w:ind w:left="808" w:right="0" w:firstLine="0"/>
        <w:jc w:val="left"/>
        <w:rPr>
          <w:rFonts w:ascii="宋体" w:hAnsi="宋体" w:cs="宋体" w:eastAsia="宋体" w:hint="default"/>
          <w:sz w:val="21"/>
          <w:szCs w:val="21"/>
        </w:rPr>
      </w:pPr>
      <w:r>
        <w:rPr>
          <w:rFonts w:ascii="宋体" w:hAnsi="宋体" w:cs="宋体" w:eastAsia="宋体" w:hint="default"/>
          <w:spacing w:val="-3"/>
          <w:sz w:val="21"/>
          <w:szCs w:val="21"/>
        </w:rPr>
        <w:t>让渡资产使用权取得的利息收入和使用费收入，在与交易相关的经济利益能够流入企业，且收入的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金额能够可靠地计量时，确认收入的实现。</w:t>
      </w:r>
    </w:p>
    <w:p>
      <w:pPr>
        <w:spacing w:line="240" w:lineRule="auto" w:before="2"/>
        <w:rPr>
          <w:rFonts w:ascii="宋体" w:hAnsi="宋体" w:cs="宋体" w:eastAsia="宋体" w:hint="default"/>
          <w:sz w:val="18"/>
          <w:szCs w:val="18"/>
        </w:rPr>
      </w:pPr>
    </w:p>
    <w:p>
      <w:pPr>
        <w:tabs>
          <w:tab w:pos="807" w:val="left" w:leader="none"/>
        </w:tabs>
        <w:spacing w:before="0"/>
        <w:ind w:left="227" w:right="4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3.24</w:t>
        <w:tab/>
      </w:r>
      <w:r>
        <w:rPr>
          <w:rFonts w:ascii="宋体" w:hAnsi="宋体" w:cs="宋体" w:eastAsia="宋体" w:hint="default"/>
          <w:position w:val="-1"/>
          <w:sz w:val="21"/>
          <w:szCs w:val="21"/>
        </w:rPr>
        <w:t>借款</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spacing w:before="0"/>
        <w:ind w:left="808" w:right="0" w:firstLine="0"/>
        <w:jc w:val="left"/>
        <w:rPr>
          <w:rFonts w:ascii="宋体" w:hAnsi="宋体" w:cs="宋体" w:eastAsia="宋体" w:hint="default"/>
          <w:sz w:val="21"/>
          <w:szCs w:val="21"/>
        </w:rPr>
      </w:pPr>
      <w:r>
        <w:rPr>
          <w:rFonts w:ascii="宋体" w:hAnsi="宋体" w:cs="宋体" w:eastAsia="宋体" w:hint="default"/>
          <w:spacing w:val="2"/>
          <w:sz w:val="21"/>
          <w:szCs w:val="21"/>
        </w:rPr>
        <w:t>借款按公允价值扣除交易成本后的金额进行初始计量，并采用实际利率法按摊余成本进行后续计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量。于资产负债表日起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内偿还的借款为短期借款，其余借款为长期借款。</w:t>
      </w:r>
    </w:p>
    <w:p>
      <w:pPr>
        <w:spacing w:line="240" w:lineRule="auto" w:before="12"/>
        <w:rPr>
          <w:rFonts w:ascii="宋体" w:hAnsi="宋体" w:cs="宋体" w:eastAsia="宋体" w:hint="default"/>
          <w:sz w:val="16"/>
          <w:szCs w:val="16"/>
        </w:rPr>
      </w:pPr>
    </w:p>
    <w:p>
      <w:pPr>
        <w:tabs>
          <w:tab w:pos="807" w:val="left" w:leader="none"/>
        </w:tabs>
        <w:spacing w:before="0"/>
        <w:ind w:left="227" w:right="4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3.25</w:t>
        <w:tab/>
      </w:r>
      <w:r>
        <w:rPr>
          <w:rFonts w:ascii="宋体" w:hAnsi="宋体" w:cs="宋体" w:eastAsia="宋体" w:hint="default"/>
          <w:position w:val="-1"/>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sz w:val="18"/>
          <w:szCs w:val="18"/>
        </w:rPr>
      </w:pPr>
    </w:p>
    <w:p>
      <w:pPr>
        <w:spacing w:line="237" w:lineRule="auto" w:before="0"/>
        <w:ind w:left="808" w:right="0" w:firstLine="0"/>
        <w:jc w:val="left"/>
        <w:rPr>
          <w:rFonts w:ascii="宋体" w:hAnsi="宋体" w:cs="宋体" w:eastAsia="宋体" w:hint="default"/>
          <w:sz w:val="21"/>
          <w:szCs w:val="21"/>
        </w:rPr>
      </w:pPr>
      <w:r>
        <w:rPr>
          <w:rFonts w:ascii="宋体" w:hAnsi="宋体" w:cs="宋体" w:eastAsia="宋体" w:hint="default"/>
          <w:spacing w:val="-3"/>
          <w:sz w:val="21"/>
          <w:szCs w:val="21"/>
        </w:rPr>
        <w:t>政府补助，是指公司从政府无偿取得货币性资产或非货币性资产，但不包括政府作为公司所有者投</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5"/>
          <w:sz w:val="21"/>
          <w:szCs w:val="21"/>
        </w:rPr>
        <w:t>入的资本。政府补助分为与资产相关的政府补助和与收益相关的政府补助。与资产相关的政府补助，</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3"/>
          <w:sz w:val="21"/>
          <w:szCs w:val="21"/>
        </w:rPr>
        <w:t>是指公司取得的、用于购建或以其他方式形成长期资产的政府补助。与收益相关的政府补助，是指</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除与资产相关的政府补助之外的政府补助。</w:t>
      </w:r>
    </w:p>
    <w:p>
      <w:pPr>
        <w:spacing w:line="240" w:lineRule="auto" w:before="4"/>
        <w:rPr>
          <w:rFonts w:ascii="宋体" w:hAnsi="宋体" w:cs="宋体" w:eastAsia="宋体" w:hint="default"/>
          <w:sz w:val="18"/>
          <w:szCs w:val="18"/>
        </w:rPr>
      </w:pPr>
    </w:p>
    <w:p>
      <w:pPr>
        <w:spacing w:before="0"/>
        <w:ind w:left="808" w:right="0" w:firstLine="0"/>
        <w:jc w:val="left"/>
        <w:rPr>
          <w:rFonts w:ascii="宋体" w:hAnsi="宋体" w:cs="宋体" w:eastAsia="宋体" w:hint="default"/>
          <w:sz w:val="21"/>
          <w:szCs w:val="21"/>
        </w:rPr>
      </w:pPr>
      <w:r>
        <w:rPr>
          <w:rFonts w:ascii="宋体" w:hAnsi="宋体" w:cs="宋体" w:eastAsia="宋体" w:hint="default"/>
          <w:spacing w:val="-3"/>
          <w:sz w:val="21"/>
          <w:szCs w:val="21"/>
        </w:rPr>
        <w:t>政府补助为货币性资产的，按照收到或应收的金额计量。政府补助为非货币性资产的，按照公允价</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值计量；公允价值不能可靠取得的，按照名义金额计量。</w:t>
      </w:r>
    </w:p>
    <w:p>
      <w:pPr>
        <w:spacing w:line="240" w:lineRule="auto" w:before="6"/>
        <w:rPr>
          <w:rFonts w:ascii="宋体" w:hAnsi="宋体" w:cs="宋体" w:eastAsia="宋体" w:hint="default"/>
          <w:sz w:val="18"/>
          <w:szCs w:val="18"/>
        </w:rPr>
      </w:pPr>
    </w:p>
    <w:p>
      <w:pPr>
        <w:spacing w:line="237" w:lineRule="auto" w:before="0"/>
        <w:ind w:left="808" w:right="0" w:firstLine="0"/>
        <w:jc w:val="left"/>
        <w:rPr>
          <w:rFonts w:ascii="宋体" w:hAnsi="宋体" w:cs="宋体" w:eastAsia="宋体" w:hint="default"/>
          <w:sz w:val="21"/>
          <w:szCs w:val="21"/>
        </w:rPr>
      </w:pPr>
      <w:r>
        <w:rPr>
          <w:rFonts w:ascii="宋体" w:hAnsi="宋体" w:cs="宋体" w:eastAsia="宋体" w:hint="default"/>
          <w:spacing w:val="-5"/>
          <w:sz w:val="21"/>
          <w:szCs w:val="21"/>
        </w:rPr>
        <w:t>与资产相关的政府补助，应当确认为递延收益，并在相关资产使用寿命内平均分配，计入当期损益。</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按照名义金额计量的政府补助，直接计入当期损益。与收益相关的政府补助，用于补偿公司以后期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间的相关费用或损失的，确认为递延收益，并在确认相关费用的期间，计入当期损益；用于补偿公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司已发生的相关费用或损失的，直接计入当期损益。</w:t>
      </w:r>
    </w:p>
    <w:p>
      <w:pPr>
        <w:spacing w:after="0" w:line="237" w:lineRule="auto"/>
        <w:jc w:val="left"/>
        <w:rPr>
          <w:rFonts w:ascii="宋体" w:hAnsi="宋体" w:cs="宋体" w:eastAsia="宋体" w:hint="default"/>
          <w:sz w:val="21"/>
          <w:szCs w:val="21"/>
        </w:rPr>
        <w:sectPr>
          <w:pgSz w:w="11900" w:h="16840"/>
          <w:pgMar w:header="886" w:footer="983" w:top="1800" w:bottom="1180" w:left="1100" w:right="780"/>
        </w:sectPr>
      </w:pPr>
    </w:p>
    <w:p>
      <w:pPr>
        <w:spacing w:line="240" w:lineRule="auto" w:before="1"/>
        <w:rPr>
          <w:rFonts w:ascii="宋体" w:hAnsi="宋体" w:cs="宋体" w:eastAsia="宋体" w:hint="default"/>
          <w:sz w:val="18"/>
          <w:szCs w:val="18"/>
        </w:rPr>
      </w:pPr>
    </w:p>
    <w:p>
      <w:pPr>
        <w:tabs>
          <w:tab w:pos="807" w:val="left" w:leader="none"/>
        </w:tabs>
        <w:spacing w:before="41"/>
        <w:ind w:left="100" w:right="32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3</w:t>
        <w:tab/>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224" w:right="324"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3.26</w:t>
        <w:tab/>
      </w:r>
      <w:r>
        <w:rPr>
          <w:rFonts w:ascii="宋体" w:hAnsi="宋体" w:cs="宋体" w:eastAsia="宋体" w:hint="default"/>
          <w:sz w:val="21"/>
          <w:szCs w:val="21"/>
        </w:rPr>
        <w:t>递延所得税资产和递延所得税负债</w:t>
      </w:r>
    </w:p>
    <w:p>
      <w:pPr>
        <w:spacing w:line="240" w:lineRule="auto" w:before="13"/>
        <w:rPr>
          <w:rFonts w:ascii="宋体" w:hAnsi="宋体" w:cs="宋体" w:eastAsia="宋体" w:hint="default"/>
          <w:sz w:val="18"/>
          <w:szCs w:val="18"/>
        </w:rPr>
      </w:pPr>
    </w:p>
    <w:p>
      <w:pPr>
        <w:spacing w:line="230" w:lineRule="auto" w:before="0"/>
        <w:ind w:left="808" w:right="114" w:firstLine="0"/>
        <w:jc w:val="both"/>
        <w:rPr>
          <w:rFonts w:ascii="宋体" w:hAnsi="宋体" w:cs="宋体" w:eastAsia="宋体" w:hint="default"/>
          <w:sz w:val="21"/>
          <w:szCs w:val="21"/>
        </w:rPr>
      </w:pP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包括应纳税暂</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4"/>
          <w:w w:val="100"/>
          <w:sz w:val="21"/>
          <w:szCs w:val="21"/>
        </w:rPr>
        <w:t>时性差异和可抵扣暂时性差异</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计算确认。对于按照税法规定能够于以后年度抵减应纳税所得额的可</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3"/>
          <w:sz w:val="21"/>
          <w:szCs w:val="21"/>
        </w:rPr>
        <w:t>抵扣亏损，视同可抵扣暂时性差异。对于商誉的初始确认产生的暂时性差异，不确认相应的递延所</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得税负债。对于既不影响会计利润也不影响应纳税所得额</w:t>
      </w:r>
      <w:r>
        <w:rPr>
          <w:rFonts w:ascii="Times New Roman" w:hAnsi="Times New Roman" w:cs="Times New Roman" w:eastAsia="Times New Roman" w:hint="default"/>
          <w:sz w:val="21"/>
          <w:szCs w:val="21"/>
        </w:rPr>
        <w:t>(</w:t>
      </w:r>
      <w:r>
        <w:rPr>
          <w:rFonts w:ascii="宋体" w:hAnsi="宋体" w:cs="宋体" w:eastAsia="宋体" w:hint="default"/>
          <w:sz w:val="21"/>
          <w:szCs w:val="21"/>
        </w:rPr>
        <w:t>或可抵扣亏损</w:t>
      </w:r>
      <w:r>
        <w:rPr>
          <w:rFonts w:ascii="Times New Roman" w:hAnsi="Times New Roman" w:cs="Times New Roman" w:eastAsia="Times New Roman" w:hint="default"/>
          <w:sz w:val="21"/>
          <w:szCs w:val="21"/>
        </w:rPr>
        <w:t>)</w:t>
      </w:r>
      <w:r>
        <w:rPr>
          <w:rFonts w:ascii="宋体" w:hAnsi="宋体" w:cs="宋体" w:eastAsia="宋体" w:hint="default"/>
          <w:sz w:val="21"/>
          <w:szCs w:val="21"/>
        </w:rPr>
        <w:t>的非企业合并的交易中产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
          <w:sz w:val="21"/>
          <w:szCs w:val="21"/>
        </w:rPr>
        <w:t>生的资产或负债的初始确认形成的暂时性差异，不确认相应的递延所得税资产和递延所得税负债。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于资产负债表日，递延所得税资产和递延所得税负债，按照预期收回该资产或清偿该负债期间的适</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用税率计量。</w:t>
      </w:r>
    </w:p>
    <w:p>
      <w:pPr>
        <w:spacing w:line="240" w:lineRule="auto" w:before="4"/>
        <w:rPr>
          <w:rFonts w:ascii="宋体" w:hAnsi="宋体" w:cs="宋体" w:eastAsia="宋体" w:hint="default"/>
          <w:sz w:val="18"/>
          <w:szCs w:val="18"/>
        </w:rPr>
      </w:pPr>
    </w:p>
    <w:p>
      <w:pPr>
        <w:spacing w:before="0"/>
        <w:ind w:left="808" w:right="114" w:firstLine="0"/>
        <w:jc w:val="both"/>
        <w:rPr>
          <w:rFonts w:ascii="宋体" w:hAnsi="宋体" w:cs="宋体" w:eastAsia="宋体" w:hint="default"/>
          <w:sz w:val="21"/>
          <w:szCs w:val="21"/>
        </w:rPr>
      </w:pPr>
      <w:r>
        <w:rPr>
          <w:rFonts w:ascii="宋体" w:hAnsi="宋体" w:cs="宋体" w:eastAsia="宋体" w:hint="default"/>
          <w:spacing w:val="-3"/>
          <w:sz w:val="21"/>
          <w:szCs w:val="21"/>
        </w:rPr>
        <w:t>递延所得税资产的确认以本公司很可能取得用来抵扣可抵扣暂时性差异、可抵扣亏损和税款抵减的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应纳税所得额为限。</w:t>
      </w:r>
    </w:p>
    <w:p>
      <w:pPr>
        <w:spacing w:line="240" w:lineRule="auto" w:before="6"/>
        <w:rPr>
          <w:rFonts w:ascii="宋体" w:hAnsi="宋体" w:cs="宋体" w:eastAsia="宋体" w:hint="default"/>
          <w:sz w:val="18"/>
          <w:szCs w:val="18"/>
        </w:rPr>
      </w:pPr>
    </w:p>
    <w:p>
      <w:pPr>
        <w:spacing w:line="237" w:lineRule="auto" w:before="0"/>
        <w:ind w:left="808" w:right="114" w:firstLine="0"/>
        <w:jc w:val="both"/>
        <w:rPr>
          <w:rFonts w:ascii="宋体" w:hAnsi="宋体" w:cs="宋体" w:eastAsia="宋体" w:hint="default"/>
          <w:sz w:val="21"/>
          <w:szCs w:val="21"/>
        </w:rPr>
      </w:pPr>
      <w:r>
        <w:rPr>
          <w:rFonts w:ascii="宋体" w:hAnsi="宋体" w:cs="宋体" w:eastAsia="宋体" w:hint="default"/>
          <w:spacing w:val="-2"/>
          <w:sz w:val="21"/>
          <w:szCs w:val="21"/>
        </w:rPr>
        <w:t>对子公司、联营企业及合营企业投资相关的暂时性差异产生的递延所得税资产和递延所得税负债，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予以确认。但本公司能够控制暂时性差异转回的时间且该暂时性差异在可预见的未来很可能不会转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回的，不予确认。</w:t>
      </w:r>
    </w:p>
    <w:p>
      <w:pPr>
        <w:spacing w:line="240" w:lineRule="auto" w:before="4"/>
        <w:rPr>
          <w:rFonts w:ascii="宋体" w:hAnsi="宋体" w:cs="宋体" w:eastAsia="宋体" w:hint="default"/>
          <w:sz w:val="18"/>
          <w:szCs w:val="18"/>
        </w:rPr>
      </w:pPr>
    </w:p>
    <w:p>
      <w:pPr>
        <w:tabs>
          <w:tab w:pos="807" w:val="left" w:leader="none"/>
        </w:tabs>
        <w:spacing w:line="448" w:lineRule="auto" w:before="0"/>
        <w:ind w:left="808" w:right="324" w:hanging="581"/>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3.27</w:t>
        <w:tab/>
      </w:r>
      <w:r>
        <w:rPr>
          <w:rFonts w:ascii="宋体" w:hAnsi="宋体" w:cs="宋体" w:eastAsia="宋体" w:hint="default"/>
          <w:sz w:val="21"/>
          <w:szCs w:val="21"/>
        </w:rPr>
        <w:t>经营租赁、融资租赁</w:t>
      </w:r>
      <w:r>
        <w:rPr>
          <w:rFonts w:ascii="宋体" w:hAnsi="宋体" w:cs="宋体" w:eastAsia="宋体" w:hint="default"/>
          <w:w w:val="100"/>
          <w:sz w:val="21"/>
          <w:szCs w:val="21"/>
        </w:rPr>
        <w:t> </w:t>
      </w:r>
      <w:r>
        <w:rPr>
          <w:rFonts w:ascii="宋体" w:hAnsi="宋体" w:cs="宋体" w:eastAsia="宋体" w:hint="default"/>
          <w:spacing w:val="-2"/>
          <w:sz w:val="21"/>
          <w:szCs w:val="21"/>
        </w:rPr>
        <w:t>实质上转移了与资产所有权有关的全部风险和报酬的租赁为融资租赁。其他的租赁为经营租赁。</w:t>
      </w:r>
    </w:p>
    <w:p>
      <w:pPr>
        <w:spacing w:line="424" w:lineRule="auto" w:before="56"/>
        <w:ind w:left="808" w:right="8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3.27.1 </w:t>
      </w:r>
      <w:r>
        <w:rPr>
          <w:rFonts w:ascii="宋体" w:hAnsi="宋体" w:cs="宋体" w:eastAsia="宋体" w:hint="default"/>
          <w:sz w:val="21"/>
          <w:szCs w:val="21"/>
        </w:rPr>
        <w:t>经营租赁</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2"/>
          <w:sz w:val="21"/>
          <w:szCs w:val="21"/>
        </w:rPr>
        <w:t>经营租赁的租金支出在租赁期内按照直线法计入相关资产成本或当期损益。</w:t>
      </w:r>
    </w:p>
    <w:p>
      <w:pPr>
        <w:spacing w:before="77"/>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3.27.2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融资租赁</w:t>
      </w:r>
    </w:p>
    <w:p>
      <w:pPr>
        <w:spacing w:line="240" w:lineRule="auto" w:before="3"/>
        <w:rPr>
          <w:rFonts w:ascii="宋体" w:hAnsi="宋体" w:cs="宋体" w:eastAsia="宋体" w:hint="default"/>
          <w:sz w:val="17"/>
          <w:szCs w:val="17"/>
        </w:rPr>
      </w:pPr>
    </w:p>
    <w:p>
      <w:pPr>
        <w:spacing w:line="237" w:lineRule="auto" w:before="0"/>
        <w:ind w:left="808" w:right="147" w:firstLine="0"/>
        <w:jc w:val="both"/>
        <w:rPr>
          <w:rFonts w:ascii="宋体" w:hAnsi="宋体" w:cs="宋体" w:eastAsia="宋体" w:hint="default"/>
          <w:sz w:val="21"/>
          <w:szCs w:val="21"/>
        </w:rPr>
      </w:pPr>
      <w:r>
        <w:rPr>
          <w:rFonts w:ascii="宋体" w:hAnsi="宋体" w:cs="宋体" w:eastAsia="宋体" w:hint="default"/>
          <w:spacing w:val="-3"/>
          <w:sz w:val="21"/>
          <w:szCs w:val="21"/>
        </w:rPr>
        <w:t>按租赁资产的公允价值与最低租赁付款额的现值两者中较低者作为租入资产的入账价值，租入资产</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的入账价值与最低租赁付款额之间的差额为未确认融资费用，在租赁期内按实际利率法摊销。最低</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租赁付款额扣除未确认融资费用后的余额以长期应付款列示。</w:t>
      </w:r>
    </w:p>
    <w:p>
      <w:pPr>
        <w:spacing w:after="0" w:line="237" w:lineRule="auto"/>
        <w:jc w:val="both"/>
        <w:rPr>
          <w:rFonts w:ascii="宋体" w:hAnsi="宋体" w:cs="宋体" w:eastAsia="宋体" w:hint="default"/>
          <w:sz w:val="21"/>
          <w:szCs w:val="21"/>
        </w:rPr>
        <w:sectPr>
          <w:pgSz w:w="11900" w:h="16840"/>
          <w:pgMar w:header="886" w:footer="983" w:top="1800" w:bottom="1180" w:left="1100" w:right="840"/>
        </w:sectPr>
      </w:pPr>
    </w:p>
    <w:p>
      <w:pPr>
        <w:spacing w:line="240" w:lineRule="auto" w:before="10"/>
        <w:rPr>
          <w:rFonts w:ascii="宋体" w:hAnsi="宋体" w:cs="宋体" w:eastAsia="宋体" w:hint="default"/>
          <w:sz w:val="12"/>
          <w:szCs w:val="12"/>
        </w:rPr>
      </w:pPr>
    </w:p>
    <w:p>
      <w:pPr>
        <w:tabs>
          <w:tab w:pos="807" w:val="left" w:leader="none"/>
        </w:tabs>
        <w:spacing w:before="41"/>
        <w:ind w:left="100"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4</w:t>
        <w:tab/>
      </w:r>
      <w:r>
        <w:rPr>
          <w:rFonts w:ascii="宋体" w:hAnsi="宋体" w:cs="宋体" w:eastAsia="宋体" w:hint="default"/>
          <w:b/>
          <w:bCs/>
          <w:sz w:val="21"/>
          <w:szCs w:val="21"/>
        </w:rPr>
        <w:t>税项</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8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主要税种及税率</w:t>
      </w:r>
    </w:p>
    <w:p>
      <w:pPr>
        <w:spacing w:line="240" w:lineRule="auto" w:before="9"/>
        <w:rPr>
          <w:rFonts w:ascii="宋体" w:hAnsi="宋体" w:cs="宋体" w:eastAsia="宋体" w:hint="default"/>
          <w:sz w:val="19"/>
          <w:szCs w:val="19"/>
        </w:rPr>
      </w:pPr>
    </w:p>
    <w:tbl>
      <w:tblPr>
        <w:tblW w:w="0" w:type="auto"/>
        <w:jc w:val="left"/>
        <w:tblInd w:w="695" w:type="dxa"/>
        <w:tblLayout w:type="fixed"/>
        <w:tblCellMar>
          <w:top w:w="0" w:type="dxa"/>
          <w:left w:w="0" w:type="dxa"/>
          <w:bottom w:w="0" w:type="dxa"/>
          <w:right w:w="0" w:type="dxa"/>
        </w:tblCellMar>
        <w:tblLook w:val="01E0"/>
      </w:tblPr>
      <w:tblGrid>
        <w:gridCol w:w="1800"/>
        <w:gridCol w:w="2971"/>
        <w:gridCol w:w="4301"/>
      </w:tblGrid>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281"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71"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应纳税增值额</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应纳税额按应</w:t>
            </w:r>
          </w:p>
        </w:tc>
        <w:tc>
          <w:tcPr>
            <w:tcW w:w="4301" w:type="dxa"/>
            <w:tcBorders>
              <w:top w:val="single" w:sz="4" w:space="0" w:color="000000"/>
              <w:left w:val="single" w:sz="4" w:space="0" w:color="000000"/>
              <w:bottom w:val="nil" w:sz="6" w:space="0" w:color="auto"/>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w:t>
            </w:r>
          </w:p>
        </w:tc>
      </w:tr>
      <w:tr>
        <w:trPr>
          <w:trHeight w:val="267" w:hRule="exact"/>
        </w:trPr>
        <w:tc>
          <w:tcPr>
            <w:tcW w:w="1800" w:type="dxa"/>
            <w:tcBorders>
              <w:top w:val="nil" w:sz="6" w:space="0" w:color="auto"/>
              <w:left w:val="single" w:sz="4" w:space="0" w:color="000000"/>
              <w:bottom w:val="nil" w:sz="6" w:space="0" w:color="auto"/>
              <w:right w:val="single" w:sz="4" w:space="0" w:color="000000"/>
            </w:tcBorders>
          </w:tcPr>
          <w:p>
            <w:pPr/>
          </w:p>
        </w:tc>
        <w:tc>
          <w:tcPr>
            <w:tcW w:w="297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纳税销售额乘以适用税率扣除</w:t>
            </w:r>
          </w:p>
        </w:tc>
        <w:tc>
          <w:tcPr>
            <w:tcW w:w="4301"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800" w:type="dxa"/>
            <w:tcBorders>
              <w:top w:val="nil" w:sz="6" w:space="0" w:color="auto"/>
              <w:left w:val="single" w:sz="4" w:space="0" w:color="000000"/>
              <w:bottom w:val="nil" w:sz="6" w:space="0" w:color="auto"/>
              <w:right w:val="single" w:sz="4" w:space="0" w:color="000000"/>
            </w:tcBorders>
          </w:tcPr>
          <w:p>
            <w:pPr/>
          </w:p>
        </w:tc>
        <w:tc>
          <w:tcPr>
            <w:tcW w:w="297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当期允计抵扣的进项税后的余</w:t>
            </w:r>
          </w:p>
        </w:tc>
        <w:tc>
          <w:tcPr>
            <w:tcW w:w="4301"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800" w:type="dxa"/>
            <w:tcBorders>
              <w:top w:val="nil" w:sz="6" w:space="0" w:color="auto"/>
              <w:left w:val="single" w:sz="4" w:space="0" w:color="000000"/>
              <w:bottom w:val="single" w:sz="4" w:space="0" w:color="000000"/>
              <w:right w:val="single" w:sz="4" w:space="0" w:color="000000"/>
            </w:tcBorders>
          </w:tcPr>
          <w:p>
            <w:pPr/>
          </w:p>
        </w:tc>
        <w:tc>
          <w:tcPr>
            <w:tcW w:w="2971"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额计算</w:t>
            </w:r>
            <w:r>
              <w:rPr>
                <w:rFonts w:ascii="Times New Roman" w:hAnsi="Times New Roman" w:cs="Times New Roman" w:eastAsia="Times New Roman" w:hint="default"/>
                <w:sz w:val="21"/>
                <w:szCs w:val="21"/>
              </w:rPr>
              <w:t>)</w:t>
            </w:r>
          </w:p>
        </w:tc>
        <w:tc>
          <w:tcPr>
            <w:tcW w:w="4301"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应纳营业税</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w:t>
            </w: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42.048%</w:t>
            </w:r>
          </w:p>
        </w:tc>
      </w:tr>
    </w:tbl>
    <w:p>
      <w:pPr>
        <w:spacing w:line="240" w:lineRule="auto" w:before="2"/>
        <w:rPr>
          <w:rFonts w:ascii="宋体" w:hAnsi="宋体" w:cs="宋体" w:eastAsia="宋体" w:hint="default"/>
          <w:sz w:val="13"/>
          <w:szCs w:val="13"/>
        </w:rPr>
      </w:pPr>
    </w:p>
    <w:p>
      <w:pPr>
        <w:spacing w:before="36"/>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税收优惠及批文</w:t>
      </w:r>
    </w:p>
    <w:p>
      <w:pPr>
        <w:spacing w:line="240" w:lineRule="auto" w:before="2"/>
        <w:rPr>
          <w:rFonts w:ascii="宋体" w:hAnsi="宋体" w:cs="宋体" w:eastAsia="宋体" w:hint="default"/>
          <w:sz w:val="18"/>
          <w:szCs w:val="18"/>
        </w:rPr>
      </w:pPr>
    </w:p>
    <w:p>
      <w:pPr>
        <w:spacing w:line="225" w:lineRule="auto" w:before="0"/>
        <w:ind w:left="808" w:right="0" w:firstLine="0"/>
        <w:jc w:val="left"/>
        <w:rPr>
          <w:rFonts w:ascii="宋体" w:hAnsi="宋体" w:cs="宋体" w:eastAsia="宋体" w:hint="default"/>
          <w:sz w:val="21"/>
          <w:szCs w:val="21"/>
        </w:rPr>
      </w:pPr>
      <w:r>
        <w:rPr>
          <w:rFonts w:ascii="宋体" w:hAnsi="宋体" w:cs="宋体" w:eastAsia="宋体" w:hint="default"/>
          <w:sz w:val="21"/>
          <w:szCs w:val="21"/>
        </w:rPr>
        <w:t>根据国家发展和改革委员会、工业和信息化部、商务部和国家税务总局</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日联合颁</w:t>
      </w:r>
      <w:r>
        <w:rPr>
          <w:rFonts w:ascii="宋体" w:hAnsi="宋体" w:cs="宋体" w:eastAsia="宋体" w:hint="default"/>
          <w:w w:val="100"/>
          <w:sz w:val="21"/>
          <w:szCs w:val="21"/>
        </w:rPr>
        <w:t> </w:t>
      </w:r>
      <w:r>
        <w:rPr>
          <w:rFonts w:ascii="宋体" w:hAnsi="宋体" w:cs="宋体" w:eastAsia="宋体" w:hint="default"/>
          <w:spacing w:val="-2"/>
          <w:w w:val="100"/>
          <w:sz w:val="21"/>
          <w:szCs w:val="21"/>
        </w:rPr>
        <w:t>布的发改高技（</w:t>
      </w:r>
      <w:r>
        <w:rPr>
          <w:rFonts w:ascii="Times New Roman" w:hAnsi="Times New Roman" w:cs="Times New Roman" w:eastAsia="Times New Roman" w:hint="default"/>
          <w:spacing w:val="-2"/>
          <w:w w:val="100"/>
          <w:sz w:val="21"/>
          <w:szCs w:val="21"/>
        </w:rPr>
        <w:t>2011</w:t>
      </w: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342</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号文《关于发布</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7"/>
          <w:w w:val="100"/>
          <w:sz w:val="21"/>
          <w:szCs w:val="21"/>
        </w:rPr>
        <w:t>年度国家规划布局内重点软件企业名单的通知》，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认定本公司 </w:t>
      </w:r>
      <w:r>
        <w:rPr>
          <w:rFonts w:ascii="Times New Roman" w:hAnsi="Times New Roman" w:cs="Times New Roman" w:eastAsia="Times New Roman" w:hint="default"/>
          <w:sz w:val="21"/>
          <w:szCs w:val="21"/>
        </w:rPr>
        <w:t>2010 </w:t>
      </w:r>
      <w:r>
        <w:rPr>
          <w:rFonts w:ascii="宋体" w:hAnsi="宋体" w:cs="宋体" w:eastAsia="宋体" w:hint="default"/>
          <w:spacing w:val="-4"/>
          <w:sz w:val="21"/>
          <w:szCs w:val="21"/>
        </w:rPr>
        <w:t>年度为国家布局内的重点软件企业，</w:t>
      </w:r>
      <w:r>
        <w:rPr>
          <w:rFonts w:ascii="Times New Roman" w:hAnsi="Times New Roman" w:cs="Times New Roman" w:eastAsia="Times New Roman" w:hint="default"/>
          <w:spacing w:val="-4"/>
          <w:sz w:val="21"/>
          <w:szCs w:val="21"/>
        </w:rPr>
        <w:t>2010 </w:t>
      </w:r>
      <w:r>
        <w:rPr>
          <w:rFonts w:ascii="宋体" w:hAnsi="宋体" w:cs="宋体" w:eastAsia="宋体" w:hint="default"/>
          <w:sz w:val="21"/>
          <w:szCs w:val="21"/>
        </w:rPr>
        <w:t>年度企业所得税减按</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的税率征收。</w:t>
      </w:r>
    </w:p>
    <w:p>
      <w:pPr>
        <w:spacing w:line="240" w:lineRule="auto" w:before="3"/>
        <w:rPr>
          <w:rFonts w:ascii="宋体" w:hAnsi="宋体" w:cs="宋体" w:eastAsia="宋体" w:hint="default"/>
          <w:sz w:val="19"/>
          <w:szCs w:val="19"/>
        </w:rPr>
      </w:pPr>
    </w:p>
    <w:p>
      <w:pPr>
        <w:spacing w:line="274" w:lineRule="exact" w:before="0"/>
        <w:ind w:left="808" w:right="269" w:firstLine="0"/>
        <w:jc w:val="both"/>
        <w:rPr>
          <w:rFonts w:ascii="宋体" w:hAnsi="宋体" w:cs="宋体" w:eastAsia="宋体" w:hint="default"/>
          <w:sz w:val="21"/>
          <w:szCs w:val="21"/>
        </w:rPr>
      </w:pPr>
      <w:r>
        <w:rPr>
          <w:rFonts w:ascii="宋体" w:hAnsi="宋体" w:cs="宋体" w:eastAsia="宋体" w:hint="default"/>
          <w:sz w:val="21"/>
          <w:szCs w:val="21"/>
        </w:rPr>
        <w:t>本公司之子公司上海华钟计算机软件开发有限公司于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月获得高新技术企业证书，有效</w:t>
      </w:r>
      <w:r>
        <w:rPr>
          <w:rFonts w:ascii="宋体" w:hAnsi="宋体" w:cs="宋体" w:eastAsia="宋体" w:hint="default"/>
          <w:w w:val="100"/>
          <w:sz w:val="21"/>
          <w:szCs w:val="21"/>
        </w:rPr>
        <w:t> </w:t>
      </w:r>
      <w:r>
        <w:rPr>
          <w:rFonts w:ascii="宋体" w:hAnsi="宋体" w:cs="宋体" w:eastAsia="宋体" w:hint="default"/>
          <w:sz w:val="21"/>
          <w:szCs w:val="21"/>
        </w:rPr>
        <w:t>期为三年，故</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年度企业所得税减按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的税率征收。</w:t>
      </w:r>
    </w:p>
    <w:p>
      <w:pPr>
        <w:spacing w:line="240" w:lineRule="auto" w:before="4"/>
        <w:rPr>
          <w:rFonts w:ascii="宋体" w:hAnsi="宋体" w:cs="宋体" w:eastAsia="宋体" w:hint="default"/>
          <w:sz w:val="16"/>
          <w:szCs w:val="16"/>
        </w:rPr>
      </w:pPr>
    </w:p>
    <w:p>
      <w:pPr>
        <w:spacing w:before="0"/>
        <w:ind w:left="80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其他说明</w:t>
      </w:r>
    </w:p>
    <w:p>
      <w:pPr>
        <w:spacing w:line="240" w:lineRule="auto" w:before="13"/>
        <w:rPr>
          <w:rFonts w:ascii="宋体" w:hAnsi="宋体" w:cs="宋体" w:eastAsia="宋体" w:hint="default"/>
          <w:sz w:val="17"/>
          <w:szCs w:val="17"/>
        </w:rPr>
      </w:pPr>
    </w:p>
    <w:p>
      <w:pPr>
        <w:spacing w:line="228" w:lineRule="auto" w:before="0"/>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本公司之子公司日本海隆株式会社注册地为日本国，该公司企业所得税按当地税法规定，应纳企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
          <w:sz w:val="21"/>
          <w:szCs w:val="21"/>
        </w:rPr>
        <w:t>业所得税税率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法人税率</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住民税率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事业税率</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事业税率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，其中法人税征收标准：注册资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亿日元以下，应纳税所得额在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800 </w:t>
      </w:r>
      <w:r>
        <w:rPr>
          <w:rFonts w:ascii="宋体" w:hAnsi="宋体" w:cs="宋体" w:eastAsia="宋体" w:hint="default"/>
          <w:sz w:val="21"/>
          <w:szCs w:val="21"/>
        </w:rPr>
        <w:t>万日元以下的部分，税率为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宋体" w:hAnsi="宋体" w:cs="宋体" w:eastAsia="宋体" w:hint="default"/>
          <w:sz w:val="21"/>
          <w:szCs w:val="21"/>
        </w:rPr>
        <w:t>；应纳税所得额在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800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3"/>
          <w:sz w:val="21"/>
          <w:szCs w:val="21"/>
        </w:rPr>
        <w:t>日元以上的部分，税率为</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5"/>
          <w:sz w:val="21"/>
          <w:szCs w:val="21"/>
        </w:rPr>
        <w:t> </w:t>
      </w:r>
      <w:r>
        <w:rPr>
          <w:rFonts w:ascii="宋体" w:hAnsi="宋体" w:cs="宋体" w:eastAsia="宋体" w:hint="default"/>
          <w:spacing w:val="4"/>
          <w:sz w:val="21"/>
          <w:szCs w:val="21"/>
        </w:rPr>
        <w:t>年度该公司根据以上政策计算的企业所得税实际税率为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42.048% (2009 </w:t>
      </w:r>
      <w:r>
        <w:rPr>
          <w:rFonts w:ascii="宋体" w:hAnsi="宋体" w:cs="宋体" w:eastAsia="宋体" w:hint="default"/>
          <w:sz w:val="21"/>
          <w:szCs w:val="21"/>
        </w:rPr>
        <w:t>年度为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26.440%)</w:t>
      </w:r>
      <w:r>
        <w:rPr>
          <w:rFonts w:ascii="宋体" w:hAnsi="宋体" w:cs="宋体" w:eastAsia="宋体" w:hint="default"/>
          <w:sz w:val="21"/>
          <w:szCs w:val="21"/>
        </w:rPr>
        <w:t>。</w:t>
      </w:r>
    </w:p>
    <w:p>
      <w:pPr>
        <w:spacing w:line="274" w:lineRule="exact" w:before="9"/>
        <w:ind w:left="808" w:right="269" w:firstLine="0"/>
        <w:jc w:val="both"/>
        <w:rPr>
          <w:rFonts w:ascii="宋体" w:hAnsi="宋体" w:cs="宋体" w:eastAsia="宋体" w:hint="default"/>
          <w:sz w:val="21"/>
          <w:szCs w:val="21"/>
        </w:rPr>
      </w:pPr>
      <w:r>
        <w:rPr>
          <w:rFonts w:ascii="宋体" w:hAnsi="宋体" w:cs="宋体" w:eastAsia="宋体" w:hint="default"/>
          <w:spacing w:val="-1"/>
          <w:sz w:val="21"/>
          <w:szCs w:val="21"/>
        </w:rPr>
        <w:t>本公司之子公司上海海隆宜通信息技术有限公司、江苏海隆软件技术有限公司及原子公司南京欧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亚物流信息系统有限公司企业所得税按</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的税率征收。</w:t>
      </w:r>
    </w:p>
    <w:p>
      <w:pPr>
        <w:spacing w:after="0" w:line="274" w:lineRule="exact"/>
        <w:jc w:val="both"/>
        <w:rPr>
          <w:rFonts w:ascii="宋体" w:hAnsi="宋体" w:cs="宋体" w:eastAsia="宋体" w:hint="default"/>
          <w:sz w:val="21"/>
          <w:szCs w:val="21"/>
        </w:rPr>
        <w:sectPr>
          <w:pgSz w:w="11900" w:h="16840"/>
          <w:pgMar w:header="886" w:footer="983" w:top="1800" w:bottom="1180" w:left="1100" w:right="860"/>
        </w:sectPr>
      </w:pPr>
    </w:p>
    <w:p>
      <w:pPr>
        <w:spacing w:line="240" w:lineRule="auto" w:before="10"/>
        <w:rPr>
          <w:rFonts w:ascii="宋体" w:hAnsi="宋体" w:cs="宋体" w:eastAsia="宋体" w:hint="default"/>
          <w:sz w:val="12"/>
          <w:szCs w:val="12"/>
        </w:rPr>
      </w:pPr>
    </w:p>
    <w:p>
      <w:pPr>
        <w:tabs>
          <w:tab w:pos="840" w:val="left" w:leader="none"/>
        </w:tabs>
        <w:spacing w:before="4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5</w:t>
        <w:tab/>
      </w:r>
      <w:r>
        <w:rPr>
          <w:rFonts w:ascii="宋体" w:hAnsi="宋体" w:cs="宋体" w:eastAsia="宋体" w:hint="default"/>
          <w:b/>
          <w:bCs/>
          <w:sz w:val="21"/>
          <w:szCs w:val="21"/>
        </w:rPr>
        <w:t>企业合并及合并财务报表</w:t>
      </w:r>
      <w:r>
        <w:rPr>
          <w:rFonts w:ascii="宋体" w:hAnsi="宋体" w:cs="宋体" w:eastAsia="宋体" w:hint="default"/>
          <w:sz w:val="21"/>
          <w:szCs w:val="21"/>
        </w:rPr>
        <w:t>（金额单位为人民币万元）</w:t>
      </w:r>
    </w:p>
    <w:p>
      <w:pPr>
        <w:spacing w:line="240" w:lineRule="auto" w:before="3"/>
        <w:rPr>
          <w:rFonts w:ascii="宋体" w:hAnsi="宋体" w:cs="宋体" w:eastAsia="宋体" w:hint="default"/>
          <w:sz w:val="18"/>
          <w:szCs w:val="18"/>
        </w:rPr>
      </w:pPr>
    </w:p>
    <w:p>
      <w:pPr>
        <w:tabs>
          <w:tab w:pos="840" w:val="left" w:leader="none"/>
        </w:tabs>
        <w:spacing w:before="0"/>
        <w:ind w:left="344"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5.1</w:t>
        <w:tab/>
      </w:r>
      <w:r>
        <w:rPr>
          <w:rFonts w:ascii="宋体" w:hAnsi="宋体" w:cs="宋体" w:eastAsia="宋体" w:hint="default"/>
          <w:sz w:val="21"/>
          <w:szCs w:val="21"/>
        </w:rPr>
        <w:t>子公司情况</w:t>
      </w:r>
    </w:p>
    <w:p>
      <w:pPr>
        <w:spacing w:line="240" w:lineRule="auto" w:before="3"/>
        <w:rPr>
          <w:rFonts w:ascii="宋体" w:hAnsi="宋体" w:cs="宋体" w:eastAsia="宋体" w:hint="default"/>
          <w:sz w:val="18"/>
          <w:szCs w:val="18"/>
        </w:rPr>
      </w:pPr>
    </w:p>
    <w:p>
      <w:pPr>
        <w:spacing w:before="0"/>
        <w:ind w:left="8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通过设立或投资等方式取得的子公司</w:t>
      </w:r>
    </w:p>
    <w:p>
      <w:pPr>
        <w:spacing w:line="240" w:lineRule="auto" w:before="9"/>
        <w:rPr>
          <w:rFonts w:ascii="宋体" w:hAnsi="宋体" w:cs="宋体" w:eastAsia="宋体" w:hint="default"/>
          <w:sz w:val="19"/>
          <w:szCs w:val="19"/>
        </w:rPr>
      </w:pPr>
    </w:p>
    <w:tbl>
      <w:tblPr>
        <w:tblW w:w="0" w:type="auto"/>
        <w:jc w:val="left"/>
        <w:tblInd w:w="728" w:type="dxa"/>
        <w:tblLayout w:type="fixed"/>
        <w:tblCellMar>
          <w:top w:w="0" w:type="dxa"/>
          <w:left w:w="0" w:type="dxa"/>
          <w:bottom w:w="0" w:type="dxa"/>
          <w:right w:w="0" w:type="dxa"/>
        </w:tblCellMar>
        <w:tblLook w:val="01E0"/>
      </w:tblPr>
      <w:tblGrid>
        <w:gridCol w:w="3350"/>
        <w:gridCol w:w="1277"/>
        <w:gridCol w:w="1416"/>
        <w:gridCol w:w="1418"/>
        <w:gridCol w:w="1843"/>
        <w:gridCol w:w="2266"/>
        <w:gridCol w:w="2580"/>
      </w:tblGrid>
      <w:tr>
        <w:trPr>
          <w:trHeight w:val="56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
              <w:jc w:val="center"/>
              <w:rPr>
                <w:rFonts w:ascii="宋体" w:hAnsi="宋体" w:cs="宋体" w:eastAsia="宋体" w:hint="default"/>
                <w:sz w:val="21"/>
                <w:szCs w:val="21"/>
              </w:rPr>
            </w:pPr>
            <w:r>
              <w:rPr>
                <w:rFonts w:ascii="宋体" w:hAnsi="宋体" w:cs="宋体" w:eastAsia="宋体" w:hint="default"/>
                <w:sz w:val="21"/>
                <w:szCs w:val="21"/>
              </w:rPr>
              <w:t>子公司类</w:t>
            </w:r>
          </w:p>
          <w:p>
            <w:pPr>
              <w:pStyle w:val="TableParagraph"/>
              <w:spacing w:line="273" w:lineRule="exact"/>
              <w:ind w:right="31"/>
              <w:jc w:val="center"/>
              <w:rPr>
                <w:rFonts w:ascii="宋体" w:hAnsi="宋体" w:cs="宋体" w:eastAsia="宋体" w:hint="default"/>
                <w:sz w:val="21"/>
                <w:szCs w:val="21"/>
              </w:rPr>
            </w:pPr>
            <w:r>
              <w:rPr>
                <w:rFonts w:ascii="宋体" w:hAnsi="宋体" w:cs="宋体" w:eastAsia="宋体" w:hint="default"/>
                <w:w w:val="100"/>
                <w:sz w:val="21"/>
                <w:szCs w:val="21"/>
              </w:rPr>
              <w:t>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4"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07"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hAnsi="宋体" w:cs="宋体" w:eastAsia="宋体" w:hint="default"/>
                <w:spacing w:val="-1"/>
                <w:sz w:val="21"/>
                <w:szCs w:val="21"/>
              </w:rPr>
              <w:t>年末实际出资额</w:t>
            </w:r>
          </w:p>
        </w:tc>
      </w:tr>
      <w:tr>
        <w:trPr>
          <w:trHeight w:val="283"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日本东京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 w:right="0"/>
              <w:jc w:val="center"/>
              <w:rPr>
                <w:rFonts w:ascii="宋体" w:hAnsi="宋体" w:cs="宋体" w:eastAsia="宋体" w:hint="default"/>
                <w:sz w:val="21"/>
                <w:szCs w:val="21"/>
              </w:rPr>
            </w:pPr>
            <w:r>
              <w:rPr>
                <w:rFonts w:ascii="宋体" w:hAnsi="宋体" w:cs="宋体" w:eastAsia="宋体" w:hint="default"/>
                <w:sz w:val="21"/>
                <w:szCs w:val="21"/>
              </w:rPr>
              <w:t>日元 </w:t>
            </w:r>
            <w:r>
              <w:rPr>
                <w:rFonts w:ascii="Times New Roman" w:hAnsi="Times New Roman" w:cs="Times New Roman" w:eastAsia="Times New Roman" w:hint="default"/>
                <w:sz w:val="21"/>
                <w:szCs w:val="21"/>
              </w:rPr>
              <w:t>5,000 </w:t>
            </w:r>
            <w:r>
              <w:rPr>
                <w:rFonts w:ascii="宋体" w:hAnsi="宋体" w:cs="宋体" w:eastAsia="宋体" w:hint="default"/>
                <w:sz w:val="21"/>
                <w:szCs w:val="21"/>
              </w:rPr>
              <w:t>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2"/>
                <w:sz w:val="21"/>
                <w:szCs w:val="21"/>
              </w:rPr>
              <w:t>软件设计开发销售</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3,756,819.40</w:t>
            </w:r>
          </w:p>
        </w:tc>
      </w:tr>
      <w:tr>
        <w:trPr>
          <w:trHeight w:val="281"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上海海隆宜通信息技术有限公司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center"/>
              <w:rPr>
                <w:rFonts w:ascii="宋体" w:hAnsi="宋体" w:cs="宋体" w:eastAsia="宋体" w:hint="default"/>
                <w:sz w:val="21"/>
                <w:szCs w:val="21"/>
              </w:rPr>
            </w:pPr>
            <w:r>
              <w:rPr>
                <w:rFonts w:ascii="宋体" w:hAnsi="宋体" w:cs="宋体" w:eastAsia="宋体" w:hint="default"/>
                <w:sz w:val="21"/>
                <w:szCs w:val="21"/>
              </w:rPr>
              <w:t>非全资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中国上海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6"/>
              <w:jc w:val="right"/>
              <w:rPr>
                <w:rFonts w:ascii="宋体" w:hAnsi="宋体" w:cs="宋体" w:eastAsia="宋体" w:hint="default"/>
                <w:sz w:val="21"/>
                <w:szCs w:val="21"/>
              </w:rPr>
            </w:pPr>
            <w:r>
              <w:rPr>
                <w:rFonts w:ascii="宋体" w:hAnsi="宋体" w:cs="宋体" w:eastAsia="宋体" w:hint="default"/>
                <w:spacing w:val="-2"/>
                <w:sz w:val="21"/>
                <w:szCs w:val="21"/>
              </w:rPr>
              <w:t>软件设计开发销售</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3"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江苏海隆软件技术有限公司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4" w:right="0"/>
              <w:jc w:val="center"/>
              <w:rPr>
                <w:rFonts w:ascii="宋体" w:hAnsi="宋体" w:cs="宋体" w:eastAsia="宋体" w:hint="default"/>
                <w:sz w:val="21"/>
                <w:szCs w:val="21"/>
              </w:rPr>
            </w:pPr>
            <w:r>
              <w:rPr>
                <w:rFonts w:ascii="宋体" w:hAnsi="宋体" w:cs="宋体" w:eastAsia="宋体" w:hint="default"/>
                <w:sz w:val="21"/>
                <w:szCs w:val="21"/>
              </w:rPr>
              <w:t>全资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6" w:right="0"/>
              <w:jc w:val="left"/>
              <w:rPr>
                <w:rFonts w:ascii="宋体" w:hAnsi="宋体" w:cs="宋体" w:eastAsia="宋体" w:hint="default"/>
                <w:sz w:val="21"/>
                <w:szCs w:val="21"/>
              </w:rPr>
            </w:pPr>
            <w:r>
              <w:rPr>
                <w:rFonts w:ascii="宋体" w:hAnsi="宋体" w:cs="宋体" w:eastAsia="宋体" w:hint="default"/>
                <w:sz w:val="21"/>
                <w:szCs w:val="21"/>
              </w:rPr>
              <w:t>中国南京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6"/>
              <w:jc w:val="right"/>
              <w:rPr>
                <w:rFonts w:ascii="宋体" w:hAnsi="宋体" w:cs="宋体" w:eastAsia="宋体" w:hint="default"/>
                <w:sz w:val="21"/>
                <w:szCs w:val="21"/>
              </w:rPr>
            </w:pPr>
            <w:r>
              <w:rPr>
                <w:rFonts w:ascii="宋体" w:hAnsi="宋体" w:cs="宋体" w:eastAsia="宋体" w:hint="default"/>
                <w:spacing w:val="-2"/>
                <w:sz w:val="21"/>
                <w:szCs w:val="21"/>
              </w:rPr>
              <w:t>软件设计开发销售</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4,125,000.00</w:t>
            </w:r>
          </w:p>
        </w:tc>
      </w:tr>
    </w:tbl>
    <w:p>
      <w:pPr>
        <w:spacing w:line="240" w:lineRule="auto" w:before="6"/>
        <w:rPr>
          <w:rFonts w:ascii="宋体" w:hAnsi="宋体" w:cs="宋体" w:eastAsia="宋体" w:hint="default"/>
          <w:sz w:val="18"/>
          <w:szCs w:val="18"/>
        </w:rPr>
      </w:pPr>
    </w:p>
    <w:p>
      <w:pPr>
        <w:spacing w:before="36"/>
        <w:ind w:left="67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通过设立或投资等方式取得的子公司（续）</w:t>
      </w:r>
    </w:p>
    <w:p>
      <w:pPr>
        <w:spacing w:line="240" w:lineRule="auto" w:before="9"/>
        <w:rPr>
          <w:rFonts w:ascii="宋体" w:hAnsi="宋体" w:cs="宋体" w:eastAsia="宋体" w:hint="default"/>
          <w:sz w:val="19"/>
          <w:szCs w:val="19"/>
        </w:rPr>
      </w:pPr>
    </w:p>
    <w:tbl>
      <w:tblPr>
        <w:tblW w:w="0" w:type="auto"/>
        <w:jc w:val="left"/>
        <w:tblInd w:w="562" w:type="dxa"/>
        <w:tblLayout w:type="fixed"/>
        <w:tblCellMar>
          <w:top w:w="0" w:type="dxa"/>
          <w:left w:w="0" w:type="dxa"/>
          <w:bottom w:w="0" w:type="dxa"/>
          <w:right w:w="0" w:type="dxa"/>
        </w:tblCellMar>
        <w:tblLook w:val="01E0"/>
      </w:tblPr>
      <w:tblGrid>
        <w:gridCol w:w="3118"/>
        <w:gridCol w:w="1699"/>
        <w:gridCol w:w="994"/>
        <w:gridCol w:w="1418"/>
        <w:gridCol w:w="850"/>
        <w:gridCol w:w="1418"/>
        <w:gridCol w:w="2268"/>
        <w:gridCol w:w="2551"/>
      </w:tblGrid>
      <w:tr>
        <w:trPr>
          <w:trHeight w:val="278" w:hRule="exact"/>
        </w:trPr>
        <w:tc>
          <w:tcPr>
            <w:tcW w:w="3118"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2551"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从公司所有者权益冲减子</w:t>
            </w:r>
          </w:p>
        </w:tc>
      </w:tr>
      <w:tr>
        <w:trPr>
          <w:trHeight w:val="816" w:hRule="exact"/>
        </w:trPr>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实质上构成对子</w:t>
            </w:r>
          </w:p>
          <w:p>
            <w:pPr>
              <w:pStyle w:val="TableParagraph"/>
              <w:spacing w:line="240" w:lineRule="auto"/>
              <w:ind w:left="319" w:right="103" w:hanging="209"/>
              <w:jc w:val="left"/>
              <w:rPr>
                <w:rFonts w:ascii="宋体" w:hAnsi="宋体" w:cs="宋体" w:eastAsia="宋体" w:hint="default"/>
                <w:sz w:val="21"/>
                <w:szCs w:val="21"/>
              </w:rPr>
            </w:pPr>
            <w:r>
              <w:rPr>
                <w:rFonts w:ascii="宋体" w:hAnsi="宋体" w:cs="宋体" w:eastAsia="宋体" w:hint="default"/>
                <w:sz w:val="21"/>
                <w:szCs w:val="21"/>
              </w:rPr>
              <w:t>公司净投资的其</w:t>
            </w:r>
            <w:r>
              <w:rPr>
                <w:rFonts w:ascii="宋体" w:hAnsi="宋体" w:cs="宋体" w:eastAsia="宋体" w:hint="default"/>
                <w:w w:val="100"/>
                <w:sz w:val="21"/>
                <w:szCs w:val="21"/>
              </w:rPr>
              <w:t> </w:t>
            </w:r>
            <w:r>
              <w:rPr>
                <w:rFonts w:ascii="宋体" w:hAnsi="宋体" w:cs="宋体" w:eastAsia="宋体" w:hint="default"/>
                <w:sz w:val="21"/>
                <w:szCs w:val="21"/>
              </w:rPr>
              <w:t>他项目余额</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3" w:lineRule="exact" w:before="103"/>
              <w:ind w:left="-3" w:right="142"/>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89" w:lineRule="exact"/>
              <w:ind w:right="144"/>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73" w:lineRule="exact" w:before="103"/>
              <w:ind w:right="31"/>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89" w:lineRule="exact"/>
              <w:ind w:right="3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z w:val="21"/>
                <w:szCs w:val="21"/>
              </w:rPr>
              <w:t>是否合</w:t>
            </w:r>
            <w:r>
              <w:rPr>
                <w:rFonts w:ascii="宋体" w:hAnsi="宋体" w:cs="宋体" w:eastAsia="宋体" w:hint="default"/>
                <w:spacing w:val="-102"/>
                <w:sz w:val="21"/>
                <w:szCs w:val="21"/>
              </w:rPr>
              <w:t> </w:t>
            </w:r>
            <w:r>
              <w:rPr>
                <w:rFonts w:ascii="宋体" w:hAnsi="宋体" w:cs="宋体" w:eastAsia="宋体" w:hint="default"/>
                <w:sz w:val="21"/>
                <w:szCs w:val="21"/>
              </w:rPr>
              <w:t>并报表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72" w:lineRule="exact" w:before="130"/>
              <w:ind w:left="597" w:right="175"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少数股东权益中用于</w:t>
            </w:r>
          </w:p>
          <w:p>
            <w:pPr>
              <w:pStyle w:val="TableParagraph"/>
              <w:spacing w:line="240" w:lineRule="auto"/>
              <w:ind w:left="919" w:right="180" w:hanging="737"/>
              <w:jc w:val="left"/>
              <w:rPr>
                <w:rFonts w:ascii="宋体" w:hAnsi="宋体" w:cs="宋体" w:eastAsia="宋体" w:hint="default"/>
                <w:sz w:val="21"/>
                <w:szCs w:val="21"/>
              </w:rPr>
            </w:pPr>
            <w:r>
              <w:rPr>
                <w:rFonts w:ascii="宋体" w:hAnsi="宋体" w:cs="宋体" w:eastAsia="宋体" w:hint="default"/>
                <w:sz w:val="21"/>
                <w:szCs w:val="21"/>
              </w:rPr>
              <w:t>冲减少数股东损益的</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公司少数股东分担的本年</w:t>
            </w:r>
          </w:p>
          <w:p>
            <w:pPr>
              <w:pStyle w:val="TableParagraph"/>
              <w:spacing w:line="240" w:lineRule="auto"/>
              <w:ind w:left="115" w:right="112"/>
              <w:jc w:val="left"/>
              <w:rPr>
                <w:rFonts w:ascii="宋体" w:hAnsi="宋体" w:cs="宋体" w:eastAsia="宋体" w:hint="default"/>
                <w:sz w:val="21"/>
                <w:szCs w:val="21"/>
              </w:rPr>
            </w:pPr>
            <w:r>
              <w:rPr>
                <w:rFonts w:ascii="宋体" w:hAnsi="宋体" w:cs="宋体" w:eastAsia="宋体" w:hint="default"/>
                <w:spacing w:val="-2"/>
                <w:sz w:val="21"/>
                <w:szCs w:val="21"/>
              </w:rPr>
              <w:t>亏损超过少数股东在该子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公司年初所有者权益中所</w:t>
            </w:r>
          </w:p>
        </w:tc>
      </w:tr>
      <w:tr>
        <w:trPr>
          <w:trHeight w:val="279" w:hRule="exact"/>
        </w:trPr>
        <w:tc>
          <w:tcPr>
            <w:tcW w:w="3118"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255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享有份额后的余额</w:t>
            </w:r>
          </w:p>
        </w:tc>
      </w:tr>
      <w:tr>
        <w:trPr>
          <w:trHeight w:val="285"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3"/>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9"/>
              <w:jc w:val="right"/>
              <w:rPr>
                <w:rFonts w:ascii="Times New Roman" w:hAnsi="Times New Roman" w:cs="Times New Roman" w:eastAsia="Times New Roman" w:hint="default"/>
                <w:sz w:val="21"/>
                <w:szCs w:val="21"/>
              </w:rPr>
            </w:pPr>
            <w:r>
              <w:rPr>
                <w:rFonts w:ascii="Times New Roman"/>
                <w:sz w:val="21"/>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53"/>
              <w:jc w:val="right"/>
              <w:rPr>
                <w:rFonts w:ascii="Times New Roman" w:hAnsi="Times New Roman" w:cs="Times New Roman" w:eastAsia="Times New Roman" w:hint="default"/>
                <w:sz w:val="21"/>
                <w:szCs w:val="21"/>
              </w:rPr>
            </w:pPr>
            <w:r>
              <w:rPr>
                <w:rFonts w:ascii="Times New Roman"/>
                <w:sz w:val="21"/>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41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center"/>
              <w:rPr>
                <w:rFonts w:ascii="Times New Roman" w:hAnsi="Times New Roman" w:cs="Times New Roman" w:eastAsia="Times New Roman" w:hint="default"/>
                <w:sz w:val="21"/>
                <w:szCs w:val="21"/>
              </w:rPr>
            </w:pPr>
            <w:r>
              <w:rPr>
                <w:rFonts w:ascii="Times New Roman"/>
                <w:w w:val="100"/>
                <w:sz w:val="21"/>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上海海隆宜通信息技术有限公司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3"/>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4"/>
              <w:jc w:val="right"/>
              <w:rPr>
                <w:rFonts w:ascii="Times New Roman" w:hAnsi="Times New Roman" w:cs="Times New Roman" w:eastAsia="Times New Roman" w:hint="default"/>
                <w:sz w:val="21"/>
                <w:szCs w:val="21"/>
              </w:rPr>
            </w:pPr>
            <w:r>
              <w:rPr>
                <w:rFonts w:ascii="Times New Roman"/>
                <w:sz w:val="21"/>
              </w:rPr>
              <w:t>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06"/>
              <w:jc w:val="right"/>
              <w:rPr>
                <w:rFonts w:ascii="Times New Roman" w:hAnsi="Times New Roman" w:cs="Times New Roman" w:eastAsia="Times New Roman" w:hint="default"/>
                <w:sz w:val="21"/>
                <w:szCs w:val="21"/>
              </w:rPr>
            </w:pPr>
            <w:r>
              <w:rPr>
                <w:rFonts w:ascii="Times New Roman"/>
                <w:sz w:val="21"/>
              </w:rPr>
              <w:t>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3,197,903.65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center"/>
              <w:rPr>
                <w:rFonts w:ascii="Times New Roman" w:hAnsi="Times New Roman" w:cs="Times New Roman" w:eastAsia="Times New Roman" w:hint="default"/>
                <w:sz w:val="21"/>
                <w:szCs w:val="21"/>
              </w:rPr>
            </w:pPr>
            <w:r>
              <w:rPr>
                <w:rFonts w:ascii="Times New Roman"/>
                <w:sz w:val="21"/>
              </w:rPr>
              <w:t>-194,028.45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江苏海隆软件技术有限公司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3"/>
              <w:jc w:val="right"/>
              <w:rPr>
                <w:rFonts w:ascii="Times New Roman" w:hAnsi="Times New Roman" w:cs="Times New Roman" w:eastAsia="Times New Roman" w:hint="default"/>
                <w:sz w:val="21"/>
                <w:szCs w:val="21"/>
              </w:rPr>
            </w:pPr>
            <w:r>
              <w:rPr>
                <w:rFonts w:ascii="Times New Roman"/>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9"/>
              <w:jc w:val="right"/>
              <w:rPr>
                <w:rFonts w:ascii="Times New Roman" w:hAnsi="Times New Roman" w:cs="Times New Roman" w:eastAsia="Times New Roman" w:hint="default"/>
                <w:sz w:val="21"/>
                <w:szCs w:val="21"/>
              </w:rPr>
            </w:pPr>
            <w:r>
              <w:rPr>
                <w:rFonts w:ascii="Times New Roman"/>
                <w:sz w:val="21"/>
              </w:rPr>
              <w:t>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53"/>
              <w:jc w:val="right"/>
              <w:rPr>
                <w:rFonts w:ascii="Times New Roman" w:hAnsi="Times New Roman" w:cs="Times New Roman" w:eastAsia="Times New Roman" w:hint="default"/>
                <w:sz w:val="21"/>
                <w:szCs w:val="21"/>
              </w:rPr>
            </w:pPr>
            <w:r>
              <w:rPr>
                <w:rFonts w:ascii="Times New Roman"/>
                <w:sz w:val="21"/>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0"/>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41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6" w:right="0"/>
              <w:jc w:val="center"/>
              <w:rPr>
                <w:rFonts w:ascii="Times New Roman" w:hAnsi="Times New Roman" w:cs="Times New Roman" w:eastAsia="Times New Roman" w:hint="default"/>
                <w:sz w:val="21"/>
                <w:szCs w:val="21"/>
              </w:rPr>
            </w:pPr>
            <w:r>
              <w:rPr>
                <w:rFonts w:ascii="Times New Roman"/>
                <w:w w:val="100"/>
                <w:sz w:val="21"/>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headerReference w:type="default" r:id="rId30"/>
          <w:footerReference w:type="default" r:id="rId31"/>
          <w:pgSz w:w="16840" w:h="11900" w:orient="landscape"/>
          <w:pgMar w:header="886" w:footer="975" w:top="1800" w:bottom="1160" w:left="1300" w:right="540"/>
          <w:pgNumType w:start="96"/>
        </w:sectPr>
      </w:pPr>
    </w:p>
    <w:p>
      <w:pPr>
        <w:spacing w:line="240" w:lineRule="auto" w:before="10"/>
        <w:rPr>
          <w:rFonts w:ascii="宋体" w:hAnsi="宋体" w:cs="宋体" w:eastAsia="宋体" w:hint="default"/>
          <w:sz w:val="12"/>
          <w:szCs w:val="12"/>
        </w:rPr>
      </w:pPr>
    </w:p>
    <w:p>
      <w:pPr>
        <w:tabs>
          <w:tab w:pos="840" w:val="left" w:leader="none"/>
        </w:tabs>
        <w:spacing w:before="41"/>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w w:val="100"/>
          <w:position w:val="2"/>
          <w:sz w:val="21"/>
          <w:szCs w:val="21"/>
        </w:rPr>
        <w:t>5</w:t>
      </w:r>
      <w:r>
        <w:rPr>
          <w:rFonts w:ascii="Times New Roman" w:hAnsi="Times New Roman" w:cs="Times New Roman" w:eastAsia="Times New Roman" w:hint="default"/>
          <w:b/>
          <w:bCs/>
          <w:position w:val="2"/>
          <w:sz w:val="21"/>
          <w:szCs w:val="21"/>
        </w:rPr>
        <w:tab/>
      </w:r>
      <w:r>
        <w:rPr>
          <w:rFonts w:ascii="宋体" w:hAnsi="宋体" w:cs="宋体" w:eastAsia="宋体" w:hint="default"/>
          <w:b/>
          <w:bCs/>
          <w:w w:val="100"/>
          <w:sz w:val="21"/>
          <w:szCs w:val="21"/>
        </w:rPr>
        <w:t>企业合并及合并财</w:t>
      </w:r>
      <w:r>
        <w:rPr>
          <w:rFonts w:ascii="宋体" w:hAnsi="宋体" w:cs="宋体" w:eastAsia="宋体" w:hint="default"/>
          <w:b/>
          <w:bCs/>
          <w:spacing w:val="-3"/>
          <w:w w:val="100"/>
          <w:sz w:val="21"/>
          <w:szCs w:val="21"/>
        </w:rPr>
        <w:t>务</w:t>
      </w:r>
      <w:r>
        <w:rPr>
          <w:rFonts w:ascii="宋体" w:hAnsi="宋体" w:cs="宋体" w:eastAsia="宋体" w:hint="default"/>
          <w:b/>
          <w:bCs/>
          <w:w w:val="100"/>
          <w:sz w:val="21"/>
          <w:szCs w:val="21"/>
        </w:rPr>
        <w:t>报</w:t>
      </w:r>
      <w:r>
        <w:rPr>
          <w:rFonts w:ascii="宋体" w:hAnsi="宋体" w:cs="宋体" w:eastAsia="宋体" w:hint="default"/>
          <w:b/>
          <w:bCs/>
          <w:spacing w:val="-3"/>
          <w:w w:val="100"/>
          <w:sz w:val="21"/>
          <w:szCs w:val="21"/>
        </w:rPr>
        <w:t>表</w:t>
      </w:r>
      <w:r>
        <w:rPr>
          <w:rFonts w:ascii="宋体" w:hAnsi="宋体" w:cs="宋体" w:eastAsia="宋体" w:hint="default"/>
          <w:b/>
          <w:bCs/>
          <w:w w:val="100"/>
          <w:sz w:val="21"/>
          <w:szCs w:val="21"/>
        </w:rPr>
        <w:t>（续</w:t>
      </w:r>
      <w:r>
        <w:rPr>
          <w:rFonts w:ascii="宋体" w:hAnsi="宋体" w:cs="宋体" w:eastAsia="宋体" w:hint="default"/>
          <w:b/>
          <w:bCs/>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r>
        <w:rPr>
          <w:rFonts w:ascii="宋体" w:hAnsi="宋体" w:cs="宋体" w:eastAsia="宋体" w:hint="default"/>
          <w:spacing w:val="-3"/>
          <w:w w:val="100"/>
          <w:sz w:val="21"/>
          <w:szCs w:val="21"/>
        </w:rPr>
        <w:t>单</w:t>
      </w:r>
      <w:r>
        <w:rPr>
          <w:rFonts w:ascii="宋体" w:hAnsi="宋体" w:cs="宋体" w:eastAsia="宋体" w:hint="default"/>
          <w:w w:val="100"/>
          <w:sz w:val="21"/>
          <w:szCs w:val="21"/>
        </w:rPr>
        <w:t>位</w:t>
      </w:r>
      <w:r>
        <w:rPr>
          <w:rFonts w:ascii="宋体" w:hAnsi="宋体" w:cs="宋体" w:eastAsia="宋体" w:hint="default"/>
          <w:spacing w:val="-3"/>
          <w:w w:val="100"/>
          <w:sz w:val="21"/>
          <w:szCs w:val="21"/>
        </w:rPr>
        <w:t>为</w:t>
      </w:r>
      <w:r>
        <w:rPr>
          <w:rFonts w:ascii="宋体" w:hAnsi="宋体" w:cs="宋体" w:eastAsia="宋体" w:hint="default"/>
          <w:w w:val="100"/>
          <w:sz w:val="21"/>
          <w:szCs w:val="21"/>
        </w:rPr>
        <w:t>人</w:t>
      </w:r>
      <w:r>
        <w:rPr>
          <w:rFonts w:ascii="宋体" w:hAnsi="宋体" w:cs="宋体" w:eastAsia="宋体" w:hint="default"/>
          <w:spacing w:val="-3"/>
          <w:w w:val="100"/>
          <w:sz w:val="21"/>
          <w:szCs w:val="21"/>
        </w:rPr>
        <w:t>民币</w:t>
      </w:r>
      <w:r>
        <w:rPr>
          <w:rFonts w:ascii="宋体" w:hAnsi="宋体" w:cs="宋体" w:eastAsia="宋体" w:hint="default"/>
          <w:w w:val="100"/>
          <w:sz w:val="21"/>
          <w:szCs w:val="21"/>
        </w:rPr>
        <w:t>万元）</w:t>
      </w:r>
    </w:p>
    <w:p>
      <w:pPr>
        <w:spacing w:line="240" w:lineRule="auto" w:before="3"/>
        <w:rPr>
          <w:rFonts w:ascii="宋体" w:hAnsi="宋体" w:cs="宋体" w:eastAsia="宋体" w:hint="default"/>
          <w:sz w:val="18"/>
          <w:szCs w:val="18"/>
        </w:rPr>
      </w:pPr>
    </w:p>
    <w:p>
      <w:pPr>
        <w:tabs>
          <w:tab w:pos="840" w:val="left" w:leader="none"/>
        </w:tabs>
        <w:spacing w:before="0"/>
        <w:ind w:left="344"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5.1</w:t>
        <w:tab/>
      </w:r>
      <w:r>
        <w:rPr>
          <w:rFonts w:ascii="宋体" w:hAnsi="宋体" w:cs="宋体" w:eastAsia="宋体" w:hint="default"/>
          <w:sz w:val="21"/>
          <w:szCs w:val="21"/>
        </w:rPr>
        <w:t>子公司情况（续）</w:t>
      </w:r>
    </w:p>
    <w:p>
      <w:pPr>
        <w:spacing w:line="240" w:lineRule="auto" w:before="3"/>
        <w:rPr>
          <w:rFonts w:ascii="宋体" w:hAnsi="宋体" w:cs="宋体" w:eastAsia="宋体" w:hint="default"/>
          <w:sz w:val="18"/>
          <w:szCs w:val="18"/>
        </w:rPr>
      </w:pPr>
    </w:p>
    <w:p>
      <w:pPr>
        <w:spacing w:before="0"/>
        <w:ind w:left="80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非同一控制下企业合并取得的子公司</w:t>
      </w:r>
    </w:p>
    <w:p>
      <w:pPr>
        <w:spacing w:line="240" w:lineRule="auto" w:before="9"/>
        <w:rPr>
          <w:rFonts w:ascii="宋体" w:hAnsi="宋体" w:cs="宋体" w:eastAsia="宋体" w:hint="default"/>
          <w:sz w:val="19"/>
          <w:szCs w:val="19"/>
        </w:rPr>
      </w:pPr>
    </w:p>
    <w:tbl>
      <w:tblPr>
        <w:tblW w:w="0" w:type="auto"/>
        <w:jc w:val="left"/>
        <w:tblInd w:w="696" w:type="dxa"/>
        <w:tblLayout w:type="fixed"/>
        <w:tblCellMar>
          <w:top w:w="0" w:type="dxa"/>
          <w:left w:w="0" w:type="dxa"/>
          <w:bottom w:w="0" w:type="dxa"/>
          <w:right w:w="0" w:type="dxa"/>
        </w:tblCellMar>
        <w:tblLook w:val="01E0"/>
      </w:tblPr>
      <w:tblGrid>
        <w:gridCol w:w="3377"/>
        <w:gridCol w:w="1277"/>
        <w:gridCol w:w="1416"/>
        <w:gridCol w:w="1418"/>
        <w:gridCol w:w="1843"/>
        <w:gridCol w:w="2265"/>
        <w:gridCol w:w="2585"/>
      </w:tblGrid>
      <w:tr>
        <w:trPr>
          <w:trHeight w:val="562"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
              <w:jc w:val="center"/>
              <w:rPr>
                <w:rFonts w:ascii="宋体" w:hAnsi="宋体" w:cs="宋体" w:eastAsia="宋体" w:hint="default"/>
                <w:sz w:val="21"/>
                <w:szCs w:val="21"/>
              </w:rPr>
            </w:pPr>
            <w:r>
              <w:rPr>
                <w:rFonts w:ascii="宋体" w:hAnsi="宋体" w:cs="宋体" w:eastAsia="宋体" w:hint="default"/>
                <w:sz w:val="21"/>
                <w:szCs w:val="21"/>
              </w:rPr>
              <w:t>子公司类</w:t>
            </w:r>
          </w:p>
          <w:p>
            <w:pPr>
              <w:pStyle w:val="TableParagraph"/>
              <w:spacing w:line="273" w:lineRule="exact"/>
              <w:ind w:right="31"/>
              <w:jc w:val="center"/>
              <w:rPr>
                <w:rFonts w:ascii="宋体" w:hAnsi="宋体" w:cs="宋体" w:eastAsia="宋体" w:hint="default"/>
                <w:sz w:val="21"/>
                <w:szCs w:val="21"/>
              </w:rPr>
            </w:pPr>
            <w:r>
              <w:rPr>
                <w:rFonts w:ascii="宋体" w:hAnsi="宋体" w:cs="宋体" w:eastAsia="宋体" w:hint="default"/>
                <w:w w:val="100"/>
                <w:sz w:val="21"/>
                <w:szCs w:val="21"/>
              </w:rPr>
              <w:t>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07"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21"/>
                <w:szCs w:val="21"/>
              </w:rPr>
            </w:pPr>
            <w:r>
              <w:rPr>
                <w:rFonts w:ascii="宋体" w:hAnsi="宋体" w:cs="宋体" w:eastAsia="宋体" w:hint="default"/>
                <w:spacing w:val="-1"/>
                <w:sz w:val="21"/>
                <w:szCs w:val="21"/>
              </w:rPr>
              <w:t>年末实际出资额</w:t>
            </w:r>
          </w:p>
        </w:tc>
      </w:tr>
      <w:tr>
        <w:trPr>
          <w:trHeight w:val="283"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上海华钟计算机软件开发有限公司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非全资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中国上海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软件业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8" w:right="0"/>
              <w:jc w:val="center"/>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 </w:t>
            </w:r>
            <w:r>
              <w:rPr>
                <w:rFonts w:ascii="宋体" w:hAnsi="宋体" w:cs="宋体" w:eastAsia="宋体" w:hint="default"/>
                <w:sz w:val="21"/>
                <w:szCs w:val="21"/>
              </w:rPr>
              <w:t>万</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0"/>
              <w:jc w:val="left"/>
              <w:rPr>
                <w:rFonts w:ascii="宋体" w:hAnsi="宋体" w:cs="宋体" w:eastAsia="宋体" w:hint="default"/>
                <w:sz w:val="21"/>
                <w:szCs w:val="21"/>
              </w:rPr>
            </w:pPr>
            <w:r>
              <w:rPr>
                <w:rFonts w:ascii="宋体" w:hAnsi="宋体" w:cs="宋体" w:eastAsia="宋体" w:hint="default"/>
                <w:sz w:val="21"/>
                <w:szCs w:val="21"/>
              </w:rPr>
              <w:t>硬件、软件开发销售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2,690,542.61</w:t>
            </w:r>
          </w:p>
        </w:tc>
      </w:tr>
    </w:tbl>
    <w:p>
      <w:pPr>
        <w:spacing w:line="240" w:lineRule="auto" w:before="2"/>
        <w:rPr>
          <w:rFonts w:ascii="宋体" w:hAnsi="宋体" w:cs="宋体" w:eastAsia="宋体" w:hint="default"/>
          <w:sz w:val="13"/>
          <w:szCs w:val="13"/>
        </w:rPr>
      </w:pPr>
    </w:p>
    <w:p>
      <w:pPr>
        <w:spacing w:before="36"/>
        <w:ind w:left="80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非同一控制下企业合并取得的子公司（续）</w:t>
      </w:r>
    </w:p>
    <w:p>
      <w:pPr>
        <w:spacing w:line="240" w:lineRule="auto" w:before="9"/>
        <w:rPr>
          <w:rFonts w:ascii="宋体" w:hAnsi="宋体" w:cs="宋体" w:eastAsia="宋体" w:hint="default"/>
          <w:sz w:val="19"/>
          <w:szCs w:val="19"/>
        </w:rPr>
      </w:pPr>
    </w:p>
    <w:tbl>
      <w:tblPr>
        <w:tblW w:w="0" w:type="auto"/>
        <w:jc w:val="left"/>
        <w:tblInd w:w="696" w:type="dxa"/>
        <w:tblLayout w:type="fixed"/>
        <w:tblCellMar>
          <w:top w:w="0" w:type="dxa"/>
          <w:left w:w="0" w:type="dxa"/>
          <w:bottom w:w="0" w:type="dxa"/>
          <w:right w:w="0" w:type="dxa"/>
        </w:tblCellMar>
        <w:tblLook w:val="01E0"/>
      </w:tblPr>
      <w:tblGrid>
        <w:gridCol w:w="3123"/>
        <w:gridCol w:w="1699"/>
        <w:gridCol w:w="996"/>
        <w:gridCol w:w="1274"/>
        <w:gridCol w:w="850"/>
        <w:gridCol w:w="1418"/>
        <w:gridCol w:w="2268"/>
        <w:gridCol w:w="2554"/>
      </w:tblGrid>
      <w:tr>
        <w:trPr>
          <w:trHeight w:val="276" w:hRule="exact"/>
        </w:trPr>
        <w:tc>
          <w:tcPr>
            <w:tcW w:w="3123"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996"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
        </w:tc>
        <w:tc>
          <w:tcPr>
            <w:tcW w:w="255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从公司所有者权益冲减子</w:t>
            </w:r>
          </w:p>
        </w:tc>
      </w:tr>
      <w:tr>
        <w:trPr>
          <w:trHeight w:val="817" w:hRule="exact"/>
        </w:trPr>
        <w:tc>
          <w:tcPr>
            <w:tcW w:w="312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实质上构成对子</w:t>
            </w:r>
          </w:p>
          <w:p>
            <w:pPr>
              <w:pStyle w:val="TableParagraph"/>
              <w:spacing w:line="272" w:lineRule="exact" w:before="27"/>
              <w:ind w:left="319" w:right="103" w:hanging="209"/>
              <w:jc w:val="left"/>
              <w:rPr>
                <w:rFonts w:ascii="宋体" w:hAnsi="宋体" w:cs="宋体" w:eastAsia="宋体" w:hint="default"/>
                <w:sz w:val="21"/>
                <w:szCs w:val="21"/>
              </w:rPr>
            </w:pPr>
            <w:r>
              <w:rPr>
                <w:rFonts w:ascii="宋体" w:hAnsi="宋体" w:cs="宋体" w:eastAsia="宋体" w:hint="default"/>
                <w:sz w:val="21"/>
                <w:szCs w:val="21"/>
              </w:rPr>
              <w:t>公司净投资的其</w:t>
            </w:r>
            <w:r>
              <w:rPr>
                <w:rFonts w:ascii="宋体" w:hAnsi="宋体" w:cs="宋体" w:eastAsia="宋体" w:hint="default"/>
                <w:w w:val="100"/>
                <w:sz w:val="21"/>
                <w:szCs w:val="21"/>
              </w:rPr>
              <w:t> </w:t>
            </w:r>
            <w:r>
              <w:rPr>
                <w:rFonts w:ascii="宋体" w:hAnsi="宋体" w:cs="宋体" w:eastAsia="宋体" w:hint="default"/>
                <w:sz w:val="21"/>
                <w:szCs w:val="21"/>
              </w:rPr>
              <w:t>他项目余额</w:t>
            </w:r>
          </w:p>
        </w:tc>
        <w:tc>
          <w:tcPr>
            <w:tcW w:w="996" w:type="dxa"/>
            <w:tcBorders>
              <w:top w:val="nil" w:sz="6" w:space="0" w:color="auto"/>
              <w:left w:val="single" w:sz="4" w:space="0" w:color="000000"/>
              <w:bottom w:val="nil" w:sz="6" w:space="0" w:color="auto"/>
              <w:right w:val="single" w:sz="4" w:space="0" w:color="000000"/>
            </w:tcBorders>
          </w:tcPr>
          <w:p>
            <w:pPr>
              <w:pStyle w:val="TableParagraph"/>
              <w:spacing w:line="274" w:lineRule="exact" w:before="103"/>
              <w:ind w:left="110"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90" w:lineRule="exact"/>
              <w:ind w:left="110"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11" w:right="226" w:hanging="17"/>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03" w:right="101"/>
              <w:jc w:val="left"/>
              <w:rPr>
                <w:rFonts w:ascii="宋体" w:hAnsi="宋体" w:cs="宋体" w:eastAsia="宋体" w:hint="default"/>
                <w:sz w:val="21"/>
                <w:szCs w:val="21"/>
              </w:rPr>
            </w:pPr>
            <w:r>
              <w:rPr>
                <w:rFonts w:ascii="宋体" w:hAnsi="宋体" w:cs="宋体" w:eastAsia="宋体" w:hint="default"/>
                <w:sz w:val="21"/>
                <w:szCs w:val="21"/>
              </w:rPr>
              <w:t>是否合</w:t>
            </w:r>
            <w:r>
              <w:rPr>
                <w:rFonts w:ascii="宋体" w:hAnsi="宋体" w:cs="宋体" w:eastAsia="宋体" w:hint="default"/>
                <w:spacing w:val="-102"/>
                <w:sz w:val="21"/>
                <w:szCs w:val="21"/>
              </w:rPr>
              <w:t> </w:t>
            </w:r>
            <w:r>
              <w:rPr>
                <w:rFonts w:ascii="宋体" w:hAnsi="宋体" w:cs="宋体" w:eastAsia="宋体" w:hint="default"/>
                <w:sz w:val="21"/>
                <w:szCs w:val="21"/>
              </w:rPr>
              <w:t>并报表</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597" w:right="175"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少数股东权益中用于</w:t>
            </w:r>
          </w:p>
          <w:p>
            <w:pPr>
              <w:pStyle w:val="TableParagraph"/>
              <w:spacing w:line="272" w:lineRule="exact" w:before="27"/>
              <w:ind w:left="919" w:right="180" w:hanging="737"/>
              <w:jc w:val="left"/>
              <w:rPr>
                <w:rFonts w:ascii="宋体" w:hAnsi="宋体" w:cs="宋体" w:eastAsia="宋体" w:hint="default"/>
                <w:sz w:val="21"/>
                <w:szCs w:val="21"/>
              </w:rPr>
            </w:pPr>
            <w:r>
              <w:rPr>
                <w:rFonts w:ascii="宋体" w:hAnsi="宋体" w:cs="宋体" w:eastAsia="宋体" w:hint="default"/>
                <w:sz w:val="21"/>
                <w:szCs w:val="21"/>
              </w:rPr>
              <w:t>冲减少数股东损益的</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2554"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公司少数股东分担的本年</w:t>
            </w:r>
          </w:p>
          <w:p>
            <w:pPr>
              <w:pStyle w:val="TableParagraph"/>
              <w:spacing w:line="272" w:lineRule="exact" w:before="27"/>
              <w:ind w:left="115" w:right="113"/>
              <w:jc w:val="left"/>
              <w:rPr>
                <w:rFonts w:ascii="宋体" w:hAnsi="宋体" w:cs="宋体" w:eastAsia="宋体" w:hint="default"/>
                <w:sz w:val="21"/>
                <w:szCs w:val="21"/>
              </w:rPr>
            </w:pPr>
            <w:r>
              <w:rPr>
                <w:rFonts w:ascii="宋体" w:hAnsi="宋体" w:cs="宋体" w:eastAsia="宋体" w:hint="default"/>
                <w:spacing w:val="-2"/>
                <w:sz w:val="21"/>
                <w:szCs w:val="21"/>
              </w:rPr>
              <w:t>亏损超过少数股东在该子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公司年初所有者权益中所</w:t>
            </w:r>
          </w:p>
        </w:tc>
      </w:tr>
      <w:tr>
        <w:trPr>
          <w:trHeight w:val="278" w:hRule="exact"/>
        </w:trPr>
        <w:tc>
          <w:tcPr>
            <w:tcW w:w="3123"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2554"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享有份额后的余额</w:t>
            </w:r>
          </w:p>
        </w:tc>
      </w:tr>
      <w:tr>
        <w:trPr>
          <w:trHeight w:val="49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36"/>
              <w:jc w:val="center"/>
              <w:rPr>
                <w:rFonts w:ascii="宋体" w:hAnsi="宋体" w:cs="宋体" w:eastAsia="宋体" w:hint="default"/>
                <w:sz w:val="21"/>
                <w:szCs w:val="21"/>
              </w:rPr>
            </w:pPr>
            <w:r>
              <w:rPr>
                <w:rFonts w:ascii="宋体" w:hAnsi="宋体" w:cs="宋体" w:eastAsia="宋体" w:hint="default"/>
                <w:spacing w:val="-2"/>
                <w:sz w:val="21"/>
                <w:szCs w:val="21"/>
              </w:rPr>
              <w:t>上海华钟计算机软件开发有限公司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center"/>
              <w:rPr>
                <w:rFonts w:ascii="Times New Roman" w:hAnsi="Times New Roman" w:cs="Times New Roman" w:eastAsia="Times New Roman" w:hint="default"/>
                <w:sz w:val="21"/>
                <w:szCs w:val="21"/>
              </w:rPr>
            </w:pPr>
            <w:r>
              <w:rPr>
                <w:rFonts w:ascii="Times New Roman"/>
                <w:w w:val="100"/>
                <w:sz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8" w:right="0"/>
              <w:jc w:val="left"/>
              <w:rPr>
                <w:rFonts w:ascii="Times New Roman" w:hAnsi="Times New Roman" w:cs="Times New Roman" w:eastAsia="Times New Roman" w:hint="default"/>
                <w:sz w:val="21"/>
                <w:szCs w:val="21"/>
              </w:rPr>
            </w:pPr>
            <w:r>
              <w:rPr>
                <w:rFonts w:ascii="Times New Roman"/>
                <w:sz w:val="21"/>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center"/>
              <w:rPr>
                <w:rFonts w:ascii="Times New Roman" w:hAnsi="Times New Roman" w:cs="Times New Roman" w:eastAsia="Times New Roman" w:hint="default"/>
                <w:sz w:val="21"/>
                <w:szCs w:val="21"/>
              </w:rPr>
            </w:pPr>
            <w:r>
              <w:rPr>
                <w:rFonts w:ascii="Times New Roman"/>
                <w:sz w:val="21"/>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3"/>
              <w:jc w:val="right"/>
              <w:rPr>
                <w:rFonts w:ascii="Times New Roman" w:hAnsi="Times New Roman" w:cs="Times New Roman" w:eastAsia="Times New Roman" w:hint="default"/>
                <w:sz w:val="21"/>
                <w:szCs w:val="21"/>
              </w:rPr>
            </w:pPr>
            <w:r>
              <w:rPr>
                <w:rFonts w:ascii="Times New Roman"/>
                <w:spacing w:val="-1"/>
                <w:sz w:val="21"/>
              </w:rPr>
              <w:t>12,200,604.4</w:t>
            </w:r>
          </w:p>
          <w:p>
            <w:pPr>
              <w:pStyle w:val="TableParagraph"/>
              <w:spacing w:line="240" w:lineRule="auto" w:before="1"/>
              <w:ind w:right="134"/>
              <w:jc w:val="right"/>
              <w:rPr>
                <w:rFonts w:ascii="Times New Roman" w:hAnsi="Times New Roman" w:cs="Times New Roman" w:eastAsia="Times New Roman" w:hint="default"/>
                <w:sz w:val="21"/>
                <w:szCs w:val="21"/>
              </w:rPr>
            </w:pPr>
            <w:r>
              <w:rPr>
                <w:rFonts w:ascii="Times New Roman"/>
                <w:w w:val="100"/>
                <w:sz w:val="21"/>
              </w:rPr>
              <w:t>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2,337,181.82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2"/>
        <w:rPr>
          <w:rFonts w:ascii="宋体" w:hAnsi="宋体" w:cs="宋体" w:eastAsia="宋体" w:hint="default"/>
          <w:sz w:val="14"/>
          <w:szCs w:val="14"/>
        </w:rPr>
      </w:pPr>
    </w:p>
    <w:p>
      <w:pPr>
        <w:tabs>
          <w:tab w:pos="809" w:val="left" w:leader="none"/>
        </w:tabs>
        <w:spacing w:before="46"/>
        <w:ind w:left="344"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5.2</w:t>
        <w:tab/>
      </w:r>
      <w:r>
        <w:rPr>
          <w:rFonts w:ascii="宋体" w:hAnsi="宋体" w:cs="宋体" w:eastAsia="宋体" w:hint="default"/>
          <w:sz w:val="21"/>
          <w:szCs w:val="21"/>
        </w:rPr>
        <w:t>合并范围发生变更的说明</w:t>
      </w:r>
    </w:p>
    <w:p>
      <w:pPr>
        <w:spacing w:line="240" w:lineRule="auto" w:before="3"/>
        <w:rPr>
          <w:rFonts w:ascii="宋体" w:hAnsi="宋体" w:cs="宋体" w:eastAsia="宋体" w:hint="default"/>
          <w:sz w:val="18"/>
          <w:szCs w:val="18"/>
        </w:rPr>
      </w:pPr>
    </w:p>
    <w:p>
      <w:pPr>
        <w:spacing w:line="281" w:lineRule="exact" w:before="0"/>
        <w:ind w:left="809" w:right="0"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日第四届董事会第二次会议决议，本公司决定将下属子公司南京欧亚物流信息系统有限公司清算并注销，该子公司于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p>
      <w:pPr>
        <w:spacing w:line="281" w:lineRule="exact" w:before="0"/>
        <w:ind w:left="80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日完成税务注销，并于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日完成工商注销手续，本公司在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年末处置了该项股权。</w:t>
      </w:r>
    </w:p>
    <w:p>
      <w:pPr>
        <w:spacing w:line="240" w:lineRule="auto" w:before="0"/>
        <w:rPr>
          <w:rFonts w:ascii="宋体" w:hAnsi="宋体" w:cs="宋体" w:eastAsia="宋体" w:hint="default"/>
          <w:sz w:val="17"/>
          <w:szCs w:val="17"/>
        </w:rPr>
      </w:pPr>
    </w:p>
    <w:p>
      <w:pPr>
        <w:tabs>
          <w:tab w:pos="809" w:val="left" w:leader="none"/>
        </w:tabs>
        <w:spacing w:before="0"/>
        <w:ind w:left="344"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5.3</w:t>
        <w:tab/>
      </w:r>
      <w:r>
        <w:rPr>
          <w:rFonts w:ascii="宋体" w:hAnsi="宋体" w:cs="宋体" w:eastAsia="宋体" w:hint="default"/>
          <w:sz w:val="21"/>
          <w:szCs w:val="21"/>
        </w:rPr>
        <w:t>本年不再纳入合并范围的子公司、特殊目的主体、通过受托经营或承租等方式形成控制权的经营实体</w:t>
      </w:r>
    </w:p>
    <w:p>
      <w:pPr>
        <w:spacing w:line="240" w:lineRule="auto" w:before="1"/>
        <w:rPr>
          <w:rFonts w:ascii="宋体" w:hAnsi="宋体" w:cs="宋体" w:eastAsia="宋体" w:hint="default"/>
          <w:sz w:val="21"/>
          <w:szCs w:val="21"/>
        </w:rPr>
      </w:pPr>
    </w:p>
    <w:tbl>
      <w:tblPr>
        <w:tblW w:w="0" w:type="auto"/>
        <w:jc w:val="left"/>
        <w:tblInd w:w="696" w:type="dxa"/>
        <w:tblLayout w:type="fixed"/>
        <w:tblCellMar>
          <w:top w:w="0" w:type="dxa"/>
          <w:left w:w="0" w:type="dxa"/>
          <w:bottom w:w="0" w:type="dxa"/>
          <w:right w:w="0" w:type="dxa"/>
        </w:tblCellMar>
        <w:tblLook w:val="01E0"/>
      </w:tblPr>
      <w:tblGrid>
        <w:gridCol w:w="3123"/>
        <w:gridCol w:w="2695"/>
        <w:gridCol w:w="2693"/>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hAnsi="宋体" w:cs="宋体" w:eastAsia="宋体" w:hint="default"/>
                <w:spacing w:val="-1"/>
                <w:sz w:val="21"/>
                <w:szCs w:val="21"/>
              </w:rPr>
              <w:t>处置日净资产</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年初至处置日净利润</w:t>
            </w:r>
          </w:p>
        </w:tc>
      </w:tr>
      <w:tr>
        <w:trPr>
          <w:trHeight w:val="555"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南京欧亚物流信息系统有限公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
              <w:jc w:val="right"/>
              <w:rPr>
                <w:rFonts w:ascii="Times New Roman" w:hAnsi="Times New Roman" w:cs="Times New Roman" w:eastAsia="Times New Roman" w:hint="default"/>
                <w:sz w:val="21"/>
                <w:szCs w:val="21"/>
              </w:rPr>
            </w:pPr>
            <w:r>
              <w:rPr>
                <w:rFonts w:ascii="Times New Roman"/>
                <w:spacing w:val="-1"/>
                <w:sz w:val="21"/>
              </w:rPr>
              <w:t>3,595,604.27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5"/>
              <w:jc w:val="right"/>
              <w:rPr>
                <w:rFonts w:ascii="Times New Roman" w:hAnsi="Times New Roman" w:cs="Times New Roman" w:eastAsia="Times New Roman" w:hint="default"/>
                <w:sz w:val="21"/>
                <w:szCs w:val="21"/>
              </w:rPr>
            </w:pPr>
            <w:r>
              <w:rPr>
                <w:rFonts w:ascii="Times New Roman"/>
                <w:spacing w:val="-1"/>
                <w:sz w:val="21"/>
              </w:rPr>
              <w:t>-85,605.31</w:t>
            </w:r>
          </w:p>
        </w:tc>
      </w:tr>
    </w:tbl>
    <w:p>
      <w:pPr>
        <w:spacing w:after="0" w:line="235" w:lineRule="exact"/>
        <w:jc w:val="right"/>
        <w:rPr>
          <w:rFonts w:ascii="Times New Roman" w:hAnsi="Times New Roman" w:cs="Times New Roman" w:eastAsia="Times New Roman" w:hint="default"/>
          <w:sz w:val="21"/>
          <w:szCs w:val="21"/>
        </w:rPr>
        <w:sectPr>
          <w:pgSz w:w="16840" w:h="11900" w:orient="landscape"/>
          <w:pgMar w:header="886" w:footer="975" w:top="1800" w:bottom="1160" w:left="1300" w:right="5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31"/>
        <w:gridCol w:w="5227"/>
        <w:gridCol w:w="274"/>
        <w:gridCol w:w="1511"/>
        <w:gridCol w:w="926"/>
        <w:gridCol w:w="1918"/>
      </w:tblGrid>
      <w:tr>
        <w:trPr>
          <w:trHeight w:val="463"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7" w:right="0"/>
              <w:jc w:val="left"/>
              <w:rPr>
                <w:rFonts w:ascii="宋体" w:hAnsi="宋体" w:cs="宋体" w:eastAsia="宋体" w:hint="default"/>
                <w:sz w:val="21"/>
                <w:szCs w:val="21"/>
              </w:rPr>
            </w:pPr>
            <w:r>
              <w:rPr>
                <w:rFonts w:ascii="宋体" w:hAnsi="宋体" w:cs="宋体" w:eastAsia="宋体" w:hint="default"/>
                <w:b/>
                <w:bCs/>
                <w:sz w:val="21"/>
                <w:szCs w:val="21"/>
              </w:rPr>
              <w:t>合并财务报表项目附注</w:t>
            </w:r>
            <w:r>
              <w:rPr>
                <w:rFonts w:ascii="宋体" w:hAnsi="宋体" w:cs="宋体" w:eastAsia="宋体" w:hint="default"/>
                <w:sz w:val="21"/>
                <w:szCs w:val="21"/>
              </w:rPr>
            </w:r>
          </w:p>
        </w:tc>
        <w:tc>
          <w:tcPr>
            <w:tcW w:w="4629" w:type="dxa"/>
            <w:gridSpan w:val="4"/>
            <w:vMerge w:val="restart"/>
            <w:tcBorders>
              <w:top w:val="nil" w:sz="6" w:space="0" w:color="auto"/>
              <w:left w:val="nil" w:sz="6" w:space="0" w:color="auto"/>
              <w:right w:val="nil" w:sz="6" w:space="0" w:color="auto"/>
            </w:tcBorders>
          </w:tcPr>
          <w:p>
            <w:pPr/>
          </w:p>
        </w:tc>
      </w:tr>
      <w:tr>
        <w:trPr>
          <w:trHeight w:val="520"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77"/>
              <w:jc w:val="right"/>
              <w:rPr>
                <w:rFonts w:ascii="Times New Roman" w:hAnsi="Times New Roman" w:cs="Times New Roman" w:eastAsia="Times New Roman" w:hint="default"/>
                <w:sz w:val="21"/>
                <w:szCs w:val="21"/>
              </w:rPr>
            </w:pPr>
            <w:r>
              <w:rPr>
                <w:rFonts w:ascii="Times New Roman"/>
                <w:sz w:val="21"/>
              </w:rPr>
              <w:t>6.1</w:t>
            </w:r>
          </w:p>
        </w:tc>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4629" w:type="dxa"/>
            <w:gridSpan w:val="4"/>
            <w:vMerge/>
            <w:tcBorders>
              <w:left w:val="nil" w:sz="6" w:space="0" w:color="auto"/>
              <w:bottom w:val="nil" w:sz="6" w:space="0" w:color="auto"/>
              <w:right w:val="nil" w:sz="6" w:space="0" w:color="auto"/>
            </w:tcBorders>
          </w:tcPr>
          <w:p>
            <w:pPr/>
          </w:p>
        </w:tc>
      </w:tr>
      <w:tr>
        <w:trPr>
          <w:trHeight w:val="399"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single" w:sz="4" w:space="0" w:color="000000"/>
              <w:right w:val="nil" w:sz="6" w:space="0" w:color="auto"/>
            </w:tcBorders>
          </w:tcPr>
          <w:p>
            <w:pPr>
              <w:pStyle w:val="TableParagraph"/>
              <w:tabs>
                <w:tab w:pos="688" w:val="left" w:leader="none"/>
                <w:tab w:pos="3386" w:val="left" w:leader="none"/>
              </w:tabs>
              <w:spacing w:line="240" w:lineRule="auto" w:before="88"/>
              <w:ind w:left="266" w:right="0"/>
              <w:jc w:val="left"/>
              <w:rPr>
                <w:rFonts w:ascii="宋体" w:hAnsi="宋体" w:cs="宋体" w:eastAsia="宋体" w:hint="default"/>
                <w:sz w:val="21"/>
                <w:szCs w:val="21"/>
              </w:rPr>
            </w:pPr>
            <w:r>
              <w:rPr>
                <w:rFonts w:ascii="宋体" w:hAnsi="宋体" w:cs="宋体" w:eastAsia="宋体" w:hint="default"/>
                <w:sz w:val="21"/>
                <w:szCs w:val="21"/>
              </w:rPr>
              <w:t>项</w:t>
              <w:tab/>
              <w:t>目</w:t>
              <w:tab/>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
        </w:tc>
        <w:tc>
          <w:tcPr>
            <w:tcW w:w="926" w:type="dxa"/>
            <w:tcBorders>
              <w:top w:val="nil" w:sz="6" w:space="0" w:color="auto"/>
              <w:left w:val="nil" w:sz="6" w:space="0" w:color="auto"/>
              <w:bottom w:val="single" w:sz="4" w:space="0" w:color="000000"/>
              <w:right w:val="nil" w:sz="6" w:space="0" w:color="auto"/>
            </w:tcBorders>
          </w:tcPr>
          <w:p>
            <w:pPr/>
          </w:p>
        </w:tc>
        <w:tc>
          <w:tcPr>
            <w:tcW w:w="191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4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6"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single" w:sz="4" w:space="0" w:color="000000"/>
              <w:left w:val="nil" w:sz="6" w:space="0" w:color="auto"/>
              <w:bottom w:val="nil" w:sz="6" w:space="0" w:color="auto"/>
              <w:right w:val="nil" w:sz="6" w:space="0" w:color="auto"/>
            </w:tcBorders>
          </w:tcPr>
          <w:p>
            <w:pPr>
              <w:pStyle w:val="TableParagraph"/>
              <w:tabs>
                <w:tab w:pos="1886" w:val="left" w:leader="none"/>
                <w:tab w:pos="2935" w:val="left" w:leader="none"/>
                <w:tab w:pos="4065" w:val="left" w:leader="none"/>
              </w:tabs>
              <w:spacing w:line="250"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w:t>
              <w:tab/>
            </w:r>
            <w:r>
              <w:rPr>
                <w:rFonts w:ascii="宋体" w:hAnsi="宋体" w:cs="宋体" w:eastAsia="宋体" w:hint="default"/>
                <w:spacing w:val="-1"/>
                <w:sz w:val="21"/>
                <w:szCs w:val="21"/>
              </w:rPr>
              <w:t>外币金额</w:t>
              <w:tab/>
            </w:r>
            <w:r>
              <w:rPr>
                <w:rFonts w:ascii="宋体" w:hAnsi="宋体" w:cs="宋体" w:eastAsia="宋体" w:hint="default"/>
                <w:sz w:val="21"/>
                <w:szCs w:val="21"/>
              </w:rPr>
              <w:t>折算率</w:t>
              <w:tab/>
            </w:r>
            <w:r>
              <w:rPr>
                <w:rFonts w:ascii="宋体" w:hAnsi="宋体" w:cs="宋体" w:eastAsia="宋体" w:hint="default"/>
                <w:spacing w:val="-1"/>
                <w:sz w:val="21"/>
                <w:szCs w:val="21"/>
              </w:rPr>
              <w:t>人民币金额</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Style w:val="TableParagraph"/>
              <w:spacing w:line="250" w:lineRule="exact"/>
              <w:ind w:right="92"/>
              <w:jc w:val="right"/>
              <w:rPr>
                <w:rFonts w:ascii="宋体" w:hAnsi="宋体" w:cs="宋体" w:eastAsia="宋体" w:hint="default"/>
                <w:sz w:val="21"/>
                <w:szCs w:val="21"/>
              </w:rPr>
            </w:pPr>
            <w:r>
              <w:rPr>
                <w:rFonts w:ascii="宋体" w:hAnsi="宋体" w:cs="宋体" w:eastAsia="宋体" w:hint="default"/>
                <w:spacing w:val="-1"/>
                <w:sz w:val="21"/>
                <w:szCs w:val="21"/>
              </w:rPr>
              <w:t>外币金额</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50" w:lineRule="exact"/>
              <w:ind w:right="40"/>
              <w:jc w:val="right"/>
              <w:rPr>
                <w:rFonts w:ascii="宋体" w:hAnsi="宋体" w:cs="宋体" w:eastAsia="宋体" w:hint="default"/>
                <w:sz w:val="21"/>
                <w:szCs w:val="21"/>
              </w:rPr>
            </w:pPr>
            <w:r>
              <w:rPr>
                <w:rFonts w:ascii="宋体" w:hAnsi="宋体" w:cs="宋体" w:eastAsia="宋体" w:hint="default"/>
                <w:sz w:val="21"/>
                <w:szCs w:val="21"/>
              </w:rPr>
              <w:t>折算率</w:t>
            </w:r>
          </w:p>
        </w:tc>
        <w:tc>
          <w:tcPr>
            <w:tcW w:w="1918" w:type="dxa"/>
            <w:tcBorders>
              <w:top w:val="single" w:sz="4" w:space="0" w:color="000000"/>
              <w:left w:val="nil" w:sz="6" w:space="0" w:color="auto"/>
              <w:bottom w:val="nil" w:sz="6" w:space="0" w:color="auto"/>
              <w:right w:val="nil" w:sz="6" w:space="0" w:color="auto"/>
            </w:tcBorders>
          </w:tcPr>
          <w:p>
            <w:pPr>
              <w:pStyle w:val="TableParagraph"/>
              <w:spacing w:line="250" w:lineRule="exact"/>
              <w:ind w:left="723"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3"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tabs>
                <w:tab w:pos="4171" w:val="left" w:leader="none"/>
              </w:tabs>
              <w:spacing w:line="268" w:lineRule="exact"/>
              <w:ind w:left="319"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人民币</w:t>
              <w:tab/>
            </w:r>
            <w:r>
              <w:rPr>
                <w:rFonts w:ascii="Times New Roman" w:hAnsi="Times New Roman" w:cs="Times New Roman" w:eastAsia="Times New Roman" w:hint="default"/>
                <w:sz w:val="21"/>
                <w:szCs w:val="21"/>
              </w:rPr>
              <w:t>199,795.16</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29" w:right="0"/>
              <w:jc w:val="left"/>
              <w:rPr>
                <w:rFonts w:ascii="Times New Roman" w:hAnsi="Times New Roman" w:cs="Times New Roman" w:eastAsia="Times New Roman" w:hint="default"/>
                <w:sz w:val="21"/>
                <w:szCs w:val="21"/>
              </w:rPr>
            </w:pPr>
            <w:r>
              <w:rPr>
                <w:rFonts w:ascii="Times New Roman"/>
                <w:sz w:val="21"/>
              </w:rPr>
              <w:t>240,702.56</w:t>
            </w:r>
          </w:p>
        </w:tc>
      </w:tr>
      <w:tr>
        <w:trPr>
          <w:trHeight w:val="277"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tabs>
                <w:tab w:pos="2337" w:val="left" w:leader="none"/>
                <w:tab w:pos="4727" w:val="left" w:leader="none"/>
                <w:tab w:pos="4907" w:val="left" w:leader="none"/>
              </w:tabs>
              <w:spacing w:line="256" w:lineRule="exact"/>
              <w:ind w:right="0"/>
              <w:jc w:val="right"/>
              <w:rPr>
                <w:rFonts w:ascii="Times New Roman" w:hAnsi="Times New Roman" w:cs="Times New Roman" w:eastAsia="Times New Roman" w:hint="default"/>
                <w:sz w:val="21"/>
                <w:szCs w:val="21"/>
              </w:rPr>
            </w:pPr>
            <w:r>
              <w:rPr>
                <w:rFonts w:ascii="宋体" w:hAnsi="宋体" w:cs="宋体" w:eastAsia="宋体" w:hint="default"/>
                <w:position w:val="1"/>
                <w:sz w:val="21"/>
                <w:szCs w:val="21"/>
              </w:rPr>
              <w:t>日元</w:t>
              <w:tab/>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pacing w:val="-2"/>
                <w:sz w:val="21"/>
                <w:szCs w:val="21"/>
              </w:rPr>
              <w:t>0.081260</w:t>
            </w:r>
            <w:r>
              <w:rPr>
                <w:rFonts w:ascii="Times New Roman" w:hAnsi="Times New Roman" w:cs="Times New Roman" w:eastAsia="Times New Roman" w:hint="default"/>
                <w:spacing w:val="-2"/>
                <w:sz w:val="21"/>
                <w:szCs w:val="21"/>
                <w:u w:val="single" w:color="000000"/>
              </w:rPr>
              <w:t> </w:t>
              <w:tab/>
            </w:r>
            <w:r>
              <w:rPr>
                <w:rFonts w:ascii="Times New Roman" w:hAnsi="Times New Roman" w:cs="Times New Roman" w:eastAsia="Times New Roman" w:hint="default"/>
                <w:sz w:val="21"/>
                <w:szCs w:val="21"/>
                <w:u w:val="single" w:color="000000"/>
              </w:rPr>
              <w:t>-</w:t>
              <w:tab/>
            </w:r>
            <w:r>
              <w:rPr>
                <w:rFonts w:ascii="Times New Roman" w:hAnsi="Times New Roman" w:cs="Times New Roman" w:eastAsia="Times New Roman" w:hint="default"/>
                <w:sz w:val="21"/>
                <w:szCs w:val="21"/>
              </w:rPr>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100,132.00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Times New Roman" w:hAnsi="Times New Roman" w:cs="Times New Roman" w:eastAsia="Times New Roman" w:hint="default"/>
                <w:sz w:val="21"/>
                <w:szCs w:val="21"/>
              </w:rPr>
            </w:pPr>
            <w:r>
              <w:rPr>
                <w:rFonts w:ascii="Times New Roman"/>
                <w:spacing w:val="-1"/>
                <w:sz w:val="21"/>
              </w:rPr>
              <w:t>0.073782</w:t>
            </w:r>
          </w:p>
        </w:tc>
        <w:tc>
          <w:tcPr>
            <w:tcW w:w="1918" w:type="dxa"/>
            <w:tcBorders>
              <w:top w:val="nil" w:sz="6" w:space="0" w:color="auto"/>
              <w:left w:val="nil" w:sz="6" w:space="0" w:color="auto"/>
              <w:bottom w:val="nil" w:sz="6" w:space="0" w:color="auto"/>
              <w:right w:val="nil" w:sz="6" w:space="0" w:color="auto"/>
            </w:tcBorders>
          </w:tcPr>
          <w:p>
            <w:pPr>
              <w:pStyle w:val="TableParagraph"/>
              <w:tabs>
                <w:tab w:pos="1040" w:val="left" w:leader="none"/>
                <w:tab w:pos="1882" w:val="left" w:leader="none"/>
              </w:tabs>
              <w:spacing w:line="240" w:lineRule="auto" w:before="14"/>
              <w:ind w:left="63"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7,387.94</w:t>
              <w:tab/>
            </w:r>
            <w:r>
              <w:rPr>
                <w:rFonts w:ascii="Times New Roman"/>
                <w:sz w:val="21"/>
              </w:rPr>
            </w:r>
          </w:p>
        </w:tc>
      </w:tr>
      <w:tr>
        <w:trPr>
          <w:trHeight w:val="539"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tabs>
                <w:tab w:pos="4171" w:val="left" w:leader="none"/>
              </w:tabs>
              <w:spacing w:line="24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小计</w:t>
              <w:tab/>
            </w:r>
            <w:r>
              <w:rPr>
                <w:rFonts w:ascii="Times New Roman" w:hAnsi="Times New Roman" w:cs="Times New Roman" w:eastAsia="Times New Roman" w:hint="default"/>
                <w:sz w:val="21"/>
                <w:szCs w:val="21"/>
              </w:rPr>
              <w:t>199,795.16</w:t>
            </w:r>
          </w:p>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29" w:right="0"/>
              <w:jc w:val="left"/>
              <w:rPr>
                <w:rFonts w:ascii="Times New Roman" w:hAnsi="Times New Roman" w:cs="Times New Roman" w:eastAsia="Times New Roman" w:hint="default"/>
                <w:sz w:val="21"/>
                <w:szCs w:val="21"/>
              </w:rPr>
            </w:pPr>
            <w:r>
              <w:rPr>
                <w:rFonts w:ascii="Times New Roman"/>
                <w:sz w:val="21"/>
              </w:rPr>
              <w:t>248,090.50</w:t>
            </w:r>
          </w:p>
        </w:tc>
      </w:tr>
      <w:tr>
        <w:trPr>
          <w:trHeight w:val="283"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tabs>
                <w:tab w:pos="3811" w:val="left" w:leader="none"/>
              </w:tabs>
              <w:spacing w:line="268" w:lineRule="exact"/>
              <w:ind w:left="319"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人民币</w:t>
              <w:tab/>
            </w:r>
            <w:r>
              <w:rPr>
                <w:rFonts w:ascii="Times New Roman" w:hAnsi="Times New Roman" w:cs="Times New Roman" w:eastAsia="Times New Roman" w:hint="default"/>
                <w:sz w:val="21"/>
                <w:szCs w:val="21"/>
              </w:rPr>
              <w:t>259,031,233.11</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62" w:right="0"/>
              <w:jc w:val="left"/>
              <w:rPr>
                <w:rFonts w:ascii="Times New Roman" w:hAnsi="Times New Roman" w:cs="Times New Roman" w:eastAsia="Times New Roman" w:hint="default"/>
                <w:sz w:val="21"/>
                <w:szCs w:val="21"/>
              </w:rPr>
            </w:pPr>
            <w:r>
              <w:rPr>
                <w:rFonts w:ascii="Times New Roman"/>
                <w:sz w:val="21"/>
              </w:rPr>
              <w:t>245,103,350.04</w:t>
            </w:r>
          </w:p>
        </w:tc>
      </w:tr>
      <w:tr>
        <w:trPr>
          <w:trHeight w:val="272"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tabs>
                <w:tab w:pos="1756" w:val="left" w:leader="none"/>
                <w:tab w:pos="3100" w:val="left" w:leader="none"/>
                <w:tab w:pos="4015" w:val="left" w:leader="none"/>
              </w:tabs>
              <w:spacing w:line="256" w:lineRule="exact"/>
              <w:ind w:left="319"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美元</w:t>
              <w:tab/>
            </w:r>
            <w:r>
              <w:rPr>
                <w:rFonts w:ascii="Times New Roman" w:hAnsi="Times New Roman" w:cs="Times New Roman" w:eastAsia="Times New Roman" w:hint="default"/>
                <w:spacing w:val="-1"/>
                <w:sz w:val="21"/>
                <w:szCs w:val="21"/>
              </w:rPr>
              <w:t>328,204.84</w:t>
              <w:tab/>
            </w:r>
            <w:r>
              <w:rPr>
                <w:rFonts w:ascii="Times New Roman" w:hAnsi="Times New Roman" w:cs="Times New Roman" w:eastAsia="Times New Roman" w:hint="default"/>
                <w:sz w:val="21"/>
                <w:szCs w:val="21"/>
              </w:rPr>
              <w:t>6.6227</w:t>
              <w:tab/>
            </w:r>
            <w:r>
              <w:rPr>
                <w:rFonts w:ascii="Times New Roman" w:hAnsi="Times New Roman" w:cs="Times New Roman" w:eastAsia="Times New Roman" w:hint="default"/>
                <w:spacing w:val="-1"/>
                <w:sz w:val="21"/>
                <w:szCs w:val="21"/>
              </w:rPr>
              <w:t>2,173,602.19</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641,744.26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Times New Roman" w:hAnsi="Times New Roman" w:cs="Times New Roman" w:eastAsia="Times New Roman" w:hint="default"/>
                <w:sz w:val="21"/>
                <w:szCs w:val="21"/>
              </w:rPr>
            </w:pPr>
            <w:r>
              <w:rPr>
                <w:rFonts w:ascii="Times New Roman"/>
                <w:sz w:val="21"/>
              </w:rPr>
              <w:t>6.8282</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73" w:right="0"/>
              <w:jc w:val="left"/>
              <w:rPr>
                <w:rFonts w:ascii="Times New Roman" w:hAnsi="Times New Roman" w:cs="Times New Roman" w:eastAsia="Times New Roman" w:hint="default"/>
                <w:sz w:val="21"/>
                <w:szCs w:val="21"/>
              </w:rPr>
            </w:pPr>
            <w:r>
              <w:rPr>
                <w:rFonts w:ascii="Times New Roman"/>
                <w:sz w:val="21"/>
              </w:rPr>
              <w:t>4,381,958.15</w:t>
            </w:r>
          </w:p>
        </w:tc>
      </w:tr>
      <w:tr>
        <w:trPr>
          <w:trHeight w:val="278"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tabs>
                <w:tab w:pos="1113" w:val="left" w:leader="none"/>
                <w:tab w:pos="4907" w:val="left" w:leader="none"/>
              </w:tabs>
              <w:spacing w:line="257" w:lineRule="exact"/>
              <w:ind w:right="0"/>
              <w:jc w:val="right"/>
              <w:rPr>
                <w:rFonts w:ascii="Times New Roman" w:hAnsi="Times New Roman" w:cs="Times New Roman" w:eastAsia="Times New Roman" w:hint="default"/>
                <w:sz w:val="21"/>
                <w:szCs w:val="21"/>
              </w:rPr>
            </w:pPr>
            <w:r>
              <w:rPr>
                <w:rFonts w:ascii="宋体" w:hAnsi="宋体" w:cs="宋体" w:eastAsia="宋体" w:hint="default"/>
                <w:position w:val="1"/>
                <w:sz w:val="21"/>
                <w:szCs w:val="21"/>
              </w:rPr>
              <w:t>日元</w:t>
              <w:tab/>
            </w:r>
            <w:r>
              <w:rPr>
                <w:rFonts w:ascii="Times New Roman" w:hAnsi="Times New Roman" w:cs="Times New Roman" w:eastAsia="Times New Roman" w:hint="default"/>
                <w:sz w:val="21"/>
                <w:szCs w:val="21"/>
              </w:rPr>
              <w:t>427,996,766.00   0.081260   </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pacing w:val="5"/>
                <w:sz w:val="21"/>
                <w:szCs w:val="21"/>
                <w:u w:val="single" w:color="000000"/>
              </w:rPr>
              <w:t> </w:t>
            </w:r>
            <w:r>
              <w:rPr>
                <w:rFonts w:ascii="Times New Roman" w:hAnsi="Times New Roman" w:cs="Times New Roman" w:eastAsia="Times New Roman" w:hint="default"/>
                <w:sz w:val="21"/>
                <w:szCs w:val="21"/>
                <w:u w:val="single" w:color="000000"/>
              </w:rPr>
              <w:t>34,779,017.21</w:t>
              <w:tab/>
            </w:r>
            <w:r>
              <w:rPr>
                <w:rFonts w:ascii="Times New Roman" w:hAnsi="Times New Roman" w:cs="Times New Roman" w:eastAsia="Times New Roman" w:hint="default"/>
                <w:sz w:val="21"/>
                <w:szCs w:val="21"/>
              </w:rPr>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3"/>
              <w:jc w:val="right"/>
              <w:rPr>
                <w:rFonts w:ascii="Times New Roman" w:hAnsi="Times New Roman" w:cs="Times New Roman" w:eastAsia="Times New Roman" w:hint="default"/>
                <w:sz w:val="21"/>
                <w:szCs w:val="21"/>
              </w:rPr>
            </w:pPr>
            <w:r>
              <w:rPr>
                <w:rFonts w:ascii="Times New Roman"/>
                <w:spacing w:val="-1"/>
                <w:sz w:val="21"/>
              </w:rPr>
              <w:t>307,063,305.00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0"/>
              <w:jc w:val="right"/>
              <w:rPr>
                <w:rFonts w:ascii="Times New Roman" w:hAnsi="Times New Roman" w:cs="Times New Roman" w:eastAsia="Times New Roman" w:hint="default"/>
                <w:sz w:val="21"/>
                <w:szCs w:val="21"/>
              </w:rPr>
            </w:pPr>
            <w:r>
              <w:rPr>
                <w:rFonts w:ascii="Times New Roman"/>
                <w:spacing w:val="-1"/>
                <w:sz w:val="21"/>
              </w:rPr>
              <w:t>0.073782</w:t>
            </w:r>
          </w:p>
        </w:tc>
        <w:tc>
          <w:tcPr>
            <w:tcW w:w="1918" w:type="dxa"/>
            <w:tcBorders>
              <w:top w:val="nil" w:sz="6" w:space="0" w:color="auto"/>
              <w:left w:val="nil" w:sz="6" w:space="0" w:color="auto"/>
              <w:bottom w:val="nil" w:sz="6" w:space="0" w:color="auto"/>
              <w:right w:val="nil" w:sz="6" w:space="0" w:color="auto"/>
            </w:tcBorders>
          </w:tcPr>
          <w:p>
            <w:pPr>
              <w:pStyle w:val="TableParagraph"/>
              <w:tabs>
                <w:tab w:pos="567" w:val="left" w:leader="none"/>
                <w:tab w:pos="1882" w:val="left" w:leader="none"/>
              </w:tabs>
              <w:spacing w:line="240" w:lineRule="auto" w:before="15"/>
              <w:ind w:left="63"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22,655,744.77</w:t>
              <w:tab/>
            </w:r>
            <w:r>
              <w:rPr>
                <w:rFonts w:ascii="Times New Roman"/>
                <w:sz w:val="21"/>
              </w:rPr>
            </w:r>
          </w:p>
        </w:tc>
      </w:tr>
      <w:tr>
        <w:trPr>
          <w:trHeight w:val="281"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tabs>
                <w:tab w:pos="3563" w:val="left" w:leader="none"/>
                <w:tab w:pos="5118" w:val="left" w:leader="none"/>
              </w:tabs>
              <w:spacing w:line="259" w:lineRule="exact"/>
              <w:ind w:right="0"/>
              <w:jc w:val="right"/>
              <w:rPr>
                <w:rFonts w:ascii="Times New Roman" w:hAnsi="Times New Roman" w:cs="Times New Roman" w:eastAsia="Times New Roman" w:hint="default"/>
                <w:sz w:val="21"/>
                <w:szCs w:val="21"/>
              </w:rPr>
            </w:pPr>
            <w:r>
              <w:rPr>
                <w:rFonts w:ascii="宋体" w:hAnsi="宋体" w:cs="宋体" w:eastAsia="宋体" w:hint="default"/>
                <w:position w:val="1"/>
                <w:sz w:val="21"/>
                <w:szCs w:val="21"/>
              </w:rPr>
              <w:t>小计</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295,983,852.51</w:t>
              <w:tab/>
            </w:r>
            <w:r>
              <w:rPr>
                <w:rFonts w:ascii="Times New Roman" w:hAnsi="Times New Roman" w:cs="Times New Roman" w:eastAsia="Times New Roman" w:hint="default"/>
                <w:spacing w:val="-1"/>
                <w:sz w:val="21"/>
                <w:szCs w:val="21"/>
              </w:rPr>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Style w:val="TableParagraph"/>
              <w:tabs>
                <w:tab w:pos="462" w:val="left" w:leader="none"/>
                <w:tab w:pos="1882" w:val="left" w:leader="none"/>
              </w:tabs>
              <w:spacing w:line="240" w:lineRule="auto" w:before="18"/>
              <w:ind w:left="63"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272,141,052.96</w:t>
              <w:tab/>
            </w:r>
            <w:r>
              <w:rPr>
                <w:rFonts w:ascii="Times New Roman"/>
                <w:sz w:val="21"/>
              </w:rPr>
            </w:r>
          </w:p>
        </w:tc>
      </w:tr>
      <w:tr>
        <w:trPr>
          <w:trHeight w:val="284"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single" w:sz="12" w:space="0" w:color="000000"/>
              <w:right w:val="nil" w:sz="6" w:space="0" w:color="auto"/>
            </w:tcBorders>
          </w:tcPr>
          <w:p>
            <w:pPr>
              <w:pStyle w:val="TableParagraph"/>
              <w:tabs>
                <w:tab w:pos="3803" w:val="left" w:leader="none"/>
              </w:tabs>
              <w:spacing w:line="26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合计</w:t>
              <w:tab/>
            </w:r>
            <w:r>
              <w:rPr>
                <w:rFonts w:ascii="Times New Roman" w:hAnsi="Times New Roman" w:cs="Times New Roman" w:eastAsia="Times New Roman" w:hint="default"/>
                <w:sz w:val="21"/>
                <w:szCs w:val="21"/>
              </w:rPr>
              <w:t>296,183,647.67</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462" w:right="0"/>
              <w:jc w:val="left"/>
              <w:rPr>
                <w:rFonts w:ascii="Times New Roman" w:hAnsi="Times New Roman" w:cs="Times New Roman" w:eastAsia="Times New Roman" w:hint="default"/>
                <w:sz w:val="21"/>
                <w:szCs w:val="21"/>
              </w:rPr>
            </w:pPr>
            <w:r>
              <w:rPr>
                <w:rFonts w:ascii="Times New Roman"/>
                <w:sz w:val="21"/>
              </w:rPr>
              <w:t>272,389,143.46</w:t>
            </w:r>
          </w:p>
        </w:tc>
      </w:tr>
      <w:tr>
        <w:trPr>
          <w:trHeight w:val="649" w:hRule="exact"/>
        </w:trPr>
        <w:tc>
          <w:tcPr>
            <w:tcW w:w="4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1"/>
              <w:jc w:val="right"/>
              <w:rPr>
                <w:rFonts w:ascii="Times New Roman" w:hAnsi="Times New Roman" w:cs="Times New Roman" w:eastAsia="Times New Roman" w:hint="default"/>
                <w:sz w:val="21"/>
                <w:szCs w:val="21"/>
              </w:rPr>
            </w:pPr>
            <w:r>
              <w:rPr>
                <w:rFonts w:ascii="Times New Roman"/>
                <w:sz w:val="21"/>
              </w:rPr>
              <w:t>6.2</w:t>
            </w:r>
          </w:p>
        </w:tc>
        <w:tc>
          <w:tcPr>
            <w:tcW w:w="5227"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918" w:type="dxa"/>
            <w:tcBorders>
              <w:top w:val="single" w:sz="12" w:space="0" w:color="000000"/>
              <w:left w:val="nil" w:sz="6" w:space="0" w:color="auto"/>
              <w:bottom w:val="nil" w:sz="6" w:space="0" w:color="auto"/>
              <w:right w:val="nil" w:sz="6" w:space="0" w:color="auto"/>
            </w:tcBorders>
          </w:tcPr>
          <w:p>
            <w:pPr/>
          </w:p>
        </w:tc>
      </w:tr>
      <w:tr>
        <w:trPr>
          <w:trHeight w:val="474" w:hRule="exact"/>
        </w:trPr>
        <w:tc>
          <w:tcPr>
            <w:tcW w:w="431" w:type="dxa"/>
            <w:tcBorders>
              <w:top w:val="nil" w:sz="6" w:space="0" w:color="auto"/>
              <w:left w:val="nil" w:sz="6" w:space="0" w:color="auto"/>
              <w:bottom w:val="nil" w:sz="6" w:space="0" w:color="auto"/>
              <w:right w:val="nil" w:sz="6" w:space="0" w:color="auto"/>
            </w:tcBorders>
          </w:tcPr>
          <w:p>
            <w:pPr/>
          </w:p>
        </w:tc>
        <w:tc>
          <w:tcPr>
            <w:tcW w:w="52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应收账款按种类分析如下：</w:t>
            </w:r>
          </w:p>
        </w:tc>
        <w:tc>
          <w:tcPr>
            <w:tcW w:w="274"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918"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6"/>
          <w:szCs w:val="6"/>
        </w:rPr>
      </w:pPr>
    </w:p>
    <w:p>
      <w:pPr>
        <w:tabs>
          <w:tab w:pos="7702" w:val="left" w:leader="none"/>
        </w:tabs>
        <w:spacing w:before="54"/>
        <w:ind w:left="3658"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240" w:lineRule="auto" w:before="7"/>
        <w:rPr>
          <w:rFonts w:ascii="宋体" w:hAnsi="宋体" w:cs="宋体" w:eastAsia="宋体" w:hint="default"/>
          <w:sz w:val="4"/>
          <w:szCs w:val="4"/>
        </w:rPr>
      </w:pPr>
    </w:p>
    <w:p>
      <w:pPr>
        <w:tabs>
          <w:tab w:pos="6401" w:val="left" w:leader="none"/>
        </w:tabs>
        <w:spacing w:line="20" w:lineRule="exact"/>
        <w:ind w:left="2429" w:right="0" w:firstLine="0"/>
        <w:rPr>
          <w:rFonts w:ascii="宋体" w:hAnsi="宋体" w:cs="宋体" w:eastAsia="宋体" w:hint="default"/>
          <w:sz w:val="2"/>
          <w:szCs w:val="2"/>
        </w:rPr>
      </w:pPr>
      <w:r>
        <w:rPr>
          <w:rFonts w:ascii="宋体"/>
          <w:sz w:val="2"/>
        </w:rPr>
        <w:pict>
          <v:group style="width:185.05pt;height:1pt;mso-position-horizontal-relative:char;mso-position-vertical-relative:line" coordorigin="0,0" coordsize="3701,20">
            <v:group style="position:absolute;left:10;top:10;width:1976;height:2" coordorigin="10,10" coordsize="1976,2">
              <v:shape style="position:absolute;left:10;top:10;width:1976;height:2" coordorigin="10,10" coordsize="1976,0" path="m10,10l1985,10e" filled="false" stroked="true" strokeweight=".96pt" strokecolor="#000000">
                <v:path arrowok="t"/>
              </v:shape>
            </v:group>
            <v:group style="position:absolute;left:1985;top:10;width:20;height:2" coordorigin="1985,10" coordsize="20,2">
              <v:shape style="position:absolute;left:1985;top:10;width:20;height:2" coordorigin="1985,10" coordsize="20,0" path="m1985,10l2004,10e" filled="false" stroked="true" strokeweight=".96pt" strokecolor="#000000">
                <v:path arrowok="t"/>
              </v:shape>
            </v:group>
            <v:group style="position:absolute;left:2004;top:10;width:264;height:2" coordorigin="2004,10" coordsize="264,2">
              <v:shape style="position:absolute;left:2004;top:10;width:264;height:2" coordorigin="2004,10" coordsize="264,0" path="m2004,10l2268,10e" filled="false" stroked="true" strokeweight=".96pt" strokecolor="#000000">
                <v:path arrowok="t"/>
              </v:shape>
            </v:group>
            <v:group style="position:absolute;left:2268;top:10;width:20;height:2" coordorigin="2268,10" coordsize="20,2">
              <v:shape style="position:absolute;left:2268;top:10;width:20;height:2" coordorigin="2268,10" coordsize="20,0" path="m2268,10l2287,10e" filled="false" stroked="true" strokeweight=".96pt" strokecolor="#000000">
                <v:path arrowok="t"/>
              </v:shape>
            </v:group>
            <v:group style="position:absolute;left:2287;top:10;width:1404;height:2" coordorigin="2287,10" coordsize="1404,2">
              <v:shape style="position:absolute;left:2287;top:10;width:1404;height:2" coordorigin="2287,10" coordsize="1404,0" path="m2287,10l3691,10e" filled="false" stroked="true" strokeweight=".96pt" strokecolor="#000000">
                <v:path arrowok="t"/>
              </v:shape>
            </v:group>
          </v:group>
        </w:pict>
      </w:r>
      <w:r>
        <w:rPr>
          <w:rFonts w:ascii="宋体"/>
          <w:sz w:val="2"/>
        </w:rPr>
      </w:r>
      <w:r>
        <w:rPr>
          <w:rFonts w:ascii="宋体"/>
          <w:sz w:val="2"/>
        </w:rPr>
        <w:tab/>
      </w:r>
      <w:r>
        <w:rPr>
          <w:rFonts w:ascii="宋体"/>
          <w:position w:val="1"/>
          <w:sz w:val="2"/>
        </w:rPr>
        <w:pict>
          <v:group style="width:192.15pt;height:.5pt;mso-position-horizontal-relative:char;mso-position-vertical-relative:line" coordorigin="0,0" coordsize="3843,10">
            <v:group style="position:absolute;left:5;top:5;width:1846;height:2" coordorigin="5,5" coordsize="1846,2">
              <v:shape style="position:absolute;left:5;top:5;width:1846;height:2" coordorigin="5,5" coordsize="1846,0" path="m5,5l1850,5e" filled="false" stroked="true" strokeweight=".48pt" strokecolor="#000000">
                <v:path arrowok="t"/>
              </v:shape>
            </v:group>
            <v:group style="position:absolute;left:1850;top:5;width:10;height:2" coordorigin="1850,5" coordsize="10,2">
              <v:shape style="position:absolute;left:1850;top:5;width:10;height:2" coordorigin="1850,5" coordsize="10,0" path="m1850,5l1860,5e" filled="false" stroked="true" strokeweight=".48pt" strokecolor="#000000">
                <v:path arrowok="t"/>
              </v:shape>
            </v:group>
            <v:group style="position:absolute;left:1860;top:5;width:276;height:2" coordorigin="1860,5" coordsize="276,2">
              <v:shape style="position:absolute;left:1860;top:5;width:276;height:2" coordorigin="1860,5" coordsize="276,0" path="m1860,5l2136,5e" filled="false" stroked="true" strokeweight=".48pt" strokecolor="#000000">
                <v:path arrowok="t"/>
              </v:shape>
            </v:group>
            <v:group style="position:absolute;left:2136;top:5;width:10;height:2" coordorigin="2136,5" coordsize="10,2">
              <v:shape style="position:absolute;left:2136;top:5;width:10;height:2" coordorigin="2136,5" coordsize="10,0" path="m2136,5l2146,5e" filled="false" stroked="true" strokeweight=".48pt" strokecolor="#000000">
                <v:path arrowok="t"/>
              </v:shape>
            </v:group>
            <v:group style="position:absolute;left:2146;top:5;width:1692;height:2" coordorigin="2146,5" coordsize="1692,2">
              <v:shape style="position:absolute;left:2146;top:5;width:1692;height:2" coordorigin="2146,5" coordsize="1692,0" path="m2146,5l3837,5e" filled="false" stroked="true" strokeweight=".48pt" strokecolor="#000000">
                <v:path arrowok="t"/>
              </v:shape>
            </v:group>
          </v:group>
        </w:pict>
      </w:r>
      <w:r>
        <w:rPr>
          <w:rFonts w:ascii="宋体"/>
          <w:position w:val="1"/>
          <w:sz w:val="2"/>
        </w:rPr>
      </w:r>
    </w:p>
    <w:p>
      <w:pPr>
        <w:tabs>
          <w:tab w:pos="5107" w:val="left" w:leader="none"/>
          <w:tab w:pos="7027" w:val="left" w:leader="none"/>
          <w:tab w:pos="9089" w:val="left" w:leader="none"/>
        </w:tabs>
        <w:spacing w:line="212" w:lineRule="exact" w:before="0"/>
        <w:ind w:left="3125" w:right="0" w:firstLine="0"/>
        <w:jc w:val="left"/>
        <w:rPr>
          <w:rFonts w:ascii="宋体" w:hAnsi="宋体" w:cs="宋体" w:eastAsia="宋体" w:hint="default"/>
          <w:sz w:val="15"/>
          <w:szCs w:val="15"/>
        </w:rPr>
      </w:pP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tab/>
      </w: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r>
    </w:p>
    <w:p>
      <w:pPr>
        <w:spacing w:line="70" w:lineRule="exact" w:before="0"/>
        <w:ind w:left="1224" w:right="0" w:firstLine="0"/>
        <w:jc w:val="left"/>
        <w:rPr>
          <w:rFonts w:ascii="宋体" w:hAnsi="宋体" w:cs="宋体" w:eastAsia="宋体" w:hint="default"/>
          <w:sz w:val="15"/>
          <w:szCs w:val="15"/>
        </w:rPr>
      </w:pPr>
      <w:r>
        <w:rPr/>
        <w:pict>
          <v:group style="position:absolute;margin-left:174.479996pt;margin-top:1.472538pt;width:99.75pt;height:1pt;mso-position-horizontal-relative:page;mso-position-vertical-relative:paragraph;z-index:2200" coordorigin="3490,29" coordsize="1995,20">
            <v:group style="position:absolute;left:3499;top:39;width:992;height:2" coordorigin="3499,39" coordsize="992,2">
              <v:shape style="position:absolute;left:3499;top:39;width:992;height:2" coordorigin="3499,39" coordsize="992,0" path="m3499,39l4490,39e" filled="false" stroked="true" strokeweight=".96pt" strokecolor="#000000">
                <v:path arrowok="t"/>
              </v:shape>
            </v:group>
            <v:group style="position:absolute;left:4490;top:39;width:19;height:2" coordorigin="4490,39" coordsize="19,2">
              <v:shape style="position:absolute;left:4490;top:39;width:19;height:2" coordorigin="4490,39" coordsize="19,0" path="m4490,39l4509,39e" filled="false" stroked="true" strokeweight=".96pt" strokecolor="#000000">
                <v:path arrowok="t"/>
              </v:shape>
            </v:group>
            <v:group style="position:absolute;left:4510;top:39;width:264;height:2" coordorigin="4510,39" coordsize="264,2">
              <v:shape style="position:absolute;left:4510;top:39;width:264;height:2" coordorigin="4510,39" coordsize="264,0" path="m4510,39l4774,39e" filled="false" stroked="true" strokeweight=".96pt" strokecolor="#000000">
                <v:path arrowok="t"/>
              </v:shape>
            </v:group>
            <v:group style="position:absolute;left:4774;top:39;width:19;height:2" coordorigin="4774,39" coordsize="19,2">
              <v:shape style="position:absolute;left:4774;top:39;width:19;height:2" coordorigin="4774,39" coordsize="19,0" path="m4774,39l4793,39e" filled="false" stroked="true" strokeweight=".96pt" strokecolor="#000000">
                <v:path arrowok="t"/>
              </v:shape>
            </v:group>
            <v:group style="position:absolute;left:4793;top:39;width:682;height:2" coordorigin="4793,39" coordsize="682,2">
              <v:shape style="position:absolute;left:4793;top:39;width:682;height:2" coordorigin="4793,39" coordsize="682,0" path="m4793,39l5474,39e" filled="false" stroked="true" strokeweight=".96pt" strokecolor="#000000">
                <v:path arrowok="t"/>
              </v:shape>
            </v:group>
            <w10:wrap type="none"/>
          </v:group>
        </w:pict>
      </w:r>
      <w:r>
        <w:rPr/>
        <w:pict>
          <v:group style="position:absolute;margin-left:287.399994pt;margin-top:1.472538pt;width:72.150pt;height:1pt;mso-position-horizontal-relative:page;mso-position-vertical-relative:paragraph;z-index:2224" coordorigin="5748,29" coordsize="1443,20">
            <v:group style="position:absolute;left:5758;top:39;width:567;height:2" coordorigin="5758,39" coordsize="567,2">
              <v:shape style="position:absolute;left:5758;top:39;width:567;height:2" coordorigin="5758,39" coordsize="567,0" path="m5758,39l6324,39e" filled="false" stroked="true" strokeweight=".96pt" strokecolor="#000000">
                <v:path arrowok="t"/>
              </v:shape>
            </v:group>
            <v:group style="position:absolute;left:6324;top:39;width:19;height:2" coordorigin="6324,39" coordsize="19,2">
              <v:shape style="position:absolute;left:6324;top:39;width:19;height:2" coordorigin="6324,39" coordsize="19,0" path="m6324,39l6343,39e" filled="false" stroked="true" strokeweight=".96pt" strokecolor="#000000">
                <v:path arrowok="t"/>
              </v:shape>
            </v:group>
            <v:group style="position:absolute;left:6343;top:39;width:269;height:2" coordorigin="6343,39" coordsize="269,2">
              <v:shape style="position:absolute;left:6343;top:39;width:269;height:2" coordorigin="6343,39" coordsize="269,0" path="m6343,39l6612,39e" filled="false" stroked="true" strokeweight=".96pt" strokecolor="#000000">
                <v:path arrowok="t"/>
              </v:shape>
            </v:group>
            <v:group style="position:absolute;left:6612;top:39;width:20;height:2" coordorigin="6612,39" coordsize="20,2">
              <v:shape style="position:absolute;left:6612;top:39;width:20;height:2" coordorigin="6612,39" coordsize="20,0" path="m6612,39l6631,39e" filled="false" stroked="true" strokeweight=".96pt" strokecolor="#000000">
                <v:path arrowok="t"/>
              </v:shape>
            </v:group>
            <v:group style="position:absolute;left:6631;top:39;width:550;height:2" coordorigin="6631,39" coordsize="550,2">
              <v:shape style="position:absolute;left:6631;top:39;width:550;height:2" coordorigin="6631,39" coordsize="550,0" path="m6631,39l7181,39e" filled="false" stroked="true" strokeweight=".96pt" strokecolor="#000000">
                <v:path arrowok="t"/>
              </v:shape>
            </v:group>
            <w10:wrap type="none"/>
          </v:group>
        </w:pict>
      </w:r>
      <w:r>
        <w:rPr/>
        <w:pict>
          <v:group style="position:absolute;margin-left:372.839996pt;margin-top:1.472538pt;width:93.25pt;height:1pt;mso-position-horizontal-relative:page;mso-position-vertical-relative:paragraph;z-index:2248" coordorigin="7457,29" coordsize="1865,20">
            <v:group style="position:absolute;left:7466;top:39;width:996;height:2" coordorigin="7466,39" coordsize="996,2">
              <v:shape style="position:absolute;left:7466;top:39;width:996;height:2" coordorigin="7466,39" coordsize="996,0" path="m7466,39l8462,39e" filled="false" stroked="true" strokeweight=".96pt" strokecolor="#000000">
                <v:path arrowok="t"/>
              </v:shape>
            </v:group>
            <v:group style="position:absolute;left:8462;top:39;width:20;height:2" coordorigin="8462,39" coordsize="20,2">
              <v:shape style="position:absolute;left:8462;top:39;width:20;height:2" coordorigin="8462,39" coordsize="20,0" path="m8462,39l8482,39e" filled="false" stroked="true" strokeweight=".96pt" strokecolor="#000000">
                <v:path arrowok="t"/>
              </v:shape>
            </v:group>
            <v:group style="position:absolute;left:8482;top:39;width:264;height:2" coordorigin="8482,39" coordsize="264,2">
              <v:shape style="position:absolute;left:8482;top:39;width:264;height:2" coordorigin="8482,39" coordsize="264,0" path="m8482,39l8745,39e" filled="false" stroked="true" strokeweight=".96pt" strokecolor="#000000">
                <v:path arrowok="t"/>
              </v:shape>
            </v:group>
            <v:group style="position:absolute;left:8746;top:39;width:20;height:2" coordorigin="8746,39" coordsize="20,2">
              <v:shape style="position:absolute;left:8746;top:39;width:20;height:2" coordorigin="8746,39" coordsize="20,0" path="m8746,39l8765,39e" filled="false" stroked="true" strokeweight=".96pt" strokecolor="#000000">
                <v:path arrowok="t"/>
              </v:shape>
            </v:group>
            <v:group style="position:absolute;left:8765;top:39;width:547;height:2" coordorigin="8765,39" coordsize="547,2">
              <v:shape style="position:absolute;left:8765;top:39;width:547;height:2" coordorigin="8765,39" coordsize="547,0" path="m8765,39l9312,39e" filled="false" stroked="true" strokeweight=".96pt" strokecolor="#000000">
                <v:path arrowok="t"/>
              </v:shape>
            </v:group>
            <w10:wrap type="none"/>
          </v:group>
        </w:pict>
      </w:r>
      <w:r>
        <w:rPr/>
        <w:pict>
          <v:group style="position:absolute;margin-left:479.399994pt;margin-top:1.472538pt;width:86.05pt;height:1pt;mso-position-horizontal-relative:page;mso-position-vertical-relative:paragraph;z-index:2272" coordorigin="9588,29" coordsize="1721,20">
            <v:group style="position:absolute;left:9598;top:39;width:850;height:2" coordorigin="9598,39" coordsize="850,2">
              <v:shape style="position:absolute;left:9598;top:39;width:850;height:2" coordorigin="9598,39" coordsize="850,0" path="m9598,39l10447,39e" filled="false" stroked="true" strokeweight=".96pt" strokecolor="#000000">
                <v:path arrowok="t"/>
              </v:shape>
            </v:group>
            <v:group style="position:absolute;left:10447;top:39;width:19;height:2" coordorigin="10447,39" coordsize="19,2">
              <v:shape style="position:absolute;left:10447;top:39;width:19;height:2" coordorigin="10447,39" coordsize="19,0" path="m10447,39l10466,39e" filled="false" stroked="true" strokeweight=".96pt" strokecolor="#000000">
                <v:path arrowok="t"/>
              </v:shape>
            </v:group>
            <v:group style="position:absolute;left:10466;top:39;width:264;height:2" coordorigin="10466,39" coordsize="264,2">
              <v:shape style="position:absolute;left:10466;top:39;width:264;height:2" coordorigin="10466,39" coordsize="264,0" path="m10466,39l10730,39e" filled="false" stroked="true" strokeweight=".96pt" strokecolor="#000000">
                <v:path arrowok="t"/>
              </v:shape>
            </v:group>
            <v:group style="position:absolute;left:10730;top:39;width:19;height:2" coordorigin="10730,39" coordsize="19,2">
              <v:shape style="position:absolute;left:10730;top:39;width:19;height:2" coordorigin="10730,39" coordsize="19,0" path="m10730,39l10749,39e" filled="false" stroked="true" strokeweight=".96pt" strokecolor="#000000">
                <v:path arrowok="t"/>
              </v:shape>
            </v:group>
            <v:group style="position:absolute;left:10750;top:39;width:550;height:2" coordorigin="10750,39" coordsize="550,2">
              <v:shape style="position:absolute;left:10750;top:39;width:550;height:2" coordorigin="10750,39" coordsize="550,0" path="m10750,39l11299,39e" filled="false" stroked="true" strokeweight=".96pt" strokecolor="#000000">
                <v:path arrowok="t"/>
              </v:shape>
            </v:group>
            <w10:wrap type="none"/>
          </v:group>
        </w:pict>
      </w:r>
      <w:r>
        <w:rPr>
          <w:rFonts w:ascii="宋体" w:hAnsi="宋体" w:cs="宋体" w:eastAsia="宋体" w:hint="default"/>
          <w:sz w:val="15"/>
          <w:szCs w:val="15"/>
        </w:rPr>
        <w:t>种类</w:t>
      </w:r>
    </w:p>
    <w:p>
      <w:pPr>
        <w:spacing w:after="0" w:line="70" w:lineRule="exact"/>
        <w:jc w:val="left"/>
        <w:rPr>
          <w:rFonts w:ascii="宋体" w:hAnsi="宋体" w:cs="宋体" w:eastAsia="宋体" w:hint="default"/>
          <w:sz w:val="15"/>
          <w:szCs w:val="15"/>
        </w:rPr>
        <w:sectPr>
          <w:headerReference w:type="default" r:id="rId32"/>
          <w:footerReference w:type="default" r:id="rId33"/>
          <w:pgSz w:w="11900" w:h="16840"/>
          <w:pgMar w:header="886" w:footer="983" w:top="1800" w:bottom="1180" w:left="1060" w:right="340"/>
          <w:pgNumType w:start="98"/>
        </w:sectPr>
      </w:pP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3"/>
          <w:szCs w:val="13"/>
        </w:rPr>
      </w:pPr>
    </w:p>
    <w:p>
      <w:pPr>
        <w:spacing w:before="0"/>
        <w:ind w:left="706" w:right="-15" w:firstLine="0"/>
        <w:jc w:val="left"/>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5"/>
          <w:sz w:val="15"/>
          <w:szCs w:val="15"/>
        </w:rPr>
        <w:t> </w:t>
      </w:r>
      <w:r>
        <w:rPr>
          <w:rFonts w:ascii="宋体" w:hAnsi="宋体" w:cs="宋体" w:eastAsia="宋体" w:hint="default"/>
          <w:sz w:val="15"/>
          <w:szCs w:val="15"/>
        </w:rPr>
        <w:t>项</w:t>
      </w:r>
      <w:r>
        <w:rPr>
          <w:rFonts w:ascii="宋体" w:hAnsi="宋体" w:cs="宋体" w:eastAsia="宋体" w:hint="default"/>
          <w:spacing w:val="-55"/>
          <w:sz w:val="15"/>
          <w:szCs w:val="15"/>
        </w:rPr>
        <w:t> </w:t>
      </w:r>
      <w:r>
        <w:rPr>
          <w:rFonts w:ascii="宋体" w:hAnsi="宋体" w:cs="宋体" w:eastAsia="宋体" w:hint="default"/>
          <w:sz w:val="15"/>
          <w:szCs w:val="15"/>
        </w:rPr>
        <w:t>金</w:t>
      </w:r>
      <w:r>
        <w:rPr>
          <w:rFonts w:ascii="宋体" w:hAnsi="宋体" w:cs="宋体" w:eastAsia="宋体" w:hint="default"/>
          <w:spacing w:val="-55"/>
          <w:sz w:val="15"/>
          <w:szCs w:val="15"/>
        </w:rPr>
        <w:t> </w:t>
      </w:r>
      <w:r>
        <w:rPr>
          <w:rFonts w:ascii="宋体" w:hAnsi="宋体" w:cs="宋体" w:eastAsia="宋体" w:hint="default"/>
          <w:sz w:val="15"/>
          <w:szCs w:val="15"/>
        </w:rPr>
        <w:t>额</w:t>
      </w:r>
      <w:r>
        <w:rPr>
          <w:rFonts w:ascii="宋体" w:hAnsi="宋体" w:cs="宋体" w:eastAsia="宋体" w:hint="default"/>
          <w:spacing w:val="-55"/>
          <w:sz w:val="15"/>
          <w:szCs w:val="15"/>
        </w:rPr>
        <w:t> </w:t>
      </w:r>
      <w:r>
        <w:rPr>
          <w:rFonts w:ascii="宋体" w:hAnsi="宋体" w:cs="宋体" w:eastAsia="宋体" w:hint="default"/>
          <w:spacing w:val="8"/>
          <w:sz w:val="15"/>
          <w:szCs w:val="15"/>
        </w:rPr>
        <w:t>重大</w:t>
      </w:r>
      <w:r>
        <w:rPr>
          <w:rFonts w:ascii="宋体" w:hAnsi="宋体" w:cs="宋体" w:eastAsia="宋体" w:hint="default"/>
          <w:spacing w:val="-55"/>
          <w:sz w:val="15"/>
          <w:szCs w:val="15"/>
        </w:rPr>
        <w:t> </w:t>
      </w:r>
      <w:r>
        <w:rPr>
          <w:rFonts w:ascii="宋体" w:hAnsi="宋体" w:cs="宋体" w:eastAsia="宋体" w:hint="default"/>
          <w:sz w:val="15"/>
          <w:szCs w:val="15"/>
        </w:rPr>
        <w:t>并</w:t>
      </w:r>
      <w:r>
        <w:rPr>
          <w:rFonts w:ascii="宋体" w:hAnsi="宋体" w:cs="宋体" w:eastAsia="宋体" w:hint="default"/>
          <w:spacing w:val="-55"/>
          <w:sz w:val="15"/>
          <w:szCs w:val="15"/>
        </w:rPr>
        <w:t> </w:t>
      </w:r>
      <w:r>
        <w:rPr>
          <w:rFonts w:ascii="宋体" w:hAnsi="宋体" w:cs="宋体" w:eastAsia="宋体" w:hint="default"/>
          <w:sz w:val="15"/>
          <w:szCs w:val="15"/>
        </w:rPr>
        <w:t>单</w:t>
      </w:r>
    </w:p>
    <w:p>
      <w:pPr>
        <w:tabs>
          <w:tab w:pos="1130" w:val="left" w:leader="none"/>
        </w:tabs>
        <w:spacing w:line="200" w:lineRule="exact" w:before="0"/>
        <w:ind w:left="0" w:right="60" w:firstLine="0"/>
        <w:jc w:val="righ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157" w:lineRule="exact" w:before="0"/>
        <w:ind w:left="0" w:right="0" w:firstLine="0"/>
        <w:jc w:val="right"/>
        <w:rPr>
          <w:rFonts w:ascii="宋体" w:hAnsi="宋体" w:cs="宋体" w:eastAsia="宋体" w:hint="default"/>
          <w:sz w:val="15"/>
          <w:szCs w:val="15"/>
        </w:rPr>
      </w:pPr>
      <w:r>
        <w:rPr/>
        <w:pict>
          <v:group style="position:absolute;margin-left:82.919998pt;margin-top:8.862548pt;width:77.650pt;height:.1pt;mso-position-horizontal-relative:page;mso-position-vertical-relative:paragraph;z-index:-553312" coordorigin="1658,177" coordsize="1553,2">
            <v:shape style="position:absolute;left:1658;top:177;width:1553;height:2" coordorigin="1658,177" coordsize="1553,0" path="m1658,177l3211,177e" filled="false" stroked="true" strokeweight=".96pt" strokecolor="#000000">
              <v:path arrowok="t"/>
            </v:shape>
            <w10:wrap type="none"/>
          </v:group>
        </w:pict>
      </w:r>
      <w:r>
        <w:rPr/>
        <w:pict>
          <v:group style="position:absolute;margin-left:174.960007pt;margin-top:8.862548pt;width:49.6pt;height:.1pt;mso-position-horizontal-relative:page;mso-position-vertical-relative:paragraph;z-index:2320" coordorigin="3499,177" coordsize="992,2">
            <v:shape style="position:absolute;left:3499;top:177;width:992;height:2" coordorigin="3499,177" coordsize="992,0" path="m3499,177l4490,177e" filled="false" stroked="true" strokeweight=".96pt" strokecolor="#000000">
              <v:path arrowok="t"/>
            </v:shape>
            <w10:wrap type="none"/>
          </v:group>
        </w:pict>
      </w:r>
      <w:r>
        <w:rPr/>
        <w:pict>
          <v:group style="position:absolute;margin-left:238.679993pt;margin-top:8.862548pt;width:35.050pt;height:.1pt;mso-position-horizontal-relative:page;mso-position-vertical-relative:paragraph;z-index:2344" coordorigin="4774,177" coordsize="701,2">
            <v:shape style="position:absolute;left:4774;top:177;width:701;height:2" coordorigin="4774,177" coordsize="701,0" path="m4774,177l5474,177e" filled="false" stroked="true" strokeweight=".96pt" strokecolor="#000000">
              <v:path arrowok="t"/>
            </v:shape>
            <w10:wrap type="none"/>
          </v:group>
        </w:pict>
      </w:r>
      <w:r>
        <w:rPr/>
        <w:pict>
          <v:group style="position:absolute;margin-left:287.880005pt;margin-top:8.862548pt;width:28.35pt;height:.1pt;mso-position-horizontal-relative:page;mso-position-vertical-relative:paragraph;z-index:2368" coordorigin="5758,177" coordsize="567,2">
            <v:shape style="position:absolute;left:5758;top:177;width:567;height:2" coordorigin="5758,177" coordsize="567,0" path="m5758,177l6324,177e" filled="false" stroked="true" strokeweight=".96pt" strokecolor="#000000">
              <v:path arrowok="t"/>
            </v:shape>
            <w10:wrap type="none"/>
          </v:group>
        </w:pict>
      </w:r>
      <w:r>
        <w:rPr/>
        <w:pict>
          <v:group style="position:absolute;margin-left:330.600006pt;margin-top:8.862548pt;width:28.45pt;height:.1pt;mso-position-horizontal-relative:page;mso-position-vertical-relative:paragraph;z-index:2392" coordorigin="6612,177" coordsize="569,2">
            <v:shape style="position:absolute;left:6612;top:177;width:569;height:2" coordorigin="6612,177" coordsize="569,0" path="m6612,177l7181,177e" filled="false" stroked="true" strokeweight=".96pt" strokecolor="#000000">
              <v:path arrowok="t"/>
            </v:shape>
            <w10:wrap type="none"/>
          </v:group>
        </w:pic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tabs>
          <w:tab w:pos="1364" w:val="left" w:leader="none"/>
        </w:tabs>
        <w:spacing w:line="158" w:lineRule="auto" w:before="14"/>
        <w:ind w:left="1251" w:right="0" w:hanging="740"/>
        <w:jc w:val="right"/>
        <w:rPr>
          <w:rFonts w:ascii="Times New Roman" w:hAnsi="Times New Roman" w:cs="Times New Roman" w:eastAsia="Times New Roman" w:hint="default"/>
          <w:sz w:val="15"/>
          <w:szCs w:val="15"/>
        </w:rPr>
      </w:pPr>
      <w:r>
        <w:rPr/>
        <w:br w:type="column"/>
      </w:r>
      <w:r>
        <w:rPr>
          <w:rFonts w:ascii="宋体" w:hAnsi="宋体" w:cs="宋体" w:eastAsia="宋体" w:hint="default"/>
          <w:position w:val="-9"/>
          <w:sz w:val="15"/>
          <w:szCs w:val="15"/>
        </w:rPr>
        <w:t>金额</w:t>
        <w:tab/>
        <w:tab/>
      </w:r>
      <w:r>
        <w:rPr>
          <w:rFonts w:ascii="宋体" w:hAnsi="宋体" w:cs="宋体" w:eastAsia="宋体" w:hint="default"/>
          <w:sz w:val="15"/>
          <w:szCs w:val="15"/>
        </w:rPr>
        <w:t>计提</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p>
      <w:pPr>
        <w:tabs>
          <w:tab w:pos="1769" w:val="left" w:leader="none"/>
        </w:tabs>
        <w:spacing w:line="200" w:lineRule="exact" w:before="0"/>
        <w:ind w:left="706" w:right="0"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157" w:lineRule="exact" w:before="0"/>
        <w:ind w:left="0" w:right="0" w:firstLine="0"/>
        <w:jc w:val="right"/>
        <w:rPr>
          <w:rFonts w:ascii="宋体" w:hAnsi="宋体" w:cs="宋体" w:eastAsia="宋体" w:hint="default"/>
          <w:sz w:val="15"/>
          <w:szCs w:val="15"/>
        </w:rPr>
      </w:pPr>
      <w:r>
        <w:rPr/>
        <w:pict>
          <v:group style="position:absolute;margin-left:373.320007pt;margin-top:8.862548pt;width:49.8pt;height:.1pt;mso-position-horizontal-relative:page;mso-position-vertical-relative:paragraph;z-index:2416" coordorigin="7466,177" coordsize="996,2">
            <v:shape style="position:absolute;left:7466;top:177;width:996;height:2" coordorigin="7466,177" coordsize="996,0" path="m7466,177l8462,177e" filled="false" stroked="true" strokeweight=".96pt" strokecolor="#000000">
              <v:path arrowok="t"/>
            </v:shape>
            <w10:wrap type="none"/>
          </v:group>
        </w:pict>
      </w:r>
      <w:r>
        <w:rPr/>
        <w:pict>
          <v:group style="position:absolute;margin-left:437.279999pt;margin-top:8.862548pt;width:28.35pt;height:.1pt;mso-position-horizontal-relative:page;mso-position-vertical-relative:paragraph;z-index:2440" coordorigin="8746,177" coordsize="567,2">
            <v:shape style="position:absolute;left:8746;top:177;width:567;height:2" coordorigin="8746,177" coordsize="567,0" path="m8746,177l9312,177e" filled="false" stroked="true" strokeweight=".96pt" strokecolor="#000000">
              <v:path arrowok="t"/>
            </v:shape>
            <w10:wrap type="none"/>
          </v:group>
        </w:pic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tabs>
          <w:tab w:pos="1486" w:val="left" w:leader="none"/>
        </w:tabs>
        <w:spacing w:line="200" w:lineRule="exact" w:before="0"/>
        <w:ind w:left="550" w:right="0"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计提</w:t>
      </w:r>
    </w:p>
    <w:p>
      <w:pPr>
        <w:spacing w:line="157" w:lineRule="exact" w:before="0"/>
        <w:ind w:left="1424" w:right="0" w:firstLine="0"/>
        <w:jc w:val="left"/>
        <w:rPr>
          <w:rFonts w:ascii="Times New Roman" w:hAnsi="Times New Roman" w:cs="Times New Roman" w:eastAsia="Times New Roman" w:hint="default"/>
          <w:sz w:val="15"/>
          <w:szCs w:val="15"/>
        </w:rPr>
      </w:pPr>
      <w:r>
        <w:rPr/>
        <w:pict>
          <v:group style="position:absolute;margin-left:479.880005pt;margin-top:8.862548pt;width:42.5pt;height:.1pt;mso-position-horizontal-relative:page;mso-position-vertical-relative:paragraph;z-index:2464" coordorigin="9598,177" coordsize="850,2">
            <v:shape style="position:absolute;left:9598;top:177;width:850;height:2" coordorigin="9598,177" coordsize="850,0" path="m9598,177l10447,177e" filled="false" stroked="true" strokeweight=".96pt" strokecolor="#000000">
              <v:path arrowok="t"/>
            </v:shape>
            <w10:wrap type="none"/>
          </v:group>
        </w:pict>
      </w:r>
      <w:r>
        <w:rPr/>
        <w:pict>
          <v:group style="position:absolute;margin-left:536.520020pt;margin-top:8.862548pt;width:28.45pt;height:.1pt;mso-position-horizontal-relative:page;mso-position-vertical-relative:paragraph;z-index:2488" coordorigin="10730,177" coordsize="569,2">
            <v:shape style="position:absolute;left:10730;top:177;width:569;height:2" coordorigin="10730,177" coordsize="569,0" path="m10730,177l11299,177e" filled="false" stroked="true" strokeweight=".96pt" strokecolor="#000000">
              <v:path arrowok="t"/>
            </v:shape>
            <w10:wrap type="none"/>
          </v:group>
        </w:pic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p>
      <w:pPr>
        <w:spacing w:after="0" w:line="157" w:lineRule="exact"/>
        <w:jc w:val="left"/>
        <w:rPr>
          <w:rFonts w:ascii="Times New Roman" w:hAnsi="Times New Roman" w:cs="Times New Roman" w:eastAsia="Times New Roman" w:hint="default"/>
          <w:sz w:val="15"/>
          <w:szCs w:val="15"/>
        </w:rPr>
        <w:sectPr>
          <w:type w:val="continuous"/>
          <w:pgSz w:w="11900" w:h="16840"/>
          <w:pgMar w:top="1040" w:bottom="1180" w:left="1060" w:right="340"/>
          <w:cols w:num="5" w:equalWidth="0">
            <w:col w:w="2048" w:space="40"/>
            <w:col w:w="2190" w:space="40"/>
            <w:col w:w="1680" w:space="51"/>
            <w:col w:w="2173" w:space="40"/>
            <w:col w:w="2238"/>
          </w:cols>
        </w:sectPr>
      </w:pPr>
    </w:p>
    <w:p>
      <w:pPr>
        <w:spacing w:before="0"/>
        <w:ind w:left="706" w:right="-15" w:firstLine="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55"/>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z w:val="15"/>
          <w:szCs w:val="15"/>
        </w:rPr>
        <w:t>提</w:t>
      </w:r>
      <w:r>
        <w:rPr>
          <w:rFonts w:ascii="宋体" w:hAnsi="宋体" w:cs="宋体" w:eastAsia="宋体" w:hint="default"/>
          <w:spacing w:val="-55"/>
          <w:sz w:val="15"/>
          <w:szCs w:val="15"/>
        </w:rPr>
        <w:t> </w:t>
      </w:r>
      <w:r>
        <w:rPr>
          <w:rFonts w:ascii="宋体" w:hAnsi="宋体" w:cs="宋体" w:eastAsia="宋体" w:hint="default"/>
          <w:sz w:val="15"/>
          <w:szCs w:val="15"/>
        </w:rPr>
        <w:t>坏</w:t>
      </w:r>
      <w:r>
        <w:rPr>
          <w:rFonts w:ascii="宋体" w:hAnsi="宋体" w:cs="宋体" w:eastAsia="宋体" w:hint="default"/>
          <w:spacing w:val="-55"/>
          <w:sz w:val="15"/>
          <w:szCs w:val="15"/>
        </w:rPr>
        <w:t> </w:t>
      </w:r>
      <w:r>
        <w:rPr>
          <w:rFonts w:ascii="宋体" w:hAnsi="宋体" w:cs="宋体" w:eastAsia="宋体" w:hint="default"/>
          <w:spacing w:val="8"/>
          <w:sz w:val="15"/>
          <w:szCs w:val="15"/>
        </w:rPr>
        <w:t>账准</w:t>
      </w:r>
      <w:r>
        <w:rPr>
          <w:rFonts w:ascii="宋体" w:hAnsi="宋体" w:cs="宋体" w:eastAsia="宋体" w:hint="default"/>
          <w:spacing w:val="-55"/>
          <w:sz w:val="15"/>
          <w:szCs w:val="15"/>
        </w:rPr>
        <w:t> </w:t>
      </w:r>
      <w:r>
        <w:rPr>
          <w:rFonts w:ascii="宋体" w:hAnsi="宋体" w:cs="宋体" w:eastAsia="宋体" w:hint="default"/>
          <w:sz w:val="15"/>
          <w:szCs w:val="15"/>
        </w:rPr>
        <w:t>备</w:t>
      </w:r>
      <w:r>
        <w:rPr>
          <w:rFonts w:ascii="宋体" w:hAnsi="宋体" w:cs="宋体" w:eastAsia="宋体" w:hint="default"/>
          <w:spacing w:val="-55"/>
          <w:sz w:val="15"/>
          <w:szCs w:val="15"/>
        </w:rPr>
        <w:t> </w:t>
      </w:r>
      <w:r>
        <w:rPr>
          <w:rFonts w:ascii="宋体" w:hAnsi="宋体" w:cs="宋体" w:eastAsia="宋体" w:hint="default"/>
          <w:sz w:val="15"/>
          <w:szCs w:val="15"/>
        </w:rPr>
        <w:t>的</w:t>
      </w:r>
      <w:r>
        <w:rPr>
          <w:rFonts w:ascii="宋体" w:hAnsi="宋体" w:cs="宋体" w:eastAsia="宋体" w:hint="default"/>
          <w:w w:val="100"/>
          <w:sz w:val="15"/>
          <w:szCs w:val="15"/>
        </w:rPr>
        <w:t> </w:t>
      </w:r>
      <w:r>
        <w:rPr>
          <w:rFonts w:ascii="宋体" w:hAnsi="宋体" w:cs="宋体" w:eastAsia="宋体" w:hint="default"/>
          <w:sz w:val="15"/>
          <w:szCs w:val="15"/>
        </w:rPr>
        <w:t>应收账款</w:t>
      </w:r>
    </w:p>
    <w:p>
      <w:pPr>
        <w:spacing w:before="0"/>
        <w:ind w:left="706" w:right="-15" w:firstLine="0"/>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5"/>
          <w:sz w:val="15"/>
          <w:szCs w:val="15"/>
        </w:rPr>
        <w:t> </w:t>
      </w:r>
      <w:r>
        <w:rPr>
          <w:rFonts w:ascii="宋体" w:hAnsi="宋体" w:cs="宋体" w:eastAsia="宋体" w:hint="default"/>
          <w:sz w:val="15"/>
          <w:szCs w:val="15"/>
        </w:rPr>
        <w:t>组</w:t>
      </w:r>
      <w:r>
        <w:rPr>
          <w:rFonts w:ascii="宋体" w:hAnsi="宋体" w:cs="宋体" w:eastAsia="宋体" w:hint="default"/>
          <w:spacing w:val="-55"/>
          <w:sz w:val="15"/>
          <w:szCs w:val="15"/>
        </w:rPr>
        <w:t> </w:t>
      </w:r>
      <w:r>
        <w:rPr>
          <w:rFonts w:ascii="宋体" w:hAnsi="宋体" w:cs="宋体" w:eastAsia="宋体" w:hint="default"/>
          <w:sz w:val="15"/>
          <w:szCs w:val="15"/>
        </w:rPr>
        <w:t>合</w:t>
      </w:r>
      <w:r>
        <w:rPr>
          <w:rFonts w:ascii="宋体" w:hAnsi="宋体" w:cs="宋体" w:eastAsia="宋体" w:hint="default"/>
          <w:spacing w:val="-55"/>
          <w:sz w:val="15"/>
          <w:szCs w:val="15"/>
        </w:rPr>
        <w:t> </w:t>
      </w:r>
      <w:r>
        <w:rPr>
          <w:rFonts w:ascii="宋体" w:hAnsi="宋体" w:cs="宋体" w:eastAsia="宋体" w:hint="default"/>
          <w:sz w:val="15"/>
          <w:szCs w:val="15"/>
        </w:rPr>
        <w:t>计</w:t>
      </w:r>
      <w:r>
        <w:rPr>
          <w:rFonts w:ascii="宋体" w:hAnsi="宋体" w:cs="宋体" w:eastAsia="宋体" w:hint="default"/>
          <w:spacing w:val="-55"/>
          <w:sz w:val="15"/>
          <w:szCs w:val="15"/>
        </w:rPr>
        <w:t> </w:t>
      </w:r>
      <w:r>
        <w:rPr>
          <w:rFonts w:ascii="宋体" w:hAnsi="宋体" w:cs="宋体" w:eastAsia="宋体" w:hint="default"/>
          <w:spacing w:val="8"/>
          <w:sz w:val="15"/>
          <w:szCs w:val="15"/>
        </w:rPr>
        <w:t>提坏</w:t>
      </w:r>
      <w:r>
        <w:rPr>
          <w:rFonts w:ascii="宋体" w:hAnsi="宋体" w:cs="宋体" w:eastAsia="宋体" w:hint="default"/>
          <w:spacing w:val="-55"/>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备的应收账款：</w:t>
      </w:r>
    </w:p>
    <w:p>
      <w:pPr>
        <w:spacing w:line="143" w:lineRule="exact" w:before="0"/>
        <w:ind w:left="706" w:right="-15" w:firstLine="0"/>
        <w:jc w:val="left"/>
        <w:rPr>
          <w:rFonts w:ascii="宋体" w:hAnsi="宋体" w:cs="宋体" w:eastAsia="宋体" w:hint="default"/>
          <w:sz w:val="15"/>
          <w:szCs w:val="15"/>
        </w:rPr>
      </w:pPr>
      <w:r>
        <w:rPr>
          <w:rFonts w:ascii="宋体" w:hAnsi="宋体" w:cs="宋体" w:eastAsia="宋体" w:hint="default"/>
          <w:sz w:val="15"/>
          <w:szCs w:val="15"/>
        </w:rPr>
        <w:t>按</w:t>
      </w:r>
      <w:r>
        <w:rPr>
          <w:rFonts w:ascii="宋体" w:hAnsi="宋体" w:cs="宋体" w:eastAsia="宋体" w:hint="default"/>
          <w:spacing w:val="-55"/>
          <w:sz w:val="15"/>
          <w:szCs w:val="15"/>
        </w:rPr>
        <w:t> </w:t>
      </w:r>
      <w:r>
        <w:rPr>
          <w:rFonts w:ascii="宋体" w:hAnsi="宋体" w:cs="宋体" w:eastAsia="宋体" w:hint="default"/>
          <w:sz w:val="15"/>
          <w:szCs w:val="15"/>
        </w:rPr>
        <w:t>账</w:t>
      </w:r>
      <w:r>
        <w:rPr>
          <w:rFonts w:ascii="宋体" w:hAnsi="宋体" w:cs="宋体" w:eastAsia="宋体" w:hint="default"/>
          <w:spacing w:val="-55"/>
          <w:sz w:val="15"/>
          <w:szCs w:val="15"/>
        </w:rPr>
        <w:t> </w:t>
      </w:r>
      <w:r>
        <w:rPr>
          <w:rFonts w:ascii="宋体" w:hAnsi="宋体" w:cs="宋体" w:eastAsia="宋体" w:hint="default"/>
          <w:sz w:val="15"/>
          <w:szCs w:val="15"/>
        </w:rPr>
        <w:t>龄</w:t>
      </w:r>
      <w:r>
        <w:rPr>
          <w:rFonts w:ascii="宋体" w:hAnsi="宋体" w:cs="宋体" w:eastAsia="宋体" w:hint="default"/>
          <w:spacing w:val="-55"/>
          <w:sz w:val="15"/>
          <w:szCs w:val="15"/>
        </w:rPr>
        <w:t> </w:t>
      </w:r>
      <w:r>
        <w:rPr>
          <w:rFonts w:ascii="宋体" w:hAnsi="宋体" w:cs="宋体" w:eastAsia="宋体" w:hint="default"/>
          <w:sz w:val="15"/>
          <w:szCs w:val="15"/>
        </w:rPr>
        <w:t>分</w:t>
      </w:r>
      <w:r>
        <w:rPr>
          <w:rFonts w:ascii="宋体" w:hAnsi="宋体" w:cs="宋体" w:eastAsia="宋体" w:hint="default"/>
          <w:spacing w:val="-55"/>
          <w:sz w:val="15"/>
          <w:szCs w:val="15"/>
        </w:rPr>
        <w:t> </w:t>
      </w:r>
      <w:r>
        <w:rPr>
          <w:rFonts w:ascii="宋体" w:hAnsi="宋体" w:cs="宋体" w:eastAsia="宋体" w:hint="default"/>
          <w:spacing w:val="8"/>
          <w:sz w:val="15"/>
          <w:szCs w:val="15"/>
        </w:rPr>
        <w:t>析法</w:t>
      </w:r>
      <w:r>
        <w:rPr>
          <w:rFonts w:ascii="宋体" w:hAnsi="宋体" w:cs="宋体" w:eastAsia="宋体" w:hint="default"/>
          <w:spacing w:val="-55"/>
          <w:sz w:val="15"/>
          <w:szCs w:val="15"/>
        </w:rPr>
        <w:t> </w:t>
      </w:r>
      <w:r>
        <w:rPr>
          <w:rFonts w:ascii="宋体" w:hAnsi="宋体" w:cs="宋体" w:eastAsia="宋体" w:hint="default"/>
          <w:sz w:val="15"/>
          <w:szCs w:val="15"/>
        </w:rPr>
        <w:t>划</w:t>
      </w:r>
      <w:r>
        <w:rPr>
          <w:rFonts w:ascii="宋体" w:hAnsi="宋体" w:cs="宋体" w:eastAsia="宋体" w:hint="default"/>
          <w:spacing w:val="-55"/>
          <w:sz w:val="15"/>
          <w:szCs w:val="15"/>
        </w:rPr>
        <w:t> </w:t>
      </w:r>
      <w:r>
        <w:rPr>
          <w:rFonts w:ascii="宋体" w:hAnsi="宋体" w:cs="宋体" w:eastAsia="宋体" w:hint="default"/>
          <w:sz w:val="15"/>
          <w:szCs w:val="15"/>
        </w:rPr>
        <w:t>分</w:t>
      </w:r>
    </w:p>
    <w:p>
      <w:pPr>
        <w:tabs>
          <w:tab w:pos="1570" w:val="left" w:leader="none"/>
          <w:tab w:pos="2419" w:val="left" w:leader="none"/>
          <w:tab w:pos="3274" w:val="left" w:leader="none"/>
          <w:tab w:pos="4678" w:val="left" w:leader="none"/>
          <w:tab w:pos="5407" w:val="left" w:leader="none"/>
          <w:tab w:pos="6543" w:val="left" w:leader="none"/>
          <w:tab w:pos="7395" w:val="left" w:leader="none"/>
        </w:tabs>
        <w:spacing w:before="33"/>
        <w:ind w:left="706" w:right="0" w:firstLine="0"/>
        <w:jc w:val="left"/>
        <w:rPr>
          <w:rFonts w:ascii="Times New Roman" w:hAnsi="Times New Roman" w:cs="Times New Roman" w:eastAsia="Times New Roman" w:hint="default"/>
          <w:sz w:val="15"/>
          <w:szCs w:val="15"/>
        </w:rPr>
      </w:pPr>
      <w:r>
        <w:rPr/>
        <w:br w:type="column"/>
      </w:r>
      <w:r>
        <w:rPr>
          <w:rFonts w:ascii="Times New Roman"/>
          <w:sz w:val="15"/>
        </w:rPr>
        <w:t>-</w:t>
        <w:tab/>
        <w:t>-</w:t>
        <w:tab/>
        <w:t>-</w:t>
        <w:tab/>
        <w:t>-</w:t>
        <w:tab/>
        <w:t>-</w:t>
        <w:tab/>
        <w:t>-</w:t>
        <w:tab/>
        <w:t>-</w:t>
        <w:tab/>
        <w:t>-</w:t>
      </w:r>
    </w:p>
    <w:p>
      <w:pPr>
        <w:spacing w:after="0"/>
        <w:jc w:val="left"/>
        <w:rPr>
          <w:rFonts w:ascii="Times New Roman" w:hAnsi="Times New Roman" w:cs="Times New Roman" w:eastAsia="Times New Roman" w:hint="default"/>
          <w:sz w:val="15"/>
          <w:szCs w:val="15"/>
        </w:rPr>
        <w:sectPr>
          <w:type w:val="continuous"/>
          <w:pgSz w:w="11900" w:h="16840"/>
          <w:pgMar w:top="1040" w:bottom="1180" w:left="1060" w:right="340"/>
          <w:cols w:num="2" w:equalWidth="0">
            <w:col w:w="2048" w:space="637"/>
            <w:col w:w="7815"/>
          </w:cols>
        </w:sectPr>
      </w:pPr>
    </w:p>
    <w:p>
      <w:pPr>
        <w:tabs>
          <w:tab w:pos="2573" w:val="left" w:leader="none"/>
          <w:tab w:pos="3893" w:val="left" w:leader="none"/>
          <w:tab w:pos="5105" w:val="left" w:leader="none"/>
          <w:tab w:pos="5959" w:val="left" w:leader="none"/>
          <w:tab w:pos="6552" w:val="left" w:leader="none"/>
          <w:tab w:pos="7731" w:val="left" w:leader="none"/>
          <w:tab w:pos="9228" w:val="left" w:leader="none"/>
          <w:tab w:pos="10080" w:val="left" w:leader="none"/>
        </w:tabs>
        <w:spacing w:line="246" w:lineRule="exact" w:before="0"/>
        <w:ind w:left="706" w:right="0" w:firstLine="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的款项</w:t>
        <w:tab/>
      </w:r>
      <w:r>
        <w:rPr>
          <w:rFonts w:ascii="Times New Roman" w:hAnsi="Times New Roman" w:cs="Times New Roman" w:eastAsia="Times New Roman" w:hint="default"/>
          <w:spacing w:val="-1"/>
          <w:sz w:val="15"/>
          <w:szCs w:val="15"/>
        </w:rPr>
        <w:t>25,388,054.15</w:t>
        <w:tab/>
        <w:t>100.00</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15,303,085.21</w:t>
        <w:tab/>
        <w:t>100.00</w:t>
        <w:tab/>
      </w:r>
      <w:r>
        <w:rPr>
          <w:rFonts w:ascii="Times New Roman" w:hAnsi="Times New Roman" w:cs="Times New Roman" w:eastAsia="Times New Roman" w:hint="default"/>
          <w:sz w:val="15"/>
          <w:szCs w:val="15"/>
        </w:rPr>
        <w:t>-</w:t>
        <w:tab/>
        <w:t>-</w:t>
      </w:r>
    </w:p>
    <w:p>
      <w:pPr>
        <w:spacing w:line="195" w:lineRule="exact" w:before="0"/>
        <w:ind w:left="706" w:right="0" w:firstLine="0"/>
        <w:jc w:val="left"/>
        <w:rPr>
          <w:rFonts w:ascii="宋体" w:hAnsi="宋体" w:cs="宋体" w:eastAsia="宋体" w:hint="default"/>
          <w:sz w:val="15"/>
          <w:szCs w:val="15"/>
        </w:rPr>
      </w:pPr>
      <w:r>
        <w:rPr>
          <w:rFonts w:ascii="宋体" w:hAnsi="宋体" w:cs="宋体" w:eastAsia="宋体" w:hint="default"/>
          <w:spacing w:val="9"/>
          <w:sz w:val="15"/>
          <w:szCs w:val="15"/>
        </w:rPr>
        <w:t>单项金额虽不重大但</w:t>
      </w:r>
    </w:p>
    <w:p>
      <w:pPr>
        <w:spacing w:after="0" w:line="195" w:lineRule="exact"/>
        <w:jc w:val="left"/>
        <w:rPr>
          <w:rFonts w:ascii="宋体" w:hAnsi="宋体" w:cs="宋体" w:eastAsia="宋体" w:hint="default"/>
          <w:sz w:val="15"/>
          <w:szCs w:val="15"/>
        </w:rPr>
        <w:sectPr>
          <w:type w:val="continuous"/>
          <w:pgSz w:w="11900" w:h="16840"/>
          <w:pgMar w:top="1040" w:bottom="1180" w:left="1060" w:right="340"/>
        </w:sectPr>
      </w:pPr>
    </w:p>
    <w:p>
      <w:pPr>
        <w:spacing w:before="0"/>
        <w:ind w:left="706" w:right="0" w:firstLine="0"/>
        <w:jc w:val="left"/>
        <w:rPr>
          <w:rFonts w:ascii="宋体" w:hAnsi="宋体" w:cs="宋体" w:eastAsia="宋体" w:hint="default"/>
          <w:sz w:val="15"/>
          <w:szCs w:val="15"/>
        </w:rPr>
      </w:pPr>
      <w:r>
        <w:rPr>
          <w:rFonts w:ascii="宋体" w:hAnsi="宋体" w:cs="宋体" w:eastAsia="宋体" w:hint="default"/>
          <w:spacing w:val="9"/>
          <w:sz w:val="15"/>
          <w:szCs w:val="15"/>
        </w:rPr>
        <w:t>单项计提坏账准备的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应收账款</w:t>
      </w:r>
    </w:p>
    <w:p>
      <w:pPr>
        <w:tabs>
          <w:tab w:pos="1666" w:val="left" w:leader="none"/>
          <w:tab w:pos="2515" w:val="left" w:leader="none"/>
          <w:tab w:pos="3370" w:val="left" w:leader="none"/>
          <w:tab w:pos="4774" w:val="left" w:leader="none"/>
          <w:tab w:pos="5503" w:val="left" w:leader="none"/>
          <w:tab w:pos="6639" w:val="left" w:leader="none"/>
          <w:tab w:pos="7491" w:val="left" w:leader="none"/>
        </w:tabs>
        <w:spacing w:before="31"/>
        <w:ind w:left="706" w:right="0" w:firstLine="0"/>
        <w:jc w:val="left"/>
        <w:rPr>
          <w:rFonts w:ascii="Times New Roman" w:hAnsi="Times New Roman" w:cs="Times New Roman" w:eastAsia="Times New Roman" w:hint="default"/>
          <w:sz w:val="15"/>
          <w:szCs w:val="15"/>
        </w:rPr>
      </w:pPr>
      <w:r>
        <w:rPr/>
        <w:br w:type="column"/>
      </w:r>
      <w:r>
        <w:rPr>
          <w:rFonts w:ascii="Times New Roman"/>
          <w:sz w:val="15"/>
        </w:rPr>
        <w:t>-</w:t>
        <w:tab/>
        <w:t>-</w:t>
        <w:tab/>
        <w:t>-</w:t>
        <w:tab/>
        <w:t>-</w:t>
        <w:tab/>
        <w:t>-</w:t>
        <w:tab/>
        <w:t>-</w:t>
        <w:tab/>
        <w:t>-</w:t>
        <w:tab/>
        <w:t>-</w:t>
      </w:r>
    </w:p>
    <w:p>
      <w:pPr>
        <w:spacing w:after="0"/>
        <w:jc w:val="left"/>
        <w:rPr>
          <w:rFonts w:ascii="Times New Roman" w:hAnsi="Times New Roman" w:cs="Times New Roman" w:eastAsia="Times New Roman" w:hint="default"/>
          <w:sz w:val="15"/>
          <w:szCs w:val="15"/>
        </w:rPr>
        <w:sectPr>
          <w:type w:val="continuous"/>
          <w:pgSz w:w="11900" w:h="16840"/>
          <w:pgMar w:top="1040" w:bottom="1180" w:left="1060" w:right="340"/>
          <w:cols w:num="2" w:equalWidth="0">
            <w:col w:w="2161" w:space="428"/>
            <w:col w:w="7911"/>
          </w:cols>
        </w:sectPr>
      </w:pPr>
    </w:p>
    <w:p>
      <w:pPr>
        <w:tabs>
          <w:tab w:pos="3704" w:val="left" w:leader="none"/>
          <w:tab w:pos="4688" w:val="left" w:leader="none"/>
          <w:tab w:pos="5542" w:val="left" w:leader="none"/>
          <w:tab w:pos="6396" w:val="left" w:leader="none"/>
          <w:tab w:pos="7676" w:val="left" w:leader="none"/>
          <w:tab w:pos="8528" w:val="left" w:leader="none"/>
          <w:tab w:pos="9660" w:val="left" w:leader="none"/>
        </w:tabs>
        <w:spacing w:line="20" w:lineRule="exact"/>
        <w:ind w:left="2429" w:right="0" w:firstLine="0"/>
        <w:rPr>
          <w:rFonts w:ascii="Times New Roman" w:hAnsi="Times New Roman" w:cs="Times New Roman" w:eastAsia="Times New Roman" w:hint="default"/>
          <w:sz w:val="2"/>
          <w:szCs w:val="2"/>
        </w:rPr>
      </w:pPr>
      <w:r>
        <w:rPr>
          <w:rFonts w:ascii="Times New Roman"/>
          <w:sz w:val="2"/>
        </w:rPr>
        <w:pict>
          <v:group style="width:50.55pt;height:1pt;mso-position-horizontal-relative:char;mso-position-vertical-relative:line" coordorigin="0,0" coordsize="1011,20">
            <v:group style="position:absolute;left:10;top:10;width:992;height:2" coordorigin="10,10" coordsize="992,2">
              <v:shape style="position:absolute;left:10;top:10;width:992;height:2" coordorigin="10,10" coordsize="992,0" path="m10,10l1001,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36pt;height:1pt;mso-position-horizontal-relative:char;mso-position-vertical-relative:line" coordorigin="0,0" coordsize="720,20">
            <v:group style="position:absolute;left:10;top:10;width:701;height:2" coordorigin="10,10" coordsize="701,2">
              <v:shape style="position:absolute;left:10;top:10;width:701;height:2" coordorigin="10,10" coordsize="701,0" path="m10,10l710,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29.3pt;height:1pt;mso-position-horizontal-relative:char;mso-position-vertical-relative:line" coordorigin="0,0" coordsize="586,20">
            <v:group style="position:absolute;left:10;top:10;width:567;height:2" coordorigin="10,10" coordsize="567,2">
              <v:shape style="position:absolute;left:10;top:10;width:567;height:2" coordorigin="10,10" coordsize="567,0" path="m10,10l576,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29.4pt;height:1pt;mso-position-horizontal-relative:char;mso-position-vertical-relative:line" coordorigin="0,0" coordsize="588,20">
            <v:group style="position:absolute;left:10;top:10;width:569;height:2" coordorigin="10,10" coordsize="569,2">
              <v:shape style="position:absolute;left:10;top:10;width:569;height:2" coordorigin="10,10" coordsize="569,0" path="m10,10l578,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50.8pt;height:1pt;mso-position-horizontal-relative:char;mso-position-vertical-relative:line" coordorigin="0,0" coordsize="1016,20">
            <v:group style="position:absolute;left:10;top:10;width:996;height:2" coordorigin="10,10" coordsize="996,2">
              <v:shape style="position:absolute;left:10;top:10;width:996;height:2" coordorigin="10,10" coordsize="996,0" path="m10,10l1006,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29.3pt;height:1pt;mso-position-horizontal-relative:char;mso-position-vertical-relative:line" coordorigin="0,0" coordsize="586,20">
            <v:group style="position:absolute;left:10;top:10;width:567;height:2" coordorigin="10,10" coordsize="567,2">
              <v:shape style="position:absolute;left:10;top:10;width:567;height:2" coordorigin="10,10" coordsize="567,0" path="m10,10l576,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43.45pt;height:1pt;mso-position-horizontal-relative:char;mso-position-vertical-relative:line" coordorigin="0,0" coordsize="869,20">
            <v:group style="position:absolute;left:10;top:10;width:850;height:2" coordorigin="10,10" coordsize="850,2">
              <v:shape style="position:absolute;left:10;top:10;width:850;height:2" coordorigin="10,10" coordsize="850,0" path="m10,10l859,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29.4pt;height:1pt;mso-position-horizontal-relative:char;mso-position-vertical-relative:line" coordorigin="0,0" coordsize="588,20">
            <v:group style="position:absolute;left:10;top:10;width:569;height:2" coordorigin="10,10" coordsize="569,2">
              <v:shape style="position:absolute;left:10;top:10;width:569;height:2" coordorigin="10,10" coordsize="569,0" path="m10,10l578,10e" filled="false" stroked="true" strokeweight=".96pt" strokecolor="#000000">
                <v:path arrowok="t"/>
              </v:shape>
            </v:group>
          </v:group>
        </w:pict>
      </w:r>
      <w:r>
        <w:rPr>
          <w:rFonts w:ascii="Times New Roman"/>
          <w:sz w:val="2"/>
        </w:rPr>
      </w:r>
    </w:p>
    <w:p>
      <w:pPr>
        <w:tabs>
          <w:tab w:pos="2573" w:val="left" w:leader="none"/>
          <w:tab w:pos="3893" w:val="left" w:leader="none"/>
          <w:tab w:pos="5105" w:val="left" w:leader="none"/>
          <w:tab w:pos="5959" w:val="left" w:leader="none"/>
          <w:tab w:pos="6552" w:val="left" w:leader="none"/>
          <w:tab w:pos="7731" w:val="left" w:leader="none"/>
          <w:tab w:pos="9228" w:val="left" w:leader="none"/>
          <w:tab w:pos="10080" w:val="left" w:leader="none"/>
        </w:tabs>
        <w:spacing w:before="90"/>
        <w:ind w:left="706" w:right="0" w:firstLine="0"/>
        <w:jc w:val="left"/>
        <w:rPr>
          <w:rFonts w:ascii="Times New Roman" w:hAnsi="Times New Roman" w:cs="Times New Roman" w:eastAsia="Times New Roman" w:hint="default"/>
          <w:sz w:val="15"/>
          <w:szCs w:val="15"/>
        </w:rPr>
      </w:pPr>
      <w:r>
        <w:rPr>
          <w:rFonts w:ascii="宋体" w:hAnsi="宋体" w:cs="宋体" w:eastAsia="宋体" w:hint="default"/>
          <w:position w:val="-5"/>
          <w:sz w:val="15"/>
          <w:szCs w:val="15"/>
        </w:rPr>
        <w:t>合计</w:t>
        <w:tab/>
      </w:r>
      <w:r>
        <w:rPr>
          <w:rFonts w:ascii="Times New Roman" w:hAnsi="Times New Roman" w:cs="Times New Roman" w:eastAsia="Times New Roman" w:hint="default"/>
          <w:spacing w:val="-1"/>
          <w:sz w:val="15"/>
          <w:szCs w:val="15"/>
        </w:rPr>
        <w:t>25,388,054.15</w:t>
        <w:tab/>
        <w:t>100.00</w:t>
        <w:tab/>
      </w:r>
      <w:r>
        <w:rPr>
          <w:rFonts w:ascii="Times New Roman" w:hAnsi="Times New Roman" w:cs="Times New Roman" w:eastAsia="Times New Roman" w:hint="default"/>
          <w:sz w:val="15"/>
          <w:szCs w:val="15"/>
        </w:rPr>
        <w:t>-</w:t>
        <w:tab/>
        <w:t>-</w:t>
        <w:tab/>
      </w:r>
      <w:r>
        <w:rPr>
          <w:rFonts w:ascii="Times New Roman" w:hAnsi="Times New Roman" w:cs="Times New Roman" w:eastAsia="Times New Roman" w:hint="default"/>
          <w:spacing w:val="-1"/>
          <w:sz w:val="15"/>
          <w:szCs w:val="15"/>
        </w:rPr>
        <w:t>15,303,085.21</w:t>
        <w:tab/>
        <w:t>100.00</w:t>
        <w:tab/>
      </w:r>
      <w:r>
        <w:rPr>
          <w:rFonts w:ascii="Times New Roman" w:hAnsi="Times New Roman" w:cs="Times New Roman" w:eastAsia="Times New Roman" w:hint="default"/>
          <w:sz w:val="15"/>
          <w:szCs w:val="15"/>
        </w:rPr>
        <w:t>-</w:t>
        <w:tab/>
        <w:t>-</w:t>
      </w:r>
    </w:p>
    <w:p>
      <w:pPr>
        <w:tabs>
          <w:tab w:pos="3706" w:val="left" w:leader="none"/>
          <w:tab w:pos="4690" w:val="left" w:leader="none"/>
          <w:tab w:pos="5544" w:val="left" w:leader="none"/>
          <w:tab w:pos="6399" w:val="left" w:leader="none"/>
          <w:tab w:pos="7678" w:val="left" w:leader="none"/>
          <w:tab w:pos="8530" w:val="left" w:leader="none"/>
          <w:tab w:pos="9663" w:val="left" w:leader="none"/>
        </w:tabs>
        <w:spacing w:line="43" w:lineRule="exact"/>
        <w:ind w:left="2432" w:right="0" w:firstLine="0"/>
        <w:rPr>
          <w:rFonts w:ascii="Times New Roman" w:hAnsi="Times New Roman" w:cs="Times New Roman" w:eastAsia="Times New Roman" w:hint="default"/>
          <w:sz w:val="4"/>
          <w:szCs w:val="4"/>
        </w:rPr>
      </w:pPr>
      <w:r>
        <w:rPr>
          <w:rFonts w:ascii="Times New Roman"/>
          <w:position w:val="0"/>
          <w:sz w:val="4"/>
        </w:rPr>
        <w:pict>
          <v:group style="width:50.3pt;height:2.15pt;mso-position-horizontal-relative:char;mso-position-vertical-relative:line" coordorigin="0,0" coordsize="1006,43">
            <v:group style="position:absolute;left:7;top:7;width:992;height:2" coordorigin="7,7" coordsize="992,2">
              <v:shape style="position:absolute;left:7;top:7;width:992;height:2" coordorigin="7,7" coordsize="992,0" path="m7,7l998,7e" filled="false" stroked="true" strokeweight=".72pt" strokecolor="#000000">
                <v:path arrowok="t"/>
              </v:shape>
            </v:group>
            <v:group style="position:absolute;left:7;top:36;width:992;height:2" coordorigin="7,36" coordsize="992,2">
              <v:shape style="position:absolute;left:7;top:36;width:992;height:2" coordorigin="7,36" coordsize="992,0" path="m7,36l998,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5.75pt;height:2.15pt;mso-position-horizontal-relative:char;mso-position-vertical-relative:line" coordorigin="0,0" coordsize="715,43">
            <v:group style="position:absolute;left:7;top:7;width:701;height:2" coordorigin="7,7" coordsize="701,2">
              <v:shape style="position:absolute;left:7;top:7;width:701;height:2" coordorigin="7,7" coordsize="701,0" path="m7,7l708,7e" filled="false" stroked="true" strokeweight=".72pt" strokecolor="#000000">
                <v:path arrowok="t"/>
              </v:shape>
            </v:group>
            <v:group style="position:absolute;left:7;top:36;width:701;height:2" coordorigin="7,36" coordsize="701,2">
              <v:shape style="position:absolute;left:7;top:36;width:701;height:2" coordorigin="7,36" coordsize="701,0" path="m7,36l708,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9.05pt;height:2.15pt;mso-position-horizontal-relative:char;mso-position-vertical-relative:line" coordorigin="0,0" coordsize="581,43">
            <v:group style="position:absolute;left:7;top:7;width:567;height:2" coordorigin="7,7" coordsize="567,2">
              <v:shape style="position:absolute;left:7;top:7;width:567;height:2" coordorigin="7,7" coordsize="567,0" path="m7,7l574,7e" filled="false" stroked="true" strokeweight=".72pt" strokecolor="#000000">
                <v:path arrowok="t"/>
              </v:shape>
            </v:group>
            <v:group style="position:absolute;left:7;top:36;width:567;height:2" coordorigin="7,36" coordsize="567,2">
              <v:shape style="position:absolute;left:7;top:36;width:567;height:2" coordorigin="7,36" coordsize="567,0" path="m7,36l574,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9.2pt;height:2.15pt;mso-position-horizontal-relative:char;mso-position-vertical-relative:line" coordorigin="0,0" coordsize="584,43">
            <v:group style="position:absolute;left:7;top:7;width:569;height:2" coordorigin="7,7" coordsize="569,2">
              <v:shape style="position:absolute;left:7;top:7;width:569;height:2" coordorigin="7,7" coordsize="569,0" path="m7,7l576,7e" filled="false" stroked="true" strokeweight=".72pt" strokecolor="#000000">
                <v:path arrowok="t"/>
              </v:shape>
            </v:group>
            <v:group style="position:absolute;left:7;top:36;width:569;height:2" coordorigin="7,36" coordsize="569,2">
              <v:shape style="position:absolute;left:7;top:36;width:569;height:2" coordorigin="7,36" coordsize="569,0" path="m7,36l576,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50.55pt;height:2.15pt;mso-position-horizontal-relative:char;mso-position-vertical-relative:line" coordorigin="0,0" coordsize="1011,43">
            <v:group style="position:absolute;left:7;top:7;width:996;height:2" coordorigin="7,7" coordsize="996,2">
              <v:shape style="position:absolute;left:7;top:7;width:996;height:2" coordorigin="7,7" coordsize="996,0" path="m7,7l1003,7e" filled="false" stroked="true" strokeweight=".72pt" strokecolor="#000000">
                <v:path arrowok="t"/>
              </v:shape>
            </v:group>
            <v:group style="position:absolute;left:7;top:36;width:996;height:2" coordorigin="7,36" coordsize="996,2">
              <v:shape style="position:absolute;left:7;top:36;width:996;height:2" coordorigin="7,36" coordsize="996,0" path="m7,36l1003,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9.05pt;height:2.15pt;mso-position-horizontal-relative:char;mso-position-vertical-relative:line" coordorigin="0,0" coordsize="581,43">
            <v:group style="position:absolute;left:7;top:7;width:567;height:2" coordorigin="7,7" coordsize="567,2">
              <v:shape style="position:absolute;left:7;top:7;width:567;height:2" coordorigin="7,7" coordsize="567,0" path="m7,7l574,7e" filled="false" stroked="true" strokeweight=".72pt" strokecolor="#000000">
                <v:path arrowok="t"/>
              </v:shape>
            </v:group>
            <v:group style="position:absolute;left:7;top:36;width:567;height:2" coordorigin="7,36" coordsize="567,2">
              <v:shape style="position:absolute;left:7;top:36;width:567;height:2" coordorigin="7,36" coordsize="567,0" path="m7,36l574,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43.2pt;height:2.15pt;mso-position-horizontal-relative:char;mso-position-vertical-relative:line" coordorigin="0,0" coordsize="864,43">
            <v:group style="position:absolute;left:7;top:7;width:850;height:2" coordorigin="7,7" coordsize="850,2">
              <v:shape style="position:absolute;left:7;top:7;width:850;height:2" coordorigin="7,7" coordsize="850,0" path="m7,7l857,7e" filled="false" stroked="true" strokeweight=".72pt" strokecolor="#000000">
                <v:path arrowok="t"/>
              </v:shape>
            </v:group>
            <v:group style="position:absolute;left:7;top:36;width:850;height:2" coordorigin="7,36" coordsize="850,2">
              <v:shape style="position:absolute;left:7;top:36;width:850;height:2" coordorigin="7,36" coordsize="850,0" path="m7,36l857,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9.15pt;height:2.15pt;mso-position-horizontal-relative:char;mso-position-vertical-relative:line" coordorigin="0,0" coordsize="583,43">
            <v:group style="position:absolute;left:7;top:7;width:569;height:2" coordorigin="7,7" coordsize="569,2">
              <v:shape style="position:absolute;left:7;top:7;width:569;height:2" coordorigin="7,7" coordsize="569,0" path="m7,7l576,7e" filled="false" stroked="true" strokeweight=".72pt" strokecolor="#000000">
                <v:path arrowok="t"/>
              </v:shape>
            </v:group>
            <v:group style="position:absolute;left:7;top:36;width:569;height:2" coordorigin="7,36" coordsize="569,2">
              <v:shape style="position:absolute;left:7;top:36;width:569;height:2" coordorigin="7,36" coordsize="569,0" path="m7,36l576,36e" filled="false" stroked="true" strokeweight=".71pt" strokecolor="#000000">
                <v:path arrowok="t"/>
              </v:shape>
            </v:group>
          </v:group>
        </w:pict>
      </w:r>
      <w:r>
        <w:rPr>
          <w:rFonts w:ascii="Times New Roman"/>
          <w:position w:val="0"/>
          <w:sz w:val="4"/>
        </w:rPr>
      </w:r>
    </w:p>
    <w:p>
      <w:pPr>
        <w:spacing w:line="240" w:lineRule="auto" w:before="1"/>
        <w:rPr>
          <w:rFonts w:ascii="Times New Roman" w:hAnsi="Times New Roman" w:cs="Times New Roman" w:eastAsia="Times New Roman" w:hint="default"/>
          <w:sz w:val="17"/>
          <w:szCs w:val="17"/>
        </w:rPr>
      </w:pPr>
    </w:p>
    <w:p>
      <w:pPr>
        <w:spacing w:before="36"/>
        <w:ind w:left="7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按账龄分析法计提坏账准备的应收账款：</w:t>
      </w:r>
    </w:p>
    <w:p>
      <w:pPr>
        <w:spacing w:line="240" w:lineRule="auto" w:before="11"/>
        <w:rPr>
          <w:rFonts w:ascii="宋体" w:hAnsi="宋体" w:cs="宋体" w:eastAsia="宋体" w:hint="default"/>
          <w:sz w:val="17"/>
          <w:szCs w:val="17"/>
        </w:rPr>
      </w:pPr>
    </w:p>
    <w:p>
      <w:pPr>
        <w:tabs>
          <w:tab w:pos="7846" w:val="left" w:leader="none"/>
        </w:tabs>
        <w:spacing w:before="0"/>
        <w:ind w:left="3939" w:right="0" w:firstLine="0"/>
        <w:jc w:val="left"/>
        <w:rPr>
          <w:rFonts w:ascii="宋体" w:hAnsi="宋体" w:cs="宋体" w:eastAsia="宋体" w:hint="default"/>
          <w:sz w:val="15"/>
          <w:szCs w:val="15"/>
        </w:rPr>
      </w:pPr>
      <w:r>
        <w:rPr/>
        <w:pict>
          <v:group style="position:absolute;margin-left:188.285004pt;margin-top:13.20976pt;width:185.5pt;height:.95pt;mso-position-horizontal-relative:page;mso-position-vertical-relative:paragraph;z-index:2512" coordorigin="3766,264" coordsize="3710,19">
            <v:group style="position:absolute;left:3775;top:274;width:2134;height:2" coordorigin="3775,274" coordsize="2134,2">
              <v:shape style="position:absolute;left:3775;top:274;width:2134;height:2" coordorigin="3775,274" coordsize="2134,0" path="m3775,274l5909,274e" filled="false" stroked="true" strokeweight=".95pt" strokecolor="#000000">
                <v:path arrowok="t"/>
              </v:shape>
            </v:group>
            <v:group style="position:absolute;left:5909;top:274;width:20;height:2" coordorigin="5909,274" coordsize="20,2">
              <v:shape style="position:absolute;left:5909;top:274;width:20;height:2" coordorigin="5909,274" coordsize="20,0" path="m5909,274l5928,274e" filled="false" stroked="true" strokeweight=".95pt" strokecolor="#000000">
                <v:path arrowok="t"/>
              </v:shape>
            </v:group>
            <v:group style="position:absolute;left:5928;top:274;width:264;height:2" coordorigin="5928,274" coordsize="264,2">
              <v:shape style="position:absolute;left:5928;top:274;width:264;height:2" coordorigin="5928,274" coordsize="264,0" path="m5928,274l6192,274e" filled="false" stroked="true" strokeweight=".95pt" strokecolor="#000000">
                <v:path arrowok="t"/>
              </v:shape>
            </v:group>
            <v:group style="position:absolute;left:6192;top:274;width:20;height:2" coordorigin="6192,274" coordsize="20,2">
              <v:shape style="position:absolute;left:6192;top:274;width:20;height:2" coordorigin="6192,274" coordsize="20,0" path="m6192,274l6211,274e" filled="false" stroked="true" strokeweight=".95pt" strokecolor="#000000">
                <v:path arrowok="t"/>
              </v:shape>
            </v:group>
            <v:group style="position:absolute;left:6211;top:274;width:1255;height:2" coordorigin="6211,274" coordsize="1255,2">
              <v:shape style="position:absolute;left:6211;top:274;width:1255;height:2" coordorigin="6211,274" coordsize="1255,0" path="m6211,274l7466,274e" filled="false" stroked="true" strokeweight=".95pt" strokecolor="#000000">
                <v:path arrowok="t"/>
              </v:shape>
            </v:group>
            <w10:wrap type="none"/>
          </v:group>
        </w:pict>
      </w:r>
      <w:r>
        <w:rPr/>
        <w:pict>
          <v:group style="position:absolute;margin-left:387.359985pt;margin-top:13.20976pt;width:177.85pt;height:.5pt;mso-position-horizontal-relative:page;mso-position-vertical-relative:paragraph;z-index:2536" coordorigin="7747,264" coordsize="3557,10">
            <v:group style="position:absolute;left:7752;top:269;width:2124;height:2" coordorigin="7752,269" coordsize="2124,2">
              <v:shape style="position:absolute;left:7752;top:269;width:2124;height:2" coordorigin="7752,269" coordsize="2124,0" path="m7752,269l9876,269e" filled="false" stroked="true" strokeweight=".48pt" strokecolor="#000000">
                <v:path arrowok="t"/>
              </v:shape>
            </v:group>
            <v:group style="position:absolute;left:9876;top:269;width:10;height:2" coordorigin="9876,269" coordsize="10,2">
              <v:shape style="position:absolute;left:9876;top:269;width:10;height:2" coordorigin="9876,269" coordsize="10,0" path="m9876,269l9886,269e" filled="false" stroked="true" strokeweight=".48pt" strokecolor="#000000">
                <v:path arrowok="t"/>
              </v:shape>
            </v:group>
            <v:group style="position:absolute;left:9886;top:269;width:274;height:2" coordorigin="9886,269" coordsize="274,2">
              <v:shape style="position:absolute;left:9886;top:269;width:274;height:2" coordorigin="9886,269" coordsize="274,0" path="m9886,269l10159,269e" filled="false" stroked="true" strokeweight=".48pt" strokecolor="#000000">
                <v:path arrowok="t"/>
              </v:shape>
            </v:group>
            <v:group style="position:absolute;left:10159;top:269;width:10;height:2" coordorigin="10159,269" coordsize="10,2">
              <v:shape style="position:absolute;left:10159;top:269;width:10;height:2" coordorigin="10159,269" coordsize="10,0" path="m10159,269l10169,269e" filled="false" stroked="true" strokeweight=".48pt" strokecolor="#000000">
                <v:path arrowok="t"/>
              </v:shape>
            </v:group>
            <v:group style="position:absolute;left:10169;top:269;width:1131;height:2" coordorigin="10169,269" coordsize="1131,2">
              <v:shape style="position:absolute;left:10169;top:269;width:1131;height:2" coordorigin="10169,269" coordsize="1131,0" path="m10169,269l11299,269e" filled="false" stroked="true" strokeweight=".48pt" strokecolor="#000000">
                <v:path arrowok="t"/>
              </v:shape>
            </v:group>
            <w10:wrap type="none"/>
          </v:group>
        </w:pict>
      </w: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after="0"/>
        <w:jc w:val="left"/>
        <w:rPr>
          <w:rFonts w:ascii="宋体" w:hAnsi="宋体" w:cs="宋体" w:eastAsia="宋体" w:hint="default"/>
          <w:sz w:val="15"/>
          <w:szCs w:val="15"/>
        </w:rPr>
        <w:sectPr>
          <w:type w:val="continuous"/>
          <w:pgSz w:w="11900" w:h="16840"/>
          <w:pgMar w:top="1040" w:bottom="1180" w:left="1060" w:right="340"/>
        </w:sectPr>
      </w:pPr>
    </w:p>
    <w:p>
      <w:pPr>
        <w:spacing w:line="189" w:lineRule="exact" w:before="99"/>
        <w:ind w:left="0" w:right="624" w:firstLine="0"/>
        <w:jc w:val="right"/>
        <w:rPr>
          <w:rFonts w:ascii="宋体" w:hAnsi="宋体" w:cs="宋体" w:eastAsia="宋体" w:hint="default"/>
          <w:sz w:val="15"/>
          <w:szCs w:val="15"/>
        </w:rPr>
      </w:pPr>
      <w:r>
        <w:rPr>
          <w:rFonts w:ascii="宋体" w:hAnsi="宋体" w:cs="宋体" w:eastAsia="宋体" w:hint="default"/>
          <w:spacing w:val="-1"/>
          <w:sz w:val="15"/>
          <w:szCs w:val="15"/>
        </w:rPr>
        <w:t>账面余额</w:t>
      </w:r>
    </w:p>
    <w:p>
      <w:pPr>
        <w:tabs>
          <w:tab w:pos="1838" w:val="left" w:leader="none"/>
          <w:tab w:pos="3047" w:val="left" w:leader="none"/>
        </w:tabs>
        <w:spacing w:line="270" w:lineRule="exact" w:before="0"/>
        <w:ind w:left="0" w:right="60" w:firstLine="0"/>
        <w:jc w:val="right"/>
        <w:rPr>
          <w:rFonts w:ascii="宋体" w:hAnsi="宋体" w:cs="宋体" w:eastAsia="宋体" w:hint="default"/>
          <w:sz w:val="15"/>
          <w:szCs w:val="15"/>
        </w:rPr>
      </w:pPr>
      <w:r>
        <w:rPr/>
        <w:pict>
          <v:group style="position:absolute;margin-left:188.279999pt;margin-top:1.462535pt;width:107.65pt;height:1pt;mso-position-horizontal-relative:page;mso-position-vertical-relative:paragraph;z-index:-553048" coordorigin="3766,29" coordsize="2153,20">
            <v:group style="position:absolute;left:3775;top:39;width:1140;height:2" coordorigin="3775,39" coordsize="1140,2">
              <v:shape style="position:absolute;left:3775;top:39;width:1140;height:2" coordorigin="3775,39" coordsize="1140,0" path="m3775,39l4915,39e" filled="false" stroked="true" strokeweight=".96pt" strokecolor="#000000">
                <v:path arrowok="t"/>
              </v:shape>
            </v:group>
            <v:group style="position:absolute;left:4915;top:39;width:20;height:2" coordorigin="4915,39" coordsize="20,2">
              <v:shape style="position:absolute;left:4915;top:39;width:20;height:2" coordorigin="4915,39" coordsize="20,0" path="m4915,39l4934,39e" filled="false" stroked="true" strokeweight=".96pt" strokecolor="#000000">
                <v:path arrowok="t"/>
              </v:shape>
            </v:group>
            <v:group style="position:absolute;left:4934;top:39;width:264;height:2" coordorigin="4934,39" coordsize="264,2">
              <v:shape style="position:absolute;left:4934;top:39;width:264;height:2" coordorigin="4934,39" coordsize="264,0" path="m4934,39l5198,39e" filled="false" stroked="true" strokeweight=".96pt" strokecolor="#000000">
                <v:path arrowok="t"/>
              </v:shape>
            </v:group>
            <v:group style="position:absolute;left:5198;top:39;width:20;height:2" coordorigin="5198,39" coordsize="20,2">
              <v:shape style="position:absolute;left:5198;top:39;width:20;height:2" coordorigin="5198,39" coordsize="20,0" path="m5198,39l5218,39e" filled="false" stroked="true" strokeweight=".96pt" strokecolor="#000000">
                <v:path arrowok="t"/>
              </v:shape>
            </v:group>
            <v:group style="position:absolute;left:5218;top:39;width:691;height:2" coordorigin="5218,39" coordsize="691,2">
              <v:shape style="position:absolute;left:5218;top:39;width:691;height:2" coordorigin="5218,39" coordsize="691,0" path="m5218,39l5909,39e" filled="false" stroked="true" strokeweight=".96pt" strokecolor="#000000">
                <v:path arrowok="t"/>
              </v:shape>
            </v:group>
            <w10:wrap type="none"/>
          </v:group>
        </w:pict>
      </w:r>
      <w:r>
        <w:rPr>
          <w:rFonts w:ascii="宋体" w:hAnsi="宋体" w:cs="宋体" w:eastAsia="宋体" w:hint="default"/>
          <w:sz w:val="15"/>
          <w:szCs w:val="15"/>
        </w:rPr>
        <w:t>账龄</w:t>
        <w:tab/>
      </w:r>
      <w:r>
        <w:rPr>
          <w:rFonts w:ascii="宋体" w:hAnsi="宋体" w:cs="宋体" w:eastAsia="宋体" w:hint="default"/>
          <w:position w:val="-12"/>
          <w:sz w:val="15"/>
          <w:szCs w:val="15"/>
        </w:rPr>
        <w:t>金额</w:t>
        <w:tab/>
      </w:r>
      <w:r>
        <w:rPr>
          <w:rFonts w:ascii="宋体" w:hAnsi="宋体" w:cs="宋体" w:eastAsia="宋体" w:hint="default"/>
          <w:position w:val="-2"/>
          <w:sz w:val="15"/>
          <w:szCs w:val="15"/>
        </w:rPr>
        <w:t>比例</w:t>
      </w:r>
      <w:r>
        <w:rPr>
          <w:rFonts w:ascii="宋体" w:hAnsi="宋体" w:cs="宋体" w:eastAsia="宋体" w:hint="default"/>
          <w:sz w:val="15"/>
          <w:szCs w:val="15"/>
        </w:rPr>
      </w:r>
    </w:p>
    <w:p>
      <w:pPr>
        <w:spacing w:line="158"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spacing w:line="240" w:lineRule="auto" w:before="0"/>
        <w:rPr>
          <w:rFonts w:ascii="宋体" w:hAnsi="宋体" w:cs="宋体" w:eastAsia="宋体" w:hint="default"/>
          <w:sz w:val="14"/>
          <w:szCs w:val="14"/>
        </w:rPr>
      </w:pPr>
      <w:r>
        <w:rPr/>
        <w:br w:type="column"/>
      </w:r>
      <w:r>
        <w:rPr>
          <w:rFonts w:ascii="宋体"/>
          <w:sz w:val="14"/>
        </w:rPr>
      </w:r>
    </w:p>
    <w:p>
      <w:pPr>
        <w:spacing w:before="98"/>
        <w:ind w:left="720" w:right="-13" w:firstLine="0"/>
        <w:jc w:val="left"/>
        <w:rPr>
          <w:rFonts w:ascii="宋体" w:hAnsi="宋体" w:cs="宋体" w:eastAsia="宋体" w:hint="default"/>
          <w:sz w:val="15"/>
          <w:szCs w:val="15"/>
        </w:rPr>
      </w:pPr>
      <w:r>
        <w:rPr>
          <w:rFonts w:ascii="宋体" w:hAnsi="宋体" w:cs="宋体" w:eastAsia="宋体" w:hint="default"/>
          <w:spacing w:val="-1"/>
          <w:sz w:val="15"/>
          <w:szCs w:val="15"/>
        </w:rPr>
        <w:t>坏账准备</w:t>
      </w:r>
    </w:p>
    <w:p>
      <w:pPr>
        <w:spacing w:before="99"/>
        <w:ind w:left="134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账面余额</w:t>
      </w:r>
    </w:p>
    <w:p>
      <w:pPr>
        <w:tabs>
          <w:tab w:pos="1204" w:val="left" w:leader="none"/>
        </w:tabs>
        <w:spacing w:line="245" w:lineRule="exact" w:before="19"/>
        <w:ind w:left="0" w:right="60" w:firstLine="0"/>
        <w:jc w:val="right"/>
        <w:rPr>
          <w:rFonts w:ascii="宋体" w:hAnsi="宋体" w:cs="宋体" w:eastAsia="宋体" w:hint="default"/>
          <w:sz w:val="15"/>
          <w:szCs w:val="15"/>
        </w:rPr>
      </w:pPr>
      <w:r>
        <w:rPr/>
        <w:pict>
          <v:group style="position:absolute;margin-left:387.119995pt;margin-top:1.079771pt;width:107.15pt;height:1pt;mso-position-horizontal-relative:page;mso-position-vertical-relative:paragraph;z-index:-553024" coordorigin="7742,22" coordsize="2143,20">
            <v:group style="position:absolute;left:7752;top:31;width:1133;height:2" coordorigin="7752,31" coordsize="1133,2">
              <v:shape style="position:absolute;left:7752;top:31;width:1133;height:2" coordorigin="7752,31" coordsize="1133,0" path="m7752,31l8885,31e" filled="false" stroked="true" strokeweight=".96pt" strokecolor="#000000">
                <v:path arrowok="t"/>
              </v:shape>
            </v:group>
            <v:group style="position:absolute;left:8885;top:31;width:20;height:2" coordorigin="8885,31" coordsize="20,2">
              <v:shape style="position:absolute;left:8885;top:31;width:20;height:2" coordorigin="8885,31" coordsize="20,0" path="m8885,31l8904,31e" filled="false" stroked="true" strokeweight=".96pt" strokecolor="#000000">
                <v:path arrowok="t"/>
              </v:shape>
            </v:group>
            <v:group style="position:absolute;left:8904;top:31;width:264;height:2" coordorigin="8904,31" coordsize="264,2">
              <v:shape style="position:absolute;left:8904;top:31;width:264;height:2" coordorigin="8904,31" coordsize="264,0" path="m8904,31l9168,31e" filled="false" stroked="true" strokeweight=".96pt" strokecolor="#000000">
                <v:path arrowok="t"/>
              </v:shape>
            </v:group>
            <v:group style="position:absolute;left:9168;top:31;width:20;height:2" coordorigin="9168,31" coordsize="20,2">
              <v:shape style="position:absolute;left:9168;top:31;width:20;height:2" coordorigin="9168,31" coordsize="20,0" path="m9168,31l9187,31e" filled="false" stroked="true" strokeweight=".96pt" strokecolor="#000000">
                <v:path arrowok="t"/>
              </v:shape>
            </v:group>
            <v:group style="position:absolute;left:9187;top:31;width:689;height:2" coordorigin="9187,31" coordsize="689,2">
              <v:shape style="position:absolute;left:9187;top:31;width:689;height:2" coordorigin="9187,31" coordsize="689,0" path="m9187,31l9876,31e" filled="false" stroked="true" strokeweight=".96pt" strokecolor="#000000">
                <v:path arrowok="t"/>
              </v:shape>
            </v:group>
            <w10:wrap type="none"/>
          </v:group>
        </w:pict>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157"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spacing w:line="240" w:lineRule="auto" w:before="0"/>
        <w:rPr>
          <w:rFonts w:ascii="宋体" w:hAnsi="宋体" w:cs="宋体" w:eastAsia="宋体" w:hint="default"/>
          <w:sz w:val="14"/>
          <w:szCs w:val="14"/>
        </w:rPr>
      </w:pPr>
      <w:r>
        <w:rPr/>
        <w:br w:type="column"/>
      </w:r>
      <w:r>
        <w:rPr>
          <w:rFonts w:ascii="宋体"/>
          <w:sz w:val="14"/>
        </w:rPr>
      </w:r>
    </w:p>
    <w:p>
      <w:pPr>
        <w:spacing w:before="98"/>
        <w:ind w:left="651"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p>
      <w:pPr>
        <w:spacing w:after="0"/>
        <w:jc w:val="left"/>
        <w:rPr>
          <w:rFonts w:ascii="宋体" w:hAnsi="宋体" w:cs="宋体" w:eastAsia="宋体" w:hint="default"/>
          <w:sz w:val="15"/>
          <w:szCs w:val="15"/>
        </w:rPr>
        <w:sectPr>
          <w:type w:val="continuous"/>
          <w:pgSz w:w="11900" w:h="16840"/>
          <w:pgMar w:top="1040" w:bottom="1180" w:left="1060" w:right="340"/>
          <w:cols w:num="4" w:equalWidth="0">
            <w:col w:w="4708" w:space="40"/>
            <w:col w:w="1324" w:space="40"/>
            <w:col w:w="2567" w:space="40"/>
            <w:col w:w="1781"/>
          </w:cols>
        </w:sectPr>
      </w:pPr>
    </w:p>
    <w:p>
      <w:pPr>
        <w:tabs>
          <w:tab w:pos="2705" w:val="left" w:leader="none"/>
          <w:tab w:pos="4128" w:val="left" w:leader="none"/>
          <w:tab w:pos="5122" w:val="left" w:leader="none"/>
          <w:tab w:pos="6682" w:val="left" w:leader="none"/>
          <w:tab w:pos="8098" w:val="left" w:leader="none"/>
          <w:tab w:pos="9089" w:val="left" w:leader="none"/>
        </w:tabs>
        <w:spacing w:line="20" w:lineRule="exact"/>
        <w:ind w:left="588" w:right="0" w:firstLine="0"/>
        <w:rPr>
          <w:rFonts w:ascii="宋体" w:hAnsi="宋体" w:cs="宋体" w:eastAsia="宋体" w:hint="default"/>
          <w:sz w:val="2"/>
          <w:szCs w:val="2"/>
        </w:rPr>
      </w:pPr>
      <w:r>
        <w:rPr/>
        <w:pict>
          <v:group style="position:absolute;margin-left:79.800003pt;margin-top:180.369995pt;width:58.2pt;height:.1pt;mso-position-horizontal-relative:page;mso-position-vertical-relative:page;z-index:-553432" coordorigin="1596,3607" coordsize="1164,2">
            <v:shape style="position:absolute;left:1596;top:3607;width:1164;height:2" coordorigin="1596,3607" coordsize="1164,0" path="m1596,3607l2760,3607e" filled="false" stroked="true" strokeweight=".96pt" strokecolor="#000000">
              <v:path arrowok="t"/>
            </v:shape>
            <w10:wrap type="none"/>
          </v:group>
        </w:pict>
      </w:r>
      <w:r>
        <w:rPr>
          <w:rFonts w:ascii="宋体"/>
          <w:sz w:val="2"/>
        </w:rPr>
        <w:pict>
          <v:group style="width:85.45pt;height:1pt;mso-position-horizontal-relative:char;mso-position-vertical-relative:line" coordorigin="0,0" coordsize="1709,20">
            <v:group style="position:absolute;left:10;top:10;width:1690;height:2" coordorigin="10,10" coordsize="1690,2">
              <v:shape style="position:absolute;left:10;top:10;width:1690;height:2" coordorigin="10,10" coordsize="1690,0" path="m10,10l1699,10e" filled="false" stroked="true" strokeweight=".96pt" strokecolor="#000000">
                <v:path arrowok="t"/>
              </v:shape>
            </v:group>
          </v:group>
        </w:pict>
      </w:r>
      <w:r>
        <w:rPr>
          <w:rFonts w:ascii="宋体"/>
          <w:sz w:val="2"/>
        </w:rPr>
      </w:r>
      <w:r>
        <w:rPr>
          <w:rFonts w:ascii="宋体"/>
          <w:sz w:val="2"/>
        </w:rPr>
        <w:tab/>
      </w:r>
      <w:r>
        <w:rPr>
          <w:rFonts w:ascii="宋体"/>
          <w:sz w:val="2"/>
        </w:rPr>
        <w:pict>
          <v:group style="width:58pt;height:1pt;mso-position-horizontal-relative:char;mso-position-vertical-relative:line" coordorigin="0,0" coordsize="1160,20">
            <v:group style="position:absolute;left:10;top:10;width:1140;height:2" coordorigin="10,10" coordsize="1140,2">
              <v:shape style="position:absolute;left:10;top:10;width:1140;height:2" coordorigin="10,10" coordsize="1140,0" path="m10,10l1150,10e" filled="false" stroked="true" strokeweight=".96pt" strokecolor="#000000">
                <v:path arrowok="t"/>
              </v:shape>
            </v:group>
          </v:group>
        </w:pict>
      </w:r>
      <w:r>
        <w:rPr>
          <w:rFonts w:ascii="宋体"/>
          <w:sz w:val="2"/>
        </w:rPr>
      </w:r>
      <w:r>
        <w:rPr>
          <w:rFonts w:ascii="宋体"/>
          <w:sz w:val="2"/>
        </w:rPr>
        <w:tab/>
      </w:r>
      <w:r>
        <w:rPr>
          <w:rFonts w:ascii="宋体"/>
          <w:sz w:val="2"/>
        </w:rPr>
        <w:pict>
          <v:group style="width:36.5pt;height:1pt;mso-position-horizontal-relative:char;mso-position-vertical-relative:line" coordorigin="0,0" coordsize="730,20">
            <v:group style="position:absolute;left:10;top:10;width:711;height:2" coordorigin="10,10" coordsize="711,2">
              <v:shape style="position:absolute;left:10;top:10;width:711;height:2" coordorigin="10,10" coordsize="711,0" path="m10,10l720,10e" filled="false" stroked="true" strokeweight=".96pt" strokecolor="#000000">
                <v:path arrowok="t"/>
              </v:shape>
            </v:group>
          </v:group>
        </w:pict>
      </w:r>
      <w:r>
        <w:rPr>
          <w:rFonts w:ascii="宋体"/>
          <w:sz w:val="2"/>
        </w:rPr>
      </w:r>
      <w:r>
        <w:rPr>
          <w:rFonts w:ascii="宋体"/>
          <w:sz w:val="2"/>
        </w:rPr>
        <w:tab/>
      </w:r>
      <w:r>
        <w:rPr>
          <w:rFonts w:ascii="宋体"/>
          <w:sz w:val="2"/>
        </w:rPr>
        <w:pict>
          <v:group style="width:64.7pt;height:1pt;mso-position-horizontal-relative:char;mso-position-vertical-relative:line" coordorigin="0,0" coordsize="1294,20">
            <v:group style="position:absolute;left:10;top:10;width:1275;height:2" coordorigin="10,10" coordsize="1275,2">
              <v:shape style="position:absolute;left:10;top:10;width:1275;height:2" coordorigin="10,10" coordsize="1275,0" path="m10,10l1284,10e" filled="false" stroked="true" strokeweight=".96pt" strokecolor="#000000">
                <v:path arrowok="t"/>
              </v:shape>
            </v:group>
          </v:group>
        </w:pict>
      </w:r>
      <w:r>
        <w:rPr>
          <w:rFonts w:ascii="宋体"/>
          <w:sz w:val="2"/>
        </w:rPr>
      </w:r>
      <w:r>
        <w:rPr>
          <w:rFonts w:ascii="宋体"/>
          <w:sz w:val="2"/>
        </w:rPr>
        <w:tab/>
      </w:r>
      <w:r>
        <w:rPr>
          <w:rFonts w:ascii="宋体"/>
          <w:sz w:val="2"/>
        </w:rPr>
        <w:pict>
          <v:group style="width:57.6pt;height:1pt;mso-position-horizontal-relative:char;mso-position-vertical-relative:line" coordorigin="0,0" coordsize="1152,20">
            <v:group style="position:absolute;left:10;top:10;width:1133;height:2" coordorigin="10,10" coordsize="1133,2">
              <v:shape style="position:absolute;left:10;top:10;width:1133;height:2" coordorigin="10,10" coordsize="1133,0" path="m10,10l1142,10e" filled="false" stroked="true" strokeweight=".96pt" strokecolor="#000000">
                <v:path arrowok="t"/>
              </v:shape>
            </v:group>
          </v:group>
        </w:pict>
      </w:r>
      <w:r>
        <w:rPr>
          <w:rFonts w:ascii="宋体"/>
          <w:sz w:val="2"/>
        </w:rPr>
      </w:r>
      <w:r>
        <w:rPr>
          <w:rFonts w:ascii="宋体"/>
          <w:sz w:val="2"/>
        </w:rPr>
        <w:tab/>
      </w:r>
      <w:r>
        <w:rPr>
          <w:rFonts w:ascii="宋体"/>
          <w:sz w:val="2"/>
        </w:rPr>
        <w:pict>
          <v:group style="width:36.35pt;height:1pt;mso-position-horizontal-relative:char;mso-position-vertical-relative:line" coordorigin="0,0" coordsize="727,20">
            <v:group style="position:absolute;left:10;top:10;width:708;height:2" coordorigin="10,10" coordsize="708,2">
              <v:shape style="position:absolute;left:10;top:10;width:708;height:2" coordorigin="10,10" coordsize="708,0" path="m10,10l717,10e" filled="false" stroked="true" strokeweight=".96pt" strokecolor="#000000">
                <v:path arrowok="t"/>
              </v:shape>
            </v:group>
          </v:group>
        </w:pict>
      </w:r>
      <w:r>
        <w:rPr>
          <w:rFonts w:ascii="宋体"/>
          <w:sz w:val="2"/>
        </w:rPr>
      </w:r>
      <w:r>
        <w:rPr>
          <w:rFonts w:ascii="宋体"/>
          <w:sz w:val="2"/>
        </w:rPr>
        <w:tab/>
      </w:r>
      <w:r>
        <w:rPr>
          <w:rFonts w:ascii="宋体"/>
          <w:sz w:val="2"/>
        </w:rPr>
        <w:pict>
          <v:group style="width:58pt;height:1pt;mso-position-horizontal-relative:char;mso-position-vertical-relative:line" coordorigin="0,0" coordsize="1160,20">
            <v:group style="position:absolute;left:10;top:10;width:1140;height:2" coordorigin="10,10" coordsize="1140,2">
              <v:shape style="position:absolute;left:10;top:10;width:1140;height:2" coordorigin="10,10" coordsize="1140,0" path="m10,10l1150,10e" filled="false" stroked="true" strokeweight=".96pt" strokecolor="#000000">
                <v:path arrowok="t"/>
              </v:shape>
            </v:group>
          </v:group>
        </w:pict>
      </w:r>
      <w:r>
        <w:rPr>
          <w:rFonts w:ascii="宋体"/>
          <w:sz w:val="2"/>
        </w:rPr>
      </w:r>
    </w:p>
    <w:p>
      <w:pPr>
        <w:tabs>
          <w:tab w:pos="2885" w:val="left" w:leader="none"/>
          <w:tab w:pos="4325" w:val="left" w:leader="none"/>
          <w:tab w:pos="6247" w:val="left" w:leader="none"/>
          <w:tab w:pos="6855" w:val="left" w:leader="none"/>
          <w:tab w:pos="8295" w:val="left" w:leader="none"/>
          <w:tab w:pos="10080" w:val="left" w:leader="none"/>
        </w:tabs>
        <w:spacing w:before="32"/>
        <w:ind w:left="706" w:right="0"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t>1</w:t>
      </w:r>
      <w:r>
        <w:rPr>
          <w:rFonts w:ascii="Times New Roman" w:hAnsi="Times New Roman" w:cs="Times New Roman" w:eastAsia="Times New Roman" w:hint="default"/>
          <w:spacing w:val="2"/>
          <w:position w:val="-2"/>
          <w:sz w:val="15"/>
          <w:szCs w:val="15"/>
        </w:rPr>
        <w:t> </w:t>
      </w:r>
      <w:r>
        <w:rPr>
          <w:rFonts w:ascii="宋体" w:hAnsi="宋体" w:cs="宋体" w:eastAsia="宋体" w:hint="default"/>
          <w:spacing w:val="-1"/>
          <w:position w:val="-2"/>
          <w:sz w:val="15"/>
          <w:szCs w:val="15"/>
        </w:rPr>
        <w:t>年以内</w:t>
        <w:tab/>
      </w:r>
      <w:r>
        <w:rPr>
          <w:rFonts w:ascii="Times New Roman" w:hAnsi="Times New Roman" w:cs="Times New Roman" w:eastAsia="Times New Roman" w:hint="default"/>
          <w:spacing w:val="-1"/>
          <w:sz w:val="15"/>
          <w:szCs w:val="15"/>
        </w:rPr>
        <w:t>25,388,054.15</w:t>
        <w:tab/>
        <w:t>100.00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15,303,085.21</w:t>
        <w:tab/>
        <w:t>100.00</w:t>
        <w:tab/>
      </w:r>
      <w:r>
        <w:rPr>
          <w:rFonts w:ascii="Times New Roman" w:hAnsi="Times New Roman" w:cs="Times New Roman" w:eastAsia="Times New Roman" w:hint="default"/>
          <w:sz w:val="15"/>
          <w:szCs w:val="15"/>
        </w:rPr>
        <w:t>-</w:t>
      </w:r>
    </w:p>
    <w:p>
      <w:pPr>
        <w:tabs>
          <w:tab w:pos="4133" w:val="left" w:leader="none"/>
          <w:tab w:pos="5127" w:val="left" w:leader="none"/>
          <w:tab w:pos="6687" w:val="left" w:leader="none"/>
          <w:tab w:pos="8103" w:val="left" w:leader="none"/>
          <w:tab w:pos="9094" w:val="left" w:leader="none"/>
        </w:tabs>
        <w:spacing w:line="28" w:lineRule="exact"/>
        <w:ind w:left="2710" w:right="0" w:firstLine="0"/>
        <w:rPr>
          <w:rFonts w:ascii="Times New Roman" w:hAnsi="Times New Roman" w:cs="Times New Roman" w:eastAsia="Times New Roman" w:hint="default"/>
          <w:sz w:val="2"/>
          <w:szCs w:val="2"/>
        </w:rPr>
      </w:pPr>
      <w:r>
        <w:rPr>
          <w:rFonts w:ascii="Times New Roman"/>
          <w:position w:val="0"/>
          <w:sz w:val="2"/>
        </w:rPr>
        <w:pict>
          <v:group style="width:57.5pt;height:1.45pt;mso-position-horizontal-relative:char;mso-position-vertical-relative:line" coordorigin="0,0" coordsize="1150,29">
            <v:group style="position:absolute;left:5;top:5;width:1140;height:2" coordorigin="5,5" coordsize="1140,2">
              <v:shape style="position:absolute;left:5;top:5;width:1140;height:2" coordorigin="5,5" coordsize="1140,0" path="m5,5l1145,5e" filled="false" stroked="true" strokeweight=".48pt" strokecolor="#000000">
                <v:path arrowok="t"/>
              </v:shape>
            </v:group>
            <v:group style="position:absolute;left:5;top:24;width:1140;height:2" coordorigin="5,24" coordsize="1140,2">
              <v:shape style="position:absolute;left:5;top:24;width:1140;height:2" coordorigin="5,24" coordsize="1140,0" path="m5,24l1145,24e" filled="false" stroked="true" strokeweight=".47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36pt;height:1.45pt;mso-position-horizontal-relative:char;mso-position-vertical-relative:line" coordorigin="0,0" coordsize="720,29">
            <v:group style="position:absolute;left:5;top:5;width:711;height:2" coordorigin="5,5" coordsize="711,2">
              <v:shape style="position:absolute;left:5;top:5;width:711;height:2" coordorigin="5,5" coordsize="711,0" path="m5,5l715,5e" filled="false" stroked="true" strokeweight=".48pt" strokecolor="#000000">
                <v:path arrowok="t"/>
              </v:shape>
            </v:group>
            <v:group style="position:absolute;left:5;top:24;width:711;height:2" coordorigin="5,24" coordsize="711,2">
              <v:shape style="position:absolute;left:5;top:24;width:711;height:2" coordorigin="5,24" coordsize="711,0" path="m5,24l715,24e" filled="false" stroked="true" strokeweight=".47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4.2pt;height:1.45pt;mso-position-horizontal-relative:char;mso-position-vertical-relative:line" coordorigin="0,0" coordsize="1284,29">
            <v:group style="position:absolute;left:5;top:5;width:1275;height:2" coordorigin="5,5" coordsize="1275,2">
              <v:shape style="position:absolute;left:5;top:5;width:1275;height:2" coordorigin="5,5" coordsize="1275,0" path="m5,5l1279,5e" filled="false" stroked="true" strokeweight=".48pt" strokecolor="#000000">
                <v:path arrowok="t"/>
              </v:shape>
            </v:group>
            <v:group style="position:absolute;left:5;top:24;width:1275;height:2" coordorigin="5,24" coordsize="1275,2">
              <v:shape style="position:absolute;left:5;top:24;width:1275;height:2" coordorigin="5,24" coordsize="1275,0" path="m5,24l1279,24e" filled="false" stroked="true" strokeweight=".47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15pt;height:1.45pt;mso-position-horizontal-relative:char;mso-position-vertical-relative:line" coordorigin="0,0" coordsize="1143,29">
            <v:group style="position:absolute;left:5;top:5;width:1133;height:2" coordorigin="5,5" coordsize="1133,2">
              <v:shape style="position:absolute;left:5;top:5;width:1133;height:2" coordorigin="5,5" coordsize="1133,0" path="m5,5l1138,5e" filled="false" stroked="true" strokeweight=".48pt" strokecolor="#000000">
                <v:path arrowok="t"/>
              </v:shape>
            </v:group>
            <v:group style="position:absolute;left:5;top:24;width:1133;height:2" coordorigin="5,24" coordsize="1133,2">
              <v:shape style="position:absolute;left:5;top:24;width:1133;height:2" coordorigin="5,24" coordsize="1133,0" path="m5,24l1138,24e" filled="false" stroked="true" strokeweight=".47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35.9pt;height:1.45pt;mso-position-horizontal-relative:char;mso-position-vertical-relative:line" coordorigin="0,0" coordsize="718,29">
            <v:group style="position:absolute;left:5;top:5;width:708;height:2" coordorigin="5,5" coordsize="708,2">
              <v:shape style="position:absolute;left:5;top:5;width:708;height:2" coordorigin="5,5" coordsize="708,0" path="m5,5l713,5e" filled="false" stroked="true" strokeweight=".48pt" strokecolor="#000000">
                <v:path arrowok="t"/>
              </v:shape>
            </v:group>
            <v:group style="position:absolute;left:5;top:24;width:708;height:2" coordorigin="5,24" coordsize="708,2">
              <v:shape style="position:absolute;left:5;top:24;width:708;height:2" coordorigin="5,24" coordsize="708,0" path="m5,24l713,24e" filled="false" stroked="true" strokeweight=".47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5pt;height:1.45pt;mso-position-horizontal-relative:char;mso-position-vertical-relative:line" coordorigin="0,0" coordsize="1150,29">
            <v:group style="position:absolute;left:5;top:5;width:1140;height:2" coordorigin="5,5" coordsize="1140,2">
              <v:shape style="position:absolute;left:5;top:5;width:1140;height:2" coordorigin="5,5" coordsize="1140,0" path="m5,5l1145,5e" filled="false" stroked="true" strokeweight=".48pt" strokecolor="#000000">
                <v:path arrowok="t"/>
              </v:shape>
            </v:group>
            <v:group style="position:absolute;left:5;top:24;width:1140;height:2" coordorigin="5,24" coordsize="1140,2">
              <v:shape style="position:absolute;left:5;top:24;width:1140;height:2" coordorigin="5,24" coordsize="1140,0" path="m5,24l1145,24e" filled="false" stroked="true" strokeweight=".47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00" w:h="16840"/>
          <w:pgMar w:top="1040" w:bottom="1180" w:left="1060" w:right="340"/>
        </w:sectPr>
      </w:pPr>
    </w:p>
    <w:p>
      <w:pPr>
        <w:spacing w:line="240" w:lineRule="auto" w:before="6"/>
        <w:rPr>
          <w:rFonts w:ascii="Times New Roman" w:hAnsi="Times New Roman" w:cs="Times New Roman" w:eastAsia="Times New Roman" w:hint="default"/>
          <w:sz w:val="14"/>
          <w:szCs w:val="14"/>
        </w:rPr>
      </w:pPr>
    </w:p>
    <w:p>
      <w:pPr>
        <w:tabs>
          <w:tab w:pos="661"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661" w:val="left" w:leader="none"/>
        </w:tabs>
        <w:spacing w:before="0"/>
        <w:ind w:left="186"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6.2</w:t>
        <w:tab/>
      </w:r>
      <w:r>
        <w:rPr>
          <w:rFonts w:ascii="宋体" w:hAnsi="宋体" w:cs="宋体" w:eastAsia="宋体" w:hint="default"/>
          <w:sz w:val="21"/>
          <w:szCs w:val="21"/>
        </w:rPr>
        <w:t>应收账款（续）</w:t>
      </w:r>
    </w:p>
    <w:p>
      <w:pPr>
        <w:spacing w:line="240" w:lineRule="auto" w:before="3"/>
        <w:rPr>
          <w:rFonts w:ascii="宋体" w:hAnsi="宋体" w:cs="宋体" w:eastAsia="宋体" w:hint="default"/>
          <w:sz w:val="18"/>
          <w:szCs w:val="18"/>
        </w:rPr>
      </w:pPr>
    </w:p>
    <w:p>
      <w:pPr>
        <w:spacing w:before="0"/>
        <w:ind w:left="6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6.2.3</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应收账款余额前五名单位情况</w:t>
      </w:r>
    </w:p>
    <w:p>
      <w:pPr>
        <w:spacing w:line="240" w:lineRule="auto" w:before="10"/>
        <w:rPr>
          <w:rFonts w:ascii="宋体" w:hAnsi="宋体" w:cs="宋体" w:eastAsia="宋体" w:hint="default"/>
          <w:sz w:val="16"/>
          <w:szCs w:val="16"/>
        </w:rPr>
      </w:pPr>
    </w:p>
    <w:p>
      <w:pPr>
        <w:tabs>
          <w:tab w:pos="4107" w:val="left" w:leader="none"/>
          <w:tab w:pos="6092" w:val="left" w:leader="none"/>
          <w:tab w:pos="7647" w:val="left" w:leader="none"/>
          <w:tab w:pos="8799" w:val="left" w:leader="none"/>
        </w:tabs>
        <w:spacing w:before="0"/>
        <w:ind w:left="1688" w:right="0" w:firstLine="0"/>
        <w:jc w:val="left"/>
        <w:rPr>
          <w:rFonts w:ascii="宋体" w:hAnsi="宋体" w:cs="宋体" w:eastAsia="宋体" w:hint="default"/>
          <w:sz w:val="21"/>
          <w:szCs w:val="21"/>
        </w:rPr>
      </w:pPr>
      <w:r>
        <w:rPr/>
        <w:pict>
          <v:shape style="position:absolute;margin-left:82.68pt;margin-top:17.037237pt;width:482.3pt;height:125.9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0"/>
                    <w:gridCol w:w="283"/>
                    <w:gridCol w:w="1416"/>
                    <w:gridCol w:w="286"/>
                    <w:gridCol w:w="1413"/>
                    <w:gridCol w:w="298"/>
                    <w:gridCol w:w="998"/>
                    <w:gridCol w:w="300"/>
                    <w:gridCol w:w="1541"/>
                  </w:tblGrid>
                  <w:tr>
                    <w:trPr>
                      <w:trHeight w:val="246" w:hRule="exact"/>
                    </w:trPr>
                    <w:tc>
                      <w:tcPr>
                        <w:tcW w:w="8105" w:type="dxa"/>
                        <w:gridSpan w:val="8"/>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27" w:lineRule="exact"/>
                          <w:ind w:right="155"/>
                          <w:jc w:val="right"/>
                          <w:rPr>
                            <w:rFonts w:ascii="宋体" w:hAnsi="宋体" w:cs="宋体" w:eastAsia="宋体" w:hint="default"/>
                            <w:sz w:val="21"/>
                            <w:szCs w:val="21"/>
                          </w:rPr>
                        </w:pPr>
                        <w:r>
                          <w:rPr>
                            <w:rFonts w:ascii="宋体" w:hAnsi="宋体" w:cs="宋体" w:eastAsia="宋体" w:hint="default"/>
                            <w:spacing w:val="-1"/>
                            <w:sz w:val="21"/>
                            <w:szCs w:val="21"/>
                          </w:rPr>
                          <w:t>额比例（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283" w:hRule="exact"/>
                    </w:trPr>
                    <w:tc>
                      <w:tcPr>
                        <w:tcW w:w="3110"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日本野村综合研究所株式会社</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2"/>
                            <w:sz w:val="21"/>
                          </w:rPr>
                          <w:t>11,502,665.85</w:t>
                        </w:r>
                      </w:p>
                    </w:tc>
                    <w:tc>
                      <w:tcPr>
                        <w:tcW w:w="298"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nil" w:sz="6" w:space="0" w:color="auto"/>
                          <w:right w:val="nil" w:sz="6" w:space="0" w:color="auto"/>
                        </w:tcBorders>
                      </w:tcPr>
                      <w:p>
                        <w:pPr>
                          <w:pStyle w:val="TableParagraph"/>
                          <w:spacing w:line="25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45.31</w:t>
                        </w:r>
                      </w:p>
                    </w:tc>
                  </w:tr>
                  <w:tr>
                    <w:trPr>
                      <w:trHeight w:val="272"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sz w:val="21"/>
                            <w:szCs w:val="21"/>
                          </w:rPr>
                          <w:t>瑞穗情报总研</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Times New Roman" w:hAnsi="Times New Roman" w:cs="Times New Roman" w:eastAsia="Times New Roman" w:hint="default"/>
                            <w:sz w:val="21"/>
                            <w:szCs w:val="21"/>
                          </w:rPr>
                        </w:pPr>
                        <w:r>
                          <w:rPr>
                            <w:rFonts w:ascii="Times New Roman"/>
                            <w:spacing w:val="-1"/>
                            <w:sz w:val="21"/>
                          </w:rPr>
                          <w:t>4,392,854.66</w:t>
                        </w:r>
                      </w:p>
                    </w:tc>
                    <w:tc>
                      <w:tcPr>
                        <w:tcW w:w="29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5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z w:val="21"/>
                          </w:rPr>
                          <w:t>17.30</w:t>
                        </w:r>
                      </w:p>
                    </w:tc>
                  </w:tr>
                  <w:tr>
                    <w:trPr>
                      <w:trHeight w:val="272"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日生情报技术株式会社</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21"/>
                            <w:szCs w:val="21"/>
                          </w:rPr>
                        </w:pPr>
                        <w:r>
                          <w:rPr>
                            <w:rFonts w:ascii="Times New Roman"/>
                            <w:spacing w:val="-1"/>
                            <w:sz w:val="21"/>
                          </w:rPr>
                          <w:t>1,194,522.00</w:t>
                        </w:r>
                      </w:p>
                    </w:tc>
                    <w:tc>
                      <w:tcPr>
                        <w:tcW w:w="29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5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1"/>
                          <w:jc w:val="right"/>
                          <w:rPr>
                            <w:rFonts w:ascii="Times New Roman" w:hAnsi="Times New Roman" w:cs="Times New Roman" w:eastAsia="Times New Roman" w:hint="default"/>
                            <w:sz w:val="21"/>
                            <w:szCs w:val="21"/>
                          </w:rPr>
                        </w:pPr>
                        <w:r>
                          <w:rPr>
                            <w:rFonts w:ascii="Times New Roman"/>
                            <w:sz w:val="21"/>
                          </w:rPr>
                          <w:t>4.71</w:t>
                        </w:r>
                      </w:p>
                    </w:tc>
                  </w:tr>
                  <w:tr>
                    <w:trPr>
                      <w:trHeight w:val="272"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株式会社</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Times New Roman" w:hAnsi="Times New Roman" w:cs="Times New Roman" w:eastAsia="Times New Roman" w:hint="default"/>
                            <w:sz w:val="21"/>
                            <w:szCs w:val="21"/>
                          </w:rPr>
                        </w:pPr>
                        <w:r>
                          <w:rPr>
                            <w:rFonts w:ascii="Times New Roman"/>
                            <w:spacing w:val="-1"/>
                            <w:sz w:val="21"/>
                          </w:rPr>
                          <w:t>1,021,550.34</w:t>
                        </w:r>
                      </w:p>
                    </w:tc>
                    <w:tc>
                      <w:tcPr>
                        <w:tcW w:w="29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5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1"/>
                          <w:jc w:val="right"/>
                          <w:rPr>
                            <w:rFonts w:ascii="Times New Roman" w:hAnsi="Times New Roman" w:cs="Times New Roman" w:eastAsia="Times New Roman" w:hint="default"/>
                            <w:sz w:val="21"/>
                            <w:szCs w:val="21"/>
                          </w:rPr>
                        </w:pPr>
                        <w:r>
                          <w:rPr>
                            <w:rFonts w:ascii="Times New Roman"/>
                            <w:sz w:val="21"/>
                          </w:rPr>
                          <w:t>4.02</w:t>
                        </w:r>
                      </w:p>
                    </w:tc>
                  </w:tr>
                  <w:tr>
                    <w:trPr>
                      <w:trHeight w:val="273"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日本未来创想株式会社</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21"/>
                            <w:szCs w:val="21"/>
                          </w:rPr>
                        </w:pPr>
                        <w:r>
                          <w:rPr>
                            <w:rFonts w:ascii="Times New Roman"/>
                            <w:spacing w:val="-1"/>
                            <w:sz w:val="21"/>
                          </w:rPr>
                          <w:t>869,254.47</w:t>
                        </w:r>
                      </w:p>
                    </w:tc>
                    <w:tc>
                      <w:tcPr>
                        <w:tcW w:w="29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5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1"/>
                          <w:jc w:val="right"/>
                          <w:rPr>
                            <w:rFonts w:ascii="Times New Roman" w:hAnsi="Times New Roman" w:cs="Times New Roman" w:eastAsia="Times New Roman" w:hint="default"/>
                            <w:sz w:val="21"/>
                            <w:szCs w:val="21"/>
                          </w:rPr>
                        </w:pPr>
                        <w:r>
                          <w:rPr>
                            <w:rFonts w:ascii="Times New Roman"/>
                            <w:sz w:val="21"/>
                          </w:rPr>
                          <w:t>3.42</w:t>
                        </w:r>
                      </w:p>
                    </w:tc>
                  </w:tr>
                  <w:tr>
                    <w:trPr>
                      <w:trHeight w:val="290"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18,980,847.32</w:t>
                        </w:r>
                      </w:p>
                    </w:tc>
                    <w:tc>
                      <w:tcPr>
                        <w:tcW w:w="29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z w:val="21"/>
                          </w:rPr>
                          <w:t>74.76</w:t>
                        </w:r>
                      </w:p>
                    </w:tc>
                  </w:tr>
                  <w:tr>
                    <w:trPr>
                      <w:trHeight w:val="609" w:hRule="exact"/>
                    </w:trPr>
                    <w:tc>
                      <w:tcPr>
                        <w:tcW w:w="3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应收关联方账款情况</w:t>
                        </w:r>
                      </w:p>
                    </w:tc>
                    <w:tc>
                      <w:tcPr>
                        <w:tcW w:w="283"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13" w:type="dxa"/>
                        <w:tcBorders>
                          <w:top w:val="single" w:sz="12" w:space="0" w:color="000000"/>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541"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1"/>
          <w:szCs w:val="21"/>
        </w:rPr>
        <w:t>单位名称</w:t>
        <w:tab/>
        <w:t>与本公司关系</w:t>
        <w:tab/>
      </w:r>
      <w:r>
        <w:rPr>
          <w:rFonts w:ascii="宋体" w:hAnsi="宋体" w:cs="宋体" w:eastAsia="宋体" w:hint="default"/>
          <w:sz w:val="21"/>
          <w:szCs w:val="21"/>
        </w:rPr>
        <w:t>金额</w:t>
        <w:tab/>
        <w:t>年限</w:t>
        <w:tab/>
      </w:r>
      <w:r>
        <w:rPr>
          <w:rFonts w:ascii="宋体" w:hAnsi="宋体" w:cs="宋体" w:eastAsia="宋体" w:hint="default"/>
          <w:spacing w:val="-1"/>
          <w:position w:val="14"/>
          <w:sz w:val="21"/>
          <w:szCs w:val="21"/>
        </w:rPr>
        <w:t>占应收账款总</w:t>
      </w:r>
      <w:r>
        <w:rPr>
          <w:rFonts w:ascii="宋体" w:hAnsi="宋体" w:cs="宋体" w:eastAsia="宋体" w:hint="default"/>
          <w:spacing w:val="-1"/>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553" w:type="dxa"/>
        <w:tblLayout w:type="fixed"/>
        <w:tblCellMar>
          <w:top w:w="0" w:type="dxa"/>
          <w:left w:w="0" w:type="dxa"/>
          <w:bottom w:w="0" w:type="dxa"/>
          <w:right w:w="0" w:type="dxa"/>
        </w:tblCellMar>
        <w:tblLook w:val="01E0"/>
      </w:tblPr>
      <w:tblGrid>
        <w:gridCol w:w="2484"/>
        <w:gridCol w:w="243"/>
        <w:gridCol w:w="1999"/>
        <w:gridCol w:w="401"/>
        <w:gridCol w:w="1822"/>
        <w:gridCol w:w="298"/>
        <w:gridCol w:w="2400"/>
      </w:tblGrid>
      <w:tr>
        <w:trPr>
          <w:trHeight w:val="349" w:hRule="exact"/>
        </w:trPr>
        <w:tc>
          <w:tcPr>
            <w:tcW w:w="248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82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 w:type="dxa"/>
            <w:tcBorders>
              <w:top w:val="nil" w:sz="6" w:space="0" w:color="auto"/>
              <w:left w:val="nil" w:sz="6" w:space="0" w:color="auto"/>
              <w:bottom w:val="nil" w:sz="6" w:space="0" w:color="auto"/>
              <w:right w:val="nil" w:sz="6" w:space="0" w:color="auto"/>
            </w:tcBorders>
          </w:tcPr>
          <w:p>
            <w:pP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401"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8" w:type="dxa"/>
            <w:tcBorders>
              <w:top w:val="nil" w:sz="6" w:space="0" w:color="auto"/>
              <w:left w:val="nil" w:sz="6" w:space="0" w:color="auto"/>
              <w:bottom w:val="nil" w:sz="6" w:space="0" w:color="auto"/>
              <w:right w:val="nil" w:sz="6" w:space="0" w:color="auto"/>
            </w:tcBorders>
          </w:tcPr>
          <w:p>
            <w:pPr/>
          </w:p>
        </w:tc>
        <w:tc>
          <w:tcPr>
            <w:tcW w:w="240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60"/>
              <w:jc w:val="right"/>
              <w:rPr>
                <w:rFonts w:ascii="宋体" w:hAnsi="宋体" w:cs="宋体" w:eastAsia="宋体" w:hint="default"/>
                <w:sz w:val="21"/>
                <w:szCs w:val="21"/>
              </w:rPr>
            </w:pPr>
            <w:r>
              <w:rPr>
                <w:rFonts w:ascii="宋体" w:hAnsi="宋体" w:cs="宋体" w:eastAsia="宋体" w:hint="default"/>
                <w:spacing w:val="-2"/>
                <w:sz w:val="21"/>
                <w:szCs w:val="21"/>
              </w:rPr>
              <w:t>占应收账款总额的比例</w:t>
            </w:r>
          </w:p>
        </w:tc>
      </w:tr>
      <w:tr>
        <w:trPr>
          <w:trHeight w:val="293" w:hRule="exact"/>
        </w:trPr>
        <w:tc>
          <w:tcPr>
            <w:tcW w:w="248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243" w:type="dxa"/>
            <w:tcBorders>
              <w:top w:val="nil" w:sz="6" w:space="0" w:color="auto"/>
              <w:left w:val="nil" w:sz="6" w:space="0" w:color="auto"/>
              <w:bottom w:val="nil" w:sz="6" w:space="0" w:color="auto"/>
              <w:right w:val="nil" w:sz="6" w:space="0" w:color="auto"/>
            </w:tcBorders>
          </w:tcPr>
          <w:p>
            <w:pPr/>
          </w:p>
        </w:tc>
        <w:tc>
          <w:tcPr>
            <w:tcW w:w="1999" w:type="dxa"/>
            <w:tcBorders>
              <w:top w:val="single" w:sz="4" w:space="0" w:color="000000"/>
              <w:left w:val="nil" w:sz="6" w:space="0" w:color="auto"/>
              <w:bottom w:val="nil" w:sz="6" w:space="0" w:color="auto"/>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投资方</w:t>
            </w:r>
          </w:p>
        </w:tc>
        <w:tc>
          <w:tcPr>
            <w:tcW w:w="401"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single" w:sz="11" w:space="0" w:color="000000"/>
              <w:right w:val="nil" w:sz="6" w:space="0" w:color="auto"/>
            </w:tcBorders>
          </w:tcPr>
          <w:p>
            <w:pPr>
              <w:pStyle w:val="TableParagraph"/>
              <w:spacing w:line="235" w:lineRule="exact"/>
              <w:ind w:left="873" w:right="0"/>
              <w:jc w:val="left"/>
              <w:rPr>
                <w:rFonts w:ascii="Times New Roman" w:hAnsi="Times New Roman" w:cs="Times New Roman" w:eastAsia="Times New Roman" w:hint="default"/>
                <w:sz w:val="21"/>
                <w:szCs w:val="21"/>
              </w:rPr>
            </w:pPr>
            <w:r>
              <w:rPr>
                <w:rFonts w:ascii="Times New Roman"/>
                <w:sz w:val="21"/>
              </w:rPr>
              <w:t>54,386.75</w:t>
            </w:r>
          </w:p>
        </w:tc>
        <w:tc>
          <w:tcPr>
            <w:tcW w:w="298"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single" w:sz="11"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0.21%</w:t>
            </w:r>
          </w:p>
        </w:tc>
      </w:tr>
    </w:tbl>
    <w:p>
      <w:pPr>
        <w:spacing w:line="240" w:lineRule="auto" w:before="1"/>
        <w:rPr>
          <w:rFonts w:ascii="宋体" w:hAnsi="宋体" w:cs="宋体" w:eastAsia="宋体" w:hint="default"/>
          <w:sz w:val="12"/>
          <w:szCs w:val="12"/>
        </w:rPr>
      </w:pPr>
    </w:p>
    <w:p>
      <w:pPr>
        <w:spacing w:line="272" w:lineRule="exact" w:before="63"/>
        <w:ind w:left="661" w:right="0" w:firstLine="0"/>
        <w:jc w:val="left"/>
        <w:rPr>
          <w:rFonts w:ascii="宋体" w:hAnsi="宋体" w:cs="宋体" w:eastAsia="宋体" w:hint="default"/>
          <w:sz w:val="21"/>
          <w:szCs w:val="21"/>
        </w:rPr>
      </w:pPr>
      <w:r>
        <w:rPr>
          <w:rFonts w:ascii="宋体" w:hAnsi="宋体" w:cs="宋体" w:eastAsia="宋体" w:hint="default"/>
          <w:sz w:val="21"/>
          <w:szCs w:val="21"/>
        </w:rPr>
        <w:t>应收账款年末数比年初数增加 </w:t>
      </w:r>
      <w:r>
        <w:rPr>
          <w:rFonts w:ascii="Times New Roman" w:hAnsi="Times New Roman" w:cs="Times New Roman" w:eastAsia="Times New Roman" w:hint="default"/>
          <w:sz w:val="21"/>
          <w:szCs w:val="21"/>
        </w:rPr>
        <w:t>10,084,968.94 </w:t>
      </w:r>
      <w:r>
        <w:rPr>
          <w:rFonts w:ascii="宋体" w:hAnsi="宋体" w:cs="宋体" w:eastAsia="宋体" w:hint="default"/>
          <w:sz w:val="21"/>
          <w:szCs w:val="21"/>
        </w:rPr>
        <w:t>元，增加比例为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65.90%</w:t>
      </w:r>
      <w:r>
        <w:rPr>
          <w:rFonts w:ascii="宋体" w:hAnsi="宋体" w:cs="宋体" w:eastAsia="宋体" w:hint="default"/>
          <w:sz w:val="21"/>
          <w:szCs w:val="21"/>
        </w:rPr>
        <w:t>，增加原因为：本年营业收入增加</w:t>
      </w:r>
      <w:r>
        <w:rPr>
          <w:rFonts w:ascii="宋体" w:hAnsi="宋体" w:cs="宋体" w:eastAsia="宋体" w:hint="default"/>
          <w:w w:val="100"/>
          <w:sz w:val="21"/>
          <w:szCs w:val="21"/>
        </w:rPr>
        <w:t> </w:t>
      </w:r>
      <w:r>
        <w:rPr>
          <w:rFonts w:ascii="宋体" w:hAnsi="宋体" w:cs="宋体" w:eastAsia="宋体" w:hint="default"/>
          <w:sz w:val="21"/>
          <w:szCs w:val="21"/>
        </w:rPr>
        <w:t>导致应收账款相应增加所致。</w:t>
      </w:r>
    </w:p>
    <w:p>
      <w:pPr>
        <w:spacing w:line="240" w:lineRule="auto" w:before="5"/>
        <w:rPr>
          <w:rFonts w:ascii="宋体" w:hAnsi="宋体" w:cs="宋体" w:eastAsia="宋体" w:hint="default"/>
          <w:sz w:val="16"/>
          <w:szCs w:val="16"/>
        </w:rPr>
      </w:pPr>
    </w:p>
    <w:p>
      <w:pPr>
        <w:tabs>
          <w:tab w:pos="661" w:val="left" w:leader="none"/>
        </w:tabs>
        <w:spacing w:before="0"/>
        <w:ind w:left="186"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w:t>
        <w:tab/>
      </w:r>
      <w:r>
        <w:rPr>
          <w:rFonts w:ascii="宋体" w:hAnsi="宋体" w:cs="宋体" w:eastAsia="宋体" w:hint="default"/>
          <w:sz w:val="21"/>
          <w:szCs w:val="21"/>
        </w:rPr>
        <w:t>其他应收账款</w:t>
      </w:r>
    </w:p>
    <w:p>
      <w:pPr>
        <w:spacing w:line="240" w:lineRule="auto" w:before="3"/>
        <w:rPr>
          <w:rFonts w:ascii="宋体" w:hAnsi="宋体" w:cs="宋体" w:eastAsia="宋体" w:hint="default"/>
          <w:sz w:val="18"/>
          <w:szCs w:val="18"/>
        </w:rPr>
      </w:pPr>
    </w:p>
    <w:p>
      <w:pPr>
        <w:spacing w:before="0"/>
        <w:ind w:left="6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其他应收账款按种类分析如下：</w:t>
      </w:r>
    </w:p>
    <w:p>
      <w:pPr>
        <w:spacing w:line="240" w:lineRule="auto" w:before="8"/>
        <w:rPr>
          <w:rFonts w:ascii="宋体" w:hAnsi="宋体" w:cs="宋体" w:eastAsia="宋体" w:hint="default"/>
          <w:sz w:val="13"/>
          <w:szCs w:val="13"/>
        </w:rPr>
      </w:pPr>
    </w:p>
    <w:p>
      <w:pPr>
        <w:tabs>
          <w:tab w:pos="6245" w:val="left" w:leader="none"/>
        </w:tabs>
        <w:spacing w:before="54"/>
        <w:ind w:left="2124" w:right="0"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240" w:lineRule="auto" w:before="7"/>
        <w:rPr>
          <w:rFonts w:ascii="宋体" w:hAnsi="宋体" w:cs="宋体" w:eastAsia="宋体" w:hint="default"/>
          <w:sz w:val="4"/>
          <w:szCs w:val="4"/>
        </w:rPr>
      </w:pPr>
    </w:p>
    <w:p>
      <w:pPr>
        <w:tabs>
          <w:tab w:pos="6359" w:val="left" w:leader="none"/>
        </w:tabs>
        <w:spacing w:line="20" w:lineRule="exact"/>
        <w:ind w:left="2238" w:right="0" w:firstLine="0"/>
        <w:rPr>
          <w:rFonts w:ascii="宋体" w:hAnsi="宋体" w:cs="宋体" w:eastAsia="宋体" w:hint="default"/>
          <w:sz w:val="2"/>
          <w:szCs w:val="2"/>
        </w:rPr>
      </w:pPr>
      <w:r>
        <w:rPr>
          <w:rFonts w:ascii="宋体"/>
          <w:sz w:val="2"/>
        </w:rPr>
        <w:pict>
          <v:group style="width:192.35pt;height:1pt;mso-position-horizontal-relative:char;mso-position-vertical-relative:line" coordorigin="0,0" coordsize="3847,20">
            <v:group style="position:absolute;left:10;top:10;width:1846;height:2" coordorigin="10,10" coordsize="1846,2">
              <v:shape style="position:absolute;left:10;top:10;width:1846;height:2" coordorigin="10,10" coordsize="1846,0" path="m10,10l1855,10e" filled="false" stroked="true" strokeweight=".96pt" strokecolor="#000000">
                <v:path arrowok="t"/>
              </v:shape>
            </v:group>
            <v:group style="position:absolute;left:1855;top:10;width:19;height:2" coordorigin="1855,10" coordsize="19,2">
              <v:shape style="position:absolute;left:1855;top:10;width:19;height:2" coordorigin="1855,10" coordsize="19,0" path="m1855,10l1874,10e" filled="false" stroked="true" strokeweight=".96pt" strokecolor="#000000">
                <v:path arrowok="t"/>
              </v:shape>
            </v:group>
            <v:group style="position:absolute;left:1874;top:10;width:267;height:2" coordorigin="1874,10" coordsize="267,2">
              <v:shape style="position:absolute;left:1874;top:10;width:267;height:2" coordorigin="1874,10" coordsize="267,0" path="m1874,10l2141,10e" filled="false" stroked="true" strokeweight=".96pt" strokecolor="#000000">
                <v:path arrowok="t"/>
              </v:shape>
            </v:group>
            <v:group style="position:absolute;left:2141;top:10;width:20;height:2" coordorigin="2141,10" coordsize="20,2">
              <v:shape style="position:absolute;left:2141;top:10;width:20;height:2" coordorigin="2141,10" coordsize="20,0" path="m2141,10l2160,10e" filled="false" stroked="true" strokeweight=".96pt" strokecolor="#000000">
                <v:path arrowok="t"/>
              </v:shape>
            </v:group>
            <v:group style="position:absolute;left:2160;top:10;width:1678;height:2" coordorigin="2160,10" coordsize="1678,2">
              <v:shape style="position:absolute;left:2160;top:10;width:1678;height:2" coordorigin="2160,10" coordsize="1678,0" path="m2160,10l3837,10e" filled="false" stroked="true" strokeweight=".96pt" strokecolor="#000000">
                <v:path arrowok="t"/>
              </v:shape>
            </v:group>
          </v:group>
        </w:pict>
      </w:r>
      <w:r>
        <w:rPr>
          <w:rFonts w:ascii="宋体"/>
          <w:sz w:val="2"/>
        </w:rPr>
      </w:r>
      <w:r>
        <w:rPr>
          <w:rFonts w:ascii="宋体"/>
          <w:sz w:val="2"/>
        </w:rPr>
        <w:tab/>
      </w:r>
      <w:r>
        <w:rPr>
          <w:rFonts w:ascii="宋体"/>
          <w:position w:val="1"/>
          <w:sz w:val="2"/>
        </w:rPr>
        <w:pict>
          <v:group style="width:192.25pt;height:.5pt;mso-position-horizontal-relative:char;mso-position-vertical-relative:line" coordorigin="0,0" coordsize="3845,10">
            <v:group style="position:absolute;left:5;top:5;width:1848;height:2" coordorigin="5,5" coordsize="1848,2">
              <v:shape style="position:absolute;left:5;top:5;width:1848;height:2" coordorigin="5,5" coordsize="1848,0" path="m5,5l1853,5e" filled="false" stroked="true" strokeweight=".48pt" strokecolor="#000000">
                <v:path arrowok="t"/>
              </v:shape>
            </v:group>
            <v:group style="position:absolute;left:1853;top:5;width:10;height:2" coordorigin="1853,5" coordsize="10,2">
              <v:shape style="position:absolute;left:1853;top:5;width:10;height:2" coordorigin="1853,5" coordsize="10,0" path="m1853,5l1862,5e" filled="false" stroked="true" strokeweight=".48pt" strokecolor="#000000">
                <v:path arrowok="t"/>
              </v:shape>
            </v:group>
            <v:group style="position:absolute;left:1862;top:5;width:276;height:2" coordorigin="1862,5" coordsize="276,2">
              <v:shape style="position:absolute;left:1862;top:5;width:276;height:2" coordorigin="1862,5" coordsize="276,0" path="m1862,5l2138,5e" filled="false" stroked="true" strokeweight=".48pt" strokecolor="#000000">
                <v:path arrowok="t"/>
              </v:shape>
            </v:group>
            <v:group style="position:absolute;left:2138;top:5;width:10;height:2" coordorigin="2138,5" coordsize="10,2">
              <v:shape style="position:absolute;left:2138;top:5;width:10;height:2" coordorigin="2138,5" coordsize="10,0" path="m2138,5l2148,5e" filled="false" stroked="true" strokeweight=".48pt" strokecolor="#000000">
                <v:path arrowok="t"/>
              </v:shape>
            </v:group>
            <v:group style="position:absolute;left:2148;top:5;width:1692;height:2" coordorigin="2148,5" coordsize="1692,2">
              <v:shape style="position:absolute;left:2148;top:5;width:1692;height:2" coordorigin="2148,5" coordsize="1692,0" path="m2148,5l3840,5e" filled="false" stroked="true" strokeweight=".48pt" strokecolor="#000000">
                <v:path arrowok="t"/>
              </v:shape>
            </v:group>
          </v:group>
        </w:pict>
      </w:r>
      <w:r>
        <w:rPr>
          <w:rFonts w:ascii="宋体"/>
          <w:position w:val="1"/>
          <w:sz w:val="2"/>
        </w:rPr>
      </w:r>
    </w:p>
    <w:p>
      <w:pPr>
        <w:tabs>
          <w:tab w:pos="4258" w:val="left" w:leader="none"/>
          <w:tab w:pos="6319" w:val="left" w:leader="none"/>
          <w:tab w:pos="8381" w:val="left" w:leader="none"/>
        </w:tabs>
        <w:spacing w:line="212" w:lineRule="exact" w:before="0"/>
        <w:ind w:left="2201" w:right="0" w:firstLine="0"/>
        <w:jc w:val="center"/>
        <w:rPr>
          <w:rFonts w:ascii="宋体" w:hAnsi="宋体" w:cs="宋体" w:eastAsia="宋体" w:hint="default"/>
          <w:sz w:val="15"/>
          <w:szCs w:val="15"/>
        </w:rPr>
      </w:pP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tab/>
      </w: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r>
    </w:p>
    <w:p>
      <w:pPr>
        <w:spacing w:line="70" w:lineRule="exact" w:before="0"/>
        <w:ind w:left="1108" w:right="0" w:firstLine="0"/>
        <w:jc w:val="left"/>
        <w:rPr>
          <w:rFonts w:ascii="宋体" w:hAnsi="宋体" w:cs="宋体" w:eastAsia="宋体" w:hint="default"/>
          <w:sz w:val="15"/>
          <w:szCs w:val="15"/>
        </w:rPr>
      </w:pPr>
      <w:r>
        <w:rPr/>
        <w:pict>
          <v:group style="position:absolute;margin-left:166.919998pt;margin-top:1.472549pt;width:93.25pt;height:1pt;mso-position-horizontal-relative:page;mso-position-vertical-relative:paragraph;z-index:2848" coordorigin="3338,29" coordsize="1865,20">
            <v:group style="position:absolute;left:3348;top:39;width:996;height:2" coordorigin="3348,39" coordsize="996,2">
              <v:shape style="position:absolute;left:3348;top:39;width:996;height:2" coordorigin="3348,39" coordsize="996,0" path="m3348,39l4344,39e" filled="false" stroked="true" strokeweight=".96pt" strokecolor="#000000">
                <v:path arrowok="t"/>
              </v:shape>
            </v:group>
            <v:group style="position:absolute;left:4344;top:39;width:19;height:2" coordorigin="4344,39" coordsize="19,2">
              <v:shape style="position:absolute;left:4344;top:39;width:19;height:2" coordorigin="4344,39" coordsize="19,0" path="m4344,39l4363,39e" filled="false" stroked="true" strokeweight=".96pt" strokecolor="#000000">
                <v:path arrowok="t"/>
              </v:shape>
            </v:group>
            <v:group style="position:absolute;left:4363;top:39;width:264;height:2" coordorigin="4363,39" coordsize="264,2">
              <v:shape style="position:absolute;left:4363;top:39;width:264;height:2" coordorigin="4363,39" coordsize="264,0" path="m4363,39l4627,39e" filled="false" stroked="true" strokeweight=".96pt" strokecolor="#000000">
                <v:path arrowok="t"/>
              </v:shape>
            </v:group>
            <v:group style="position:absolute;left:4627;top:39;width:19;height:2" coordorigin="4627,39" coordsize="19,2">
              <v:shape style="position:absolute;left:4627;top:39;width:19;height:2" coordorigin="4627,39" coordsize="19,0" path="m4627,39l4646,39e" filled="false" stroked="true" strokeweight=".96pt" strokecolor="#000000">
                <v:path arrowok="t"/>
              </v:shape>
            </v:group>
            <v:group style="position:absolute;left:4646;top:39;width:548;height:2" coordorigin="4646,39" coordsize="548,2">
              <v:shape style="position:absolute;left:4646;top:39;width:548;height:2" coordorigin="4646,39" coordsize="548,0" path="m4646,39l5194,39e" filled="false" stroked="true" strokeweight=".96pt" strokecolor="#000000">
                <v:path arrowok="t"/>
              </v:shape>
            </v:group>
            <w10:wrap type="none"/>
          </v:group>
        </w:pict>
      </w:r>
      <w:r>
        <w:rPr/>
        <w:pict>
          <v:group style="position:absolute;margin-left:273.480011pt;margin-top:1.472549pt;width:85.8pt;height:1pt;mso-position-horizontal-relative:page;mso-position-vertical-relative:paragraph;z-index:2872" coordorigin="5470,29" coordsize="1716,20">
            <v:group style="position:absolute;left:5479;top:39;width:840;height:2" coordorigin="5479,39" coordsize="840,2">
              <v:shape style="position:absolute;left:5479;top:39;width:840;height:2" coordorigin="5479,39" coordsize="840,0" path="m5479,39l6319,39e" filled="false" stroked="true" strokeweight=".96pt" strokecolor="#000000">
                <v:path arrowok="t"/>
              </v:shape>
            </v:group>
            <v:group style="position:absolute;left:6319;top:39;width:20;height:2" coordorigin="6319,39" coordsize="20,2">
              <v:shape style="position:absolute;left:6319;top:39;width:20;height:2" coordorigin="6319,39" coordsize="20,0" path="m6319,39l6338,39e" filled="false" stroked="true" strokeweight=".96pt" strokecolor="#000000">
                <v:path arrowok="t"/>
              </v:shape>
            </v:group>
            <v:group style="position:absolute;left:6338;top:39;width:269;height:2" coordorigin="6338,39" coordsize="269,2">
              <v:shape style="position:absolute;left:6338;top:39;width:269;height:2" coordorigin="6338,39" coordsize="269,0" path="m6338,39l6607,39e" filled="false" stroked="true" strokeweight=".96pt" strokecolor="#000000">
                <v:path arrowok="t"/>
              </v:shape>
            </v:group>
            <v:group style="position:absolute;left:6607;top:39;width:19;height:2" coordorigin="6607,39" coordsize="19,2">
              <v:shape style="position:absolute;left:6607;top:39;width:19;height:2" coordorigin="6607,39" coordsize="19,0" path="m6607,39l6626,39e" filled="false" stroked="true" strokeweight=".96pt" strokecolor="#000000">
                <v:path arrowok="t"/>
              </v:shape>
            </v:group>
            <v:group style="position:absolute;left:6626;top:39;width:550;height:2" coordorigin="6626,39" coordsize="550,2">
              <v:shape style="position:absolute;left:6626;top:39;width:550;height:2" coordorigin="6626,39" coordsize="550,0" path="m6626,39l7176,39e" filled="false" stroked="true" strokeweight=".96pt" strokecolor="#000000">
                <v:path arrowok="t"/>
              </v:shape>
            </v:group>
            <w10:wrap type="none"/>
          </v:group>
        </w:pict>
      </w:r>
      <w:r>
        <w:rPr/>
        <w:pict>
          <v:group style="position:absolute;margin-left:372.720001pt;margin-top:1.472549pt;width:93.35pt;height:1pt;mso-position-horizontal-relative:page;mso-position-vertical-relative:paragraph;z-index:2896" coordorigin="7454,29" coordsize="1867,20">
            <v:group style="position:absolute;left:7464;top:39;width:996;height:2" coordorigin="7464,39" coordsize="996,2">
              <v:shape style="position:absolute;left:7464;top:39;width:996;height:2" coordorigin="7464,39" coordsize="996,0" path="m7464,39l8460,39e" filled="false" stroked="true" strokeweight=".96pt" strokecolor="#000000">
                <v:path arrowok="t"/>
              </v:shape>
            </v:group>
            <v:group style="position:absolute;left:8460;top:39;width:20;height:2" coordorigin="8460,39" coordsize="20,2">
              <v:shape style="position:absolute;left:8460;top:39;width:20;height:2" coordorigin="8460,39" coordsize="20,0" path="m8460,39l8479,39e" filled="false" stroked="true" strokeweight=".96pt" strokecolor="#000000">
                <v:path arrowok="t"/>
              </v:shape>
            </v:group>
            <v:group style="position:absolute;left:8479;top:39;width:267;height:2" coordorigin="8479,39" coordsize="267,2">
              <v:shape style="position:absolute;left:8479;top:39;width:267;height:2" coordorigin="8479,39" coordsize="267,0" path="m8479,39l8746,39e" filled="false" stroked="true" strokeweight=".96pt" strokecolor="#000000">
                <v:path arrowok="t"/>
              </v:shape>
            </v:group>
            <v:group style="position:absolute;left:8746;top:39;width:20;height:2" coordorigin="8746,39" coordsize="20,2">
              <v:shape style="position:absolute;left:8746;top:39;width:20;height:2" coordorigin="8746,39" coordsize="20,0" path="m8746,39l8765,39e" filled="false" stroked="true" strokeweight=".96pt" strokecolor="#000000">
                <v:path arrowok="t"/>
              </v:shape>
            </v:group>
            <v:group style="position:absolute;left:8765;top:39;width:547;height:2" coordorigin="8765,39" coordsize="547,2">
              <v:shape style="position:absolute;left:8765;top:39;width:547;height:2" coordorigin="8765,39" coordsize="547,0" path="m8765,39l9312,39e" filled="false" stroked="true" strokeweight=".96pt" strokecolor="#000000">
                <v:path arrowok="t"/>
              </v:shape>
            </v:group>
            <w10:wrap type="none"/>
          </v:group>
        </w:pict>
      </w:r>
      <w:r>
        <w:rPr/>
        <w:pict>
          <v:group style="position:absolute;margin-left:479.399994pt;margin-top:1.472549pt;width:86.05pt;height:1pt;mso-position-horizontal-relative:page;mso-position-vertical-relative:paragraph;z-index:2920" coordorigin="9588,29" coordsize="1721,20">
            <v:group style="position:absolute;left:9598;top:39;width:850;height:2" coordorigin="9598,39" coordsize="850,2">
              <v:shape style="position:absolute;left:9598;top:39;width:850;height:2" coordorigin="9598,39" coordsize="850,0" path="m9598,39l10447,39e" filled="false" stroked="true" strokeweight=".96pt" strokecolor="#000000">
                <v:path arrowok="t"/>
              </v:shape>
            </v:group>
            <v:group style="position:absolute;left:10447;top:39;width:19;height:2" coordorigin="10447,39" coordsize="19,2">
              <v:shape style="position:absolute;left:10447;top:39;width:19;height:2" coordorigin="10447,39" coordsize="19,0" path="m10447,39l10466,39e" filled="false" stroked="true" strokeweight=".96pt" strokecolor="#000000">
                <v:path arrowok="t"/>
              </v:shape>
            </v:group>
            <v:group style="position:absolute;left:10466;top:39;width:264;height:2" coordorigin="10466,39" coordsize="264,2">
              <v:shape style="position:absolute;left:10466;top:39;width:264;height:2" coordorigin="10466,39" coordsize="264,0" path="m10466,39l10730,39e" filled="false" stroked="true" strokeweight=".96pt" strokecolor="#000000">
                <v:path arrowok="t"/>
              </v:shape>
            </v:group>
            <v:group style="position:absolute;left:10730;top:39;width:19;height:2" coordorigin="10730,39" coordsize="19,2">
              <v:shape style="position:absolute;left:10730;top:39;width:19;height:2" coordorigin="10730,39" coordsize="19,0" path="m10730,39l10749,39e" filled="false" stroked="true" strokeweight=".96pt" strokecolor="#000000">
                <v:path arrowok="t"/>
              </v:shape>
            </v:group>
            <v:group style="position:absolute;left:10750;top:39;width:550;height:2" coordorigin="10750,39" coordsize="550,2">
              <v:shape style="position:absolute;left:10750;top:39;width:550;height:2" coordorigin="10750,39" coordsize="550,0" path="m10750,39l11299,39e" filled="false" stroked="true" strokeweight=".96pt" strokecolor="#000000">
                <v:path arrowok="t"/>
              </v:shape>
            </v:group>
            <w10:wrap type="none"/>
          </v:group>
        </w:pict>
      </w:r>
      <w:r>
        <w:rPr>
          <w:rFonts w:ascii="宋体" w:hAnsi="宋体" w:cs="宋体" w:eastAsia="宋体" w:hint="default"/>
          <w:sz w:val="15"/>
          <w:szCs w:val="15"/>
        </w:rPr>
        <w:t>种类</w:t>
      </w:r>
    </w:p>
    <w:p>
      <w:pPr>
        <w:spacing w:after="0" w:line="70" w:lineRule="exact"/>
        <w:jc w:val="left"/>
        <w:rPr>
          <w:rFonts w:ascii="宋体" w:hAnsi="宋体" w:cs="宋体" w:eastAsia="宋体" w:hint="default"/>
          <w:sz w:val="15"/>
          <w:szCs w:val="15"/>
        </w:rPr>
        <w:sectPr>
          <w:pgSz w:w="11900" w:h="16840"/>
          <w:pgMar w:header="886" w:footer="983" w:top="1800" w:bottom="1180" w:left="1100" w:right="480"/>
        </w:sectPr>
      </w:pP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3"/>
          <w:szCs w:val="13"/>
        </w:rPr>
      </w:pPr>
    </w:p>
    <w:p>
      <w:pPr>
        <w:spacing w:before="0"/>
        <w:ind w:left="661" w:right="106" w:firstLine="0"/>
        <w:jc w:val="left"/>
        <w:rPr>
          <w:rFonts w:ascii="宋体" w:hAnsi="宋体" w:cs="宋体" w:eastAsia="宋体" w:hint="default"/>
          <w:sz w:val="15"/>
          <w:szCs w:val="15"/>
        </w:rPr>
      </w:pPr>
      <w:r>
        <w:rPr>
          <w:rFonts w:ascii="宋体" w:hAnsi="宋体" w:cs="宋体" w:eastAsia="宋体" w:hint="default"/>
          <w:sz w:val="15"/>
          <w:szCs w:val="15"/>
        </w:rPr>
        <w:t>单</w:t>
      </w:r>
      <w:r>
        <w:rPr>
          <w:rFonts w:ascii="宋体" w:hAnsi="宋体" w:cs="宋体" w:eastAsia="宋体" w:hint="default"/>
          <w:spacing w:val="-50"/>
          <w:sz w:val="15"/>
          <w:szCs w:val="15"/>
        </w:rPr>
        <w:t> </w:t>
      </w:r>
      <w:r>
        <w:rPr>
          <w:rFonts w:ascii="宋体" w:hAnsi="宋体" w:cs="宋体" w:eastAsia="宋体" w:hint="default"/>
          <w:sz w:val="15"/>
          <w:szCs w:val="15"/>
        </w:rPr>
        <w:t>项</w:t>
      </w:r>
      <w:r>
        <w:rPr>
          <w:rFonts w:ascii="宋体" w:hAnsi="宋体" w:cs="宋体" w:eastAsia="宋体" w:hint="default"/>
          <w:spacing w:val="-50"/>
          <w:sz w:val="15"/>
          <w:szCs w:val="15"/>
        </w:rPr>
        <w:t> </w:t>
      </w:r>
      <w:r>
        <w:rPr>
          <w:rFonts w:ascii="宋体" w:hAnsi="宋体" w:cs="宋体" w:eastAsia="宋体" w:hint="default"/>
          <w:sz w:val="15"/>
          <w:szCs w:val="15"/>
        </w:rPr>
        <w:t>金</w:t>
      </w:r>
      <w:r>
        <w:rPr>
          <w:rFonts w:ascii="宋体" w:hAnsi="宋体" w:cs="宋体" w:eastAsia="宋体" w:hint="default"/>
          <w:spacing w:val="-50"/>
          <w:sz w:val="15"/>
          <w:szCs w:val="15"/>
        </w:rPr>
        <w:t> </w:t>
      </w:r>
      <w:r>
        <w:rPr>
          <w:rFonts w:ascii="宋体" w:hAnsi="宋体" w:cs="宋体" w:eastAsia="宋体" w:hint="default"/>
          <w:sz w:val="15"/>
          <w:szCs w:val="15"/>
        </w:rPr>
        <w:t>额</w:t>
      </w:r>
      <w:r>
        <w:rPr>
          <w:rFonts w:ascii="宋体" w:hAnsi="宋体" w:cs="宋体" w:eastAsia="宋体" w:hint="default"/>
          <w:spacing w:val="-53"/>
          <w:sz w:val="15"/>
          <w:szCs w:val="15"/>
        </w:rPr>
        <w:t> </w:t>
      </w:r>
      <w:r>
        <w:rPr>
          <w:rFonts w:ascii="宋体" w:hAnsi="宋体" w:cs="宋体" w:eastAsia="宋体" w:hint="default"/>
          <w:sz w:val="15"/>
          <w:szCs w:val="15"/>
        </w:rPr>
        <w:t>重</w:t>
      </w:r>
      <w:r>
        <w:rPr>
          <w:rFonts w:ascii="宋体" w:hAnsi="宋体" w:cs="宋体" w:eastAsia="宋体" w:hint="default"/>
          <w:spacing w:val="-50"/>
          <w:sz w:val="15"/>
          <w:szCs w:val="15"/>
        </w:rPr>
        <w:t> </w:t>
      </w:r>
      <w:r>
        <w:rPr>
          <w:rFonts w:ascii="宋体" w:hAnsi="宋体" w:cs="宋体" w:eastAsia="宋体" w:hint="default"/>
          <w:sz w:val="15"/>
          <w:szCs w:val="15"/>
        </w:rPr>
        <w:t>大</w:t>
      </w:r>
      <w:r>
        <w:rPr>
          <w:rFonts w:ascii="宋体" w:hAnsi="宋体" w:cs="宋体" w:eastAsia="宋体" w:hint="default"/>
          <w:spacing w:val="-53"/>
          <w:sz w:val="15"/>
          <w:szCs w:val="15"/>
        </w:rPr>
        <w:t> </w:t>
      </w:r>
      <w:r>
        <w:rPr>
          <w:rFonts w:ascii="宋体" w:hAnsi="宋体" w:cs="宋体" w:eastAsia="宋体" w:hint="default"/>
          <w:sz w:val="15"/>
          <w:szCs w:val="15"/>
        </w:rPr>
        <w:t>并</w:t>
      </w:r>
      <w:r>
        <w:rPr>
          <w:rFonts w:ascii="宋体" w:hAnsi="宋体" w:cs="宋体" w:eastAsia="宋体" w:hint="default"/>
          <w:w w:val="100"/>
          <w:sz w:val="15"/>
          <w:szCs w:val="15"/>
        </w:rPr>
        <w:t> </w:t>
      </w:r>
      <w:r>
        <w:rPr>
          <w:rFonts w:ascii="宋体" w:hAnsi="宋体" w:cs="宋体" w:eastAsia="宋体" w:hint="default"/>
          <w:sz w:val="15"/>
          <w:szCs w:val="15"/>
        </w:rPr>
        <w:t>单</w:t>
      </w:r>
      <w:r>
        <w:rPr>
          <w:rFonts w:ascii="宋体" w:hAnsi="宋体" w:cs="宋体" w:eastAsia="宋体" w:hint="default"/>
          <w:spacing w:val="-50"/>
          <w:sz w:val="15"/>
          <w:szCs w:val="15"/>
        </w:rPr>
        <w:t> </w:t>
      </w:r>
      <w:r>
        <w:rPr>
          <w:rFonts w:ascii="宋体" w:hAnsi="宋体" w:cs="宋体" w:eastAsia="宋体" w:hint="default"/>
          <w:sz w:val="15"/>
          <w:szCs w:val="15"/>
        </w:rPr>
        <w:t>项</w:t>
      </w:r>
      <w:r>
        <w:rPr>
          <w:rFonts w:ascii="宋体" w:hAnsi="宋体" w:cs="宋体" w:eastAsia="宋体" w:hint="default"/>
          <w:spacing w:val="-50"/>
          <w:sz w:val="15"/>
          <w:szCs w:val="15"/>
        </w:rPr>
        <w:t> </w:t>
      </w:r>
      <w:r>
        <w:rPr>
          <w:rFonts w:ascii="宋体" w:hAnsi="宋体" w:cs="宋体" w:eastAsia="宋体" w:hint="default"/>
          <w:sz w:val="15"/>
          <w:szCs w:val="15"/>
        </w:rPr>
        <w:t>计</w:t>
      </w:r>
      <w:r>
        <w:rPr>
          <w:rFonts w:ascii="宋体" w:hAnsi="宋体" w:cs="宋体" w:eastAsia="宋体" w:hint="default"/>
          <w:spacing w:val="-50"/>
          <w:sz w:val="15"/>
          <w:szCs w:val="15"/>
        </w:rPr>
        <w:t> </w:t>
      </w:r>
      <w:r>
        <w:rPr>
          <w:rFonts w:ascii="宋体" w:hAnsi="宋体" w:cs="宋体" w:eastAsia="宋体" w:hint="default"/>
          <w:sz w:val="15"/>
          <w:szCs w:val="15"/>
        </w:rPr>
        <w:t>提</w:t>
      </w:r>
      <w:r>
        <w:rPr>
          <w:rFonts w:ascii="宋体" w:hAnsi="宋体" w:cs="宋体" w:eastAsia="宋体" w:hint="default"/>
          <w:spacing w:val="-53"/>
          <w:sz w:val="15"/>
          <w:szCs w:val="15"/>
        </w:rPr>
        <w:t> </w:t>
      </w:r>
      <w:r>
        <w:rPr>
          <w:rFonts w:ascii="宋体" w:hAnsi="宋体" w:cs="宋体" w:eastAsia="宋体" w:hint="default"/>
          <w:sz w:val="15"/>
          <w:szCs w:val="15"/>
        </w:rPr>
        <w:t>坏</w:t>
      </w:r>
      <w:r>
        <w:rPr>
          <w:rFonts w:ascii="宋体" w:hAnsi="宋体" w:cs="宋体" w:eastAsia="宋体" w:hint="default"/>
          <w:spacing w:val="-50"/>
          <w:sz w:val="15"/>
          <w:szCs w:val="15"/>
        </w:rPr>
        <w:t> </w:t>
      </w:r>
      <w:r>
        <w:rPr>
          <w:rFonts w:ascii="宋体" w:hAnsi="宋体" w:cs="宋体" w:eastAsia="宋体" w:hint="default"/>
          <w:sz w:val="15"/>
          <w:szCs w:val="15"/>
        </w:rPr>
        <w:t>账</w:t>
      </w:r>
      <w:r>
        <w:rPr>
          <w:rFonts w:ascii="宋体" w:hAnsi="宋体" w:cs="宋体" w:eastAsia="宋体" w:hint="default"/>
          <w:spacing w:val="-53"/>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备的其他应收款</w:t>
      </w:r>
      <w:r>
        <w:rPr>
          <w:rFonts w:ascii="宋体" w:hAnsi="宋体" w:cs="宋体" w:eastAsia="宋体" w:hint="default"/>
          <w:w w:val="100"/>
          <w:sz w:val="15"/>
          <w:szCs w:val="15"/>
        </w:rPr>
        <w:t> </w:t>
      </w:r>
      <w:r>
        <w:rPr>
          <w:rFonts w:ascii="宋体" w:hAnsi="宋体" w:cs="宋体" w:eastAsia="宋体" w:hint="default"/>
          <w:sz w:val="15"/>
          <w:szCs w:val="15"/>
        </w:rPr>
        <w:t>按</w:t>
      </w:r>
      <w:r>
        <w:rPr>
          <w:rFonts w:ascii="宋体" w:hAnsi="宋体" w:cs="宋体" w:eastAsia="宋体" w:hint="default"/>
          <w:spacing w:val="-50"/>
          <w:sz w:val="15"/>
          <w:szCs w:val="15"/>
        </w:rPr>
        <w:t> </w:t>
      </w:r>
      <w:r>
        <w:rPr>
          <w:rFonts w:ascii="宋体" w:hAnsi="宋体" w:cs="宋体" w:eastAsia="宋体" w:hint="default"/>
          <w:sz w:val="15"/>
          <w:szCs w:val="15"/>
        </w:rPr>
        <w:t>组</w:t>
      </w:r>
      <w:r>
        <w:rPr>
          <w:rFonts w:ascii="宋体" w:hAnsi="宋体" w:cs="宋体" w:eastAsia="宋体" w:hint="default"/>
          <w:spacing w:val="-50"/>
          <w:sz w:val="15"/>
          <w:szCs w:val="15"/>
        </w:rPr>
        <w:t> </w:t>
      </w:r>
      <w:r>
        <w:rPr>
          <w:rFonts w:ascii="宋体" w:hAnsi="宋体" w:cs="宋体" w:eastAsia="宋体" w:hint="default"/>
          <w:sz w:val="15"/>
          <w:szCs w:val="15"/>
        </w:rPr>
        <w:t>合</w:t>
      </w:r>
      <w:r>
        <w:rPr>
          <w:rFonts w:ascii="宋体" w:hAnsi="宋体" w:cs="宋体" w:eastAsia="宋体" w:hint="default"/>
          <w:spacing w:val="-50"/>
          <w:sz w:val="15"/>
          <w:szCs w:val="15"/>
        </w:rPr>
        <w:t> </w:t>
      </w:r>
      <w:r>
        <w:rPr>
          <w:rFonts w:ascii="宋体" w:hAnsi="宋体" w:cs="宋体" w:eastAsia="宋体" w:hint="default"/>
          <w:sz w:val="15"/>
          <w:szCs w:val="15"/>
        </w:rPr>
        <w:t>计</w:t>
      </w:r>
      <w:r>
        <w:rPr>
          <w:rFonts w:ascii="宋体" w:hAnsi="宋体" w:cs="宋体" w:eastAsia="宋体" w:hint="default"/>
          <w:spacing w:val="-53"/>
          <w:sz w:val="15"/>
          <w:szCs w:val="15"/>
        </w:rPr>
        <w:t> </w:t>
      </w:r>
      <w:r>
        <w:rPr>
          <w:rFonts w:ascii="宋体" w:hAnsi="宋体" w:cs="宋体" w:eastAsia="宋体" w:hint="default"/>
          <w:sz w:val="15"/>
          <w:szCs w:val="15"/>
        </w:rPr>
        <w:t>提</w:t>
      </w:r>
      <w:r>
        <w:rPr>
          <w:rFonts w:ascii="宋体" w:hAnsi="宋体" w:cs="宋体" w:eastAsia="宋体" w:hint="default"/>
          <w:spacing w:val="-50"/>
          <w:sz w:val="15"/>
          <w:szCs w:val="15"/>
        </w:rPr>
        <w:t> </w:t>
      </w:r>
      <w:r>
        <w:rPr>
          <w:rFonts w:ascii="宋体" w:hAnsi="宋体" w:cs="宋体" w:eastAsia="宋体" w:hint="default"/>
          <w:sz w:val="15"/>
          <w:szCs w:val="15"/>
        </w:rPr>
        <w:t>坏</w:t>
      </w:r>
      <w:r>
        <w:rPr>
          <w:rFonts w:ascii="宋体" w:hAnsi="宋体" w:cs="宋体" w:eastAsia="宋体" w:hint="default"/>
          <w:spacing w:val="-53"/>
          <w:sz w:val="15"/>
          <w:szCs w:val="15"/>
        </w:rPr>
        <w:t> </w:t>
      </w:r>
      <w:r>
        <w:rPr>
          <w:rFonts w:ascii="宋体" w:hAnsi="宋体" w:cs="宋体" w:eastAsia="宋体" w:hint="default"/>
          <w:sz w:val="15"/>
          <w:szCs w:val="15"/>
        </w:rPr>
        <w:t>账</w:t>
      </w:r>
      <w:r>
        <w:rPr>
          <w:rFonts w:ascii="宋体" w:hAnsi="宋体" w:cs="宋体" w:eastAsia="宋体" w:hint="default"/>
          <w:w w:val="100"/>
          <w:sz w:val="15"/>
          <w:szCs w:val="15"/>
        </w:rPr>
        <w:t> </w:t>
      </w:r>
      <w:r>
        <w:rPr>
          <w:rFonts w:ascii="宋体" w:hAnsi="宋体" w:cs="宋体" w:eastAsia="宋体" w:hint="default"/>
          <w:spacing w:val="-2"/>
          <w:sz w:val="15"/>
          <w:szCs w:val="15"/>
        </w:rPr>
        <w:t>准备的计提方法：</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按</w:t>
      </w:r>
      <w:r>
        <w:rPr>
          <w:rFonts w:ascii="宋体" w:hAnsi="宋体" w:cs="宋体" w:eastAsia="宋体" w:hint="default"/>
          <w:spacing w:val="-50"/>
          <w:sz w:val="15"/>
          <w:szCs w:val="15"/>
        </w:rPr>
        <w:t> </w:t>
      </w:r>
      <w:r>
        <w:rPr>
          <w:rFonts w:ascii="宋体" w:hAnsi="宋体" w:cs="宋体" w:eastAsia="宋体" w:hint="default"/>
          <w:sz w:val="15"/>
          <w:szCs w:val="15"/>
        </w:rPr>
        <w:t>账</w:t>
      </w:r>
      <w:r>
        <w:rPr>
          <w:rFonts w:ascii="宋体" w:hAnsi="宋体" w:cs="宋体" w:eastAsia="宋体" w:hint="default"/>
          <w:spacing w:val="-50"/>
          <w:sz w:val="15"/>
          <w:szCs w:val="15"/>
        </w:rPr>
        <w:t> </w:t>
      </w:r>
      <w:r>
        <w:rPr>
          <w:rFonts w:ascii="宋体" w:hAnsi="宋体" w:cs="宋体" w:eastAsia="宋体" w:hint="default"/>
          <w:sz w:val="15"/>
          <w:szCs w:val="15"/>
        </w:rPr>
        <w:t>龄</w:t>
      </w:r>
      <w:r>
        <w:rPr>
          <w:rFonts w:ascii="宋体" w:hAnsi="宋体" w:cs="宋体" w:eastAsia="宋体" w:hint="default"/>
          <w:spacing w:val="-50"/>
          <w:sz w:val="15"/>
          <w:szCs w:val="15"/>
        </w:rPr>
        <w:t> </w:t>
      </w:r>
      <w:r>
        <w:rPr>
          <w:rFonts w:ascii="宋体" w:hAnsi="宋体" w:cs="宋体" w:eastAsia="宋体" w:hint="default"/>
          <w:sz w:val="15"/>
          <w:szCs w:val="15"/>
        </w:rPr>
        <w:t>分</w:t>
      </w:r>
      <w:r>
        <w:rPr>
          <w:rFonts w:ascii="宋体" w:hAnsi="宋体" w:cs="宋体" w:eastAsia="宋体" w:hint="default"/>
          <w:spacing w:val="-53"/>
          <w:sz w:val="15"/>
          <w:szCs w:val="15"/>
        </w:rPr>
        <w:t> </w:t>
      </w:r>
      <w:r>
        <w:rPr>
          <w:rFonts w:ascii="宋体" w:hAnsi="宋体" w:cs="宋体" w:eastAsia="宋体" w:hint="default"/>
          <w:sz w:val="15"/>
          <w:szCs w:val="15"/>
        </w:rPr>
        <w:t>析</w:t>
      </w:r>
      <w:r>
        <w:rPr>
          <w:rFonts w:ascii="宋体" w:hAnsi="宋体" w:cs="宋体" w:eastAsia="宋体" w:hint="default"/>
          <w:spacing w:val="-50"/>
          <w:sz w:val="15"/>
          <w:szCs w:val="15"/>
        </w:rPr>
        <w:t> </w:t>
      </w:r>
      <w:r>
        <w:rPr>
          <w:rFonts w:ascii="宋体" w:hAnsi="宋体" w:cs="宋体" w:eastAsia="宋体" w:hint="default"/>
          <w:sz w:val="15"/>
          <w:szCs w:val="15"/>
        </w:rPr>
        <w:t>法</w:t>
      </w:r>
      <w:r>
        <w:rPr>
          <w:rFonts w:ascii="宋体" w:hAnsi="宋体" w:cs="宋体" w:eastAsia="宋体" w:hint="default"/>
          <w:spacing w:val="-53"/>
          <w:sz w:val="15"/>
          <w:szCs w:val="15"/>
        </w:rPr>
        <w:t> </w:t>
      </w:r>
      <w:r>
        <w:rPr>
          <w:rFonts w:ascii="宋体" w:hAnsi="宋体" w:cs="宋体" w:eastAsia="宋体" w:hint="default"/>
          <w:sz w:val="15"/>
          <w:szCs w:val="15"/>
        </w:rPr>
        <w:t>划</w:t>
      </w:r>
      <w:r>
        <w:rPr>
          <w:rFonts w:ascii="宋体" w:hAnsi="宋体" w:cs="宋体" w:eastAsia="宋体" w:hint="default"/>
          <w:w w:val="100"/>
          <w:sz w:val="15"/>
          <w:szCs w:val="15"/>
        </w:rPr>
        <w:t> </w:t>
      </w:r>
      <w:r>
        <w:rPr>
          <w:rFonts w:ascii="宋体" w:hAnsi="宋体" w:cs="宋体" w:eastAsia="宋体" w:hint="default"/>
          <w:sz w:val="15"/>
          <w:szCs w:val="15"/>
        </w:rPr>
        <w:t>分的款项</w:t>
      </w:r>
    </w:p>
    <w:p>
      <w:pPr>
        <w:spacing w:line="247" w:lineRule="auto" w:before="0"/>
        <w:ind w:left="661" w:right="0" w:firstLine="0"/>
        <w:jc w:val="left"/>
        <w:rPr>
          <w:rFonts w:ascii="宋体" w:hAnsi="宋体" w:cs="宋体" w:eastAsia="宋体" w:hint="default"/>
          <w:sz w:val="15"/>
          <w:szCs w:val="15"/>
        </w:rPr>
      </w:pPr>
      <w:r>
        <w:rPr>
          <w:rFonts w:ascii="宋体" w:hAnsi="宋体" w:cs="宋体" w:eastAsia="宋体" w:hint="default"/>
          <w:spacing w:val="11"/>
          <w:sz w:val="15"/>
          <w:szCs w:val="15"/>
        </w:rPr>
        <w:t>单项金额虽不重大</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11"/>
          <w:sz w:val="15"/>
          <w:szCs w:val="15"/>
        </w:rPr>
        <w:t>但单项计提坏账准</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备的其他应收款</w:t>
      </w:r>
      <w:r>
        <w:rPr>
          <w:rFonts w:ascii="宋体" w:hAnsi="宋体" w:cs="宋体" w:eastAsia="宋体" w:hint="default"/>
          <w:w w:val="100"/>
          <w:sz w:val="15"/>
          <w:szCs w:val="15"/>
        </w:rPr>
        <w:t> </w:t>
      </w:r>
      <w:r>
        <w:rPr>
          <w:rFonts w:ascii="宋体" w:hAnsi="宋体" w:cs="宋体" w:eastAsia="宋体" w:hint="default"/>
          <w:sz w:val="15"/>
          <w:szCs w:val="15"/>
        </w:rPr>
        <w:t>合计</w:t>
      </w:r>
    </w:p>
    <w:p>
      <w:pPr>
        <w:spacing w:line="100" w:lineRule="exact" w:before="0"/>
        <w:ind w:left="1628" w:right="968"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比例</w:t>
      </w:r>
    </w:p>
    <w:p>
      <w:pPr>
        <w:tabs>
          <w:tab w:pos="1264" w:val="left" w:leader="none"/>
          <w:tab w:pos="1515" w:val="left" w:leader="none"/>
          <w:tab w:pos="2633" w:val="left" w:leader="none"/>
        </w:tabs>
        <w:spacing w:line="257" w:lineRule="exact" w:before="0"/>
        <w:ind w:left="236" w:right="-17" w:firstLine="0"/>
        <w:jc w:val="left"/>
        <w:rPr>
          <w:rFonts w:ascii="宋体" w:hAnsi="宋体" w:cs="宋体" w:eastAsia="宋体" w:hint="default"/>
          <w:sz w:val="15"/>
          <w:szCs w:val="15"/>
        </w:rPr>
      </w:pPr>
      <w:r>
        <w:rPr/>
        <w:pict>
          <v:group style="position:absolute;margin-left:273.959991pt;margin-top:13.862529pt;width:42pt;height:.1pt;mso-position-horizontal-relative:page;mso-position-vertical-relative:paragraph;z-index:2968" coordorigin="5479,277" coordsize="840,2">
            <v:shape style="position:absolute;left:5479;top:277;width:840;height:2" coordorigin="5479,277" coordsize="840,0" path="m5479,277l6319,277e" filled="false" stroked="true" strokeweight=".96pt" strokecolor="#000000">
              <v:path arrowok="t"/>
            </v:shape>
            <w10:wrap type="none"/>
          </v:group>
        </w:pict>
      </w:r>
      <w:r>
        <w:rPr/>
        <w:pict>
          <v:shape style="position:absolute;margin-left:184.800003pt;margin-top:-.075753pt;width:15.15pt;height:7.55pt;mso-position-horizontal-relative:page;mso-position-vertical-relative:paragraph;z-index:-552400"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金额</w:t>
                  </w:r>
                </w:p>
              </w:txbxContent>
            </v:textbox>
            <w10:wrap type="none"/>
          </v:shape>
        </w:pict>
      </w: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u w:val="single" w:color="000000"/>
        </w:rPr>
        <w:t> </w:t>
      </w:r>
      <w:r>
        <w:rPr>
          <w:rFonts w:ascii="Times New Roman" w:hAnsi="Times New Roman" w:cs="Times New Roman" w:eastAsia="Times New Roman" w:hint="default"/>
          <w:sz w:val="15"/>
          <w:szCs w:val="15"/>
          <w:u w:val="single" w:color="000000"/>
        </w:rPr>
        <w:tab/>
      </w:r>
      <w:r>
        <w:rPr>
          <w:rFonts w:ascii="Times New Roman" w:hAnsi="Times New Roman" w:cs="Times New Roman" w:eastAsia="Times New Roman" w:hint="default"/>
          <w:sz w:val="15"/>
          <w:szCs w:val="15"/>
        </w:rPr>
        <w:tab/>
      </w: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w w:val="100"/>
          <w:sz w:val="15"/>
          <w:szCs w:val="15"/>
          <w:u w:val="single" w:color="000000"/>
        </w:rPr>
        <w:t> </w:t>
      </w:r>
      <w:r>
        <w:rPr>
          <w:rFonts w:ascii="Times New Roman" w:hAnsi="Times New Roman" w:cs="Times New Roman" w:eastAsia="Times New Roman" w:hint="default"/>
          <w:sz w:val="15"/>
          <w:szCs w:val="15"/>
          <w:u w:val="single" w:color="000000"/>
        </w:rPr>
        <w:t> </w:t>
      </w:r>
      <w:r>
        <w:rPr>
          <w:rFonts w:ascii="Times New Roman" w:hAnsi="Times New Roman" w:cs="Times New Roman" w:eastAsia="Times New Roman" w:hint="default"/>
          <w:spacing w:val="-5"/>
          <w:sz w:val="15"/>
          <w:szCs w:val="15"/>
          <w:u w:val="single" w:color="000000"/>
        </w:rPr>
        <w:t> </w:t>
      </w:r>
      <w:r>
        <w:rPr>
          <w:rFonts w:ascii="宋体" w:hAnsi="宋体" w:cs="宋体" w:eastAsia="宋体" w:hint="default"/>
          <w:spacing w:val="-1"/>
          <w:sz w:val="15"/>
          <w:szCs w:val="15"/>
          <w:u w:val="single" w:color="000000"/>
        </w:rPr>
        <w:t>（</w:t>
      </w:r>
      <w:r>
        <w:rPr>
          <w:rFonts w:ascii="Times New Roman" w:hAnsi="Times New Roman" w:cs="Times New Roman" w:eastAsia="Times New Roman" w:hint="default"/>
          <w:spacing w:val="-1"/>
          <w:sz w:val="15"/>
          <w:szCs w:val="15"/>
          <w:u w:val="single" w:color="000000"/>
        </w:rPr>
        <w:t>%</w:t>
      </w:r>
      <w:r>
        <w:rPr>
          <w:rFonts w:ascii="宋体" w:hAnsi="宋体" w:cs="宋体" w:eastAsia="宋体" w:hint="default"/>
          <w:spacing w:val="-1"/>
          <w:sz w:val="15"/>
          <w:szCs w:val="15"/>
          <w:u w:val="single" w:color="000000"/>
        </w:rPr>
        <w:t>）</w:t>
      </w:r>
      <w:r>
        <w:rPr>
          <w:rFonts w:ascii="宋体" w:hAnsi="宋体" w:cs="宋体" w:eastAsia="宋体" w:hint="default"/>
          <w:spacing w:val="-1"/>
          <w:sz w:val="15"/>
          <w:szCs w:val="15"/>
        </w:rPr>
        <w:tab/>
      </w:r>
      <w:r>
        <w:rPr>
          <w:rFonts w:ascii="宋体" w:hAnsi="宋体" w:cs="宋体" w:eastAsia="宋体" w:hint="default"/>
          <w:position w:val="10"/>
          <w:sz w:val="15"/>
          <w:szCs w:val="15"/>
        </w:rPr>
        <w:t>金额</w:t>
      </w:r>
      <w:r>
        <w:rPr>
          <w:rFonts w:ascii="宋体" w:hAnsi="宋体" w:cs="宋体" w:eastAsia="宋体" w:hint="default"/>
          <w:sz w:val="15"/>
          <w:szCs w:val="15"/>
        </w:rPr>
      </w:r>
    </w:p>
    <w:p>
      <w:pPr>
        <w:spacing w:line="100" w:lineRule="exact" w:before="0"/>
        <w:ind w:left="651" w:right="-18" w:firstLine="0"/>
        <w:jc w:val="left"/>
        <w:rPr>
          <w:rFonts w:ascii="宋体" w:hAnsi="宋体" w:cs="宋体" w:eastAsia="宋体" w:hint="default"/>
          <w:sz w:val="15"/>
          <w:szCs w:val="15"/>
        </w:rPr>
      </w:pPr>
      <w:r>
        <w:rPr/>
        <w:br w:type="column"/>
      </w:r>
      <w:r>
        <w:rPr>
          <w:rFonts w:ascii="宋体" w:hAnsi="宋体" w:cs="宋体" w:eastAsia="宋体" w:hint="default"/>
          <w:sz w:val="15"/>
          <w:szCs w:val="15"/>
        </w:rPr>
        <w:t>计提</w:t>
      </w:r>
    </w:p>
    <w:p>
      <w:pPr>
        <w:tabs>
          <w:tab w:pos="1724" w:val="left" w:leader="none"/>
        </w:tabs>
        <w:spacing w:line="257" w:lineRule="exact" w:before="0"/>
        <w:ind w:left="536" w:right="-18" w:firstLine="0"/>
        <w:jc w:val="left"/>
        <w:rPr>
          <w:rFonts w:ascii="宋体" w:hAnsi="宋体" w:cs="宋体" w:eastAsia="宋体" w:hint="default"/>
          <w:sz w:val="15"/>
          <w:szCs w:val="15"/>
        </w:rPr>
      </w:pPr>
      <w:r>
        <w:rPr/>
        <w:pict>
          <v:group style="position:absolute;margin-left:330.359985pt;margin-top:13.862529pt;width:28.45pt;height:.1pt;mso-position-horizontal-relative:page;mso-position-vertical-relative:paragraph;z-index:2992" coordorigin="6607,277" coordsize="569,2">
            <v:shape style="position:absolute;left:6607;top:277;width:569;height:2" coordorigin="6607,277" coordsize="569,0" path="m6607,277l7176,277e" filled="false" stroked="true" strokeweight=".96pt" strokecolor="#000000">
              <v:path arrowok="t"/>
            </v:shape>
            <w10:wrap type="none"/>
          </v:group>
        </w:pict>
      </w:r>
      <w:r>
        <w:rPr/>
        <w:pict>
          <v:group style="position:absolute;margin-left:373.200012pt;margin-top:13.862529pt;width:49.8pt;height:.1pt;mso-position-horizontal-relative:page;mso-position-vertical-relative:paragraph;z-index:3016" coordorigin="7464,277" coordsize="996,2">
            <v:shape style="position:absolute;left:7464;top:277;width:996;height:2" coordorigin="7464,277" coordsize="996,0" path="m7464,277l8460,277e" filled="false" stroked="true" strokeweight=".96pt" strokecolor="#000000">
              <v:path arrowok="t"/>
            </v:shape>
            <w10:wrap type="none"/>
          </v:group>
        </w:pic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tab/>
      </w:r>
      <w:r>
        <w:rPr>
          <w:rFonts w:ascii="宋体" w:hAnsi="宋体" w:cs="宋体" w:eastAsia="宋体" w:hint="default"/>
          <w:position w:val="10"/>
          <w:sz w:val="15"/>
          <w:szCs w:val="15"/>
        </w:rPr>
        <w:t>金额</w:t>
      </w:r>
      <w:r>
        <w:rPr>
          <w:rFonts w:ascii="宋体" w:hAnsi="宋体" w:cs="宋体" w:eastAsia="宋体" w:hint="default"/>
          <w:sz w:val="15"/>
          <w:szCs w:val="15"/>
        </w:rPr>
      </w:r>
    </w:p>
    <w:p>
      <w:pPr>
        <w:spacing w:line="100" w:lineRule="exact" w:before="0"/>
        <w:ind w:left="667" w:right="973" w:firstLine="0"/>
        <w:jc w:val="center"/>
        <w:rPr>
          <w:rFonts w:ascii="宋体" w:hAnsi="宋体" w:cs="宋体" w:eastAsia="宋体" w:hint="default"/>
          <w:sz w:val="15"/>
          <w:szCs w:val="15"/>
        </w:rPr>
      </w:pPr>
      <w:r>
        <w:rPr/>
        <w:br w:type="column"/>
      </w:r>
      <w:r>
        <w:rPr>
          <w:rFonts w:ascii="宋体" w:hAnsi="宋体" w:cs="宋体" w:eastAsia="宋体" w:hint="default"/>
          <w:sz w:val="15"/>
          <w:szCs w:val="15"/>
        </w:rPr>
        <w:t>比例</w:t>
      </w:r>
    </w:p>
    <w:p>
      <w:pPr>
        <w:tabs>
          <w:tab w:pos="1679" w:val="left" w:leader="none"/>
        </w:tabs>
        <w:spacing w:line="257" w:lineRule="exact" w:before="0"/>
        <w:ind w:left="661" w:right="-18" w:firstLine="0"/>
        <w:jc w:val="left"/>
        <w:rPr>
          <w:rFonts w:ascii="宋体" w:hAnsi="宋体" w:cs="宋体" w:eastAsia="宋体" w:hint="default"/>
          <w:sz w:val="15"/>
          <w:szCs w:val="15"/>
        </w:rPr>
      </w:pPr>
      <w:r>
        <w:rPr/>
        <w:pict>
          <v:group style="position:absolute;margin-left:82.68pt;margin-top:13.862529pt;width:70.7pt;height:.1pt;mso-position-horizontal-relative:page;mso-position-vertical-relative:paragraph;z-index:-552664" coordorigin="1654,277" coordsize="1414,2">
            <v:shape style="position:absolute;left:1654;top:277;width:1414;height:2" coordorigin="1654,277" coordsize="1414,0" path="m1654,277l3067,277e" filled="false" stroked="true" strokeweight=".96pt" strokecolor="#000000">
              <v:path arrowok="t"/>
            </v:shape>
            <w10:wrap type="none"/>
          </v:group>
        </w:pict>
      </w:r>
      <w:r>
        <w:rPr/>
        <w:pict>
          <v:group style="position:absolute;margin-left:437.279999pt;margin-top:13.862529pt;width:28.35pt;height:.1pt;mso-position-horizontal-relative:page;mso-position-vertical-relative:paragraph;z-index:3040" coordorigin="8746,277" coordsize="567,2">
            <v:shape style="position:absolute;left:8746;top:277;width:567;height:2" coordorigin="8746,277" coordsize="567,0" path="m8746,277l9312,277e" filled="false" stroked="true" strokeweight=".96pt" strokecolor="#000000">
              <v:path arrowok="t"/>
            </v:shape>
            <w10:wrap type="none"/>
          </v:group>
        </w:pict>
      </w:r>
      <w:r>
        <w:rPr/>
        <w:pict>
          <v:group style="position:absolute;margin-left:479.880005pt;margin-top:13.862529pt;width:42.5pt;height:.1pt;mso-position-horizontal-relative:page;mso-position-vertical-relative:paragraph;z-index:3064" coordorigin="9598,277" coordsize="850,2">
            <v:shape style="position:absolute;left:9598;top:277;width:850;height:2" coordorigin="9598,277" coordsize="850,0" path="m9598,277l10447,277e" filled="false" stroked="true" strokeweight=".96pt" strokecolor="#000000">
              <v:path arrowok="t"/>
            </v:shape>
            <w10:wrap type="none"/>
          </v:group>
        </w:pic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position w:val="10"/>
          <w:sz w:val="15"/>
          <w:szCs w:val="15"/>
        </w:rPr>
        <w:t>金额</w:t>
      </w:r>
      <w:r>
        <w:rPr>
          <w:rFonts w:ascii="宋体" w:hAnsi="宋体" w:cs="宋体" w:eastAsia="宋体" w:hint="default"/>
          <w:sz w:val="15"/>
          <w:szCs w:val="15"/>
        </w:rPr>
      </w:r>
    </w:p>
    <w:p>
      <w:pPr>
        <w:spacing w:line="150" w:lineRule="exact" w:before="0"/>
        <w:ind w:left="545" w:right="0" w:firstLine="62"/>
        <w:jc w:val="left"/>
        <w:rPr>
          <w:rFonts w:ascii="宋体" w:hAnsi="宋体" w:cs="宋体" w:eastAsia="宋体" w:hint="default"/>
          <w:sz w:val="15"/>
          <w:szCs w:val="15"/>
        </w:rPr>
      </w:pPr>
      <w:r>
        <w:rPr/>
        <w:br w:type="column"/>
      </w:r>
      <w:r>
        <w:rPr>
          <w:rFonts w:ascii="宋体" w:hAnsi="宋体" w:cs="宋体" w:eastAsia="宋体" w:hint="default"/>
          <w:sz w:val="15"/>
          <w:szCs w:val="15"/>
        </w:rPr>
        <w:t>计提</w:t>
      </w:r>
    </w:p>
    <w:p>
      <w:pPr>
        <w:spacing w:line="207" w:lineRule="exact" w:before="0"/>
        <w:ind w:left="545" w:right="0" w:firstLine="0"/>
        <w:jc w:val="left"/>
        <w:rPr>
          <w:rFonts w:ascii="Times New Roman" w:hAnsi="Times New Roman" w:cs="Times New Roman" w:eastAsia="Times New Roman" w:hint="default"/>
          <w:sz w:val="15"/>
          <w:szCs w:val="15"/>
        </w:rPr>
      </w:pPr>
      <w:r>
        <w:rPr/>
        <w:pict>
          <v:group style="position:absolute;margin-left:536.520020pt;margin-top:11.362529pt;width:28.45pt;height:.1pt;mso-position-horizontal-relative:page;mso-position-vertical-relative:paragraph;z-index:3088" coordorigin="10730,227" coordsize="569,2">
            <v:shape style="position:absolute;left:10730;top:227;width:569;height:2" coordorigin="10730,227" coordsize="569,0" path="m10730,227l11299,227e" filled="false" stroked="true" strokeweight=".96pt" strokecolor="#000000">
              <v:path arrowok="t"/>
            </v:shape>
            <w10:wrap type="none"/>
          </v:group>
        </w:pic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p>
      <w:pPr>
        <w:spacing w:after="0" w:line="207" w:lineRule="exact"/>
        <w:jc w:val="left"/>
        <w:rPr>
          <w:rFonts w:ascii="Times New Roman" w:hAnsi="Times New Roman" w:cs="Times New Roman" w:eastAsia="Times New Roman" w:hint="default"/>
          <w:sz w:val="15"/>
          <w:szCs w:val="15"/>
        </w:rPr>
        <w:sectPr>
          <w:type w:val="continuous"/>
          <w:pgSz w:w="11900" w:h="16840"/>
          <w:pgMar w:top="1040" w:bottom="1180" w:left="1100" w:right="480"/>
          <w:cols w:num="5" w:equalWidth="0">
            <w:col w:w="1972" w:space="40"/>
            <w:col w:w="2936" w:space="40"/>
            <w:col w:w="2027" w:space="77"/>
            <w:col w:w="1982" w:space="40"/>
            <w:col w:w="1206"/>
          </w:cols>
        </w:sectPr>
      </w:pPr>
    </w:p>
    <w:p>
      <w:pPr>
        <w:spacing w:line="240" w:lineRule="auto" w:before="3"/>
        <w:rPr>
          <w:rFonts w:ascii="Times New Roman" w:hAnsi="Times New Roman" w:cs="Times New Roman" w:eastAsia="Times New Roman" w:hint="default"/>
          <w:sz w:val="20"/>
          <w:szCs w:val="20"/>
        </w:rPr>
      </w:pPr>
    </w:p>
    <w:p>
      <w:pPr>
        <w:spacing w:before="36"/>
        <w:ind w:left="661" w:right="0" w:firstLine="0"/>
        <w:jc w:val="left"/>
        <w:rPr>
          <w:rFonts w:ascii="宋体" w:hAnsi="宋体" w:cs="宋体" w:eastAsia="宋体" w:hint="default"/>
          <w:sz w:val="21"/>
          <w:szCs w:val="21"/>
        </w:rPr>
      </w:pPr>
      <w:r>
        <w:rPr/>
        <w:pict>
          <v:shape style="position:absolute;margin-left:167.399994pt;margin-top:-107.93161pt;width:393.95pt;height:100.45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6"/>
                    <w:gridCol w:w="283"/>
                    <w:gridCol w:w="566"/>
                    <w:gridCol w:w="286"/>
                    <w:gridCol w:w="840"/>
                    <w:gridCol w:w="1145"/>
                    <w:gridCol w:w="996"/>
                    <w:gridCol w:w="286"/>
                    <w:gridCol w:w="566"/>
                    <w:gridCol w:w="286"/>
                    <w:gridCol w:w="850"/>
                    <w:gridCol w:w="780"/>
                  </w:tblGrid>
                  <w:tr>
                    <w:trPr>
                      <w:trHeight w:val="1192" w:hRule="exact"/>
                    </w:trPr>
                    <w:tc>
                      <w:tcPr>
                        <w:tcW w:w="996" w:type="dxa"/>
                        <w:tcBorders>
                          <w:top w:val="nil" w:sz="6" w:space="0" w:color="auto"/>
                          <w:left w:val="nil" w:sz="6" w:space="0" w:color="auto"/>
                          <w:bottom w:val="nil" w:sz="6" w:space="0" w:color="auto"/>
                          <w:right w:val="nil" w:sz="6" w:space="0" w:color="auto"/>
                        </w:tcBorders>
                      </w:tcPr>
                      <w:p>
                        <w:pPr>
                          <w:pStyle w:val="TableParagraph"/>
                          <w:spacing w:line="154" w:lineRule="exact"/>
                          <w:ind w:left="100" w:right="0" w:firstLine="736"/>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7,834,626.16</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154" w:lineRule="exact"/>
                          <w:ind w:left="120" w:right="0" w:firstLine="288"/>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90.91</w:t>
                        </w:r>
                      </w:p>
                    </w:tc>
                    <w:tc>
                      <w:tcPr>
                        <w:tcW w:w="28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nil" w:sz="6" w:space="0" w:color="auto"/>
                          <w:right w:val="nil" w:sz="6" w:space="0" w:color="auto"/>
                        </w:tcBorders>
                      </w:tcPr>
                      <w:p>
                        <w:pPr>
                          <w:pStyle w:val="TableParagraph"/>
                          <w:spacing w:line="154" w:lineRule="exact"/>
                          <w:ind w:left="55" w:right="0" w:firstLine="624"/>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sz w:val="15"/>
                          </w:rPr>
                          <w:t>200,000.00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154" w:lineRule="exact"/>
                          <w:ind w:left="487" w:right="0" w:firstLine="211"/>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2" w:right="0"/>
                          <w:jc w:val="center"/>
                          <w:rPr>
                            <w:rFonts w:ascii="Times New Roman" w:hAnsi="Times New Roman" w:cs="Times New Roman" w:eastAsia="Times New Roman" w:hint="default"/>
                            <w:sz w:val="15"/>
                            <w:szCs w:val="15"/>
                          </w:rPr>
                        </w:pPr>
                        <w:r>
                          <w:rPr>
                            <w:rFonts w:ascii="Times New Roman"/>
                            <w:sz w:val="15"/>
                          </w:rPr>
                          <w:t>2.55</w:t>
                        </w:r>
                      </w:p>
                    </w:tc>
                    <w:tc>
                      <w:tcPr>
                        <w:tcW w:w="996" w:type="dxa"/>
                        <w:tcBorders>
                          <w:top w:val="nil" w:sz="6" w:space="0" w:color="auto"/>
                          <w:left w:val="nil" w:sz="6" w:space="0" w:color="auto"/>
                          <w:bottom w:val="nil" w:sz="6" w:space="0" w:color="auto"/>
                          <w:right w:val="nil" w:sz="6" w:space="0" w:color="auto"/>
                        </w:tcBorders>
                      </w:tcPr>
                      <w:p>
                        <w:pPr>
                          <w:pStyle w:val="TableParagraph"/>
                          <w:spacing w:line="154" w:lineRule="exact"/>
                          <w:ind w:left="837" w:right="0"/>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3" w:right="0"/>
                          <w:jc w:val="left"/>
                          <w:rPr>
                            <w:rFonts w:ascii="Times New Roman" w:hAnsi="Times New Roman" w:cs="Times New Roman" w:eastAsia="Times New Roman" w:hint="default"/>
                            <w:sz w:val="15"/>
                            <w:szCs w:val="15"/>
                          </w:rPr>
                        </w:pPr>
                        <w:r>
                          <w:rPr>
                            <w:rFonts w:ascii="Times New Roman"/>
                            <w:sz w:val="15"/>
                          </w:rPr>
                          <w:t>3,342,729.84</w:t>
                        </w:r>
                      </w:p>
                    </w:tc>
                    <w:tc>
                      <w:tcPr>
                        <w:tcW w:w="28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154" w:lineRule="exact"/>
                          <w:ind w:left="120" w:right="0" w:firstLine="288"/>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84.51</w:t>
                        </w: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154" w:lineRule="exact"/>
                          <w:ind w:left="67" w:right="0" w:firstLine="624"/>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67" w:right="0"/>
                          <w:jc w:val="left"/>
                          <w:rPr>
                            <w:rFonts w:ascii="Times New Roman" w:hAnsi="Times New Roman" w:cs="Times New Roman" w:eastAsia="Times New Roman" w:hint="default"/>
                            <w:sz w:val="15"/>
                            <w:szCs w:val="15"/>
                          </w:rPr>
                        </w:pPr>
                        <w:r>
                          <w:rPr>
                            <w:rFonts w:ascii="Times New Roman"/>
                            <w:sz w:val="15"/>
                          </w:rPr>
                          <w:t>471,446.37</w:t>
                        </w:r>
                      </w:p>
                    </w:tc>
                    <w:tc>
                      <w:tcPr>
                        <w:tcW w:w="780" w:type="dxa"/>
                        <w:tcBorders>
                          <w:top w:val="nil" w:sz="6" w:space="0" w:color="auto"/>
                          <w:left w:val="nil" w:sz="6" w:space="0" w:color="auto"/>
                          <w:bottom w:val="nil" w:sz="6" w:space="0" w:color="auto"/>
                          <w:right w:val="nil" w:sz="6" w:space="0" w:color="auto"/>
                        </w:tcBorders>
                      </w:tcPr>
                      <w:p>
                        <w:pPr>
                          <w:pStyle w:val="TableParagraph"/>
                          <w:spacing w:line="154" w:lineRule="exact"/>
                          <w:ind w:left="405" w:right="0" w:firstLine="288"/>
                          <w:jc w:val="left"/>
                          <w:rPr>
                            <w:rFonts w:ascii="Times New Roman" w:hAnsi="Times New Roman" w:cs="Times New Roman" w:eastAsia="Times New Roman" w:hint="default"/>
                            <w:sz w:val="15"/>
                            <w:szCs w:val="15"/>
                          </w:rPr>
                        </w:pPr>
                        <w:r>
                          <w:rPr>
                            <w:rFonts w:ascii="Times New Roman"/>
                            <w:w w:val="100"/>
                            <w:sz w:val="15"/>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05" w:right="0"/>
                          <w:jc w:val="left"/>
                          <w:rPr>
                            <w:rFonts w:ascii="Times New Roman" w:hAnsi="Times New Roman" w:cs="Times New Roman" w:eastAsia="Times New Roman" w:hint="default"/>
                            <w:sz w:val="15"/>
                            <w:szCs w:val="15"/>
                          </w:rPr>
                        </w:pPr>
                        <w:r>
                          <w:rPr>
                            <w:rFonts w:ascii="Times New Roman"/>
                            <w:sz w:val="15"/>
                          </w:rPr>
                          <w:t>14.10</w:t>
                        </w:r>
                      </w:p>
                    </w:tc>
                  </w:tr>
                  <w:tr>
                    <w:trPr>
                      <w:trHeight w:val="545" w:hRule="exact"/>
                    </w:trPr>
                    <w:tc>
                      <w:tcPr>
                        <w:tcW w:w="996"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z w:val="15"/>
                          </w:rPr>
                          <w:t>783,608.38</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9.09</w:t>
                        </w:r>
                      </w:p>
                    </w:tc>
                    <w:tc>
                      <w:tcPr>
                        <w:tcW w:w="286" w:type="dxa"/>
                        <w:tcBorders>
                          <w:top w:val="nil" w:sz="6" w:space="0" w:color="auto"/>
                          <w:left w:val="nil" w:sz="6" w:space="0" w:color="auto"/>
                          <w:bottom w:val="nil" w:sz="6" w:space="0" w:color="auto"/>
                          <w:right w:val="nil" w:sz="6" w:space="0" w:color="auto"/>
                        </w:tcBorders>
                      </w:tcPr>
                      <w:p>
                        <w:pPr/>
                      </w:p>
                    </w:tc>
                    <w:tc>
                      <w:tcPr>
                        <w:tcW w:w="840"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52"/>
                          <w:jc w:val="center"/>
                          <w:rPr>
                            <w:rFonts w:ascii="Times New Roman" w:hAnsi="Times New Roman" w:cs="Times New Roman" w:eastAsia="Times New Roman" w:hint="default"/>
                            <w:sz w:val="15"/>
                            <w:szCs w:val="15"/>
                          </w:rPr>
                        </w:pPr>
                        <w:r>
                          <w:rPr>
                            <w:rFonts w:ascii="Times New Roman"/>
                            <w:sz w:val="15"/>
                          </w:rPr>
                          <w:t>303,100.13</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5" w:right="0"/>
                          <w:jc w:val="center"/>
                          <w:rPr>
                            <w:rFonts w:ascii="Times New Roman" w:hAnsi="Times New Roman" w:cs="Times New Roman" w:eastAsia="Times New Roman" w:hint="default"/>
                            <w:sz w:val="15"/>
                            <w:szCs w:val="15"/>
                          </w:rPr>
                        </w:pPr>
                        <w:r>
                          <w:rPr>
                            <w:rFonts w:ascii="Times New Roman"/>
                            <w:sz w:val="15"/>
                          </w:rPr>
                          <w:t>38.68</w:t>
                        </w:r>
                      </w:p>
                    </w:tc>
                    <w:tc>
                      <w:tcPr>
                        <w:tcW w:w="996"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2"/>
                          <w:jc w:val="right"/>
                          <w:rPr>
                            <w:rFonts w:ascii="Times New Roman" w:hAnsi="Times New Roman" w:cs="Times New Roman" w:eastAsia="Times New Roman" w:hint="default"/>
                            <w:sz w:val="15"/>
                            <w:szCs w:val="15"/>
                          </w:rPr>
                        </w:pPr>
                        <w:r>
                          <w:rPr>
                            <w:rFonts w:ascii="Times New Roman"/>
                            <w:spacing w:val="-1"/>
                            <w:sz w:val="15"/>
                          </w:rPr>
                          <w:t>612,913.87</w:t>
                        </w:r>
                      </w:p>
                    </w:tc>
                    <w:tc>
                      <w:tcPr>
                        <w:tcW w:w="286"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z w:val="15"/>
                          </w:rPr>
                          <w:t>15.49</w:t>
                        </w: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67" w:right="0"/>
                          <w:jc w:val="left"/>
                          <w:rPr>
                            <w:rFonts w:ascii="Times New Roman" w:hAnsi="Times New Roman" w:cs="Times New Roman" w:eastAsia="Times New Roman" w:hint="default"/>
                            <w:sz w:val="15"/>
                            <w:szCs w:val="15"/>
                          </w:rPr>
                        </w:pPr>
                        <w:r>
                          <w:rPr>
                            <w:rFonts w:ascii="Times New Roman"/>
                            <w:sz w:val="15"/>
                          </w:rPr>
                          <w:t>298,322.47</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405" w:right="0"/>
                          <w:jc w:val="left"/>
                          <w:rPr>
                            <w:rFonts w:ascii="Times New Roman" w:hAnsi="Times New Roman" w:cs="Times New Roman" w:eastAsia="Times New Roman" w:hint="default"/>
                            <w:sz w:val="15"/>
                            <w:szCs w:val="15"/>
                          </w:rPr>
                        </w:pPr>
                        <w:r>
                          <w:rPr>
                            <w:rFonts w:ascii="Times New Roman"/>
                            <w:sz w:val="15"/>
                          </w:rPr>
                          <w:t>48.67</w:t>
                        </w:r>
                      </w:p>
                    </w:tc>
                  </w:tr>
                  <w:tr>
                    <w:trPr>
                      <w:trHeight w:val="228" w:hRule="exact"/>
                    </w:trPr>
                    <w:tc>
                      <w:tcPr>
                        <w:tcW w:w="996"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4"/>
                          <w:jc w:val="center"/>
                          <w:rPr>
                            <w:rFonts w:ascii="Times New Roman" w:hAnsi="Times New Roman" w:cs="Times New Roman" w:eastAsia="Times New Roman" w:hint="default"/>
                            <w:sz w:val="15"/>
                            <w:szCs w:val="15"/>
                          </w:rPr>
                        </w:pPr>
                        <w:r>
                          <w:rPr>
                            <w:rFonts w:ascii="Times New Roman"/>
                            <w:sz w:val="15"/>
                          </w:rPr>
                          <w:t>8,618,234.54</w:t>
                        </w:r>
                      </w:p>
                    </w:tc>
                    <w:tc>
                      <w:tcPr>
                        <w:tcW w:w="283" w:type="dxa"/>
                        <w:tcBorders>
                          <w:top w:val="nil" w:sz="6" w:space="0" w:color="auto"/>
                          <w:left w:val="nil" w:sz="6" w:space="0" w:color="auto"/>
                          <w:bottom w:val="nil" w:sz="6" w:space="0" w:color="auto"/>
                          <w:right w:val="nil" w:sz="6" w:space="0" w:color="auto"/>
                        </w:tcBorders>
                      </w:tcPr>
                      <w:p>
                        <w:pPr/>
                      </w:p>
                    </w:tc>
                    <w:tc>
                      <w:tcPr>
                        <w:tcW w:w="566"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105"/>
                          <w:jc w:val="right"/>
                          <w:rPr>
                            <w:rFonts w:ascii="Times New Roman" w:hAnsi="Times New Roman" w:cs="Times New Roman" w:eastAsia="Times New Roman" w:hint="default"/>
                            <w:sz w:val="15"/>
                            <w:szCs w:val="15"/>
                          </w:rPr>
                        </w:pPr>
                        <w:r>
                          <w:rPr>
                            <w:rFonts w:ascii="Times New Roman"/>
                            <w:spacing w:val="-1"/>
                            <w:sz w:val="15"/>
                          </w:rPr>
                          <w:t>100.00</w:t>
                        </w:r>
                      </w:p>
                    </w:tc>
                    <w:tc>
                      <w:tcPr>
                        <w:tcW w:w="286" w:type="dxa"/>
                        <w:tcBorders>
                          <w:top w:val="nil" w:sz="6" w:space="0" w:color="auto"/>
                          <w:left w:val="nil" w:sz="6" w:space="0" w:color="auto"/>
                          <w:bottom w:val="nil" w:sz="6" w:space="0" w:color="auto"/>
                          <w:right w:val="nil" w:sz="6" w:space="0" w:color="auto"/>
                        </w:tcBorders>
                      </w:tcPr>
                      <w:p>
                        <w:pPr/>
                      </w:p>
                    </w:tc>
                    <w:tc>
                      <w:tcPr>
                        <w:tcW w:w="840" w:type="dxa"/>
                        <w:tcBorders>
                          <w:top w:val="single" w:sz="8" w:space="0" w:color="000000"/>
                          <w:left w:val="nil" w:sz="6" w:space="0" w:color="auto"/>
                          <w:bottom w:val="single" w:sz="17" w:space="0" w:color="000000"/>
                          <w:right w:val="nil" w:sz="6" w:space="0" w:color="auto"/>
                        </w:tcBorders>
                      </w:tcPr>
                      <w:p>
                        <w:pPr>
                          <w:pStyle w:val="TableParagraph"/>
                          <w:spacing w:line="240" w:lineRule="auto" w:before="6"/>
                          <w:ind w:right="52"/>
                          <w:jc w:val="center"/>
                          <w:rPr>
                            <w:rFonts w:ascii="Times New Roman" w:hAnsi="Times New Roman" w:cs="Times New Roman" w:eastAsia="Times New Roman" w:hint="default"/>
                            <w:sz w:val="15"/>
                            <w:szCs w:val="15"/>
                          </w:rPr>
                        </w:pPr>
                        <w:r>
                          <w:rPr>
                            <w:rFonts w:ascii="Times New Roman"/>
                            <w:sz w:val="15"/>
                          </w:rPr>
                          <w:t>503,100.13</w:t>
                        </w:r>
                      </w:p>
                    </w:tc>
                    <w:tc>
                      <w:tcPr>
                        <w:tcW w:w="1145" w:type="dxa"/>
                        <w:tcBorders>
                          <w:top w:val="nil" w:sz="6" w:space="0" w:color="auto"/>
                          <w:left w:val="nil" w:sz="6" w:space="0" w:color="auto"/>
                          <w:bottom w:val="nil" w:sz="6" w:space="0" w:color="auto"/>
                          <w:right w:val="nil" w:sz="6" w:space="0" w:color="auto"/>
                        </w:tcBorders>
                      </w:tcPr>
                      <w:p>
                        <w:pPr/>
                      </w:p>
                    </w:tc>
                    <w:tc>
                      <w:tcPr>
                        <w:tcW w:w="996" w:type="dxa"/>
                        <w:tcBorders>
                          <w:top w:val="single" w:sz="8" w:space="0" w:color="000000"/>
                          <w:left w:val="nil" w:sz="6" w:space="0" w:color="auto"/>
                          <w:bottom w:val="single" w:sz="17" w:space="0" w:color="000000"/>
                          <w:right w:val="nil" w:sz="6" w:space="0" w:color="auto"/>
                        </w:tcBorders>
                      </w:tcPr>
                      <w:p>
                        <w:pPr>
                          <w:pStyle w:val="TableParagraph"/>
                          <w:spacing w:line="240" w:lineRule="auto" w:before="1"/>
                          <w:ind w:right="43"/>
                          <w:jc w:val="right"/>
                          <w:rPr>
                            <w:rFonts w:ascii="Times New Roman" w:hAnsi="Times New Roman" w:cs="Times New Roman" w:eastAsia="Times New Roman" w:hint="default"/>
                            <w:sz w:val="15"/>
                            <w:szCs w:val="15"/>
                          </w:rPr>
                        </w:pPr>
                        <w:r>
                          <w:rPr>
                            <w:rFonts w:ascii="Times New Roman"/>
                            <w:spacing w:val="-1"/>
                            <w:sz w:val="15"/>
                          </w:rPr>
                          <w:t>3,955,643.71</w:t>
                        </w:r>
                      </w:p>
                    </w:tc>
                    <w:tc>
                      <w:tcPr>
                        <w:tcW w:w="286" w:type="dxa"/>
                        <w:tcBorders>
                          <w:top w:val="nil" w:sz="6" w:space="0" w:color="auto"/>
                          <w:left w:val="nil" w:sz="6" w:space="0" w:color="auto"/>
                          <w:bottom w:val="nil" w:sz="6" w:space="0" w:color="auto"/>
                          <w:right w:val="nil" w:sz="6" w:space="0" w:color="auto"/>
                        </w:tcBorders>
                      </w:tcPr>
                      <w:p>
                        <w:pPr/>
                      </w:p>
                    </w:tc>
                    <w:tc>
                      <w:tcPr>
                        <w:tcW w:w="566" w:type="dxa"/>
                        <w:tcBorders>
                          <w:top w:val="single" w:sz="8" w:space="0" w:color="000000"/>
                          <w:left w:val="nil" w:sz="6" w:space="0" w:color="auto"/>
                          <w:bottom w:val="single" w:sz="17" w:space="0" w:color="000000"/>
                          <w:right w:val="nil" w:sz="6" w:space="0" w:color="auto"/>
                        </w:tcBorders>
                      </w:tcPr>
                      <w:p>
                        <w:pPr>
                          <w:pStyle w:val="TableParagraph"/>
                          <w:spacing w:line="240" w:lineRule="auto" w:before="1"/>
                          <w:ind w:right="59"/>
                          <w:jc w:val="center"/>
                          <w:rPr>
                            <w:rFonts w:ascii="Times New Roman" w:hAnsi="Times New Roman" w:cs="Times New Roman" w:eastAsia="Times New Roman" w:hint="default"/>
                            <w:sz w:val="15"/>
                            <w:szCs w:val="15"/>
                          </w:rPr>
                        </w:pPr>
                        <w:r>
                          <w:rPr>
                            <w:rFonts w:ascii="Times New Roman"/>
                            <w:sz w:val="15"/>
                          </w:rPr>
                          <w:t>100.00</w:t>
                        </w:r>
                      </w:p>
                    </w:tc>
                    <w:tc>
                      <w:tcPr>
                        <w:tcW w:w="286" w:type="dxa"/>
                        <w:tcBorders>
                          <w:top w:val="nil" w:sz="6" w:space="0" w:color="auto"/>
                          <w:left w:val="nil" w:sz="6" w:space="0" w:color="auto"/>
                          <w:bottom w:val="nil" w:sz="6" w:space="0" w:color="auto"/>
                          <w:right w:val="nil" w:sz="6" w:space="0" w:color="auto"/>
                        </w:tcBorders>
                      </w:tcPr>
                      <w:p>
                        <w:pPr/>
                      </w:p>
                    </w:tc>
                    <w:tc>
                      <w:tcPr>
                        <w:tcW w:w="850" w:type="dxa"/>
                        <w:tcBorders>
                          <w:top w:val="single" w:sz="8" w:space="0" w:color="000000"/>
                          <w:left w:val="nil" w:sz="6" w:space="0" w:color="auto"/>
                          <w:bottom w:val="single" w:sz="17" w:space="0" w:color="000000"/>
                          <w:right w:val="nil" w:sz="6" w:space="0" w:color="auto"/>
                        </w:tcBorders>
                      </w:tcPr>
                      <w:p>
                        <w:pPr>
                          <w:pStyle w:val="TableParagraph"/>
                          <w:spacing w:line="240" w:lineRule="auto" w:before="1"/>
                          <w:ind w:left="67" w:right="0"/>
                          <w:jc w:val="left"/>
                          <w:rPr>
                            <w:rFonts w:ascii="Times New Roman" w:hAnsi="Times New Roman" w:cs="Times New Roman" w:eastAsia="Times New Roman" w:hint="default"/>
                            <w:sz w:val="15"/>
                            <w:szCs w:val="15"/>
                          </w:rPr>
                        </w:pPr>
                        <w:r>
                          <w:rPr>
                            <w:rFonts w:ascii="Times New Roman"/>
                            <w:sz w:val="15"/>
                          </w:rPr>
                          <w:t>769,768.84</w:t>
                        </w:r>
                      </w:p>
                    </w:tc>
                    <w:tc>
                      <w:tcPr>
                        <w:tcW w:w="78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按账龄分析法计提坏账准备的其他应收款：</w:t>
      </w:r>
    </w:p>
    <w:p>
      <w:pPr>
        <w:spacing w:line="240" w:lineRule="auto" w:before="12"/>
        <w:rPr>
          <w:rFonts w:ascii="宋体" w:hAnsi="宋体" w:cs="宋体" w:eastAsia="宋体" w:hint="default"/>
          <w:sz w:val="20"/>
          <w:szCs w:val="20"/>
        </w:rPr>
      </w:pPr>
    </w:p>
    <w:p>
      <w:pPr>
        <w:tabs>
          <w:tab w:pos="7662" w:val="left" w:leader="none"/>
        </w:tabs>
        <w:spacing w:before="0"/>
        <w:ind w:left="3400" w:right="0" w:firstLine="0"/>
        <w:jc w:val="left"/>
        <w:rPr>
          <w:rFonts w:ascii="宋体" w:hAnsi="宋体" w:cs="宋体" w:eastAsia="宋体" w:hint="default"/>
          <w:sz w:val="15"/>
          <w:szCs w:val="15"/>
        </w:rPr>
      </w:pPr>
      <w:r>
        <w:rPr/>
        <w:pict>
          <v:group style="position:absolute;margin-left:152.880005pt;margin-top:13.209766pt;width:206.4pt;height:1pt;mso-position-horizontal-relative:page;mso-position-vertical-relative:paragraph;z-index:3112" coordorigin="3058,264" coordsize="4128,20">
            <v:group style="position:absolute;left:3067;top:274;width:2549;height:2" coordorigin="3067,274" coordsize="2549,2">
              <v:shape style="position:absolute;left:3067;top:274;width:2549;height:2" coordorigin="3067,274" coordsize="2549,0" path="m3067,274l5616,274e" filled="false" stroked="true" strokeweight=".96pt" strokecolor="#000000">
                <v:path arrowok="t"/>
              </v:shape>
            </v:group>
            <v:group style="position:absolute;left:5616;top:274;width:20;height:2" coordorigin="5616,274" coordsize="20,2">
              <v:shape style="position:absolute;left:5616;top:274;width:20;height:2" coordorigin="5616,274" coordsize="20,0" path="m5616,274l5635,274e" filled="false" stroked="true" strokeweight=".96pt" strokecolor="#000000">
                <v:path arrowok="t"/>
              </v:shape>
            </v:group>
            <v:group style="position:absolute;left:5635;top:274;width:264;height:2" coordorigin="5635,274" coordsize="264,2">
              <v:shape style="position:absolute;left:5635;top:274;width:264;height:2" coordorigin="5635,274" coordsize="264,0" path="m5635,274l5899,274e" filled="false" stroked="true" strokeweight=".96pt" strokecolor="#000000">
                <v:path arrowok="t"/>
              </v:shape>
            </v:group>
            <v:group style="position:absolute;left:5899;top:274;width:20;height:2" coordorigin="5899,274" coordsize="20,2">
              <v:shape style="position:absolute;left:5899;top:274;width:20;height:2" coordorigin="5899,274" coordsize="20,0" path="m5899,274l5918,274e" filled="false" stroked="true" strokeweight=".96pt" strokecolor="#000000">
                <v:path arrowok="t"/>
              </v:shape>
            </v:group>
            <v:group style="position:absolute;left:5918;top:274;width:1258;height:2" coordorigin="5918,274" coordsize="1258,2">
              <v:shape style="position:absolute;left:5918;top:274;width:1258;height:2" coordorigin="5918,274" coordsize="1258,0" path="m5918,274l7176,274e" filled="false" stroked="true" strokeweight=".96pt" strokecolor="#000000">
                <v:path arrowok="t"/>
              </v:shape>
            </v:group>
            <w10:wrap type="none"/>
          </v:group>
        </w:pict>
      </w:r>
      <w:r>
        <w:rPr/>
        <w:pict>
          <v:group style="position:absolute;margin-left:372.959991pt;margin-top:13.209766pt;width:192.25pt;height:.5pt;mso-position-horizontal-relative:page;mso-position-vertical-relative:paragraph;z-index:3136" coordorigin="7459,264" coordsize="3845,10">
            <v:group style="position:absolute;left:7464;top:269;width:2275;height:2" coordorigin="7464,269" coordsize="2275,2">
              <v:shape style="position:absolute;left:7464;top:269;width:2275;height:2" coordorigin="7464,269" coordsize="2275,0" path="m7464,269l9739,269e" filled="false" stroked="true" strokeweight=".48pt" strokecolor="#000000">
                <v:path arrowok="t"/>
              </v:shape>
            </v:group>
            <v:group style="position:absolute;left:9739;top:269;width:10;height:2" coordorigin="9739,269" coordsize="10,2">
              <v:shape style="position:absolute;left:9739;top:269;width:10;height:2" coordorigin="9739,269" coordsize="10,0" path="m9739,269l9749,269e" filled="false" stroked="true" strokeweight=".48pt" strokecolor="#000000">
                <v:path arrowok="t"/>
              </v:shape>
            </v:group>
            <v:group style="position:absolute;left:9749;top:269;width:274;height:2" coordorigin="9749,269" coordsize="274,2">
              <v:shape style="position:absolute;left:9749;top:269;width:274;height:2" coordorigin="9749,269" coordsize="274,0" path="m9749,269l10022,269e" filled="false" stroked="true" strokeweight=".48pt" strokecolor="#000000">
                <v:path arrowok="t"/>
              </v:shape>
            </v:group>
            <v:group style="position:absolute;left:10022;top:269;width:10;height:2" coordorigin="10022,269" coordsize="10,2">
              <v:shape style="position:absolute;left:10022;top:269;width:10;height:2" coordorigin="10022,269" coordsize="10,0" path="m10022,269l10032,269e" filled="false" stroked="true" strokeweight=".48pt" strokecolor="#000000">
                <v:path arrowok="t"/>
              </v:shape>
            </v:group>
            <v:group style="position:absolute;left:10032;top:269;width:1267;height:2" coordorigin="10032,269" coordsize="1267,2">
              <v:shape style="position:absolute;left:10032;top:269;width:1267;height:2" coordorigin="10032,269" coordsize="1267,0" path="m10032,269l11299,269e" filled="false" stroked="true" strokeweight=".48pt" strokecolor="#000000">
                <v:path arrowok="t"/>
              </v:shape>
            </v:group>
            <w10:wrap type="none"/>
          </v:group>
        </w:pict>
      </w: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after="0"/>
        <w:jc w:val="left"/>
        <w:rPr>
          <w:rFonts w:ascii="宋体" w:hAnsi="宋体" w:cs="宋体" w:eastAsia="宋体" w:hint="default"/>
          <w:sz w:val="15"/>
          <w:szCs w:val="15"/>
        </w:rPr>
        <w:sectPr>
          <w:type w:val="continuous"/>
          <w:pgSz w:w="11900" w:h="16840"/>
          <w:pgMar w:top="1040" w:bottom="1180" w:left="1100" w:right="480"/>
        </w:sectPr>
      </w:pPr>
    </w:p>
    <w:p>
      <w:pPr>
        <w:spacing w:line="189" w:lineRule="exact" w:before="99"/>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账面余额</w:t>
      </w:r>
    </w:p>
    <w:p>
      <w:pPr>
        <w:spacing w:line="72" w:lineRule="exact" w:before="0"/>
        <w:ind w:left="966" w:right="0" w:firstLine="0"/>
        <w:jc w:val="left"/>
        <w:rPr>
          <w:rFonts w:ascii="宋体" w:hAnsi="宋体" w:cs="宋体" w:eastAsia="宋体" w:hint="default"/>
          <w:sz w:val="15"/>
          <w:szCs w:val="15"/>
        </w:rPr>
      </w:pPr>
      <w:r>
        <w:rPr/>
        <w:pict>
          <v:group style="position:absolute;margin-left:152.880005pt;margin-top:1.462542pt;width:128.4pt;height:1pt;mso-position-horizontal-relative:page;mso-position-vertical-relative:paragraph;z-index:3160" coordorigin="3058,29" coordsize="2568,20">
            <v:group style="position:absolute;left:3067;top:39;width:1407;height:2" coordorigin="3067,39" coordsize="1407,2">
              <v:shape style="position:absolute;left:3067;top:39;width:1407;height:2" coordorigin="3067,39" coordsize="1407,0" path="m3067,39l4474,39e" filled="false" stroked="true" strokeweight=".96pt" strokecolor="#000000">
                <v:path arrowok="t"/>
              </v:shape>
            </v:group>
            <v:group style="position:absolute;left:4474;top:39;width:19;height:2" coordorigin="4474,39" coordsize="19,2">
              <v:shape style="position:absolute;left:4474;top:39;width:19;height:2" coordorigin="4474,39" coordsize="19,0" path="m4474,39l4493,39e" filled="false" stroked="true" strokeweight=".96pt" strokecolor="#000000">
                <v:path arrowok="t"/>
              </v:shape>
            </v:group>
            <v:group style="position:absolute;left:4493;top:39;width:272;height:2" coordorigin="4493,39" coordsize="272,2">
              <v:shape style="position:absolute;left:4493;top:39;width:272;height:2" coordorigin="4493,39" coordsize="272,0" path="m4493,39l4764,39e" filled="false" stroked="true" strokeweight=".96pt" strokecolor="#000000">
                <v:path arrowok="t"/>
              </v:shape>
            </v:group>
            <v:group style="position:absolute;left:4764;top:39;width:19;height:2" coordorigin="4764,39" coordsize="19,2">
              <v:shape style="position:absolute;left:4764;top:39;width:19;height:2" coordorigin="4764,39" coordsize="19,0" path="m4764,39l4783,39e" filled="false" stroked="true" strokeweight=".96pt" strokecolor="#000000">
                <v:path arrowok="t"/>
              </v:shape>
            </v:group>
            <v:group style="position:absolute;left:4783;top:39;width:833;height:2" coordorigin="4783,39" coordsize="833,2">
              <v:shape style="position:absolute;left:4783;top:39;width:833;height:2" coordorigin="4783,39" coordsize="833,0" path="m4783,39l5616,39e" filled="false" stroked="true" strokeweight=".96pt" strokecolor="#000000">
                <v:path arrowok="t"/>
              </v:shape>
            </v:group>
            <w10:wrap type="none"/>
          </v:group>
        </w:pict>
      </w:r>
      <w:r>
        <w:rPr>
          <w:rFonts w:ascii="宋体" w:hAnsi="宋体" w:cs="宋体" w:eastAsia="宋体" w:hint="default"/>
          <w:sz w:val="15"/>
          <w:szCs w:val="15"/>
        </w:rPr>
        <w:t>账龄</w:t>
      </w:r>
    </w:p>
    <w:p>
      <w:pPr>
        <w:spacing w:line="240" w:lineRule="auto" w:before="0"/>
        <w:rPr>
          <w:rFonts w:ascii="宋体" w:hAnsi="宋体" w:cs="宋体" w:eastAsia="宋体" w:hint="default"/>
          <w:sz w:val="14"/>
          <w:szCs w:val="14"/>
        </w:rPr>
      </w:pPr>
      <w:r>
        <w:rPr/>
        <w:br w:type="column"/>
      </w:r>
      <w:r>
        <w:rPr>
          <w:rFonts w:ascii="宋体"/>
          <w:sz w:val="14"/>
        </w:rPr>
      </w:r>
    </w:p>
    <w:p>
      <w:pPr>
        <w:spacing w:line="79" w:lineRule="exact" w:before="98"/>
        <w:ind w:left="966" w:right="-14" w:firstLine="0"/>
        <w:jc w:val="left"/>
        <w:rPr>
          <w:rFonts w:ascii="宋体" w:hAnsi="宋体" w:cs="宋体" w:eastAsia="宋体" w:hint="default"/>
          <w:sz w:val="15"/>
          <w:szCs w:val="15"/>
        </w:rPr>
      </w:pPr>
      <w:r>
        <w:rPr>
          <w:rFonts w:ascii="宋体" w:hAnsi="宋体" w:cs="宋体" w:eastAsia="宋体" w:hint="default"/>
          <w:spacing w:val="-1"/>
          <w:sz w:val="15"/>
          <w:szCs w:val="15"/>
        </w:rPr>
        <w:t>坏账准备</w:t>
      </w:r>
    </w:p>
    <w:p>
      <w:pPr>
        <w:spacing w:before="99"/>
        <w:ind w:left="966" w:right="-14"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账面余额</w:t>
      </w:r>
    </w:p>
    <w:p>
      <w:pPr>
        <w:spacing w:line="240" w:lineRule="auto" w:before="0"/>
        <w:rPr>
          <w:rFonts w:ascii="宋体" w:hAnsi="宋体" w:cs="宋体" w:eastAsia="宋体" w:hint="default"/>
          <w:sz w:val="14"/>
          <w:szCs w:val="14"/>
        </w:rPr>
      </w:pPr>
      <w:r>
        <w:rPr/>
        <w:br w:type="column"/>
      </w:r>
      <w:r>
        <w:rPr>
          <w:rFonts w:ascii="宋体"/>
          <w:sz w:val="14"/>
        </w:rPr>
      </w:r>
    </w:p>
    <w:p>
      <w:pPr>
        <w:spacing w:line="79" w:lineRule="exact" w:before="98"/>
        <w:ind w:left="966" w:right="0" w:firstLine="0"/>
        <w:jc w:val="left"/>
        <w:rPr>
          <w:rFonts w:ascii="宋体" w:hAnsi="宋体" w:cs="宋体" w:eastAsia="宋体" w:hint="default"/>
          <w:sz w:val="15"/>
          <w:szCs w:val="15"/>
        </w:rPr>
      </w:pPr>
      <w:r>
        <w:rPr/>
        <w:pict>
          <v:group style="position:absolute;margin-left:372.720001pt;margin-top:6.709771pt;width:114.75pt;height:1pt;mso-position-horizontal-relative:page;mso-position-vertical-relative:paragraph;z-index:3184" coordorigin="7454,134" coordsize="2295,20">
            <v:group style="position:absolute;left:7464;top:144;width:1282;height:2" coordorigin="7464,144" coordsize="1282,2">
              <v:shape style="position:absolute;left:7464;top:144;width:1282;height:2" coordorigin="7464,144" coordsize="1282,0" path="m7464,144l8745,144e" filled="false" stroked="true" strokeweight=".96pt" strokecolor="#000000">
                <v:path arrowok="t"/>
              </v:shape>
            </v:group>
            <v:group style="position:absolute;left:8746;top:144;width:20;height:2" coordorigin="8746,144" coordsize="20,2">
              <v:shape style="position:absolute;left:8746;top:144;width:20;height:2" coordorigin="8746,144" coordsize="20,0" path="m8746,144l8765,144e" filled="false" stroked="true" strokeweight=".96pt" strokecolor="#000000">
                <v:path arrowok="t"/>
              </v:shape>
            </v:group>
            <v:group style="position:absolute;left:8765;top:144;width:267;height:2" coordorigin="8765,144" coordsize="267,2">
              <v:shape style="position:absolute;left:8765;top:144;width:267;height:2" coordorigin="8765,144" coordsize="267,0" path="m8765,144l9031,144e" filled="false" stroked="true" strokeweight=".96pt" strokecolor="#000000">
                <v:path arrowok="t"/>
              </v:shape>
            </v:group>
            <v:group style="position:absolute;left:9031;top:144;width:20;height:2" coordorigin="9031,144" coordsize="20,2">
              <v:shape style="position:absolute;left:9031;top:144;width:20;height:2" coordorigin="9031,144" coordsize="20,0" path="m9031,144l9050,144e" filled="false" stroked="true" strokeweight=".96pt" strokecolor="#000000">
                <v:path arrowok="t"/>
              </v:shape>
            </v:group>
            <v:group style="position:absolute;left:9050;top:144;width:689;height:2" coordorigin="9050,144" coordsize="689,2">
              <v:shape style="position:absolute;left:9050;top:144;width:689;height:2" coordorigin="9050,144" coordsize="689,0" path="m9050,144l9739,144e" filled="false" stroked="true" strokeweight=".96pt" strokecolor="#000000">
                <v:path arrowok="t"/>
              </v:shape>
            </v:group>
            <w10:wrap type="none"/>
          </v:group>
        </w:pict>
      </w:r>
      <w:r>
        <w:rPr>
          <w:rFonts w:ascii="宋体" w:hAnsi="宋体" w:cs="宋体" w:eastAsia="宋体" w:hint="default"/>
          <w:sz w:val="15"/>
          <w:szCs w:val="15"/>
        </w:rPr>
        <w:t>坏账准备</w:t>
      </w:r>
    </w:p>
    <w:p>
      <w:pPr>
        <w:spacing w:after="0" w:line="79" w:lineRule="exact"/>
        <w:jc w:val="left"/>
        <w:rPr>
          <w:rFonts w:ascii="宋体" w:hAnsi="宋体" w:cs="宋体" w:eastAsia="宋体" w:hint="default"/>
          <w:sz w:val="15"/>
          <w:szCs w:val="15"/>
        </w:rPr>
        <w:sectPr>
          <w:type w:val="continuous"/>
          <w:pgSz w:w="11900" w:h="16840"/>
          <w:pgMar w:top="1040" w:bottom="1180" w:left="1100" w:right="480"/>
          <w:cols w:num="4" w:equalWidth="0">
            <w:col w:w="3542" w:space="627"/>
            <w:col w:w="1569" w:space="495"/>
            <w:col w:w="1569" w:space="492"/>
            <w:col w:w="2026"/>
          </w:cols>
        </w:sectPr>
      </w:pPr>
    </w:p>
    <w:p>
      <w:pPr>
        <w:tabs>
          <w:tab w:pos="3771" w:val="left" w:leader="none"/>
          <w:tab w:pos="6853" w:val="left" w:leader="none"/>
          <w:tab w:pos="8132" w:val="left" w:leader="none"/>
        </w:tabs>
        <w:spacing w:line="258" w:lineRule="exact" w:before="0"/>
        <w:ind w:left="2519" w:right="0" w:firstLine="0"/>
        <w:jc w:val="left"/>
        <w:rPr>
          <w:rFonts w:ascii="宋体" w:hAnsi="宋体" w:cs="宋体" w:eastAsia="宋体" w:hint="default"/>
          <w:sz w:val="15"/>
          <w:szCs w:val="15"/>
        </w:rPr>
      </w:pPr>
      <w:r>
        <w:rPr/>
        <w:pict>
          <v:shape style="position:absolute;margin-left:82.68pt;margin-top:9.720pt;width:482.3pt;height:60.6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0"/>
                    <w:gridCol w:w="276"/>
                    <w:gridCol w:w="1414"/>
                    <w:gridCol w:w="290"/>
                    <w:gridCol w:w="852"/>
                    <w:gridCol w:w="276"/>
                    <w:gridCol w:w="5407"/>
                  </w:tblGrid>
                  <w:tr>
                    <w:trPr>
                      <w:trHeight w:val="183" w:hRule="exact"/>
                    </w:trPr>
                    <w:tc>
                      <w:tcPr>
                        <w:tcW w:w="4238" w:type="dxa"/>
                        <w:gridSpan w:val="6"/>
                        <w:tcBorders>
                          <w:top w:val="nil" w:sz="6" w:space="0" w:color="auto"/>
                          <w:left w:val="nil" w:sz="6" w:space="0" w:color="auto"/>
                          <w:bottom w:val="nil" w:sz="6" w:space="0" w:color="auto"/>
                          <w:right w:val="nil" w:sz="6" w:space="0" w:color="auto"/>
                        </w:tcBorders>
                      </w:tcPr>
                      <w:p>
                        <w:pPr/>
                      </w:p>
                    </w:tc>
                    <w:tc>
                      <w:tcPr>
                        <w:tcW w:w="5407" w:type="dxa"/>
                        <w:tcBorders>
                          <w:top w:val="nil" w:sz="6" w:space="0" w:color="auto"/>
                          <w:left w:val="nil" w:sz="6" w:space="0" w:color="auto"/>
                          <w:bottom w:val="single" w:sz="8" w:space="0" w:color="000000"/>
                          <w:right w:val="nil" w:sz="6" w:space="0" w:color="auto"/>
                        </w:tcBorders>
                      </w:tcPr>
                      <w:p>
                        <w:pPr>
                          <w:pStyle w:val="TableParagraph"/>
                          <w:spacing w:line="162" w:lineRule="exact"/>
                          <w:ind w:left="3278"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r>
                  <w:tr>
                    <w:trPr>
                      <w:trHeight w:val="256" w:hRule="exact"/>
                    </w:trPr>
                    <w:tc>
                      <w:tcPr>
                        <w:tcW w:w="1130" w:type="dxa"/>
                        <w:tcBorders>
                          <w:top w:val="single" w:sz="8"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6" w:type="dxa"/>
                        <w:tcBorders>
                          <w:top w:val="nil" w:sz="6" w:space="0" w:color="auto"/>
                          <w:left w:val="nil" w:sz="6" w:space="0" w:color="auto"/>
                          <w:bottom w:val="nil" w:sz="6" w:space="0" w:color="auto"/>
                          <w:right w:val="nil" w:sz="6" w:space="0" w:color="auto"/>
                        </w:tcBorders>
                      </w:tcPr>
                      <w:p>
                        <w:pPr/>
                      </w:p>
                    </w:tc>
                    <w:tc>
                      <w:tcPr>
                        <w:tcW w:w="1414"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7,434,626.16</w:t>
                        </w:r>
                      </w:p>
                    </w:tc>
                    <w:tc>
                      <w:tcPr>
                        <w:tcW w:w="290" w:type="dxa"/>
                        <w:tcBorders>
                          <w:top w:val="nil" w:sz="6" w:space="0" w:color="auto"/>
                          <w:left w:val="nil" w:sz="6" w:space="0" w:color="auto"/>
                          <w:bottom w:val="nil" w:sz="6" w:space="0" w:color="auto"/>
                          <w:right w:val="nil" w:sz="6" w:space="0" w:color="auto"/>
                        </w:tcBorders>
                      </w:tcPr>
                      <w:p>
                        <w:pPr/>
                      </w:p>
                    </w:tc>
                    <w:tc>
                      <w:tcPr>
                        <w:tcW w:w="852" w:type="dxa"/>
                        <w:tcBorders>
                          <w:top w:val="single" w:sz="8" w:space="0" w:color="000000"/>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94.89</w:t>
                        </w:r>
                      </w:p>
                    </w:tc>
                    <w:tc>
                      <w:tcPr>
                        <w:tcW w:w="276" w:type="dxa"/>
                        <w:tcBorders>
                          <w:top w:val="nil" w:sz="6" w:space="0" w:color="auto"/>
                          <w:left w:val="nil" w:sz="6" w:space="0" w:color="auto"/>
                          <w:bottom w:val="nil" w:sz="6" w:space="0" w:color="auto"/>
                          <w:right w:val="nil" w:sz="6" w:space="0" w:color="auto"/>
                        </w:tcBorders>
                      </w:tcPr>
                      <w:p>
                        <w:pPr/>
                      </w:p>
                    </w:tc>
                    <w:tc>
                      <w:tcPr>
                        <w:tcW w:w="5407" w:type="dxa"/>
                        <w:tcBorders>
                          <w:top w:val="single" w:sz="8" w:space="0" w:color="000000"/>
                          <w:left w:val="nil" w:sz="6" w:space="0" w:color="auto"/>
                          <w:bottom w:val="nil" w:sz="6" w:space="0" w:color="auto"/>
                          <w:right w:val="nil" w:sz="6" w:space="0" w:color="auto"/>
                        </w:tcBorders>
                      </w:tcPr>
                      <w:p>
                        <w:pPr>
                          <w:pStyle w:val="TableParagraph"/>
                          <w:tabs>
                            <w:tab w:pos="683" w:val="left" w:leader="none"/>
                            <w:tab w:pos="2215" w:val="left" w:leader="none"/>
                            <w:tab w:pos="4125" w:val="left" w:leader="none"/>
                          </w:tabs>
                          <w:spacing w:line="219" w:lineRule="exact"/>
                          <w:ind w:right="103"/>
                          <w:jc w:val="right"/>
                          <w:rPr>
                            <w:rFonts w:ascii="Times New Roman" w:hAnsi="Times New Roman" w:cs="Times New Roman" w:eastAsia="Times New Roman" w:hint="default"/>
                            <w:sz w:val="18"/>
                            <w:szCs w:val="18"/>
                          </w:rPr>
                        </w:pPr>
                        <w:r>
                          <w:rPr>
                            <w:rFonts w:ascii="Times New Roman"/>
                            <w:position w:val="2"/>
                            <w:sz w:val="18"/>
                          </w:rPr>
                          <w:t>-</w:t>
                          <w:tab/>
                        </w:r>
                        <w:r>
                          <w:rPr>
                            <w:rFonts w:ascii="Times New Roman"/>
                            <w:spacing w:val="-1"/>
                            <w:sz w:val="18"/>
                          </w:rPr>
                          <w:t>1,456,944.35</w:t>
                          <w:tab/>
                        </w:r>
                        <w:r>
                          <w:rPr>
                            <w:rFonts w:ascii="Times New Roman"/>
                            <w:sz w:val="18"/>
                          </w:rPr>
                          <w:t>43.59</w:t>
                          <w:tab/>
                        </w:r>
                        <w:r>
                          <w:rPr>
                            <w:rFonts w:ascii="Times New Roman"/>
                            <w:w w:val="95"/>
                            <w:sz w:val="18"/>
                          </w:rPr>
                          <w:t>-</w:t>
                        </w:r>
                        <w:r>
                          <w:rPr>
                            <w:rFonts w:ascii="Times New Roman"/>
                            <w:sz w:val="18"/>
                          </w:rPr>
                        </w:r>
                      </w:p>
                    </w:tc>
                  </w:tr>
                  <w:tr>
                    <w:trPr>
                      <w:trHeight w:val="241"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198" w:lineRule="exact"/>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5407" w:type="dxa"/>
                        <w:tcBorders>
                          <w:top w:val="nil" w:sz="6" w:space="0" w:color="auto"/>
                          <w:left w:val="nil" w:sz="6" w:space="0" w:color="auto"/>
                          <w:bottom w:val="nil" w:sz="6" w:space="0" w:color="auto"/>
                          <w:right w:val="nil" w:sz="6" w:space="0" w:color="auto"/>
                        </w:tcBorders>
                      </w:tcPr>
                      <w:p>
                        <w:pPr>
                          <w:pStyle w:val="TableParagraph"/>
                          <w:tabs>
                            <w:tab w:pos="683" w:val="left" w:leader="none"/>
                            <w:tab w:pos="2215" w:val="left" w:leader="none"/>
                            <w:tab w:pos="3374" w:val="left" w:leader="none"/>
                          </w:tabs>
                          <w:spacing w:line="215" w:lineRule="exact"/>
                          <w:ind w:right="102"/>
                          <w:jc w:val="right"/>
                          <w:rPr>
                            <w:rFonts w:ascii="Times New Roman" w:hAnsi="Times New Roman" w:cs="Times New Roman" w:eastAsia="Times New Roman" w:hint="default"/>
                            <w:sz w:val="18"/>
                            <w:szCs w:val="18"/>
                          </w:rPr>
                        </w:pPr>
                        <w:r>
                          <w:rPr>
                            <w:rFonts w:ascii="Times New Roman"/>
                            <w:position w:val="2"/>
                            <w:sz w:val="18"/>
                          </w:rPr>
                          <w:t>-</w:t>
                          <w:tab/>
                        </w:r>
                        <w:r>
                          <w:rPr>
                            <w:rFonts w:ascii="Times New Roman"/>
                            <w:spacing w:val="-1"/>
                            <w:sz w:val="18"/>
                          </w:rPr>
                          <w:t>1,885,785.49</w:t>
                          <w:tab/>
                        </w:r>
                        <w:r>
                          <w:rPr>
                            <w:rFonts w:ascii="Times New Roman"/>
                            <w:sz w:val="18"/>
                          </w:rPr>
                          <w:t>56.41</w:t>
                          <w:tab/>
                        </w:r>
                        <w:r>
                          <w:rPr>
                            <w:rFonts w:ascii="Times New Roman"/>
                            <w:spacing w:val="-1"/>
                            <w:sz w:val="18"/>
                          </w:rPr>
                          <w:t>471,446.37</w:t>
                        </w:r>
                      </w:p>
                    </w:tc>
                  </w:tr>
                  <w:tr>
                    <w:trPr>
                      <w:trHeight w:val="242"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tabs>
                            <w:tab w:pos="487" w:val="left" w:leader="none"/>
                            <w:tab w:pos="1406" w:val="left" w:leader="none"/>
                          </w:tabs>
                          <w:spacing w:line="240" w:lineRule="auto" w:before="26"/>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400,000.00</w:t>
                          <w:tab/>
                        </w:r>
                        <w:r>
                          <w:rPr>
                            <w:rFonts w:ascii="Times New Roman"/>
                            <w:spacing w:val="-1"/>
                            <w:sz w:val="18"/>
                          </w:rPr>
                        </w:r>
                      </w:p>
                    </w:tc>
                    <w:tc>
                      <w:tcPr>
                        <w:tcW w:w="29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197" w:lineRule="exact"/>
                          <w:ind w:right="104"/>
                          <w:jc w:val="right"/>
                          <w:rPr>
                            <w:rFonts w:ascii="Times New Roman" w:hAnsi="Times New Roman" w:cs="Times New Roman" w:eastAsia="Times New Roman" w:hint="default"/>
                            <w:sz w:val="18"/>
                            <w:szCs w:val="18"/>
                          </w:rPr>
                        </w:pPr>
                        <w:r>
                          <w:rPr>
                            <w:rFonts w:ascii="Times New Roman"/>
                            <w:spacing w:val="-2"/>
                            <w:w w:val="95"/>
                            <w:sz w:val="18"/>
                          </w:rPr>
                          <w:t>5.11</w:t>
                        </w:r>
                      </w:p>
                    </w:tc>
                    <w:tc>
                      <w:tcPr>
                        <w:tcW w:w="276" w:type="dxa"/>
                        <w:tcBorders>
                          <w:top w:val="nil" w:sz="6" w:space="0" w:color="auto"/>
                          <w:left w:val="nil" w:sz="6" w:space="0" w:color="auto"/>
                          <w:bottom w:val="nil" w:sz="6" w:space="0" w:color="auto"/>
                          <w:right w:val="nil" w:sz="6" w:space="0" w:color="auto"/>
                        </w:tcBorders>
                      </w:tcPr>
                      <w:p>
                        <w:pPr/>
                      </w:p>
                    </w:tc>
                    <w:tc>
                      <w:tcPr>
                        <w:tcW w:w="5407" w:type="dxa"/>
                        <w:tcBorders>
                          <w:top w:val="nil" w:sz="6" w:space="0" w:color="auto"/>
                          <w:left w:val="nil" w:sz="6" w:space="0" w:color="auto"/>
                          <w:bottom w:val="single" w:sz="4" w:space="0" w:color="000000"/>
                          <w:right w:val="nil" w:sz="6" w:space="0" w:color="auto"/>
                        </w:tcBorders>
                      </w:tcPr>
                      <w:p>
                        <w:pPr>
                          <w:pStyle w:val="TableParagraph"/>
                          <w:tabs>
                            <w:tab w:pos="2320" w:val="left" w:leader="none"/>
                            <w:tab w:pos="3311" w:val="left" w:leader="none"/>
                            <w:tab w:pos="4876" w:val="left" w:leader="none"/>
                          </w:tabs>
                          <w:spacing w:line="214" w:lineRule="exact"/>
                          <w:ind w:right="103"/>
                          <w:jc w:val="right"/>
                          <w:rPr>
                            <w:rFonts w:ascii="Times New Roman" w:hAnsi="Times New Roman" w:cs="Times New Roman" w:eastAsia="Times New Roman" w:hint="default"/>
                            <w:sz w:val="18"/>
                            <w:szCs w:val="18"/>
                          </w:rPr>
                        </w:pPr>
                        <w:r>
                          <w:rPr>
                            <w:rFonts w:ascii="Times New Roman"/>
                            <w:spacing w:val="-1"/>
                            <w:position w:val="2"/>
                            <w:sz w:val="18"/>
                          </w:rPr>
                          <w:t>200,000.00</w:t>
                          <w:tab/>
                        </w:r>
                        <w:r>
                          <w:rPr>
                            <w:rFonts w:ascii="Times New Roman"/>
                            <w:sz w:val="18"/>
                          </w:rPr>
                          <w:t>-</w:t>
                          <w:tab/>
                          <w:t>-</w:t>
                          <w:tab/>
                          <w:t>-</w:t>
                        </w:r>
                      </w:p>
                    </w:tc>
                  </w:tr>
                  <w:tr>
                    <w:trPr>
                      <w:trHeight w:val="262" w:hRule="exact"/>
                    </w:trPr>
                    <w:tc>
                      <w:tcPr>
                        <w:tcW w:w="1130"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7,834,626.16</w:t>
                        </w:r>
                      </w:p>
                    </w:tc>
                    <w:tc>
                      <w:tcPr>
                        <w:tcW w:w="290"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76" w:type="dxa"/>
                        <w:tcBorders>
                          <w:top w:val="nil" w:sz="6" w:space="0" w:color="auto"/>
                          <w:left w:val="nil" w:sz="6" w:space="0" w:color="auto"/>
                          <w:bottom w:val="nil" w:sz="6" w:space="0" w:color="auto"/>
                          <w:right w:val="nil" w:sz="6" w:space="0" w:color="auto"/>
                        </w:tcBorders>
                      </w:tcPr>
                      <w:p>
                        <w:pPr/>
                      </w:p>
                    </w:tc>
                    <w:tc>
                      <w:tcPr>
                        <w:tcW w:w="5407" w:type="dxa"/>
                        <w:tcBorders>
                          <w:top w:val="single" w:sz="4" w:space="0" w:color="000000"/>
                          <w:left w:val="nil" w:sz="6" w:space="0" w:color="auto"/>
                          <w:bottom w:val="single" w:sz="4" w:space="0" w:color="000000"/>
                          <w:right w:val="nil" w:sz="6" w:space="0" w:color="auto"/>
                        </w:tcBorders>
                      </w:tcPr>
                      <w:p>
                        <w:pPr>
                          <w:pStyle w:val="TableParagraph"/>
                          <w:tabs>
                            <w:tab w:pos="1435" w:val="left" w:leader="none"/>
                            <w:tab w:pos="2877" w:val="left" w:leader="none"/>
                            <w:tab w:pos="4125" w:val="left" w:leader="none"/>
                          </w:tabs>
                          <w:spacing w:line="219" w:lineRule="exact"/>
                          <w:ind w:right="102"/>
                          <w:jc w:val="right"/>
                          <w:rPr>
                            <w:rFonts w:ascii="Times New Roman" w:hAnsi="Times New Roman" w:cs="Times New Roman" w:eastAsia="Times New Roman" w:hint="default"/>
                            <w:sz w:val="18"/>
                            <w:szCs w:val="18"/>
                          </w:rPr>
                        </w:pPr>
                        <w:r>
                          <w:rPr>
                            <w:rFonts w:ascii="Times New Roman"/>
                            <w:spacing w:val="-1"/>
                            <w:position w:val="2"/>
                            <w:sz w:val="18"/>
                          </w:rPr>
                          <w:t>200,000.00</w:t>
                          <w:tab/>
                        </w:r>
                        <w:r>
                          <w:rPr>
                            <w:rFonts w:ascii="Times New Roman"/>
                            <w:spacing w:val="-1"/>
                            <w:sz w:val="18"/>
                          </w:rPr>
                          <w:t>3,342,729.84</w:t>
                          <w:tab/>
                          <w:t>100.00</w:t>
                          <w:tab/>
                          <w:t>471,446.37</w:t>
                        </w:r>
                      </w:p>
                    </w:tc>
                  </w:tr>
                </w:tbl>
                <w:p>
                  <w:pPr/>
                </w:p>
              </w:txbxContent>
            </v:textbox>
            <w10:wrap type="none"/>
          </v:shape>
        </w:pict>
      </w:r>
      <w:r>
        <w:rPr>
          <w:rFonts w:ascii="宋体" w:hAnsi="宋体" w:cs="宋体" w:eastAsia="宋体" w:hint="default"/>
          <w:sz w:val="15"/>
          <w:szCs w:val="15"/>
        </w:rPr>
        <w:t>金额</w:t>
        <w:tab/>
      </w:r>
      <w:r>
        <w:rPr>
          <w:rFonts w:ascii="宋体" w:hAnsi="宋体" w:cs="宋体" w:eastAsia="宋体" w:hint="default"/>
          <w:spacing w:val="-4"/>
          <w:sz w:val="15"/>
          <w:szCs w:val="15"/>
        </w:rPr>
        <w:t>比例（</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w:t>
        <w:tab/>
      </w:r>
      <w:r>
        <w:rPr>
          <w:rFonts w:ascii="宋体" w:hAnsi="宋体" w:cs="宋体" w:eastAsia="宋体" w:hint="default"/>
          <w:sz w:val="15"/>
          <w:szCs w:val="15"/>
        </w:rPr>
        <w:t>金额</w:t>
        <w:tab/>
      </w:r>
      <w:r>
        <w:rPr>
          <w:rFonts w:ascii="宋体" w:hAnsi="宋体" w:cs="宋体" w:eastAsia="宋体" w:hint="default"/>
          <w:position w:val="10"/>
          <w:sz w:val="15"/>
          <w:szCs w:val="15"/>
        </w:rPr>
        <w:t>比例</w:t>
      </w:r>
      <w:r>
        <w:rPr>
          <w:rFonts w:ascii="宋体" w:hAnsi="宋体" w:cs="宋体" w:eastAsia="宋体" w:hint="default"/>
          <w:sz w:val="15"/>
          <w:szCs w:val="15"/>
        </w:rPr>
      </w:r>
    </w:p>
    <w:p>
      <w:pPr>
        <w:spacing w:line="240" w:lineRule="auto" w:before="5"/>
        <w:rPr>
          <w:rFonts w:ascii="宋体" w:hAnsi="宋体" w:cs="宋体" w:eastAsia="宋体" w:hint="default"/>
          <w:sz w:val="8"/>
          <w:szCs w:val="8"/>
        </w:rPr>
      </w:pPr>
    </w:p>
    <w:p>
      <w:pPr>
        <w:tabs>
          <w:tab w:pos="6354" w:val="left" w:leader="none"/>
          <w:tab w:pos="7921" w:val="left" w:leader="none"/>
        </w:tabs>
        <w:spacing w:line="20" w:lineRule="exact"/>
        <w:ind w:left="4789" w:right="0" w:firstLine="0"/>
        <w:rPr>
          <w:rFonts w:ascii="宋体" w:hAnsi="宋体" w:cs="宋体" w:eastAsia="宋体" w:hint="default"/>
          <w:sz w:val="2"/>
          <w:szCs w:val="2"/>
        </w:rPr>
      </w:pPr>
      <w:r>
        <w:rPr>
          <w:rFonts w:ascii="宋体"/>
          <w:sz w:val="2"/>
        </w:rPr>
        <w:pict>
          <v:group style="width:64.8pt;height:1pt;mso-position-horizontal-relative:char;mso-position-vertical-relative:line" coordorigin="0,0" coordsize="1296,20">
            <v:group style="position:absolute;left:10;top:10;width:1277;height:2" coordorigin="10,10" coordsize="1277,2">
              <v:shape style="position:absolute;left:10;top:10;width:1277;height:2" coordorigin="10,10" coordsize="1277,0" path="m10,10l1286,10e" filled="false" stroked="true" strokeweight=".96pt" strokecolor="#000000">
                <v:path arrowok="t"/>
              </v:shape>
            </v:group>
          </v:group>
        </w:pict>
      </w:r>
      <w:r>
        <w:rPr>
          <w:rFonts w:ascii="宋体"/>
          <w:sz w:val="2"/>
        </w:rPr>
      </w:r>
      <w:r>
        <w:rPr>
          <w:rFonts w:ascii="宋体"/>
          <w:sz w:val="2"/>
        </w:rPr>
        <w:tab/>
      </w:r>
      <w:r>
        <w:rPr>
          <w:rFonts w:ascii="宋体"/>
          <w:sz w:val="2"/>
        </w:rPr>
        <w:pict>
          <v:group style="width:65.05pt;height:1pt;mso-position-horizontal-relative:char;mso-position-vertical-relative:line" coordorigin="0,0" coordsize="1301,20">
            <v:group style="position:absolute;left:10;top:10;width:1282;height:2" coordorigin="10,10" coordsize="1282,2">
              <v:shape style="position:absolute;left:10;top:10;width:1282;height:2" coordorigin="10,10" coordsize="1282,0" path="m10,10l1291,10e" filled="false" stroked="true" strokeweight=".96pt" strokecolor="#000000">
                <v:path arrowok="t"/>
              </v:shape>
            </v:group>
          </v:group>
        </w:pict>
      </w:r>
      <w:r>
        <w:rPr>
          <w:rFonts w:ascii="宋体"/>
          <w:sz w:val="2"/>
        </w:rPr>
      </w:r>
      <w:r>
        <w:rPr>
          <w:rFonts w:ascii="宋体"/>
          <w:sz w:val="2"/>
        </w:rPr>
        <w:tab/>
      </w:r>
      <w:r>
        <w:rPr>
          <w:rFonts w:ascii="宋体"/>
          <w:sz w:val="2"/>
        </w:rPr>
        <w:pict>
          <v:group style="width:36.35pt;height:1pt;mso-position-horizontal-relative:char;mso-position-vertical-relative:line" coordorigin="0,0" coordsize="727,20">
            <v:group style="position:absolute;left:10;top:10;width:708;height:2" coordorigin="10,10" coordsize="708,2">
              <v:shape style="position:absolute;left:10;top:10;width:708;height:2" coordorigin="10,10" coordsize="708,0" path="m10,10l717,10e" filled="false" stroked="true" strokeweight=".9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tabs>
          <w:tab w:pos="6359" w:val="left" w:leader="none"/>
          <w:tab w:pos="7926" w:val="left" w:leader="none"/>
        </w:tabs>
        <w:spacing w:line="20" w:lineRule="exact"/>
        <w:ind w:left="4794" w:right="0" w:firstLine="0"/>
        <w:rPr>
          <w:rFonts w:ascii="宋体" w:hAnsi="宋体" w:cs="宋体" w:eastAsia="宋体" w:hint="default"/>
          <w:sz w:val="2"/>
          <w:szCs w:val="2"/>
        </w:rPr>
      </w:pPr>
      <w:r>
        <w:rPr>
          <w:rFonts w:ascii="宋体"/>
          <w:sz w:val="2"/>
        </w:rPr>
        <w:pict>
          <v:group style="width:64.3pt;height:.5pt;mso-position-horizontal-relative:char;mso-position-vertical-relative:line" coordorigin="0,0" coordsize="1286,10">
            <v:group style="position:absolute;left:5;top:5;width:1277;height:2" coordorigin="5,5" coordsize="1277,2">
              <v:shape style="position:absolute;left:5;top:5;width:1277;height:2" coordorigin="5,5" coordsize="1277,0" path="m5,5l1281,5e" filled="false" stroked="true" strokeweight=".47pt" strokecolor="#000000">
                <v:path arrowok="t"/>
              </v:shape>
            </v:group>
          </v:group>
        </w:pict>
      </w:r>
      <w:r>
        <w:rPr>
          <w:rFonts w:ascii="宋体"/>
          <w:sz w:val="2"/>
        </w:rPr>
      </w:r>
      <w:r>
        <w:rPr>
          <w:rFonts w:ascii="宋体"/>
          <w:sz w:val="2"/>
        </w:rPr>
        <w:tab/>
      </w:r>
      <w:r>
        <w:rPr>
          <w:rFonts w:ascii="宋体"/>
          <w:sz w:val="2"/>
        </w:rPr>
        <w:pict>
          <v:group style="width:64.55pt;height:.5pt;mso-position-horizontal-relative:char;mso-position-vertical-relative:line" coordorigin="0,0" coordsize="1291,10">
            <v:group style="position:absolute;left:5;top:5;width:1282;height:2" coordorigin="5,5" coordsize="1282,2">
              <v:shape style="position:absolute;left:5;top:5;width:1282;height:2" coordorigin="5,5" coordsize="1282,0" path="m5,5l1286,5e" filled="false" stroked="true" strokeweight=".47pt" strokecolor="#000000">
                <v:path arrowok="t"/>
              </v:shape>
            </v:group>
          </v:group>
        </w:pict>
      </w:r>
      <w:r>
        <w:rPr>
          <w:rFonts w:ascii="宋体"/>
          <w:sz w:val="2"/>
        </w:rPr>
      </w:r>
      <w:r>
        <w:rPr>
          <w:rFonts w:ascii="宋体"/>
          <w:sz w:val="2"/>
        </w:rPr>
        <w:tab/>
      </w:r>
      <w:r>
        <w:rPr>
          <w:rFonts w:ascii="宋体"/>
          <w:sz w:val="2"/>
        </w:rPr>
        <w:pict>
          <v:group style="width:35.9pt;height:.5pt;mso-position-horizontal-relative:char;mso-position-vertical-relative:line" coordorigin="0,0" coordsize="718,10">
            <v:group style="position:absolute;left:5;top:5;width:708;height:2" coordorigin="5,5" coordsize="708,2">
              <v:shape style="position:absolute;left:5;top:5;width:708;height:2" coordorigin="5,5" coordsize="708,0" path="m5,5l712,5e" filled="false" stroked="true" strokeweight=".47pt" strokecolor="#000000">
                <v:path arrowok="t"/>
              </v:shape>
            </v:group>
          </v:group>
        </w:pict>
      </w:r>
      <w:r>
        <w:rPr>
          <w:rFonts w:ascii="宋体"/>
          <w:sz w:val="2"/>
        </w:rPr>
      </w:r>
    </w:p>
    <w:p>
      <w:pPr>
        <w:spacing w:line="240" w:lineRule="auto" w:before="10"/>
        <w:rPr>
          <w:rFonts w:ascii="宋体" w:hAnsi="宋体" w:cs="宋体" w:eastAsia="宋体" w:hint="default"/>
          <w:sz w:val="17"/>
          <w:szCs w:val="17"/>
        </w:rPr>
      </w:pPr>
    </w:p>
    <w:p>
      <w:pPr>
        <w:tabs>
          <w:tab w:pos="7912" w:val="left" w:leader="none"/>
        </w:tabs>
        <w:spacing w:line="28" w:lineRule="exact"/>
        <w:ind w:left="6344" w:right="0" w:firstLine="0"/>
        <w:rPr>
          <w:rFonts w:ascii="宋体" w:hAnsi="宋体" w:cs="宋体" w:eastAsia="宋体" w:hint="default"/>
          <w:sz w:val="2"/>
          <w:szCs w:val="2"/>
        </w:rPr>
      </w:pPr>
      <w:r>
        <w:rPr>
          <w:rFonts w:ascii="宋体"/>
          <w:position w:val="0"/>
          <w:sz w:val="2"/>
        </w:rPr>
        <w:pict>
          <v:group style="width:65.3pt;height:1.45pt;mso-position-horizontal-relative:char;mso-position-vertical-relative:line" coordorigin="0,0" coordsize="1306,29">
            <v:group style="position:absolute;left:5;top:24;width:1296;height:2" coordorigin="5,24" coordsize="1296,2">
              <v:shape style="position:absolute;left:5;top:24;width:1296;height:2" coordorigin="5,24" coordsize="1296,0" path="m5,24l1301,24e" filled="false" stroked="true" strokeweight=".48pt" strokecolor="#000000">
                <v:path arrowok="t"/>
              </v:shape>
            </v:group>
            <v:group style="position:absolute;left:5;top:5;width:1296;height:2" coordorigin="5,5" coordsize="1296,2">
              <v:shape style="position:absolute;left:5;top:5;width:1296;height:2" coordorigin="5,5" coordsize="1296,0" path="m5,5l1301,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6.6pt;height:1.45pt;mso-position-horizontal-relative:char;mso-position-vertical-relative:line" coordorigin="0,0" coordsize="732,29">
            <v:group style="position:absolute;left:5;top:24;width:723;height:2" coordorigin="5,24" coordsize="723,2">
              <v:shape style="position:absolute;left:5;top:24;width:723;height:2" coordorigin="5,24" coordsize="723,0" path="m5,24l727,24e" filled="false" stroked="true" strokeweight=".48pt" strokecolor="#000000">
                <v:path arrowok="t"/>
              </v:shape>
            </v:group>
            <v:group style="position:absolute;left:5;top:5;width:723;height:2" coordorigin="5,5" coordsize="723,2">
              <v:shape style="position:absolute;left:5;top:5;width:723;height:2" coordorigin="5,5" coordsize="723,0" path="m5,5l727,5e" filled="false" stroked="true" strokeweight=".4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00" w:h="16840"/>
          <w:pgMar w:top="1040" w:bottom="1180" w:left="1100" w:right="480"/>
        </w:sect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93"/>
        <w:gridCol w:w="6093"/>
        <w:gridCol w:w="283"/>
        <w:gridCol w:w="1418"/>
        <w:gridCol w:w="283"/>
        <w:gridCol w:w="1505"/>
      </w:tblGrid>
      <w:tr>
        <w:trPr>
          <w:trHeight w:val="484" w:hRule="exact"/>
        </w:trPr>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609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3490" w:type="dxa"/>
            <w:gridSpan w:val="4"/>
            <w:vMerge w:val="restart"/>
            <w:tcBorders>
              <w:top w:val="nil" w:sz="6" w:space="0" w:color="auto"/>
              <w:left w:val="nil" w:sz="6" w:space="0" w:color="auto"/>
              <w:right w:val="nil" w:sz="6" w:space="0" w:color="auto"/>
            </w:tcBorders>
          </w:tcPr>
          <w:p>
            <w:pPr/>
          </w:p>
        </w:tc>
      </w:tr>
      <w:tr>
        <w:trPr>
          <w:trHeight w:val="544" w:hRule="exact"/>
        </w:trPr>
        <w:tc>
          <w:tcPr>
            <w:tcW w:w="49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23" w:right="0"/>
              <w:jc w:val="left"/>
              <w:rPr>
                <w:rFonts w:ascii="Times New Roman" w:hAnsi="Times New Roman" w:cs="Times New Roman" w:eastAsia="Times New Roman" w:hint="default"/>
                <w:sz w:val="21"/>
                <w:szCs w:val="21"/>
              </w:rPr>
            </w:pPr>
            <w:r>
              <w:rPr>
                <w:rFonts w:ascii="Times New Roman"/>
                <w:sz w:val="21"/>
              </w:rPr>
              <w:t>6.3</w:t>
            </w:r>
          </w:p>
        </w:tc>
        <w:tc>
          <w:tcPr>
            <w:tcW w:w="609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其他应收款（续）</w:t>
            </w:r>
          </w:p>
        </w:tc>
        <w:tc>
          <w:tcPr>
            <w:tcW w:w="3490" w:type="dxa"/>
            <w:gridSpan w:val="4"/>
            <w:vMerge/>
            <w:tcBorders>
              <w:left w:val="nil" w:sz="6" w:space="0" w:color="auto"/>
              <w:bottom w:val="nil" w:sz="6" w:space="0" w:color="auto"/>
              <w:right w:val="nil" w:sz="6" w:space="0" w:color="auto"/>
            </w:tcBorders>
          </w:tcPr>
          <w:p>
            <w:pPr/>
          </w:p>
        </w:tc>
      </w:tr>
      <w:tr>
        <w:trPr>
          <w:trHeight w:val="963" w:hRule="exact"/>
        </w:trPr>
        <w:tc>
          <w:tcPr>
            <w:tcW w:w="493" w:type="dxa"/>
            <w:tcBorders>
              <w:top w:val="nil" w:sz="6" w:space="0" w:color="auto"/>
              <w:left w:val="nil" w:sz="6" w:space="0" w:color="auto"/>
              <w:bottom w:val="nil" w:sz="6" w:space="0" w:color="auto"/>
              <w:right w:val="nil" w:sz="6" w:space="0" w:color="auto"/>
            </w:tcBorders>
          </w:tcPr>
          <w:p>
            <w:pPr/>
          </w:p>
        </w:tc>
        <w:tc>
          <w:tcPr>
            <w:tcW w:w="6093"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单项金额虽不重大但单项计提坏账准备的其他应收款</w:t>
            </w:r>
          </w:p>
          <w:p>
            <w:pPr>
              <w:pStyle w:val="TableParagraph"/>
              <w:spacing w:line="240" w:lineRule="auto" w:before="5"/>
              <w:ind w:right="0"/>
              <w:jc w:val="left"/>
              <w:rPr>
                <w:rFonts w:ascii="宋体" w:hAnsi="宋体" w:cs="宋体" w:eastAsia="宋体" w:hint="default"/>
                <w:sz w:val="19"/>
                <w:szCs w:val="19"/>
              </w:rPr>
            </w:pPr>
          </w:p>
          <w:p>
            <w:pPr>
              <w:pStyle w:val="TableParagraph"/>
              <w:tabs>
                <w:tab w:pos="3441" w:val="left" w:leader="none"/>
                <w:tab w:pos="5145" w:val="left" w:leader="none"/>
              </w:tabs>
              <w:spacing w:line="240" w:lineRule="auto"/>
              <w:ind w:left="107" w:right="0"/>
              <w:jc w:val="left"/>
              <w:rPr>
                <w:rFonts w:ascii="宋体" w:hAnsi="宋体" w:cs="宋体" w:eastAsia="宋体" w:hint="default"/>
                <w:sz w:val="21"/>
                <w:szCs w:val="21"/>
              </w:rPr>
            </w:pPr>
            <w:r>
              <w:rPr>
                <w:rFonts w:ascii="宋体" w:hAnsi="宋体" w:cs="宋体" w:eastAsia="宋体" w:hint="default"/>
                <w:spacing w:val="-1"/>
                <w:sz w:val="21"/>
                <w:szCs w:val="21"/>
              </w:rPr>
              <w:t>其他应收款内容</w:t>
              <w:tab/>
              <w:t>账面余额</w:t>
              <w:tab/>
              <w:t>坏账准备</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8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计提理由</w:t>
            </w:r>
          </w:p>
        </w:tc>
      </w:tr>
      <w:tr>
        <w:trPr>
          <w:trHeight w:val="268" w:hRule="exact"/>
        </w:trPr>
        <w:tc>
          <w:tcPr>
            <w:tcW w:w="493" w:type="dxa"/>
            <w:tcBorders>
              <w:top w:val="nil" w:sz="6" w:space="0" w:color="auto"/>
              <w:left w:val="nil" w:sz="6" w:space="0" w:color="auto"/>
              <w:bottom w:val="nil" w:sz="6" w:space="0" w:color="auto"/>
              <w:right w:val="nil" w:sz="6" w:space="0" w:color="auto"/>
            </w:tcBorders>
          </w:tcPr>
          <w:p>
            <w:pPr/>
          </w:p>
        </w:tc>
        <w:tc>
          <w:tcPr>
            <w:tcW w:w="6093" w:type="dxa"/>
            <w:tcBorders>
              <w:top w:val="single" w:sz="8" w:space="0" w:color="000000"/>
              <w:left w:val="nil" w:sz="6" w:space="0" w:color="auto"/>
              <w:bottom w:val="nil" w:sz="6" w:space="0" w:color="auto"/>
              <w:right w:val="nil" w:sz="6" w:space="0" w:color="auto"/>
            </w:tcBorders>
          </w:tcPr>
          <w:p>
            <w:pPr>
              <w:pStyle w:val="TableParagraph"/>
              <w:tabs>
                <w:tab w:pos="3335" w:val="left" w:leader="none"/>
                <w:tab w:pos="5915" w:val="left" w:leader="none"/>
              </w:tabs>
              <w:spacing w:line="256"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租房押金（帐龄</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年以内）</w:t>
              <w:tab/>
            </w:r>
            <w:r>
              <w:rPr>
                <w:rFonts w:ascii="Times New Roman" w:hAnsi="Times New Roman" w:cs="Times New Roman" w:eastAsia="Times New Roman" w:hint="default"/>
                <w:spacing w:val="-1"/>
                <w:sz w:val="21"/>
                <w:szCs w:val="21"/>
              </w:rPr>
              <w:t>105,483.61</w:t>
              <w:tab/>
            </w:r>
            <w:r>
              <w:rPr>
                <w:rFonts w:ascii="Times New Roman" w:hAnsi="Times New Roman" w:cs="Times New Roman" w:eastAsia="Times New Roman" w:hint="default"/>
                <w:sz w:val="21"/>
                <w:szCs w:val="21"/>
              </w:rPr>
              <w:t>-</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505"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w w:val="100"/>
                <w:sz w:val="21"/>
              </w:rPr>
              <w:t>-</w:t>
            </w:r>
          </w:p>
        </w:tc>
      </w:tr>
    </w:tbl>
    <w:p>
      <w:pPr>
        <w:tabs>
          <w:tab w:pos="1855" w:val="left" w:leader="none"/>
          <w:tab w:pos="3227" w:val="left" w:leader="none"/>
          <w:tab w:pos="5037" w:val="left" w:leader="none"/>
          <w:tab w:pos="7195" w:val="left" w:leader="none"/>
          <w:tab w:pos="8092" w:val="left" w:leader="none"/>
        </w:tabs>
        <w:spacing w:line="292" w:lineRule="exact" w:before="0"/>
        <w:ind w:left="0" w:right="298" w:firstLine="0"/>
        <w:jc w:val="right"/>
        <w:rPr>
          <w:rFonts w:ascii="宋体" w:hAnsi="宋体" w:cs="宋体" w:eastAsia="宋体" w:hint="default"/>
          <w:sz w:val="18"/>
          <w:szCs w:val="18"/>
        </w:rPr>
      </w:pPr>
      <w:r>
        <w:rPr/>
        <w:pict>
          <v:group style="position:absolute;margin-left:82.919998pt;margin-top:-13.415625pt;width:134.550pt;height:.1pt;mso-position-horizontal-relative:page;mso-position-vertical-relative:paragraph;z-index:-552232" coordorigin="1658,-268" coordsize="2691,2">
            <v:shape style="position:absolute;left:1658;top:-268;width:2691;height:2" coordorigin="1658,-268" coordsize="2691,0" path="m1658,-268l4349,-268e" filled="false" stroked="true" strokeweight=".96pt" strokecolor="#000000">
              <v:path arrowok="t"/>
            </v:shape>
            <w10:wrap type="none"/>
          </v:group>
        </w:pict>
      </w:r>
      <w:r>
        <w:rPr/>
        <w:pict>
          <v:group style="position:absolute;margin-left:231.600006pt;margin-top:-13.415625pt;width:70.8pt;height:.1pt;mso-position-horizontal-relative:page;mso-position-vertical-relative:paragraph;z-index:-552208" coordorigin="4632,-268" coordsize="1416,2">
            <v:shape style="position:absolute;left:4632;top:-268;width:1416;height:2" coordorigin="4632,-268" coordsize="1416,0" path="m4632,-268l6048,-268e" filled="false" stroked="true" strokeweight=".96pt" strokecolor="#000000">
              <v:path arrowok="t"/>
            </v:shape>
            <w10:wrap type="none"/>
          </v:group>
        </w:pict>
      </w:r>
      <w:r>
        <w:rPr/>
        <w:pict>
          <v:shape style="position:absolute;margin-left:164.520004pt;margin-top:7.605067pt;width:13.95pt;height:10.55pt;mso-position-horizontal-relative:page;mso-position-vertical-relative:paragraph;z-index:-551872"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spacing w:val="-2"/>
                      <w:sz w:val="21"/>
                    </w:rPr>
                    <w:t>2-3</w:t>
                  </w:r>
                </w:p>
              </w:txbxContent>
            </v:textbox>
            <w10:wrap type="none"/>
          </v:shape>
        </w:pict>
      </w:r>
      <w:r>
        <w:rPr>
          <w:rFonts w:ascii="宋体" w:hAnsi="宋体" w:cs="宋体" w:eastAsia="宋体" w:hint="default"/>
          <w:spacing w:val="-2"/>
          <w:sz w:val="21"/>
          <w:szCs w:val="21"/>
        </w:rPr>
        <w:t>租房押金（帐龄</w:t>
        <w:tab/>
      </w:r>
      <w:r>
        <w:rPr>
          <w:rFonts w:ascii="宋体" w:hAnsi="宋体" w:cs="宋体" w:eastAsia="宋体" w:hint="default"/>
          <w:sz w:val="21"/>
          <w:szCs w:val="21"/>
        </w:rPr>
        <w:t>年）</w:t>
        <w:tab/>
      </w:r>
      <w:r>
        <w:rPr>
          <w:rFonts w:ascii="Times New Roman" w:hAnsi="Times New Roman" w:cs="Times New Roman" w:eastAsia="Times New Roman" w:hint="default"/>
          <w:spacing w:val="-1"/>
          <w:sz w:val="21"/>
          <w:szCs w:val="21"/>
        </w:rPr>
        <w:t>143,849.05</w:t>
        <w:tab/>
        <w:t>35,962.27</w:t>
        <w:tab/>
      </w:r>
      <w:r>
        <w:rPr>
          <w:rFonts w:ascii="Times New Roman" w:hAnsi="Times New Roman" w:cs="Times New Roman" w:eastAsia="Times New Roman" w:hint="default"/>
          <w:sz w:val="21"/>
          <w:szCs w:val="21"/>
        </w:rPr>
        <w:t>25%</w:t>
        <w:tab/>
      </w:r>
      <w:r>
        <w:rPr>
          <w:rFonts w:ascii="宋体" w:hAnsi="宋体" w:cs="宋体" w:eastAsia="宋体" w:hint="default"/>
          <w:position w:val="13"/>
          <w:sz w:val="18"/>
          <w:szCs w:val="18"/>
        </w:rPr>
        <w:t>估计未来退租时</w:t>
      </w:r>
      <w:r>
        <w:rPr>
          <w:rFonts w:ascii="宋体" w:hAnsi="宋体" w:cs="宋体" w:eastAsia="宋体" w:hint="default"/>
          <w:sz w:val="18"/>
          <w:szCs w:val="18"/>
        </w:rPr>
      </w:r>
    </w:p>
    <w:p>
      <w:pPr>
        <w:spacing w:line="159" w:lineRule="exact" w:before="0"/>
        <w:ind w:left="0" w:right="298" w:firstLine="0"/>
        <w:jc w:val="right"/>
        <w:rPr>
          <w:rFonts w:ascii="宋体" w:hAnsi="宋体" w:cs="宋体" w:eastAsia="宋体" w:hint="default"/>
          <w:sz w:val="18"/>
          <w:szCs w:val="18"/>
        </w:rPr>
      </w:pPr>
      <w:r>
        <w:rPr>
          <w:rFonts w:ascii="宋体" w:hAnsi="宋体" w:cs="宋体" w:eastAsia="宋体" w:hint="default"/>
          <w:sz w:val="18"/>
          <w:szCs w:val="18"/>
        </w:rPr>
        <w:t>会损失部分押金</w:t>
      </w:r>
    </w:p>
    <w:p>
      <w:pPr>
        <w:tabs>
          <w:tab w:pos="1682" w:val="left" w:leader="none"/>
          <w:tab w:pos="3227" w:val="left" w:leader="none"/>
          <w:tab w:pos="4931" w:val="left" w:leader="none"/>
          <w:tab w:pos="7195" w:val="left" w:leader="none"/>
          <w:tab w:pos="8092" w:val="left" w:leader="none"/>
        </w:tabs>
        <w:spacing w:line="304" w:lineRule="exact" w:before="0"/>
        <w:ind w:left="0" w:right="298" w:firstLine="0"/>
        <w:jc w:val="right"/>
        <w:rPr>
          <w:rFonts w:ascii="宋体" w:hAnsi="宋体" w:cs="宋体" w:eastAsia="宋体" w:hint="default"/>
          <w:sz w:val="18"/>
          <w:szCs w:val="18"/>
        </w:rPr>
      </w:pPr>
      <w:r>
        <w:rPr/>
        <w:pict>
          <v:shape style="position:absolute;margin-left:164.520004pt;margin-top:8.443717pt;width:5.3pt;height:10.55pt;mso-position-horizontal-relative:page;mso-position-vertical-relative:paragraph;z-index:-551896" type="#_x0000_t202" filled="false" stroked="false">
            <v:textbox inset="0,0,0,0">
              <w:txbxContent>
                <w:p>
                  <w:pPr>
                    <w:spacing w:line="211" w:lineRule="exact" w:before="0"/>
                    <w:ind w:left="0" w:right="0" w:firstLine="0"/>
                    <w:jc w:val="left"/>
                    <w:rPr>
                      <w:rFonts w:ascii="Times New Roman" w:hAnsi="Times New Roman" w:cs="Times New Roman" w:eastAsia="Times New Roman" w:hint="default"/>
                      <w:sz w:val="21"/>
                      <w:szCs w:val="21"/>
                    </w:rPr>
                  </w:pPr>
                  <w:r>
                    <w:rPr>
                      <w:rFonts w:ascii="Times New Roman"/>
                      <w:w w:val="100"/>
                      <w:sz w:val="21"/>
                    </w:rPr>
                    <w:t>3</w:t>
                  </w:r>
                </w:p>
              </w:txbxContent>
            </v:textbox>
            <w10:wrap type="none"/>
          </v:shape>
        </w:pict>
      </w:r>
      <w:r>
        <w:rPr>
          <w:rFonts w:ascii="宋体" w:hAnsi="宋体" w:cs="宋体" w:eastAsia="宋体" w:hint="default"/>
          <w:spacing w:val="-2"/>
          <w:sz w:val="21"/>
          <w:szCs w:val="21"/>
        </w:rPr>
        <w:t>租房押金（帐龄</w:t>
        <w:tab/>
        <w:t>年以上）</w:t>
        <w:tab/>
      </w:r>
      <w:r>
        <w:rPr>
          <w:rFonts w:ascii="Times New Roman" w:hAnsi="Times New Roman" w:cs="Times New Roman" w:eastAsia="Times New Roman" w:hint="default"/>
          <w:spacing w:val="-1"/>
          <w:position w:val="1"/>
          <w:sz w:val="21"/>
          <w:szCs w:val="21"/>
        </w:rPr>
        <w:t>534,275.72</w:t>
        <w:tab/>
        <w:t>267,137.86</w:t>
        <w:tab/>
      </w:r>
      <w:r>
        <w:rPr>
          <w:rFonts w:ascii="Times New Roman" w:hAnsi="Times New Roman" w:cs="Times New Roman" w:eastAsia="Times New Roman" w:hint="default"/>
          <w:position w:val="1"/>
          <w:sz w:val="21"/>
          <w:szCs w:val="21"/>
        </w:rPr>
        <w:t>50%</w:t>
        <w:tab/>
      </w:r>
      <w:r>
        <w:rPr>
          <w:rFonts w:ascii="宋体" w:hAnsi="宋体" w:cs="宋体" w:eastAsia="宋体" w:hint="default"/>
          <w:position w:val="13"/>
          <w:sz w:val="18"/>
          <w:szCs w:val="18"/>
        </w:rPr>
        <w:t>估计未来退租时</w:t>
      </w:r>
      <w:r>
        <w:rPr>
          <w:rFonts w:ascii="宋体" w:hAnsi="宋体" w:cs="宋体" w:eastAsia="宋体" w:hint="default"/>
          <w:sz w:val="18"/>
          <w:szCs w:val="18"/>
        </w:rPr>
      </w:r>
    </w:p>
    <w:p>
      <w:pPr>
        <w:spacing w:line="166" w:lineRule="exact" w:before="0"/>
        <w:ind w:left="0" w:right="298" w:firstLine="0"/>
        <w:jc w:val="right"/>
        <w:rPr>
          <w:rFonts w:ascii="宋体" w:hAnsi="宋体" w:cs="宋体" w:eastAsia="宋体" w:hint="default"/>
          <w:sz w:val="18"/>
          <w:szCs w:val="18"/>
        </w:rPr>
      </w:pPr>
      <w:r>
        <w:rPr/>
        <w:pict>
          <v:group style="position:absolute;margin-left:231.600006pt;margin-top:9.900235pt;width:70.8pt;height:.1pt;mso-position-horizontal-relative:page;mso-position-vertical-relative:paragraph;z-index:-552184" coordorigin="4632,198" coordsize="1416,2">
            <v:shape style="position:absolute;left:4632;top:198;width:1416;height:2" coordorigin="4632,198" coordsize="1416,0" path="m4632,198l6048,198e" filled="false" stroked="true" strokeweight=".48pt" strokecolor="#000000">
              <v:path arrowok="t"/>
            </v:shape>
            <w10:wrap type="none"/>
          </v:group>
        </w:pict>
      </w:r>
      <w:r>
        <w:rPr/>
        <w:pict>
          <v:group style="position:absolute;margin-left:316.559998pt;margin-top:9.900235pt;width:71.05pt;height:.1pt;mso-position-horizontal-relative:page;mso-position-vertical-relative:paragraph;z-index:-552160" coordorigin="6331,198" coordsize="1421,2">
            <v:shape style="position:absolute;left:6331;top:198;width:1421;height:2" coordorigin="6331,198" coordsize="1421,0" path="m6331,198l7752,198e" filled="false" stroked="true" strokeweight=".48pt" strokecolor="#000000">
              <v:path arrowok="t"/>
            </v:shape>
            <w10:wrap type="none"/>
          </v:group>
        </w:pict>
      </w:r>
      <w:r>
        <w:rPr>
          <w:rFonts w:ascii="宋体" w:hAnsi="宋体" w:cs="宋体" w:eastAsia="宋体" w:hint="default"/>
          <w:sz w:val="18"/>
          <w:szCs w:val="18"/>
        </w:rPr>
        <w:t>会损失部分押金</w:t>
      </w:r>
    </w:p>
    <w:p>
      <w:pPr>
        <w:tabs>
          <w:tab w:pos="3934" w:val="left" w:leader="none"/>
          <w:tab w:pos="5638" w:val="left" w:leader="none"/>
        </w:tabs>
        <w:spacing w:before="3"/>
        <w:ind w:left="706"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合计</w:t>
        <w:tab/>
      </w:r>
      <w:r>
        <w:rPr>
          <w:rFonts w:ascii="Times New Roman" w:hAnsi="Times New Roman" w:cs="Times New Roman" w:eastAsia="Times New Roman" w:hint="default"/>
          <w:spacing w:val="-1"/>
          <w:sz w:val="21"/>
          <w:szCs w:val="21"/>
        </w:rPr>
        <w:t>783,608.38</w:t>
        <w:tab/>
        <w:t>303,100.13</w:t>
      </w:r>
    </w:p>
    <w:p>
      <w:pPr>
        <w:tabs>
          <w:tab w:pos="5266" w:val="left" w:leader="none"/>
        </w:tabs>
        <w:spacing w:line="28" w:lineRule="exact"/>
        <w:ind w:left="3567" w:right="0" w:firstLine="0"/>
        <w:rPr>
          <w:rFonts w:ascii="Times New Roman" w:hAnsi="Times New Roman" w:cs="Times New Roman" w:eastAsia="Times New Roman" w:hint="default"/>
          <w:sz w:val="2"/>
          <w:szCs w:val="2"/>
        </w:rPr>
      </w:pPr>
      <w:r>
        <w:rPr>
          <w:rFonts w:ascii="Times New Roman"/>
          <w:position w:val="0"/>
          <w:sz w:val="2"/>
        </w:rPr>
        <w:pict>
          <v:group style="width:71.3pt;height:1.45pt;mso-position-horizontal-relative:char;mso-position-vertical-relative:line" coordorigin="0,0" coordsize="1426,29">
            <v:group style="position:absolute;left:5;top:5;width:1416;height:2" coordorigin="5,5" coordsize="1416,2">
              <v:shape style="position:absolute;left:5;top:5;width:1416;height:2" coordorigin="5,5" coordsize="1416,0" path="m5,5l1421,5e" filled="false" stroked="true" strokeweight=".48pt" strokecolor="#000000">
                <v:path arrowok="t"/>
              </v:shape>
            </v:group>
            <v:group style="position:absolute;left:5;top:24;width:1416;height:2" coordorigin="5,24" coordsize="1416,2">
              <v:shape style="position:absolute;left:5;top:24;width:1416;height:2" coordorigin="5,24" coordsize="1416,0" path="m5,24l142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1.55pt;height:1.45pt;mso-position-horizontal-relative:char;mso-position-vertical-relative:line" coordorigin="0,0" coordsize="1431,29">
            <v:group style="position:absolute;left:5;top:5;width:1421;height:2" coordorigin="5,5" coordsize="1421,2">
              <v:shape style="position:absolute;left:5;top:5;width:1421;height:2" coordorigin="5,5" coordsize="1421,0" path="m5,5l1425,5e" filled="false" stroked="true" strokeweight=".48pt" strokecolor="#000000">
                <v:path arrowok="t"/>
              </v:shape>
            </v:group>
            <v:group style="position:absolute;left:5;top:24;width:1421;height:2" coordorigin="5,24" coordsize="1421,2">
              <v:shape style="position:absolute;left:5;top:24;width:1421;height:2" coordorigin="5,24" coordsize="1421,0" path="m5,24l1425,24e" filled="false" stroked="true" strokeweight=".48pt" strokecolor="#000000">
                <v:path arrowok="t"/>
              </v:shape>
            </v:group>
          </v:group>
        </w:pict>
      </w:r>
      <w:r>
        <w:rPr>
          <w:rFonts w:ascii="Times New Roman"/>
          <w:position w:val="0"/>
          <w:sz w:val="2"/>
        </w:rPr>
      </w:r>
    </w:p>
    <w:p>
      <w:pPr>
        <w:spacing w:line="240" w:lineRule="auto" w:before="6"/>
        <w:rPr>
          <w:rFonts w:ascii="Times New Roman" w:hAnsi="Times New Roman" w:cs="Times New Roman" w:eastAsia="Times New Roman" w:hint="default"/>
          <w:sz w:val="16"/>
          <w:szCs w:val="16"/>
        </w:rPr>
      </w:pPr>
    </w:p>
    <w:p>
      <w:pPr>
        <w:spacing w:before="36"/>
        <w:ind w:left="7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本年转回或收回情况</w:t>
      </w: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34"/>
          <w:pgSz w:w="11900" w:h="16840"/>
          <w:pgMar w:footer="983" w:header="886" w:top="1800" w:bottom="1180" w:left="1060" w:right="480"/>
          <w:pgNumType w:start="100"/>
        </w:sectPr>
      </w:pPr>
    </w:p>
    <w:p>
      <w:pPr>
        <w:spacing w:line="240" w:lineRule="auto" w:before="11"/>
        <w:rPr>
          <w:rFonts w:ascii="宋体" w:hAnsi="宋体" w:cs="宋体" w:eastAsia="宋体" w:hint="default"/>
          <w:sz w:val="23"/>
          <w:szCs w:val="23"/>
        </w:rPr>
      </w:pPr>
    </w:p>
    <w:p>
      <w:pPr>
        <w:tabs>
          <w:tab w:pos="2832" w:val="left" w:leader="none"/>
        </w:tabs>
        <w:spacing w:before="0"/>
        <w:ind w:left="706" w:right="-9" w:firstLine="0"/>
        <w:jc w:val="left"/>
        <w:rPr>
          <w:rFonts w:ascii="宋体" w:hAnsi="宋体" w:cs="宋体" w:eastAsia="宋体" w:hint="default"/>
          <w:sz w:val="21"/>
          <w:szCs w:val="21"/>
        </w:rPr>
      </w:pPr>
      <w:r>
        <w:rPr/>
        <w:pict>
          <v:group style="position:absolute;margin-left:82.919998pt;margin-top:15.87368pt;width:92.05pt;height:.1pt;mso-position-horizontal-relative:page;mso-position-vertical-relative:paragraph;z-index:-552136" coordorigin="1658,317" coordsize="1841,2">
            <v:shape style="position:absolute;left:1658;top:317;width:1841;height:2" coordorigin="1658,317" coordsize="1841,0" path="m1658,317l3499,317e" filled="false" stroked="true" strokeweight=".96pt" strokecolor="#000000">
              <v:path arrowok="t"/>
            </v:shape>
            <w10:wrap type="none"/>
          </v:group>
        </w:pict>
      </w:r>
      <w:r>
        <w:rPr/>
        <w:pict>
          <v:group style="position:absolute;margin-left:189.240005pt;margin-top:15.87368pt;width:84.6pt;height:.1pt;mso-position-horizontal-relative:page;mso-position-vertical-relative:paragraph;z-index:-552112" coordorigin="3785,317" coordsize="1692,2">
            <v:shape style="position:absolute;left:3785;top:317;width:1692;height:2" coordorigin="3785,317" coordsize="1692,0" path="m3785,317l5477,317e" filled="false" stroked="true" strokeweight=".96pt" strokecolor="#000000">
              <v:path arrowok="t"/>
            </v:shape>
            <w10:wrap type="none"/>
          </v:group>
        </w:pict>
      </w:r>
      <w:r>
        <w:rPr>
          <w:rFonts w:ascii="宋体" w:hAnsi="宋体" w:cs="宋体" w:eastAsia="宋体" w:hint="default"/>
          <w:spacing w:val="-1"/>
          <w:sz w:val="21"/>
          <w:szCs w:val="21"/>
        </w:rPr>
        <w:t>其他应收款内容</w:t>
        <w:tab/>
        <w:t>转回或收回原因</w:t>
      </w:r>
    </w:p>
    <w:p>
      <w:pPr>
        <w:spacing w:line="272" w:lineRule="exact" w:before="68"/>
        <w:ind w:left="461" w:right="-16" w:firstLine="0"/>
        <w:jc w:val="left"/>
        <w:rPr>
          <w:rFonts w:ascii="宋体" w:hAnsi="宋体" w:cs="宋体" w:eastAsia="宋体" w:hint="default"/>
          <w:sz w:val="21"/>
          <w:szCs w:val="21"/>
        </w:rPr>
      </w:pPr>
      <w:r>
        <w:rPr/>
        <w:br w:type="column"/>
      </w:r>
      <w:r>
        <w:rPr>
          <w:rFonts w:ascii="宋体" w:hAnsi="宋体" w:cs="宋体" w:eastAsia="宋体" w:hint="default"/>
          <w:sz w:val="21"/>
          <w:szCs w:val="21"/>
        </w:rPr>
        <w:t>确</w:t>
      </w:r>
      <w:r>
        <w:rPr>
          <w:rFonts w:ascii="宋体" w:hAnsi="宋体" w:cs="宋体" w:eastAsia="宋体" w:hint="default"/>
          <w:spacing w:val="-66"/>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spacing w:val="-66"/>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准备的依据</w:t>
      </w:r>
    </w:p>
    <w:p>
      <w:pPr>
        <w:spacing w:line="234" w:lineRule="exact" w:before="44"/>
        <w:ind w:left="348" w:right="0" w:firstLine="0"/>
        <w:jc w:val="left"/>
        <w:rPr>
          <w:rFonts w:ascii="宋体" w:hAnsi="宋体" w:cs="宋体" w:eastAsia="宋体" w:hint="default"/>
          <w:sz w:val="18"/>
          <w:szCs w:val="18"/>
        </w:rPr>
      </w:pPr>
      <w:r>
        <w:rPr>
          <w:spacing w:val="10"/>
        </w:rPr>
        <w:br w:type="column"/>
      </w:r>
      <w:r>
        <w:rPr>
          <w:rFonts w:ascii="宋体" w:hAnsi="宋体" w:cs="宋体" w:eastAsia="宋体" w:hint="default"/>
          <w:spacing w:val="10"/>
          <w:sz w:val="18"/>
          <w:szCs w:val="18"/>
        </w:rPr>
        <w:t>转回或收回前累计已</w:t>
      </w:r>
    </w:p>
    <w:p>
      <w:pPr>
        <w:tabs>
          <w:tab w:pos="2544" w:val="left" w:leader="none"/>
        </w:tabs>
        <w:spacing w:line="308" w:lineRule="exact" w:before="0"/>
        <w:ind w:left="348" w:right="0" w:firstLine="0"/>
        <w:jc w:val="left"/>
        <w:rPr>
          <w:rFonts w:ascii="宋体" w:hAnsi="宋体" w:cs="宋体" w:eastAsia="宋体" w:hint="default"/>
          <w:sz w:val="21"/>
          <w:szCs w:val="21"/>
        </w:rPr>
      </w:pPr>
      <w:r>
        <w:rPr/>
        <w:pict>
          <v:group style="position:absolute;margin-left:373.320007pt;margin-top:17.533028pt;width:85.1pt;height:.1pt;mso-position-horizontal-relative:page;mso-position-vertical-relative:paragraph;z-index:-552064" coordorigin="7466,351" coordsize="1702,2">
            <v:shape style="position:absolute;left:7466;top:351;width:1702;height:2" coordorigin="7466,351" coordsize="1702,0" path="m7466,351l9168,351e" filled="false" stroked="true" strokeweight=".96pt" strokecolor="#000000">
              <v:path arrowok="t"/>
            </v:shape>
            <w10:wrap type="none"/>
          </v:group>
        </w:pict>
      </w:r>
      <w:r>
        <w:rPr/>
        <w:pict>
          <v:group style="position:absolute;margin-left:472.679993pt;margin-top:17.533028pt;width:89.4pt;height:.1pt;mso-position-horizontal-relative:page;mso-position-vertical-relative:paragraph;z-index:-552040" coordorigin="9454,351" coordsize="1788,2">
            <v:shape style="position:absolute;left:9454;top:351;width:1788;height:2" coordorigin="9454,351" coordsize="1788,0" path="m9454,351l11241,351e" filled="false" stroked="true" strokeweight=".96pt" strokecolor="#000000">
              <v:path arrowok="t"/>
            </v:shape>
            <w10:wrap type="none"/>
          </v:group>
        </w:pict>
      </w:r>
      <w:r>
        <w:rPr>
          <w:rFonts w:ascii="宋体" w:hAnsi="宋体" w:cs="宋体" w:eastAsia="宋体" w:hint="default"/>
          <w:sz w:val="18"/>
          <w:szCs w:val="18"/>
        </w:rPr>
        <w:t>计提坏账准备金额</w:t>
        <w:tab/>
      </w:r>
      <w:r>
        <w:rPr>
          <w:rFonts w:ascii="宋体" w:hAnsi="宋体" w:cs="宋体" w:eastAsia="宋体" w:hint="default"/>
          <w:position w:val="-6"/>
          <w:sz w:val="21"/>
          <w:szCs w:val="21"/>
        </w:rPr>
        <w:t>转回或收回金额</w:t>
      </w:r>
      <w:r>
        <w:rPr>
          <w:rFonts w:ascii="宋体" w:hAnsi="宋体" w:cs="宋体" w:eastAsia="宋体" w:hint="default"/>
          <w:sz w:val="21"/>
          <w:szCs w:val="21"/>
        </w:rPr>
      </w:r>
    </w:p>
    <w:p>
      <w:pPr>
        <w:spacing w:after="0" w:line="308" w:lineRule="exact"/>
        <w:jc w:val="left"/>
        <w:rPr>
          <w:rFonts w:ascii="宋体" w:hAnsi="宋体" w:cs="宋体" w:eastAsia="宋体" w:hint="default"/>
          <w:sz w:val="21"/>
          <w:szCs w:val="21"/>
        </w:rPr>
        <w:sectPr>
          <w:type w:val="continuous"/>
          <w:pgSz w:w="11900" w:h="16840"/>
          <w:pgMar w:top="1040" w:bottom="1180" w:left="1060" w:right="480"/>
          <w:cols w:num="3" w:equalWidth="0">
            <w:col w:w="4307" w:space="40"/>
            <w:col w:w="1672" w:space="40"/>
            <w:col w:w="4301"/>
          </w:cols>
        </w:sectPr>
      </w:pPr>
    </w:p>
    <w:p>
      <w:pPr>
        <w:tabs>
          <w:tab w:pos="2832" w:val="left" w:leader="none"/>
          <w:tab w:pos="4937" w:val="left" w:leader="none"/>
          <w:tab w:pos="7159" w:val="left" w:leader="none"/>
          <w:tab w:pos="9127" w:val="left" w:leader="none"/>
        </w:tabs>
        <w:spacing w:line="284" w:lineRule="exact" w:before="0"/>
        <w:ind w:left="706" w:right="0" w:firstLine="0"/>
        <w:jc w:val="left"/>
        <w:rPr>
          <w:rFonts w:ascii="Times New Roman" w:hAnsi="Times New Roman" w:cs="Times New Roman" w:eastAsia="Times New Roman" w:hint="default"/>
          <w:sz w:val="21"/>
          <w:szCs w:val="21"/>
        </w:rPr>
      </w:pPr>
      <w:r>
        <w:rPr/>
        <w:pict>
          <v:group style="position:absolute;margin-left:288pt;margin-top:.890009pt;width:71.2pt;height:.1pt;mso-position-horizontal-relative:page;mso-position-vertical-relative:paragraph;z-index:-552088" coordorigin="5760,18" coordsize="1424,2">
            <v:shape style="position:absolute;left:5760;top:18;width:1424;height:2" coordorigin="5760,18" coordsize="1424,0" path="m5760,18l7183,18e" filled="false" stroked="true" strokeweight=".96pt" strokecolor="#000000">
              <v:path arrowok="t"/>
            </v:shape>
            <w10:wrap type="none"/>
          </v:group>
        </w:pict>
      </w:r>
      <w:r>
        <w:rPr>
          <w:rFonts w:ascii="宋体" w:hAnsi="宋体" w:cs="宋体" w:eastAsia="宋体" w:hint="default"/>
          <w:spacing w:val="-1"/>
          <w:sz w:val="21"/>
          <w:szCs w:val="21"/>
        </w:rPr>
        <w:t>租房押金</w:t>
        <w:tab/>
        <w:t>退租，收回押金</w:t>
        <w:tab/>
        <w:t>账龄较长</w:t>
        <w:tab/>
      </w:r>
      <w:r>
        <w:rPr>
          <w:rFonts w:ascii="Times New Roman" w:hAnsi="Times New Roman" w:cs="Times New Roman" w:eastAsia="Times New Roman" w:hint="default"/>
          <w:spacing w:val="-1"/>
          <w:sz w:val="21"/>
          <w:szCs w:val="21"/>
        </w:rPr>
        <w:t>84,884.20</w:t>
        <w:tab/>
        <w:t>169,768.39</w:t>
      </w:r>
    </w:p>
    <w:p>
      <w:pPr>
        <w:spacing w:line="240" w:lineRule="auto" w:before="3"/>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type w:val="continuous"/>
          <w:pgSz w:w="11900" w:h="16840"/>
          <w:pgMar w:top="1040" w:bottom="1180" w:left="1060" w:right="480"/>
        </w:sectPr>
      </w:pPr>
    </w:p>
    <w:p>
      <w:pPr>
        <w:spacing w:before="36"/>
        <w:ind w:left="706" w:right="-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本报告期实际核销的其他应收款情况</w:t>
      </w:r>
    </w:p>
    <w:p>
      <w:pPr>
        <w:spacing w:line="240" w:lineRule="auto" w:before="0"/>
        <w:rPr>
          <w:rFonts w:ascii="宋体" w:hAnsi="宋体" w:cs="宋体" w:eastAsia="宋体" w:hint="default"/>
          <w:sz w:val="17"/>
          <w:szCs w:val="17"/>
        </w:rPr>
      </w:pPr>
    </w:p>
    <w:p>
      <w:pPr>
        <w:spacing w:line="206" w:lineRule="exact" w:before="0"/>
        <w:ind w:left="3783" w:right="3245" w:firstLine="0"/>
        <w:jc w:val="center"/>
        <w:rPr>
          <w:rFonts w:ascii="宋体" w:hAnsi="宋体" w:cs="宋体" w:eastAsia="宋体" w:hint="default"/>
          <w:sz w:val="21"/>
          <w:szCs w:val="21"/>
        </w:rPr>
      </w:pPr>
      <w:r>
        <w:rPr/>
        <w:pict>
          <v:shape style="position:absolute;margin-left:88.32pt;margin-top:10.037274pt;width:42.15pt;height:10.55pt;mso-position-horizontal-relative:page;mso-position-vertical-relative:paragraph;z-index:376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单位名称</w:t>
                  </w:r>
                </w:p>
              </w:txbxContent>
            </v:textbox>
            <w10:wrap type="none"/>
          </v:shape>
        </w:pict>
      </w:r>
      <w:r>
        <w:rPr>
          <w:rFonts w:ascii="宋体" w:hAnsi="宋体" w:cs="宋体" w:eastAsia="宋体" w:hint="default"/>
          <w:sz w:val="21"/>
          <w:szCs w:val="21"/>
        </w:rPr>
        <w:t>其他应收款</w:t>
      </w:r>
    </w:p>
    <w:p>
      <w:pPr>
        <w:tabs>
          <w:tab w:pos="5772" w:val="left" w:leader="none"/>
          <w:tab w:pos="7277" w:val="left" w:leader="none"/>
        </w:tabs>
        <w:spacing w:line="346" w:lineRule="exact" w:before="0"/>
        <w:ind w:left="4116" w:right="-14" w:firstLine="0"/>
        <w:jc w:val="left"/>
        <w:rPr>
          <w:rFonts w:ascii="宋体" w:hAnsi="宋体" w:cs="宋体" w:eastAsia="宋体" w:hint="default"/>
          <w:sz w:val="21"/>
          <w:szCs w:val="21"/>
        </w:rPr>
      </w:pPr>
      <w:r>
        <w:rPr/>
        <w:pict>
          <v:group style="position:absolute;margin-left:82.919998pt;margin-top:19.143564pt;width:134.550pt;height:.1pt;mso-position-horizontal-relative:page;mso-position-vertical-relative:paragraph;z-index:-552016" coordorigin="1658,383" coordsize="2691,2">
            <v:shape style="position:absolute;left:1658;top:383;width:2691;height:2" coordorigin="1658,383" coordsize="2691,0" path="m1658,383l4349,383e" filled="false" stroked="true" strokeweight=".96pt" strokecolor="#000000">
              <v:path arrowok="t"/>
            </v:shape>
            <w10:wrap type="none"/>
          </v:group>
        </w:pict>
      </w:r>
      <w:r>
        <w:rPr/>
        <w:pict>
          <v:group style="position:absolute;margin-left:229.559998pt;margin-top:18.903564pt;width:79.8pt;height:.1pt;mso-position-horizontal-relative:page;mso-position-vertical-relative:paragraph;z-index:-551992" coordorigin="4591,378" coordsize="1596,2">
            <v:shape style="position:absolute;left:4591;top:378;width:1596;height:2" coordorigin="4591,378" coordsize="1596,0" path="m4591,378l6187,378e" filled="false" stroked="true" strokeweight=".48pt" strokecolor="#000000">
              <v:path arrowok="t"/>
            </v:shape>
            <w10:wrap type="none"/>
          </v:group>
        </w:pict>
      </w:r>
      <w:r>
        <w:rPr/>
        <w:pict>
          <v:group style="position:absolute;margin-left:329.160004pt;margin-top:19.143564pt;width:65.2pt;height:.1pt;mso-position-horizontal-relative:page;mso-position-vertical-relative:paragraph;z-index:-551968" coordorigin="6583,383" coordsize="1304,2">
            <v:shape style="position:absolute;left:6583;top:383;width:1304;height:2" coordorigin="6583,383" coordsize="1304,0" path="m6583,383l7886,383e" filled="false" stroked="true" strokeweight=".96pt" strokecolor="#000000">
              <v:path arrowok="t"/>
            </v:shape>
            <w10:wrap type="none"/>
          </v:group>
        </w:pict>
      </w:r>
      <w:r>
        <w:rPr/>
        <w:pict>
          <v:group style="position:absolute;margin-left:406.200012pt;margin-top:18.903564pt;width:63.35pt;height:.1pt;mso-position-horizontal-relative:page;mso-position-vertical-relative:paragraph;z-index:-551944" coordorigin="8124,378" coordsize="1267,2">
            <v:shape style="position:absolute;left:8124;top:378;width:1267;height:2" coordorigin="8124,378" coordsize="1267,0" path="m8124,378l9391,378e" filled="false" stroked="true" strokeweight=".48pt" strokecolor="#000000">
              <v:path arrowok="t"/>
            </v:shape>
            <w10:wrap type="none"/>
          </v:group>
        </w:pict>
      </w:r>
      <w:r>
        <w:rPr>
          <w:rFonts w:ascii="宋体" w:hAnsi="宋体" w:cs="宋体" w:eastAsia="宋体" w:hint="default"/>
          <w:position w:val="-13"/>
          <w:sz w:val="21"/>
          <w:szCs w:val="21"/>
        </w:rPr>
        <w:t>性质</w:t>
        <w:tab/>
      </w:r>
      <w:r>
        <w:rPr>
          <w:rFonts w:ascii="宋体" w:hAnsi="宋体" w:cs="宋体" w:eastAsia="宋体" w:hint="default"/>
          <w:spacing w:val="-1"/>
          <w:sz w:val="21"/>
          <w:szCs w:val="21"/>
        </w:rPr>
        <w:t>核销金额</w:t>
        <w:tab/>
        <w:t>核销原因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2"/>
          <w:szCs w:val="22"/>
        </w:rPr>
      </w:pPr>
    </w:p>
    <w:p>
      <w:pPr>
        <w:spacing w:before="0"/>
        <w:ind w:left="1004" w:right="314" w:hanging="392"/>
        <w:jc w:val="left"/>
        <w:rPr>
          <w:rFonts w:ascii="宋体" w:hAnsi="宋体" w:cs="宋体" w:eastAsia="宋体" w:hint="default"/>
          <w:sz w:val="21"/>
          <w:szCs w:val="21"/>
        </w:rPr>
      </w:pPr>
      <w:r>
        <w:rPr/>
        <w:pict>
          <v:group style="position:absolute;margin-left:484.559998pt;margin-top:29.43368pt;width:77.55pt;height:.1pt;mso-position-horizontal-relative:page;mso-position-vertical-relative:paragraph;z-index:-551920" coordorigin="9691,589" coordsize="1551,2">
            <v:shape style="position:absolute;left:9691;top:589;width:1551;height:2" coordorigin="9691,589" coordsize="1551,0" path="m9691,589l11241,589e" filled="false" stroked="true" strokeweight=".96pt" strokecolor="#000000">
              <v:path arrowok="t"/>
            </v:shape>
            <w10:wrap type="none"/>
          </v:group>
        </w:pict>
      </w:r>
      <w:r>
        <w:rPr>
          <w:rFonts w:ascii="宋体" w:hAnsi="宋体" w:cs="宋体" w:eastAsia="宋体" w:hint="default"/>
          <w:spacing w:val="-1"/>
          <w:sz w:val="21"/>
          <w:szCs w:val="21"/>
        </w:rPr>
        <w:t>是否关联交易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产生</w:t>
      </w:r>
    </w:p>
    <w:p>
      <w:pPr>
        <w:spacing w:after="0"/>
        <w:jc w:val="left"/>
        <w:rPr>
          <w:rFonts w:ascii="宋体" w:hAnsi="宋体" w:cs="宋体" w:eastAsia="宋体" w:hint="default"/>
          <w:sz w:val="21"/>
          <w:szCs w:val="21"/>
        </w:rPr>
        <w:sectPr>
          <w:type w:val="continuous"/>
          <w:pgSz w:w="11900" w:h="16840"/>
          <w:pgMar w:top="1040" w:bottom="1180" w:left="1060" w:right="480"/>
          <w:cols w:num="2" w:equalWidth="0">
            <w:col w:w="8120" w:space="40"/>
            <w:col w:w="2200"/>
          </w:cols>
        </w:sectPr>
      </w:pPr>
    </w:p>
    <w:p>
      <w:pPr>
        <w:tabs>
          <w:tab w:pos="3907" w:val="left" w:leader="none"/>
          <w:tab w:pos="5772" w:val="left" w:leader="none"/>
          <w:tab w:pos="7277" w:val="left" w:leader="none"/>
          <w:tab w:pos="9298" w:val="left" w:leader="none"/>
        </w:tabs>
        <w:spacing w:before="14"/>
        <w:ind w:left="706" w:right="0" w:firstLine="0"/>
        <w:jc w:val="left"/>
        <w:rPr>
          <w:rFonts w:ascii="宋体" w:hAnsi="宋体" w:cs="宋体" w:eastAsia="宋体" w:hint="default"/>
          <w:sz w:val="21"/>
          <w:szCs w:val="21"/>
        </w:rPr>
      </w:pPr>
      <w:r>
        <w:rPr>
          <w:rFonts w:ascii="宋体" w:hAnsi="宋体" w:cs="宋体" w:eastAsia="宋体" w:hint="default"/>
          <w:spacing w:val="-2"/>
          <w:sz w:val="21"/>
          <w:szCs w:val="21"/>
        </w:rPr>
        <w:t>上海民申置业有限公司</w:t>
        <w:tab/>
      </w:r>
      <w:r>
        <w:rPr>
          <w:rFonts w:ascii="宋体" w:hAnsi="宋体" w:cs="宋体" w:eastAsia="宋体" w:hint="default"/>
          <w:spacing w:val="-1"/>
          <w:sz w:val="21"/>
          <w:szCs w:val="21"/>
        </w:rPr>
        <w:t>租房押金</w:t>
        <w:tab/>
      </w:r>
      <w:r>
        <w:rPr>
          <w:rFonts w:ascii="Times New Roman" w:hAnsi="Times New Roman" w:cs="Times New Roman" w:eastAsia="Times New Roman" w:hint="default"/>
          <w:spacing w:val="-1"/>
          <w:position w:val="2"/>
          <w:sz w:val="21"/>
          <w:szCs w:val="21"/>
        </w:rPr>
        <w:t>600,000.00</w:t>
        <w:tab/>
      </w:r>
      <w:r>
        <w:rPr>
          <w:rFonts w:ascii="宋体" w:hAnsi="宋体" w:cs="宋体" w:eastAsia="宋体" w:hint="default"/>
          <w:spacing w:val="-1"/>
          <w:sz w:val="21"/>
          <w:szCs w:val="21"/>
        </w:rPr>
        <w:t>无法收回</w:t>
        <w:tab/>
      </w:r>
      <w:r>
        <w:rPr>
          <w:rFonts w:ascii="宋体" w:hAnsi="宋体" w:cs="宋体" w:eastAsia="宋体" w:hint="default"/>
          <w:sz w:val="21"/>
          <w:szCs w:val="21"/>
        </w:rPr>
        <w:t>否</w:t>
      </w:r>
    </w:p>
    <w:p>
      <w:pPr>
        <w:spacing w:line="240" w:lineRule="auto" w:before="4"/>
        <w:rPr>
          <w:rFonts w:ascii="宋体" w:hAnsi="宋体" w:cs="宋体" w:eastAsia="宋体" w:hint="default"/>
          <w:sz w:val="2"/>
          <w:szCs w:val="2"/>
        </w:rPr>
      </w:pPr>
    </w:p>
    <w:p>
      <w:pPr>
        <w:spacing w:line="43" w:lineRule="exact"/>
        <w:ind w:left="5516" w:right="0" w:firstLine="0"/>
        <w:rPr>
          <w:rFonts w:ascii="宋体" w:hAnsi="宋体" w:cs="宋体" w:eastAsia="宋体" w:hint="default"/>
          <w:sz w:val="4"/>
          <w:szCs w:val="4"/>
        </w:rPr>
      </w:pPr>
      <w:r>
        <w:rPr>
          <w:rFonts w:ascii="宋体" w:hAnsi="宋体" w:cs="宋体" w:eastAsia="宋体" w:hint="default"/>
          <w:position w:val="0"/>
          <w:sz w:val="4"/>
          <w:szCs w:val="4"/>
        </w:rPr>
        <w:pict>
          <v:group style="width:65.9pt;height:2.15pt;mso-position-horizontal-relative:char;mso-position-vertical-relative:line" coordorigin="0,0" coordsize="1318,43">
            <v:group style="position:absolute;left:7;top:7;width:1304;height:2" coordorigin="7,7" coordsize="1304,2">
              <v:shape style="position:absolute;left:7;top:7;width:1304;height:2" coordorigin="7,7" coordsize="1304,0" path="m7,7l1310,7e" filled="false" stroked="true" strokeweight=".71pt" strokecolor="#000000">
                <v:path arrowok="t"/>
              </v:shape>
            </v:group>
            <v:group style="position:absolute;left:7;top:36;width:1304;height:2" coordorigin="7,36" coordsize="1304,2">
              <v:shape style="position:absolute;left:7;top:36;width:1304;height:2" coordorigin="7,36" coordsize="1304,0" path="m7,36l1310,36e" filled="false" stroked="true" strokeweight=".71pt" strokecolor="#000000">
                <v:path arrowok="t"/>
              </v:shape>
            </v:group>
          </v:group>
        </w:pict>
      </w:r>
      <w:r>
        <w:rPr>
          <w:rFonts w:ascii="宋体" w:hAnsi="宋体" w:cs="宋体" w:eastAsia="宋体" w:hint="default"/>
          <w:position w:val="0"/>
          <w:sz w:val="4"/>
          <w:szCs w:val="4"/>
        </w:rPr>
      </w:r>
    </w:p>
    <w:p>
      <w:pPr>
        <w:spacing w:line="240" w:lineRule="auto" w:before="2"/>
        <w:rPr>
          <w:rFonts w:ascii="宋体" w:hAnsi="宋体" w:cs="宋体" w:eastAsia="宋体" w:hint="default"/>
          <w:sz w:val="13"/>
          <w:szCs w:val="13"/>
        </w:rPr>
      </w:pPr>
    </w:p>
    <w:p>
      <w:pPr>
        <w:spacing w:before="36"/>
        <w:ind w:left="706" w:right="0" w:firstLine="0"/>
        <w:jc w:val="left"/>
        <w:rPr>
          <w:rFonts w:ascii="宋体" w:hAnsi="宋体" w:cs="宋体" w:eastAsia="宋体" w:hint="default"/>
          <w:sz w:val="21"/>
          <w:szCs w:val="21"/>
        </w:rPr>
      </w:pPr>
      <w:r>
        <w:rPr>
          <w:rFonts w:ascii="宋体" w:hAnsi="宋体" w:cs="宋体" w:eastAsia="宋体" w:hint="default"/>
          <w:sz w:val="21"/>
          <w:szCs w:val="21"/>
        </w:rPr>
        <w:t>其他应收款核销说明：本年提前退租，上海民申置业有限公司没收本公司原支付押金。</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040" w:bottom="1180" w:left="1060" w:right="480"/>
        </w:sectPr>
      </w:pPr>
    </w:p>
    <w:p>
      <w:pPr>
        <w:spacing w:before="36"/>
        <w:ind w:left="706"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6.3.6</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其他应收款余额前五名单位情况</w:t>
      </w:r>
    </w:p>
    <w:p>
      <w:pPr>
        <w:spacing w:line="240" w:lineRule="auto" w:before="0"/>
        <w:rPr>
          <w:rFonts w:ascii="宋体" w:hAnsi="宋体" w:cs="宋体" w:eastAsia="宋体" w:hint="default"/>
          <w:sz w:val="17"/>
          <w:szCs w:val="17"/>
        </w:rPr>
      </w:pPr>
    </w:p>
    <w:p>
      <w:pPr>
        <w:spacing w:line="205" w:lineRule="exact" w:before="0"/>
        <w:ind w:left="4073" w:right="3084" w:firstLine="0"/>
        <w:jc w:val="center"/>
        <w:rPr>
          <w:rFonts w:ascii="宋体" w:hAnsi="宋体" w:cs="宋体" w:eastAsia="宋体" w:hint="default"/>
          <w:sz w:val="21"/>
          <w:szCs w:val="21"/>
        </w:rPr>
      </w:pPr>
      <w:r>
        <w:rPr/>
        <w:pict>
          <v:shape style="position:absolute;margin-left:136.320007pt;margin-top:9.917259pt;width:42.15pt;height:10.55pt;mso-position-horizontal-relative:page;mso-position-vertical-relative:paragraph;z-index:378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单位名称</w:t>
                  </w:r>
                </w:p>
              </w:txbxContent>
            </v:textbox>
            <w10:wrap type="none"/>
          </v:shape>
        </w:pict>
      </w:r>
      <w:r>
        <w:rPr>
          <w:rFonts w:ascii="宋体" w:hAnsi="宋体" w:cs="宋体" w:eastAsia="宋体" w:hint="default"/>
          <w:sz w:val="21"/>
          <w:szCs w:val="21"/>
        </w:rPr>
        <w:t>与本公司</w:t>
      </w:r>
    </w:p>
    <w:p>
      <w:pPr>
        <w:tabs>
          <w:tab w:pos="6007" w:val="left" w:leader="none"/>
          <w:tab w:pos="7615" w:val="left" w:leader="none"/>
        </w:tabs>
        <w:spacing w:line="345" w:lineRule="exact" w:before="0"/>
        <w:ind w:left="4304" w:right="-17" w:firstLine="0"/>
        <w:jc w:val="left"/>
        <w:rPr>
          <w:rFonts w:ascii="宋体" w:hAnsi="宋体" w:cs="宋体" w:eastAsia="宋体" w:hint="default"/>
          <w:sz w:val="21"/>
          <w:szCs w:val="21"/>
        </w:rPr>
      </w:pPr>
      <w:r>
        <w:rPr>
          <w:rFonts w:ascii="宋体" w:hAnsi="宋体" w:cs="宋体" w:eastAsia="宋体" w:hint="default"/>
          <w:position w:val="-13"/>
          <w:sz w:val="21"/>
          <w:szCs w:val="21"/>
        </w:rPr>
        <w:t>关系</w:t>
        <w:tab/>
      </w:r>
      <w:r>
        <w:rPr>
          <w:rFonts w:ascii="宋体" w:hAnsi="宋体" w:cs="宋体" w:eastAsia="宋体" w:hint="default"/>
          <w:sz w:val="21"/>
          <w:szCs w:val="21"/>
        </w:rPr>
        <w:t>金额</w:t>
        <w:tab/>
        <w:t>年限</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22"/>
          <w:szCs w:val="22"/>
        </w:rPr>
      </w:pPr>
    </w:p>
    <w:p>
      <w:pPr>
        <w:spacing w:line="272" w:lineRule="exact" w:before="0"/>
        <w:ind w:left="706" w:right="120" w:firstLine="36"/>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pacing w:val="-2"/>
          <w:sz w:val="21"/>
          <w:szCs w:val="21"/>
        </w:rPr>
        <w:t>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after="0" w:line="272" w:lineRule="exact"/>
        <w:jc w:val="left"/>
        <w:rPr>
          <w:rFonts w:ascii="宋体" w:hAnsi="宋体" w:cs="宋体" w:eastAsia="宋体" w:hint="default"/>
          <w:sz w:val="21"/>
          <w:szCs w:val="21"/>
        </w:rPr>
        <w:sectPr>
          <w:type w:val="continuous"/>
          <w:pgSz w:w="11900" w:h="16840"/>
          <w:pgMar w:top="1040" w:bottom="1180" w:left="1060" w:right="480"/>
          <w:cols w:num="2" w:equalWidth="0">
            <w:col w:w="8039" w:space="54"/>
            <w:col w:w="2267"/>
          </w:cols>
        </w:sectPr>
      </w:pPr>
    </w:p>
    <w:tbl>
      <w:tblPr>
        <w:tblW w:w="0" w:type="auto"/>
        <w:jc w:val="left"/>
        <w:tblInd w:w="558" w:type="dxa"/>
        <w:tblLayout w:type="fixed"/>
        <w:tblCellMar>
          <w:top w:w="0" w:type="dxa"/>
          <w:left w:w="0" w:type="dxa"/>
          <w:bottom w:w="0" w:type="dxa"/>
          <w:right w:w="0" w:type="dxa"/>
        </w:tblCellMar>
        <w:tblLook w:val="01E0"/>
      </w:tblPr>
      <w:tblGrid>
        <w:gridCol w:w="3301"/>
        <w:gridCol w:w="1308"/>
        <w:gridCol w:w="396"/>
        <w:gridCol w:w="1413"/>
        <w:gridCol w:w="283"/>
        <w:gridCol w:w="1135"/>
        <w:gridCol w:w="295"/>
        <w:gridCol w:w="1548"/>
      </w:tblGrid>
      <w:tr>
        <w:trPr>
          <w:trHeight w:val="281" w:hRule="exact"/>
        </w:trPr>
        <w:tc>
          <w:tcPr>
            <w:tcW w:w="3301" w:type="dxa"/>
            <w:tcBorders>
              <w:top w:val="single" w:sz="4" w:space="0" w:color="000000"/>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上海普天科创电子有限公司</w:t>
            </w:r>
          </w:p>
        </w:tc>
        <w:tc>
          <w:tcPr>
            <w:tcW w:w="1308"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21"/>
                <w:szCs w:val="21"/>
              </w:rPr>
            </w:pPr>
            <w:r>
              <w:rPr>
                <w:rFonts w:ascii="Times New Roman"/>
                <w:spacing w:val="-1"/>
                <w:sz w:val="21"/>
              </w:rPr>
              <w:t>5,000,000.00</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z w:val="21"/>
              </w:rPr>
              <w:t>58.02</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130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1"/>
                <w:szCs w:val="21"/>
              </w:rPr>
            </w:pPr>
            <w:r>
              <w:rPr>
                <w:rFonts w:ascii="Times New Roman"/>
                <w:spacing w:val="-1"/>
                <w:sz w:val="21"/>
              </w:rPr>
              <w:t>1,103,728.00</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1"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z w:val="21"/>
              </w:rPr>
              <w:t>12.81</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中国煤炭科学院上海分院</w:t>
            </w:r>
          </w:p>
        </w:tc>
        <w:tc>
          <w:tcPr>
            <w:tcW w:w="1308"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1"/>
                <w:szCs w:val="21"/>
              </w:rPr>
            </w:pPr>
            <w:r>
              <w:rPr>
                <w:rFonts w:ascii="Times New Roman"/>
                <w:spacing w:val="-1"/>
                <w:sz w:val="21"/>
              </w:rPr>
              <w:t>400,000.00</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2"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4.64</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130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1"/>
                <w:szCs w:val="21"/>
              </w:rPr>
            </w:pPr>
            <w:r>
              <w:rPr>
                <w:rFonts w:ascii="Times New Roman"/>
                <w:spacing w:val="-1"/>
                <w:sz w:val="21"/>
              </w:rPr>
              <w:t>89,242.33</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1"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z w:val="21"/>
              </w:rPr>
              <w:t>1.04</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1308"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1"/>
                <w:szCs w:val="21"/>
              </w:rPr>
            </w:pPr>
            <w:r>
              <w:rPr>
                <w:rFonts w:ascii="Times New Roman"/>
                <w:spacing w:val="-1"/>
                <w:sz w:val="21"/>
              </w:rPr>
              <w:t>309,727.97</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2"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3.59</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都市再生机构</w:t>
            </w:r>
            <w:r>
              <w:rPr>
                <w:rFonts w:ascii="Times New Roman" w:hAnsi="Times New Roman" w:cs="Times New Roman" w:eastAsia="Times New Roman" w:hint="default"/>
                <w:sz w:val="21"/>
                <w:szCs w:val="21"/>
              </w:rPr>
              <w:t>(</w:t>
            </w:r>
            <w:r>
              <w:rPr>
                <w:rFonts w:ascii="宋体" w:hAnsi="宋体" w:cs="宋体" w:eastAsia="宋体" w:hint="default"/>
                <w:sz w:val="21"/>
                <w:szCs w:val="21"/>
              </w:rPr>
              <w:t>日本独立行政法人</w:t>
            </w:r>
            <w:r>
              <w:rPr>
                <w:rFonts w:ascii="Times New Roman" w:hAnsi="Times New Roman" w:cs="Times New Roman" w:eastAsia="Times New Roman" w:hint="default"/>
                <w:sz w:val="21"/>
                <w:szCs w:val="21"/>
              </w:rPr>
              <w:t>)</w:t>
            </w:r>
          </w:p>
        </w:tc>
        <w:tc>
          <w:tcPr>
            <w:tcW w:w="130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1"/>
                <w:szCs w:val="21"/>
              </w:rPr>
            </w:pPr>
            <w:r>
              <w:rPr>
                <w:rFonts w:ascii="Times New Roman"/>
                <w:spacing w:val="-1"/>
                <w:sz w:val="21"/>
              </w:rPr>
              <w:t>94,147.84</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1"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3"/>
              <w:jc w:val="right"/>
              <w:rPr>
                <w:rFonts w:ascii="Times New Roman" w:hAnsi="Times New Roman" w:cs="Times New Roman" w:eastAsia="Times New Roman" w:hint="default"/>
                <w:sz w:val="21"/>
                <w:szCs w:val="21"/>
              </w:rPr>
            </w:pPr>
            <w:r>
              <w:rPr>
                <w:rFonts w:ascii="Times New Roman"/>
                <w:sz w:val="21"/>
              </w:rPr>
              <w:t>1.09</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都市再生机构</w:t>
            </w:r>
            <w:r>
              <w:rPr>
                <w:rFonts w:ascii="Times New Roman" w:hAnsi="Times New Roman" w:cs="Times New Roman" w:eastAsia="Times New Roman" w:hint="default"/>
                <w:sz w:val="21"/>
                <w:szCs w:val="21"/>
              </w:rPr>
              <w:t>(</w:t>
            </w:r>
            <w:r>
              <w:rPr>
                <w:rFonts w:ascii="宋体" w:hAnsi="宋体" w:cs="宋体" w:eastAsia="宋体" w:hint="default"/>
                <w:sz w:val="21"/>
                <w:szCs w:val="21"/>
              </w:rPr>
              <w:t>日本独立行政法人</w:t>
            </w:r>
            <w:r>
              <w:rPr>
                <w:rFonts w:ascii="Times New Roman" w:hAnsi="Times New Roman" w:cs="Times New Roman" w:eastAsia="Times New Roman" w:hint="default"/>
                <w:sz w:val="21"/>
                <w:szCs w:val="21"/>
              </w:rPr>
              <w:t>)</w:t>
            </w:r>
          </w:p>
        </w:tc>
        <w:tc>
          <w:tcPr>
            <w:tcW w:w="1308"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1"/>
                <w:szCs w:val="21"/>
              </w:rPr>
            </w:pPr>
            <w:r>
              <w:rPr>
                <w:rFonts w:ascii="Times New Roman"/>
                <w:spacing w:val="-1"/>
                <w:sz w:val="21"/>
              </w:rPr>
              <w:t>27,522.76</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2" w:lineRule="exact"/>
              <w:ind w:right="108"/>
              <w:jc w:val="righ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0.32</w:t>
            </w:r>
          </w:p>
        </w:tc>
      </w:tr>
      <w:tr>
        <w:trPr>
          <w:trHeight w:val="273"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都市再生机构</w:t>
            </w:r>
            <w:r>
              <w:rPr>
                <w:rFonts w:ascii="Times New Roman" w:hAnsi="Times New Roman" w:cs="Times New Roman" w:eastAsia="Times New Roman" w:hint="default"/>
                <w:sz w:val="21"/>
                <w:szCs w:val="21"/>
              </w:rPr>
              <w:t>(</w:t>
            </w:r>
            <w:r>
              <w:rPr>
                <w:rFonts w:ascii="宋体" w:hAnsi="宋体" w:cs="宋体" w:eastAsia="宋体" w:hint="default"/>
                <w:sz w:val="21"/>
                <w:szCs w:val="21"/>
              </w:rPr>
              <w:t>日本独立行政法人</w:t>
            </w:r>
            <w:r>
              <w:rPr>
                <w:rFonts w:ascii="Times New Roman" w:hAnsi="Times New Roman" w:cs="Times New Roman" w:eastAsia="Times New Roman" w:hint="default"/>
                <w:sz w:val="21"/>
                <w:szCs w:val="21"/>
              </w:rPr>
              <w:t>)</w:t>
            </w:r>
          </w:p>
        </w:tc>
        <w:tc>
          <w:tcPr>
            <w:tcW w:w="130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6"/>
              <w:jc w:val="right"/>
              <w:rPr>
                <w:rFonts w:ascii="Times New Roman" w:hAnsi="Times New Roman" w:cs="Times New Roman" w:eastAsia="Times New Roman" w:hint="default"/>
                <w:sz w:val="21"/>
                <w:szCs w:val="21"/>
              </w:rPr>
            </w:pPr>
            <w:r>
              <w:rPr>
                <w:rFonts w:ascii="Times New Roman"/>
                <w:spacing w:val="-1"/>
                <w:sz w:val="21"/>
              </w:rPr>
              <w:t>24,304.87</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51" w:lineRule="exact"/>
              <w:ind w:right="107"/>
              <w:jc w:val="righ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103"/>
              <w:jc w:val="right"/>
              <w:rPr>
                <w:rFonts w:ascii="Times New Roman" w:hAnsi="Times New Roman" w:cs="Times New Roman" w:eastAsia="Times New Roman" w:hint="default"/>
                <w:sz w:val="21"/>
                <w:szCs w:val="21"/>
              </w:rPr>
            </w:pPr>
            <w:r>
              <w:rPr>
                <w:rFonts w:ascii="Times New Roman"/>
                <w:sz w:val="21"/>
              </w:rPr>
              <w:t>0.28</w:t>
            </w:r>
          </w:p>
        </w:tc>
      </w:tr>
      <w:tr>
        <w:trPr>
          <w:trHeight w:val="29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5" w:lineRule="exact"/>
              <w:ind w:left="1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8"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21"/>
                <w:szCs w:val="21"/>
              </w:rPr>
            </w:pPr>
            <w:r>
              <w:rPr>
                <w:rFonts w:ascii="Times New Roman"/>
                <w:spacing w:val="-1"/>
                <w:sz w:val="21"/>
              </w:rPr>
              <w:t>7,048,673.77</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z w:val="21"/>
              </w:rPr>
              <w:t>81.79</w:t>
            </w:r>
          </w:p>
        </w:tc>
      </w:tr>
    </w:tbl>
    <w:p>
      <w:pPr>
        <w:spacing w:line="240" w:lineRule="auto" w:before="1"/>
        <w:rPr>
          <w:rFonts w:ascii="宋体" w:hAnsi="宋体" w:cs="宋体" w:eastAsia="宋体" w:hint="default"/>
          <w:sz w:val="13"/>
          <w:szCs w:val="13"/>
        </w:rPr>
      </w:pPr>
    </w:p>
    <w:p>
      <w:pPr>
        <w:spacing w:line="274" w:lineRule="exact" w:before="62"/>
        <w:ind w:left="59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6.3.7 </w:t>
      </w:r>
      <w:r>
        <w:rPr>
          <w:rFonts w:ascii="宋体" w:hAnsi="宋体" w:cs="宋体" w:eastAsia="宋体" w:hint="default"/>
          <w:sz w:val="21"/>
          <w:szCs w:val="21"/>
        </w:rPr>
        <w:t>其他应收款年末数比年初数增加 </w:t>
      </w:r>
      <w:r>
        <w:rPr>
          <w:rFonts w:ascii="Times New Roman" w:hAnsi="Times New Roman" w:cs="Times New Roman" w:eastAsia="Times New Roman" w:hint="default"/>
          <w:sz w:val="21"/>
          <w:szCs w:val="21"/>
        </w:rPr>
        <w:t>4,491,896.32 </w:t>
      </w:r>
      <w:r>
        <w:rPr>
          <w:rFonts w:ascii="宋体" w:hAnsi="宋体" w:cs="宋体" w:eastAsia="宋体" w:hint="default"/>
          <w:spacing w:val="-3"/>
          <w:sz w:val="21"/>
          <w:szCs w:val="21"/>
        </w:rPr>
        <w:t>元，增加比例为</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134.38%</w:t>
      </w:r>
      <w:r>
        <w:rPr>
          <w:rFonts w:ascii="宋体" w:hAnsi="宋体" w:cs="宋体" w:eastAsia="宋体" w:hint="default"/>
          <w:sz w:val="21"/>
          <w:szCs w:val="21"/>
        </w:rPr>
        <w:t>，增加原因为：本年支付购房</w:t>
      </w:r>
      <w:r>
        <w:rPr>
          <w:rFonts w:ascii="宋体" w:hAnsi="宋体" w:cs="宋体" w:eastAsia="宋体" w:hint="default"/>
          <w:w w:val="100"/>
          <w:sz w:val="21"/>
          <w:szCs w:val="21"/>
        </w:rPr>
        <w:t> </w:t>
      </w:r>
      <w:r>
        <w:rPr>
          <w:rFonts w:ascii="宋体" w:hAnsi="宋体" w:cs="宋体" w:eastAsia="宋体" w:hint="default"/>
          <w:sz w:val="21"/>
          <w:szCs w:val="21"/>
        </w:rPr>
        <w:t>意向金所致。</w:t>
      </w:r>
    </w:p>
    <w:p>
      <w:pPr>
        <w:spacing w:after="0" w:line="274" w:lineRule="exact"/>
        <w:jc w:val="left"/>
        <w:rPr>
          <w:rFonts w:ascii="宋体" w:hAnsi="宋体" w:cs="宋体" w:eastAsia="宋体" w:hint="default"/>
          <w:sz w:val="21"/>
          <w:szCs w:val="21"/>
        </w:rPr>
        <w:sectPr>
          <w:type w:val="continuous"/>
          <w:pgSz w:w="11900" w:h="16840"/>
          <w:pgMar w:top="1040" w:bottom="1180" w:left="1060" w:right="480"/>
        </w:sectPr>
      </w:pPr>
    </w:p>
    <w:p>
      <w:pPr>
        <w:spacing w:line="240" w:lineRule="auto" w:before="10"/>
        <w:rPr>
          <w:rFonts w:ascii="宋体" w:hAnsi="宋体" w:cs="宋体" w:eastAsia="宋体" w:hint="default"/>
          <w:sz w:val="12"/>
          <w:szCs w:val="12"/>
        </w:rPr>
      </w:pPr>
    </w:p>
    <w:p>
      <w:pPr>
        <w:tabs>
          <w:tab w:pos="739" w:val="left" w:leader="none"/>
        </w:tabs>
        <w:spacing w:before="41"/>
        <w:ind w:left="10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16"/>
          <w:szCs w:val="16"/>
        </w:rPr>
      </w:pPr>
    </w:p>
    <w:p>
      <w:pPr>
        <w:tabs>
          <w:tab w:pos="754" w:val="left" w:leader="none"/>
        </w:tabs>
        <w:spacing w:before="46"/>
        <w:ind w:left="276"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6.4</w:t>
        <w:tab/>
      </w:r>
      <w:r>
        <w:rPr>
          <w:rFonts w:ascii="宋体" w:hAnsi="宋体" w:cs="宋体" w:eastAsia="宋体" w:hint="default"/>
          <w:sz w:val="21"/>
          <w:szCs w:val="21"/>
        </w:rPr>
        <w:t>预付款项</w:t>
      </w:r>
    </w:p>
    <w:p>
      <w:pPr>
        <w:spacing w:line="240" w:lineRule="auto" w:before="3"/>
        <w:rPr>
          <w:rFonts w:ascii="宋体" w:hAnsi="宋体" w:cs="宋体" w:eastAsia="宋体" w:hint="default"/>
          <w:sz w:val="18"/>
          <w:szCs w:val="18"/>
        </w:rPr>
      </w:pPr>
    </w:p>
    <w:p>
      <w:pPr>
        <w:spacing w:before="0"/>
        <w:ind w:left="7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6.4.1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预付账款按账龄列示</w:t>
      </w:r>
    </w:p>
    <w:p>
      <w:pPr>
        <w:spacing w:line="240" w:lineRule="auto" w:before="0"/>
        <w:rPr>
          <w:rFonts w:ascii="宋体" w:hAnsi="宋体" w:cs="宋体" w:eastAsia="宋体" w:hint="default"/>
          <w:sz w:val="17"/>
          <w:szCs w:val="17"/>
        </w:rPr>
      </w:pPr>
    </w:p>
    <w:p>
      <w:pPr>
        <w:tabs>
          <w:tab w:pos="2451" w:val="left" w:leader="none"/>
          <w:tab w:pos="3442" w:val="left" w:leader="none"/>
          <w:tab w:pos="6161" w:val="left" w:leader="none"/>
          <w:tab w:pos="6600" w:val="left" w:leader="none"/>
          <w:tab w:pos="7558" w:val="left" w:leader="none"/>
          <w:tab w:pos="10246" w:val="left" w:leader="none"/>
        </w:tabs>
        <w:spacing w:before="0"/>
        <w:ind w:left="1186" w:right="0" w:firstLine="0"/>
        <w:jc w:val="left"/>
        <w:rPr>
          <w:rFonts w:ascii="宋体" w:hAnsi="宋体" w:cs="宋体" w:eastAsia="宋体" w:hint="default"/>
          <w:sz w:val="21"/>
          <w:szCs w:val="21"/>
        </w:rPr>
      </w:pPr>
      <w:r>
        <w:rPr/>
        <w:pict>
          <v:shape style="position:absolute;margin-left:94.32pt;margin-top:17.357283pt;width:480pt;height:80.4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9"/>
                    <w:gridCol w:w="103"/>
                    <w:gridCol w:w="101"/>
                    <w:gridCol w:w="151"/>
                    <w:gridCol w:w="1505"/>
                    <w:gridCol w:w="106"/>
                    <w:gridCol w:w="439"/>
                    <w:gridCol w:w="468"/>
                    <w:gridCol w:w="1370"/>
                    <w:gridCol w:w="214"/>
                    <w:gridCol w:w="283"/>
                    <w:gridCol w:w="1310"/>
                  </w:tblGrid>
                  <w:tr>
                    <w:trPr>
                      <w:trHeight w:val="246" w:hRule="exact"/>
                    </w:trPr>
                    <w:tc>
                      <w:tcPr>
                        <w:tcW w:w="3549"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hAnsi="宋体" w:cs="宋体" w:eastAsia="宋体" w:hint="default"/>
                            <w:sz w:val="21"/>
                            <w:szCs w:val="21"/>
                          </w:rPr>
                          <w:t>金额</w:t>
                        </w:r>
                      </w:p>
                    </w:tc>
                    <w:tc>
                      <w:tcPr>
                        <w:tcW w:w="103"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Style w:val="TableParagraph"/>
                          <w:spacing w:line="227" w:lineRule="exact"/>
                          <w:ind w:right="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06" w:type="dxa"/>
                        <w:tcBorders>
                          <w:top w:val="nil" w:sz="6" w:space="0" w:color="auto"/>
                          <w:left w:val="nil" w:sz="6" w:space="0" w:color="auto"/>
                          <w:bottom w:val="single" w:sz="4" w:space="0" w:color="000000"/>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single" w:sz="4" w:space="0" w:color="000000"/>
                          <w:right w:val="nil" w:sz="6" w:space="0" w:color="auto"/>
                        </w:tcBorders>
                      </w:tcPr>
                      <w:p>
                        <w:pPr/>
                      </w:p>
                    </w:tc>
                    <w:tc>
                      <w:tcPr>
                        <w:tcW w:w="1370" w:type="dxa"/>
                        <w:tcBorders>
                          <w:top w:val="nil" w:sz="6" w:space="0" w:color="auto"/>
                          <w:left w:val="nil" w:sz="6" w:space="0" w:color="auto"/>
                          <w:bottom w:val="single" w:sz="4" w:space="0" w:color="000000"/>
                          <w:right w:val="nil" w:sz="6" w:space="0" w:color="auto"/>
                        </w:tcBorders>
                      </w:tcPr>
                      <w:p>
                        <w:pPr>
                          <w:pStyle w:val="TableParagraph"/>
                          <w:spacing w:line="211" w:lineRule="exact"/>
                          <w:ind w:left="5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14"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310" w:type="dxa"/>
                        <w:tcBorders>
                          <w:top w:val="nil" w:sz="6" w:space="0" w:color="auto"/>
                          <w:left w:val="nil" w:sz="6" w:space="0" w:color="auto"/>
                          <w:bottom w:val="single" w:sz="4" w:space="0" w:color="000000"/>
                          <w:right w:val="nil" w:sz="6" w:space="0" w:color="auto"/>
                        </w:tcBorders>
                      </w:tcPr>
                      <w:p>
                        <w:pPr>
                          <w:pStyle w:val="TableParagraph"/>
                          <w:spacing w:line="227"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302" w:hRule="exact"/>
                    </w:trPr>
                    <w:tc>
                      <w:tcPr>
                        <w:tcW w:w="3549" w:type="dxa"/>
                        <w:tcBorders>
                          <w:top w:val="single" w:sz="4" w:space="0" w:color="000000"/>
                          <w:left w:val="nil" w:sz="6" w:space="0" w:color="auto"/>
                          <w:bottom w:val="single" w:sz="11" w:space="0" w:color="000000"/>
                          <w:right w:val="nil" w:sz="6" w:space="0" w:color="auto"/>
                        </w:tcBorders>
                      </w:tcPr>
                      <w:p>
                        <w:pPr>
                          <w:pStyle w:val="TableParagraph"/>
                          <w:tabs>
                            <w:tab w:pos="2344" w:val="left" w:leader="none"/>
                          </w:tabs>
                          <w:spacing w:line="266" w:lineRule="exact"/>
                          <w:ind w:right="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pacing w:val="-1"/>
                            <w:sz w:val="21"/>
                            <w:szCs w:val="21"/>
                          </w:rPr>
                          <w:t>年以内</w:t>
                          <w:tab/>
                        </w:r>
                        <w:r>
                          <w:rPr>
                            <w:rFonts w:ascii="Times New Roman" w:hAnsi="Times New Roman" w:cs="Times New Roman" w:eastAsia="Times New Roman" w:hint="default"/>
                            <w:spacing w:val="-2"/>
                            <w:sz w:val="21"/>
                            <w:szCs w:val="21"/>
                          </w:rPr>
                          <w:t>1,119,686.44</w:t>
                        </w:r>
                      </w:p>
                    </w:tc>
                    <w:tc>
                      <w:tcPr>
                        <w:tcW w:w="103" w:type="dxa"/>
                        <w:tcBorders>
                          <w:top w:val="single" w:sz="4" w:space="0" w:color="000000"/>
                          <w:left w:val="nil" w:sz="6" w:space="0" w:color="auto"/>
                          <w:bottom w:val="single" w:sz="11"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505" w:type="dxa"/>
                        <w:tcBorders>
                          <w:top w:val="single" w:sz="4" w:space="0" w:color="000000"/>
                          <w:left w:val="nil" w:sz="6" w:space="0" w:color="auto"/>
                          <w:bottom w:val="single" w:sz="11" w:space="0" w:color="000000"/>
                          <w:right w:val="nil" w:sz="6" w:space="0" w:color="auto"/>
                        </w:tcBorders>
                      </w:tcPr>
                      <w:p>
                        <w:pPr>
                          <w:pStyle w:val="TableParagraph"/>
                          <w:spacing w:line="240" w:lineRule="auto" w:before="19"/>
                          <w:ind w:right="0"/>
                          <w:jc w:val="right"/>
                          <w:rPr>
                            <w:rFonts w:ascii="Times New Roman" w:hAnsi="Times New Roman" w:cs="Times New Roman" w:eastAsia="Times New Roman" w:hint="default"/>
                            <w:sz w:val="21"/>
                            <w:szCs w:val="21"/>
                          </w:rPr>
                        </w:pPr>
                        <w:r>
                          <w:rPr>
                            <w:rFonts w:ascii="Times New Roman"/>
                            <w:sz w:val="21"/>
                          </w:rPr>
                          <w:t>100.00</w:t>
                        </w:r>
                      </w:p>
                    </w:tc>
                    <w:tc>
                      <w:tcPr>
                        <w:tcW w:w="106" w:type="dxa"/>
                        <w:tcBorders>
                          <w:top w:val="single" w:sz="4" w:space="0" w:color="000000"/>
                          <w:left w:val="nil" w:sz="6" w:space="0" w:color="auto"/>
                          <w:bottom w:val="single" w:sz="11" w:space="0" w:color="000000"/>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468" w:type="dxa"/>
                        <w:tcBorders>
                          <w:top w:val="single" w:sz="4" w:space="0" w:color="000000"/>
                          <w:left w:val="nil" w:sz="6" w:space="0" w:color="auto"/>
                          <w:bottom w:val="single" w:sz="11" w:space="0" w:color="000000"/>
                          <w:right w:val="nil" w:sz="6" w:space="0" w:color="auto"/>
                        </w:tcBorders>
                      </w:tcPr>
                      <w:p>
                        <w:pPr/>
                      </w:p>
                    </w:tc>
                    <w:tc>
                      <w:tcPr>
                        <w:tcW w:w="1370" w:type="dxa"/>
                        <w:tcBorders>
                          <w:top w:val="single" w:sz="4" w:space="0" w:color="000000"/>
                          <w:left w:val="nil" w:sz="6" w:space="0" w:color="auto"/>
                          <w:bottom w:val="single" w:sz="11" w:space="0" w:color="000000"/>
                          <w:right w:val="nil" w:sz="6" w:space="0" w:color="auto"/>
                        </w:tcBorders>
                      </w:tcPr>
                      <w:p>
                        <w:pPr>
                          <w:pStyle w:val="TableParagraph"/>
                          <w:spacing w:line="240" w:lineRule="auto" w:before="19"/>
                          <w:ind w:left="26" w:right="0"/>
                          <w:jc w:val="left"/>
                          <w:rPr>
                            <w:rFonts w:ascii="Times New Roman" w:hAnsi="Times New Roman" w:cs="Times New Roman" w:eastAsia="Times New Roman" w:hint="default"/>
                            <w:sz w:val="21"/>
                            <w:szCs w:val="21"/>
                          </w:rPr>
                        </w:pPr>
                        <w:r>
                          <w:rPr>
                            <w:rFonts w:ascii="Times New Roman"/>
                            <w:sz w:val="21"/>
                          </w:rPr>
                          <w:t>492,783.19</w:t>
                        </w:r>
                      </w:p>
                    </w:tc>
                    <w:tc>
                      <w:tcPr>
                        <w:tcW w:w="214" w:type="dxa"/>
                        <w:tcBorders>
                          <w:top w:val="single" w:sz="4" w:space="0" w:color="000000"/>
                          <w:left w:val="nil" w:sz="6" w:space="0" w:color="auto"/>
                          <w:bottom w:val="single" w:sz="11" w:space="0" w:color="000000"/>
                          <w:right w:val="nil" w:sz="6" w:space="0" w:color="auto"/>
                        </w:tcBorders>
                      </w:tcPr>
                      <w:p>
                        <w:pPr/>
                      </w:p>
                    </w:tc>
                    <w:tc>
                      <w:tcPr>
                        <w:tcW w:w="283" w:type="dxa"/>
                        <w:tcBorders>
                          <w:top w:val="single" w:sz="4" w:space="0" w:color="000000"/>
                          <w:left w:val="nil" w:sz="6" w:space="0" w:color="auto"/>
                          <w:bottom w:val="single" w:sz="11" w:space="0" w:color="000000"/>
                          <w:right w:val="nil" w:sz="6" w:space="0" w:color="auto"/>
                        </w:tcBorders>
                      </w:tcPr>
                      <w:p>
                        <w:pPr/>
                      </w:p>
                    </w:tc>
                    <w:tc>
                      <w:tcPr>
                        <w:tcW w:w="1310" w:type="dxa"/>
                        <w:tcBorders>
                          <w:top w:val="single" w:sz="4" w:space="0" w:color="000000"/>
                          <w:left w:val="nil" w:sz="6" w:space="0" w:color="auto"/>
                          <w:bottom w:val="single" w:sz="11" w:space="0" w:color="000000"/>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21"/>
                            <w:szCs w:val="21"/>
                          </w:rPr>
                        </w:pPr>
                        <w:r>
                          <w:rPr>
                            <w:rFonts w:ascii="Times New Roman"/>
                            <w:sz w:val="21"/>
                          </w:rPr>
                          <w:t>100.00</w:t>
                        </w:r>
                      </w:p>
                    </w:tc>
                  </w:tr>
                  <w:tr>
                    <w:trPr>
                      <w:trHeight w:val="1049" w:hRule="exact"/>
                    </w:trPr>
                    <w:tc>
                      <w:tcPr>
                        <w:tcW w:w="3549" w:type="dxa"/>
                        <w:tcBorders>
                          <w:top w:val="single" w:sz="11" w:space="0" w:color="000000"/>
                          <w:left w:val="nil" w:sz="6" w:space="0" w:color="auto"/>
                          <w:bottom w:val="single" w:sz="4" w:space="0" w:color="000000"/>
                          <w:right w:val="nil" w:sz="6" w:space="0" w:color="auto"/>
                        </w:tcBorders>
                      </w:tcPr>
                      <w:p>
                        <w:pPr>
                          <w:pStyle w:val="TableParagraph"/>
                          <w:spacing w:line="490" w:lineRule="atLeast" w:before="9"/>
                          <w:ind w:left="1315" w:right="182" w:hanging="1208"/>
                          <w:jc w:val="left"/>
                          <w:rPr>
                            <w:rFonts w:ascii="宋体" w:hAnsi="宋体" w:cs="宋体" w:eastAsia="宋体" w:hint="default"/>
                            <w:sz w:val="21"/>
                            <w:szCs w:val="21"/>
                          </w:rPr>
                        </w:pPr>
                        <w:r>
                          <w:rPr>
                            <w:rFonts w:ascii="Times New Roman" w:hAnsi="Times New Roman" w:cs="Times New Roman" w:eastAsia="Times New Roman" w:hint="default"/>
                            <w:sz w:val="21"/>
                            <w:szCs w:val="21"/>
                          </w:rPr>
                          <w:t>6.4.2</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预付账款余额前五名单位情况</w:t>
                        </w:r>
                        <w:r>
                          <w:rPr>
                            <w:rFonts w:ascii="宋体" w:hAnsi="宋体" w:cs="宋体" w:eastAsia="宋体" w:hint="default"/>
                            <w:w w:val="100"/>
                            <w:sz w:val="21"/>
                            <w:szCs w:val="21"/>
                          </w:rPr>
                          <w:t> </w:t>
                        </w:r>
                        <w:r>
                          <w:rPr>
                            <w:rFonts w:ascii="宋体" w:hAnsi="宋体" w:cs="宋体" w:eastAsia="宋体" w:hint="default"/>
                            <w:sz w:val="21"/>
                            <w:szCs w:val="21"/>
                          </w:rPr>
                          <w:t>单位名称</w:t>
                        </w:r>
                      </w:p>
                    </w:tc>
                    <w:tc>
                      <w:tcPr>
                        <w:tcW w:w="103" w:type="dxa"/>
                        <w:tcBorders>
                          <w:top w:val="single" w:sz="11" w:space="0" w:color="000000"/>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single" w:sz="4" w:space="0" w:color="000000"/>
                          <w:right w:val="nil" w:sz="6" w:space="0" w:color="auto"/>
                        </w:tcBorders>
                      </w:tcPr>
                      <w:p>
                        <w:pPr/>
                      </w:p>
                    </w:tc>
                    <w:tc>
                      <w:tcPr>
                        <w:tcW w:w="1505" w:type="dxa"/>
                        <w:tcBorders>
                          <w:top w:val="single" w:sz="11"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06" w:type="dxa"/>
                        <w:tcBorders>
                          <w:top w:val="single" w:sz="11" w:space="0" w:color="000000"/>
                          <w:left w:val="nil" w:sz="6" w:space="0" w:color="auto"/>
                          <w:bottom w:val="nil" w:sz="6" w:space="0" w:color="auto"/>
                          <w:right w:val="nil" w:sz="6" w:space="0" w:color="auto"/>
                        </w:tcBorders>
                      </w:tcPr>
                      <w:p>
                        <w:pPr/>
                      </w:p>
                    </w:tc>
                    <w:tc>
                      <w:tcPr>
                        <w:tcW w:w="439" w:type="dxa"/>
                        <w:tcBorders>
                          <w:top w:val="nil" w:sz="6" w:space="0" w:color="auto"/>
                          <w:left w:val="nil" w:sz="6" w:space="0" w:color="auto"/>
                          <w:bottom w:val="single" w:sz="4" w:space="0" w:color="000000"/>
                          <w:right w:val="nil" w:sz="6" w:space="0" w:color="auto"/>
                        </w:tcBorders>
                      </w:tcPr>
                      <w:p>
                        <w:pPr/>
                      </w:p>
                    </w:tc>
                    <w:tc>
                      <w:tcPr>
                        <w:tcW w:w="468" w:type="dxa"/>
                        <w:tcBorders>
                          <w:top w:val="single" w:sz="11"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370" w:type="dxa"/>
                        <w:tcBorders>
                          <w:top w:val="single" w:sz="11"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时间</w:t>
                        </w:r>
                      </w:p>
                    </w:tc>
                    <w:tc>
                      <w:tcPr>
                        <w:tcW w:w="214" w:type="dxa"/>
                        <w:tcBorders>
                          <w:top w:val="single" w:sz="11" w:space="0" w:color="000000"/>
                          <w:left w:val="nil" w:sz="6" w:space="0" w:color="auto"/>
                          <w:bottom w:val="single" w:sz="4" w:space="0" w:color="000000"/>
                          <w:right w:val="nil" w:sz="6" w:space="0" w:color="auto"/>
                        </w:tcBorders>
                      </w:tcPr>
                      <w:p>
                        <w:pPr/>
                      </w:p>
                    </w:tc>
                    <w:tc>
                      <w:tcPr>
                        <w:tcW w:w="283" w:type="dxa"/>
                        <w:tcBorders>
                          <w:top w:val="single" w:sz="11" w:space="0" w:color="000000"/>
                          <w:left w:val="nil" w:sz="6" w:space="0" w:color="auto"/>
                          <w:bottom w:val="nil" w:sz="6" w:space="0" w:color="auto"/>
                          <w:right w:val="nil" w:sz="6" w:space="0" w:color="auto"/>
                        </w:tcBorders>
                      </w:tcPr>
                      <w:p>
                        <w:pPr/>
                      </w:p>
                    </w:tc>
                    <w:tc>
                      <w:tcPr>
                        <w:tcW w:w="1310" w:type="dxa"/>
                        <w:tcBorders>
                          <w:top w:val="single" w:sz="11"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1"/>
                            <w:sz w:val="21"/>
                            <w:szCs w:val="21"/>
                          </w:rPr>
                          <w:t>未结算原因</w:t>
                        </w:r>
                      </w:p>
                    </w:tc>
                  </w:tr>
                </w:tbl>
                <w:p>
                  <w:pPr/>
                </w:p>
              </w:txbxContent>
            </v:textbox>
            <w10:wrap type="none"/>
          </v:shape>
        </w:pict>
      </w:r>
      <w:r>
        <w:rPr>
          <w:rFonts w:ascii="宋体" w:hAnsi="宋体" w:cs="宋体" w:eastAsia="宋体" w:hint="default"/>
          <w:position w:val="-13"/>
          <w:sz w:val="21"/>
          <w:szCs w:val="21"/>
        </w:rPr>
        <w:t>账龄</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2010</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2"/>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2"/>
          <w:sz w:val="21"/>
          <w:szCs w:val="21"/>
          <w:u w:val="single" w:color="000000"/>
        </w:rPr>
        <w:t> </w:t>
      </w:r>
      <w:r>
        <w:rPr>
          <w:rFonts w:ascii="Times New Roman" w:hAnsi="Times New Roman" w:cs="Times New Roman" w:eastAsia="Times New Roman" w:hint="default"/>
          <w:sz w:val="21"/>
          <w:szCs w:val="21"/>
          <w:u w:val="single" w:color="000000"/>
        </w:rPr>
        <w:t>31 </w:t>
      </w:r>
      <w:r>
        <w:rPr>
          <w:rFonts w:ascii="宋体" w:hAnsi="宋体" w:cs="宋体" w:eastAsia="宋体" w:hint="default"/>
          <w:sz w:val="21"/>
          <w:szCs w:val="21"/>
          <w:u w:val="single" w:color="000000"/>
        </w:rPr>
        <w:t>日</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2009</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2"/>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2"/>
          <w:sz w:val="21"/>
          <w:szCs w:val="21"/>
          <w:u w:val="single" w:color="000000"/>
        </w:rPr>
        <w:t> </w:t>
      </w:r>
      <w:r>
        <w:rPr>
          <w:rFonts w:ascii="Times New Roman" w:hAnsi="Times New Roman" w:cs="Times New Roman" w:eastAsia="Times New Roman" w:hint="default"/>
          <w:sz w:val="21"/>
          <w:szCs w:val="21"/>
          <w:u w:val="single" w:color="000000"/>
        </w:rPr>
        <w:t>31 </w:t>
      </w:r>
      <w:r>
        <w:rPr>
          <w:rFonts w:ascii="宋体" w:hAnsi="宋体" w:cs="宋体" w:eastAsia="宋体" w:hint="default"/>
          <w:sz w:val="21"/>
          <w:szCs w:val="21"/>
          <w:u w:val="single" w:color="000000"/>
        </w:rPr>
        <w:t>日</w:t>
        <w:tab/>
      </w:r>
      <w:r>
        <w:rPr>
          <w:rFonts w:ascii="宋体" w:hAnsi="宋体" w:cs="宋体" w:eastAsia="宋体" w:hint="default"/>
          <w:sz w:val="21"/>
          <w:szCs w:val="21"/>
        </w:rPr>
      </w:r>
    </w:p>
    <w:p>
      <w:pPr>
        <w:spacing w:line="240" w:lineRule="auto" w:before="4"/>
        <w:rPr>
          <w:rFonts w:ascii="宋体" w:hAnsi="宋体" w:cs="宋体" w:eastAsia="宋体" w:hint="default"/>
          <w:sz w:val="13"/>
          <w:szCs w:val="13"/>
        </w:rPr>
      </w:pPr>
    </w:p>
    <w:p>
      <w:pPr>
        <w:spacing w:line="20" w:lineRule="exact"/>
        <w:ind w:left="636" w:right="0" w:firstLine="0"/>
        <w:rPr>
          <w:rFonts w:ascii="宋体" w:hAnsi="宋体" w:cs="宋体" w:eastAsia="宋体" w:hint="default"/>
          <w:sz w:val="2"/>
          <w:szCs w:val="2"/>
        </w:rPr>
      </w:pPr>
      <w:r>
        <w:rPr>
          <w:rFonts w:ascii="宋体" w:hAnsi="宋体" w:cs="宋体" w:eastAsia="宋体" w:hint="default"/>
          <w:sz w:val="2"/>
          <w:szCs w:val="2"/>
        </w:rPr>
        <w:pict>
          <v:group style="width:76.1pt;height:1pt;mso-position-horizontal-relative:char;mso-position-vertical-relative:line" coordorigin="0,0" coordsize="1522,20">
            <v:group style="position:absolute;left:10;top:10;width:1503;height:2" coordorigin="10,10" coordsize="1503,2">
              <v:shape style="position:absolute;left:10;top:10;width:1503;height:2" coordorigin="10,10" coordsize="1503,0" path="m10,10l1512,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665" w:type="dxa"/>
        <w:tblLayout w:type="fixed"/>
        <w:tblCellMar>
          <w:top w:w="0" w:type="dxa"/>
          <w:left w:w="0" w:type="dxa"/>
          <w:bottom w:w="0" w:type="dxa"/>
          <w:right w:w="0" w:type="dxa"/>
        </w:tblCellMar>
        <w:tblLook w:val="01E0"/>
      </w:tblPr>
      <w:tblGrid>
        <w:gridCol w:w="3796"/>
        <w:gridCol w:w="1782"/>
        <w:gridCol w:w="1277"/>
        <w:gridCol w:w="1404"/>
        <w:gridCol w:w="1306"/>
      </w:tblGrid>
      <w:tr>
        <w:trPr>
          <w:trHeight w:val="377"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89"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8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21"/>
                <w:szCs w:val="21"/>
              </w:rPr>
            </w:pPr>
            <w:r>
              <w:rPr>
                <w:rFonts w:ascii="Times New Roman"/>
                <w:spacing w:val="-1"/>
                <w:sz w:val="21"/>
              </w:rPr>
              <w:t>246,864.00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4"/>
              <w:jc w:val="right"/>
              <w:rPr>
                <w:rFonts w:ascii="宋体" w:hAnsi="宋体" w:cs="宋体" w:eastAsia="宋体" w:hint="default"/>
                <w:sz w:val="21"/>
                <w:szCs w:val="21"/>
              </w:rPr>
            </w:pPr>
            <w:r>
              <w:rPr>
                <w:rFonts w:ascii="宋体" w:hAnsi="宋体" w:cs="宋体" w:eastAsia="宋体" w:hint="default"/>
                <w:spacing w:val="-1"/>
                <w:sz w:val="21"/>
                <w:szCs w:val="21"/>
              </w:rPr>
              <w:t>预付房租</w:t>
            </w:r>
          </w:p>
        </w:tc>
      </w:tr>
      <w:tr>
        <w:trPr>
          <w:trHeight w:val="272"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35" w:lineRule="exact"/>
              <w:ind w:left="89" w:right="0"/>
              <w:jc w:val="left"/>
              <w:rPr>
                <w:rFonts w:ascii="宋体" w:hAnsi="宋体" w:cs="宋体" w:eastAsia="宋体" w:hint="default"/>
                <w:sz w:val="21"/>
                <w:szCs w:val="21"/>
              </w:rPr>
            </w:pPr>
            <w:r>
              <w:rPr>
                <w:rFonts w:ascii="宋体" w:hAnsi="宋体" w:cs="宋体" w:eastAsia="宋体" w:hint="default"/>
                <w:sz w:val="21"/>
                <w:szCs w:val="21"/>
              </w:rPr>
              <w:t>日本吉住新都心月租公寓株式会社</w:t>
            </w:r>
          </w:p>
        </w:tc>
        <w:tc>
          <w:tcPr>
            <w:tcW w:w="1782" w:type="dxa"/>
            <w:tcBorders>
              <w:top w:val="nil" w:sz="6" w:space="0" w:color="auto"/>
              <w:left w:val="nil" w:sz="6" w:space="0" w:color="auto"/>
              <w:bottom w:val="nil" w:sz="6" w:space="0" w:color="auto"/>
              <w:right w:val="nil" w:sz="6" w:space="0" w:color="auto"/>
            </w:tcBorders>
          </w:tcPr>
          <w:p>
            <w:pPr>
              <w:pStyle w:val="TableParagraph"/>
              <w:spacing w:line="235" w:lineRule="exact"/>
              <w:ind w:right="38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21"/>
                <w:szCs w:val="21"/>
              </w:rPr>
            </w:pPr>
            <w:r>
              <w:rPr>
                <w:rFonts w:ascii="Times New Roman"/>
                <w:spacing w:val="-1"/>
                <w:sz w:val="21"/>
              </w:rPr>
              <w:t>210,747.81</w:t>
            </w:r>
          </w:p>
        </w:tc>
        <w:tc>
          <w:tcPr>
            <w:tcW w:w="1404" w:type="dxa"/>
            <w:tcBorders>
              <w:top w:val="nil" w:sz="6" w:space="0" w:color="auto"/>
              <w:left w:val="nil" w:sz="6" w:space="0" w:color="auto"/>
              <w:bottom w:val="nil" w:sz="6" w:space="0" w:color="auto"/>
              <w:right w:val="nil" w:sz="6" w:space="0" w:color="auto"/>
            </w:tcBorders>
          </w:tcPr>
          <w:p>
            <w:pPr>
              <w:pStyle w:val="TableParagraph"/>
              <w:spacing w:line="251" w:lineRule="exact"/>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6" w:type="dxa"/>
            <w:tcBorders>
              <w:top w:val="nil" w:sz="6" w:space="0" w:color="auto"/>
              <w:left w:val="nil" w:sz="6" w:space="0" w:color="auto"/>
              <w:bottom w:val="nil" w:sz="6" w:space="0" w:color="auto"/>
              <w:right w:val="nil" w:sz="6" w:space="0" w:color="auto"/>
            </w:tcBorders>
          </w:tcPr>
          <w:p>
            <w:pPr>
              <w:pStyle w:val="TableParagraph"/>
              <w:spacing w:line="235"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预付房租</w:t>
            </w:r>
          </w:p>
        </w:tc>
      </w:tr>
      <w:tr>
        <w:trPr>
          <w:trHeight w:val="272"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52" w:lineRule="exact"/>
              <w:ind w:left="89"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LEO</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pacing w:val="-4"/>
                <w:sz w:val="21"/>
                <w:szCs w:val="21"/>
              </w:rPr>
              <w:t>PALACE</w:t>
            </w:r>
            <w:r>
              <w:rPr>
                <w:rFonts w:ascii="Times New Roman" w:hAnsi="Times New Roman" w:cs="Times New Roman" w:eastAsia="Times New Roman" w:hint="default"/>
                <w:sz w:val="21"/>
                <w:szCs w:val="21"/>
              </w:rPr>
              <w:t> 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株式会社</w:t>
            </w:r>
          </w:p>
        </w:tc>
        <w:tc>
          <w:tcPr>
            <w:tcW w:w="1782" w:type="dxa"/>
            <w:tcBorders>
              <w:top w:val="nil" w:sz="6" w:space="0" w:color="auto"/>
              <w:left w:val="nil" w:sz="6" w:space="0" w:color="auto"/>
              <w:bottom w:val="nil" w:sz="6" w:space="0" w:color="auto"/>
              <w:right w:val="nil" w:sz="6" w:space="0" w:color="auto"/>
            </w:tcBorders>
          </w:tcPr>
          <w:p>
            <w:pPr>
              <w:pStyle w:val="TableParagraph"/>
              <w:spacing w:line="236" w:lineRule="exact"/>
              <w:ind w:right="38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Times New Roman" w:hAnsi="Times New Roman" w:cs="Times New Roman" w:eastAsia="Times New Roman" w:hint="default"/>
                <w:sz w:val="21"/>
                <w:szCs w:val="21"/>
              </w:rPr>
            </w:pPr>
            <w:r>
              <w:rPr>
                <w:rFonts w:ascii="Times New Roman"/>
                <w:spacing w:val="-1"/>
                <w:sz w:val="21"/>
              </w:rPr>
              <w:t>171,185.97</w:t>
            </w:r>
          </w:p>
        </w:tc>
        <w:tc>
          <w:tcPr>
            <w:tcW w:w="1404" w:type="dxa"/>
            <w:tcBorders>
              <w:top w:val="nil" w:sz="6" w:space="0" w:color="auto"/>
              <w:left w:val="nil" w:sz="6" w:space="0" w:color="auto"/>
              <w:bottom w:val="nil" w:sz="6" w:space="0" w:color="auto"/>
              <w:right w:val="nil" w:sz="6" w:space="0" w:color="auto"/>
            </w:tcBorders>
          </w:tcPr>
          <w:p>
            <w:pPr>
              <w:pStyle w:val="TableParagraph"/>
              <w:spacing w:line="252" w:lineRule="exact"/>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6" w:type="dxa"/>
            <w:tcBorders>
              <w:top w:val="nil" w:sz="6" w:space="0" w:color="auto"/>
              <w:left w:val="nil" w:sz="6" w:space="0" w:color="auto"/>
              <w:bottom w:val="nil" w:sz="6" w:space="0" w:color="auto"/>
              <w:right w:val="nil" w:sz="6" w:space="0" w:color="auto"/>
            </w:tcBorders>
          </w:tcPr>
          <w:p>
            <w:pPr>
              <w:pStyle w:val="TableParagraph"/>
              <w:spacing w:line="236"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预付房租</w:t>
            </w:r>
          </w:p>
        </w:tc>
      </w:tr>
      <w:tr>
        <w:trPr>
          <w:trHeight w:val="272"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35" w:lineRule="exact"/>
              <w:ind w:left="89" w:right="0"/>
              <w:jc w:val="left"/>
              <w:rPr>
                <w:rFonts w:ascii="宋体" w:hAnsi="宋体" w:cs="宋体" w:eastAsia="宋体" w:hint="default"/>
                <w:sz w:val="21"/>
                <w:szCs w:val="21"/>
              </w:rPr>
            </w:pPr>
            <w:r>
              <w:rPr>
                <w:rFonts w:ascii="宋体" w:hAnsi="宋体" w:cs="宋体" w:eastAsia="宋体" w:hint="default"/>
                <w:sz w:val="21"/>
                <w:szCs w:val="21"/>
              </w:rPr>
              <w:t>日本阳光开拓者不动产株式会社</w:t>
            </w:r>
          </w:p>
        </w:tc>
        <w:tc>
          <w:tcPr>
            <w:tcW w:w="1782" w:type="dxa"/>
            <w:tcBorders>
              <w:top w:val="nil" w:sz="6" w:space="0" w:color="auto"/>
              <w:left w:val="nil" w:sz="6" w:space="0" w:color="auto"/>
              <w:bottom w:val="nil" w:sz="6" w:space="0" w:color="auto"/>
              <w:right w:val="nil" w:sz="6" w:space="0" w:color="auto"/>
            </w:tcBorders>
          </w:tcPr>
          <w:p>
            <w:pPr>
              <w:pStyle w:val="TableParagraph"/>
              <w:spacing w:line="235" w:lineRule="exact"/>
              <w:ind w:right="38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21"/>
                <w:szCs w:val="21"/>
              </w:rPr>
            </w:pPr>
            <w:r>
              <w:rPr>
                <w:rFonts w:ascii="Times New Roman"/>
                <w:spacing w:val="-1"/>
                <w:sz w:val="21"/>
              </w:rPr>
              <w:t>65,456.31</w:t>
            </w:r>
          </w:p>
        </w:tc>
        <w:tc>
          <w:tcPr>
            <w:tcW w:w="1404" w:type="dxa"/>
            <w:tcBorders>
              <w:top w:val="nil" w:sz="6" w:space="0" w:color="auto"/>
              <w:left w:val="nil" w:sz="6" w:space="0" w:color="auto"/>
              <w:bottom w:val="nil" w:sz="6" w:space="0" w:color="auto"/>
              <w:right w:val="nil" w:sz="6" w:space="0" w:color="auto"/>
            </w:tcBorders>
          </w:tcPr>
          <w:p>
            <w:pPr>
              <w:pStyle w:val="TableParagraph"/>
              <w:spacing w:line="251" w:lineRule="exact"/>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6" w:type="dxa"/>
            <w:tcBorders>
              <w:top w:val="nil" w:sz="6" w:space="0" w:color="auto"/>
              <w:left w:val="nil" w:sz="6" w:space="0" w:color="auto"/>
              <w:bottom w:val="nil" w:sz="6" w:space="0" w:color="auto"/>
              <w:right w:val="nil" w:sz="6" w:space="0" w:color="auto"/>
            </w:tcBorders>
          </w:tcPr>
          <w:p>
            <w:pPr>
              <w:pStyle w:val="TableParagraph"/>
              <w:spacing w:line="235"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预付房租</w:t>
            </w:r>
          </w:p>
        </w:tc>
      </w:tr>
      <w:tr>
        <w:trPr>
          <w:trHeight w:val="272"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36" w:lineRule="exact"/>
              <w:ind w:left="89" w:right="0"/>
              <w:jc w:val="left"/>
              <w:rPr>
                <w:rFonts w:ascii="宋体" w:hAnsi="宋体" w:cs="宋体" w:eastAsia="宋体" w:hint="default"/>
                <w:sz w:val="21"/>
                <w:szCs w:val="21"/>
              </w:rPr>
            </w:pPr>
            <w:r>
              <w:rPr>
                <w:rFonts w:ascii="宋体" w:hAnsi="宋体" w:cs="宋体" w:eastAsia="宋体" w:hint="default"/>
                <w:sz w:val="21"/>
                <w:szCs w:val="21"/>
              </w:rPr>
              <w:t>古川律子</w:t>
            </w:r>
          </w:p>
        </w:tc>
        <w:tc>
          <w:tcPr>
            <w:tcW w:w="1782" w:type="dxa"/>
            <w:tcBorders>
              <w:top w:val="nil" w:sz="6" w:space="0" w:color="auto"/>
              <w:left w:val="nil" w:sz="6" w:space="0" w:color="auto"/>
              <w:bottom w:val="nil" w:sz="6" w:space="0" w:color="auto"/>
              <w:right w:val="nil" w:sz="6" w:space="0" w:color="auto"/>
            </w:tcBorders>
          </w:tcPr>
          <w:p>
            <w:pPr>
              <w:pStyle w:val="TableParagraph"/>
              <w:spacing w:line="236" w:lineRule="exact"/>
              <w:ind w:right="384"/>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104"/>
              <w:jc w:val="right"/>
              <w:rPr>
                <w:rFonts w:ascii="Times New Roman" w:hAnsi="Times New Roman" w:cs="Times New Roman" w:eastAsia="Times New Roman" w:hint="default"/>
                <w:sz w:val="21"/>
                <w:szCs w:val="21"/>
              </w:rPr>
            </w:pPr>
            <w:r>
              <w:rPr>
                <w:rFonts w:ascii="Times New Roman"/>
                <w:spacing w:val="-1"/>
                <w:sz w:val="21"/>
              </w:rPr>
              <w:t>32,991.56</w:t>
            </w:r>
          </w:p>
        </w:tc>
        <w:tc>
          <w:tcPr>
            <w:tcW w:w="1404" w:type="dxa"/>
            <w:tcBorders>
              <w:top w:val="nil" w:sz="6" w:space="0" w:color="auto"/>
              <w:left w:val="nil" w:sz="6" w:space="0" w:color="auto"/>
              <w:bottom w:val="nil" w:sz="6" w:space="0" w:color="auto"/>
              <w:right w:val="nil" w:sz="6" w:space="0" w:color="auto"/>
            </w:tcBorders>
          </w:tcPr>
          <w:p>
            <w:pPr>
              <w:pStyle w:val="TableParagraph"/>
              <w:spacing w:line="252" w:lineRule="exact"/>
              <w:ind w:right="3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06" w:type="dxa"/>
            <w:tcBorders>
              <w:top w:val="nil" w:sz="6" w:space="0" w:color="auto"/>
              <w:left w:val="nil" w:sz="6" w:space="0" w:color="auto"/>
              <w:bottom w:val="nil" w:sz="6" w:space="0" w:color="auto"/>
              <w:right w:val="nil" w:sz="6" w:space="0" w:color="auto"/>
            </w:tcBorders>
          </w:tcPr>
          <w:p>
            <w:pPr>
              <w:pStyle w:val="TableParagraph"/>
              <w:spacing w:line="236"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预付房租</w:t>
            </w:r>
          </w:p>
        </w:tc>
      </w:tr>
      <w:tr>
        <w:trPr>
          <w:trHeight w:val="293" w:hRule="exact"/>
        </w:trPr>
        <w:tc>
          <w:tcPr>
            <w:tcW w:w="3796" w:type="dxa"/>
            <w:tcBorders>
              <w:top w:val="nil" w:sz="6" w:space="0" w:color="auto"/>
              <w:left w:val="nil" w:sz="6" w:space="0" w:color="auto"/>
              <w:bottom w:val="nil" w:sz="6" w:space="0" w:color="auto"/>
              <w:right w:val="nil" w:sz="6" w:space="0" w:color="auto"/>
            </w:tcBorders>
          </w:tcPr>
          <w:p>
            <w:pPr>
              <w:pStyle w:val="TableParagraph"/>
              <w:spacing w:line="245" w:lineRule="exact"/>
              <w:ind w:left="8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2"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727,245.65</w:t>
            </w:r>
          </w:p>
        </w:tc>
        <w:tc>
          <w:tcPr>
            <w:tcW w:w="140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2"/>
          <w:szCs w:val="12"/>
        </w:rPr>
      </w:pPr>
    </w:p>
    <w:p>
      <w:pPr>
        <w:spacing w:line="272" w:lineRule="exact" w:before="63"/>
        <w:ind w:left="754" w:right="0" w:firstLine="0"/>
        <w:jc w:val="left"/>
        <w:rPr>
          <w:rFonts w:ascii="宋体" w:hAnsi="宋体" w:cs="宋体" w:eastAsia="宋体" w:hint="default"/>
          <w:sz w:val="21"/>
          <w:szCs w:val="21"/>
        </w:rPr>
      </w:pPr>
      <w:r>
        <w:rPr>
          <w:rFonts w:ascii="宋体" w:hAnsi="宋体" w:cs="宋体" w:eastAsia="宋体" w:hint="default"/>
          <w:sz w:val="21"/>
          <w:szCs w:val="21"/>
        </w:rPr>
        <w:t>预付账款年末数比年初数增加 </w:t>
      </w:r>
      <w:r>
        <w:rPr>
          <w:rFonts w:ascii="Times New Roman" w:hAnsi="Times New Roman" w:cs="Times New Roman" w:eastAsia="Times New Roman" w:hint="default"/>
          <w:sz w:val="21"/>
          <w:szCs w:val="21"/>
        </w:rPr>
        <w:t>626,903.25 </w:t>
      </w:r>
      <w:r>
        <w:rPr>
          <w:rFonts w:ascii="宋体" w:hAnsi="宋体" w:cs="宋体" w:eastAsia="宋体" w:hint="default"/>
          <w:sz w:val="21"/>
          <w:szCs w:val="21"/>
        </w:rPr>
        <w:t>元，增加比例为</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127.22%</w:t>
      </w:r>
      <w:r>
        <w:rPr>
          <w:rFonts w:ascii="宋体" w:hAnsi="宋体" w:cs="宋体" w:eastAsia="宋体" w:hint="default"/>
          <w:sz w:val="21"/>
          <w:szCs w:val="21"/>
        </w:rPr>
        <w:t>，增加原因为：本年租房数量增加</w:t>
      </w:r>
      <w:r>
        <w:rPr>
          <w:rFonts w:ascii="宋体" w:hAnsi="宋体" w:cs="宋体" w:eastAsia="宋体" w:hint="default"/>
          <w:w w:val="100"/>
          <w:sz w:val="21"/>
          <w:szCs w:val="21"/>
        </w:rPr>
        <w:t> </w:t>
      </w:r>
      <w:r>
        <w:rPr>
          <w:rFonts w:ascii="宋体" w:hAnsi="宋体" w:cs="宋体" w:eastAsia="宋体" w:hint="default"/>
          <w:sz w:val="21"/>
          <w:szCs w:val="21"/>
        </w:rPr>
        <w:t>导致预付房租增加所致。</w:t>
      </w:r>
    </w:p>
    <w:p>
      <w:pPr>
        <w:spacing w:line="240" w:lineRule="auto" w:before="0"/>
        <w:rPr>
          <w:rFonts w:ascii="宋体" w:hAnsi="宋体" w:cs="宋体" w:eastAsia="宋体" w:hint="default"/>
          <w:sz w:val="13"/>
          <w:szCs w:val="13"/>
        </w:rPr>
      </w:pPr>
    </w:p>
    <w:p>
      <w:pPr>
        <w:tabs>
          <w:tab w:pos="756" w:val="left" w:leader="none"/>
        </w:tabs>
        <w:spacing w:before="44"/>
        <w:ind w:left="27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w:t>
        <w:tab/>
      </w:r>
      <w:r>
        <w:rPr>
          <w:rFonts w:ascii="宋体" w:hAnsi="宋体" w:cs="宋体" w:eastAsia="宋体" w:hint="default"/>
          <w:position w:val="-1"/>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sz w:val="15"/>
          <w:szCs w:val="15"/>
        </w:rPr>
      </w:pPr>
    </w:p>
    <w:p>
      <w:pPr>
        <w:spacing w:line="281" w:lineRule="exact" w:before="36"/>
        <w:ind w:left="75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存货分类</w:t>
      </w:r>
    </w:p>
    <w:p>
      <w:pPr>
        <w:tabs>
          <w:tab w:pos="7371" w:val="left" w:leader="none"/>
        </w:tabs>
        <w:spacing w:line="281" w:lineRule="exact" w:before="0"/>
        <w:ind w:left="30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bl>
      <w:tblPr>
        <w:tblW w:w="0" w:type="auto"/>
        <w:jc w:val="left"/>
        <w:tblInd w:w="648" w:type="dxa"/>
        <w:tblLayout w:type="fixed"/>
        <w:tblCellMar>
          <w:top w:w="0" w:type="dxa"/>
          <w:left w:w="0" w:type="dxa"/>
          <w:bottom w:w="0" w:type="dxa"/>
          <w:right w:w="0" w:type="dxa"/>
        </w:tblCellMar>
        <w:tblLook w:val="01E0"/>
      </w:tblPr>
      <w:tblGrid>
        <w:gridCol w:w="902"/>
        <w:gridCol w:w="281"/>
        <w:gridCol w:w="1277"/>
        <w:gridCol w:w="283"/>
        <w:gridCol w:w="2551"/>
        <w:gridCol w:w="283"/>
        <w:gridCol w:w="1277"/>
        <w:gridCol w:w="283"/>
        <w:gridCol w:w="2465"/>
      </w:tblGrid>
      <w:tr>
        <w:trPr>
          <w:trHeight w:val="281" w:hRule="exact"/>
        </w:trPr>
        <w:tc>
          <w:tcPr>
            <w:tcW w:w="902" w:type="dxa"/>
            <w:tcBorders>
              <w:top w:val="nil" w:sz="6" w:space="0" w:color="auto"/>
              <w:left w:val="nil" w:sz="6" w:space="0" w:color="auto"/>
              <w:bottom w:val="single" w:sz="8" w:space="0" w:color="000000"/>
              <w:right w:val="nil" w:sz="6" w:space="0" w:color="auto"/>
            </w:tcBorders>
          </w:tcPr>
          <w:p>
            <w:pPr>
              <w:pStyle w:val="TableParagraph"/>
              <w:tabs>
                <w:tab w:pos="530" w:val="left" w:leader="none"/>
              </w:tabs>
              <w:spacing w:line="245" w:lineRule="exact"/>
              <w:ind w:left="10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283" w:type="dxa"/>
            <w:tcBorders>
              <w:top w:val="single" w:sz="4" w:space="0" w:color="000000"/>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single" w:sz="4" w:space="0" w:color="000000"/>
              <w:right w:val="nil" w:sz="6" w:space="0" w:color="auto"/>
            </w:tcBorders>
          </w:tcPr>
          <w:p>
            <w:pPr>
              <w:pStyle w:val="TableParagraph"/>
              <w:tabs>
                <w:tab w:pos="1528" w:val="left" w:leader="none"/>
              </w:tabs>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跌价准备</w:t>
              <w:tab/>
              <w:t>账面价值</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2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83" w:type="dxa"/>
            <w:tcBorders>
              <w:top w:val="single" w:sz="4" w:space="0" w:color="000000"/>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4" w:space="0" w:color="000000"/>
              <w:right w:val="nil" w:sz="6" w:space="0" w:color="auto"/>
            </w:tcBorders>
          </w:tcPr>
          <w:p>
            <w:pPr>
              <w:pStyle w:val="TableParagraph"/>
              <w:tabs>
                <w:tab w:pos="1516" w:val="left" w:leader="none"/>
              </w:tabs>
              <w:spacing w:line="241" w:lineRule="exact"/>
              <w:ind w:left="79" w:right="0"/>
              <w:jc w:val="left"/>
              <w:rPr>
                <w:rFonts w:ascii="宋体" w:hAnsi="宋体" w:cs="宋体" w:eastAsia="宋体" w:hint="default"/>
                <w:sz w:val="21"/>
                <w:szCs w:val="21"/>
              </w:rPr>
            </w:pPr>
            <w:r>
              <w:rPr>
                <w:rFonts w:ascii="宋体" w:hAnsi="宋体" w:cs="宋体" w:eastAsia="宋体" w:hint="default"/>
                <w:spacing w:val="-1"/>
                <w:sz w:val="21"/>
                <w:szCs w:val="21"/>
              </w:rPr>
              <w:t>跌价准备</w:t>
              <w:tab/>
              <w:t>账面价值</w:t>
            </w:r>
          </w:p>
        </w:tc>
      </w:tr>
      <w:tr>
        <w:trPr>
          <w:trHeight w:val="302" w:hRule="exact"/>
        </w:trPr>
        <w:tc>
          <w:tcPr>
            <w:tcW w:w="902" w:type="dxa"/>
            <w:tcBorders>
              <w:top w:val="single" w:sz="8"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81"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1,357,967.49</w:t>
            </w:r>
          </w:p>
        </w:tc>
        <w:tc>
          <w:tcPr>
            <w:tcW w:w="283" w:type="dxa"/>
            <w:tcBorders>
              <w:top w:val="nil" w:sz="6" w:space="0" w:color="auto"/>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0.15pt;height:.5pt;mso-position-horizontal-relative:char;mso-position-vertical-relative:line" coordorigin="0,0" coordsize="1003,10">
                  <v:group style="position:absolute;left:5;top:5;width:994;height:2" coordorigin="5,5" coordsize="994,2">
                    <v:shape style="position:absolute;left:5;top:5;width:994;height:2" coordorigin="5,5" coordsize="994,0" path="m5,5l998,5e" filled="false" stroked="true" strokeweight=".48pt" strokecolor="#000000">
                      <v:path arrowok="t"/>
                    </v:shape>
                  </v:group>
                </v:group>
              </w:pict>
            </w:r>
            <w:r>
              <w:rPr>
                <w:rFonts w:ascii="宋体" w:hAnsi="宋体" w:cs="宋体" w:eastAsia="宋体" w:hint="default"/>
                <w:sz w:val="2"/>
                <w:szCs w:val="2"/>
              </w:rPr>
            </w:r>
          </w:p>
          <w:p>
            <w:pPr>
              <w:pStyle w:val="TableParagraph"/>
              <w:tabs>
                <w:tab w:pos="527" w:val="left" w:leader="none"/>
              </w:tabs>
              <w:spacing w:line="240" w:lineRule="auto" w:before="9"/>
              <w:ind w:right="10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1,357,967.49</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left="133" w:right="0"/>
              <w:jc w:val="center"/>
              <w:rPr>
                <w:rFonts w:ascii="Times New Roman" w:hAnsi="Times New Roman" w:cs="Times New Roman" w:eastAsia="Times New Roman" w:hint="default"/>
                <w:sz w:val="21"/>
                <w:szCs w:val="21"/>
              </w:rPr>
            </w:pPr>
            <w:r>
              <w:rPr>
                <w:rFonts w:ascii="Times New Roman"/>
                <w:sz w:val="21"/>
              </w:rPr>
              <w:t>1,653,701.72</w:t>
            </w:r>
          </w:p>
        </w:tc>
        <w:tc>
          <w:tcPr>
            <w:tcW w:w="283"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0.3pt;height:.5pt;mso-position-horizontal-relative:char;mso-position-vertical-relative:line" coordorigin="0,0" coordsize="1006,10">
                  <v:group style="position:absolute;left:5;top:5;width:996;height:2" coordorigin="5,5" coordsize="996,2">
                    <v:shape style="position:absolute;left:5;top:5;width:996;height:2" coordorigin="5,5" coordsize="996,0" path="m5,5l1001,5e" filled="false" stroked="true" strokeweight=".48pt" strokecolor="#000000">
                      <v:path arrowok="t"/>
                    </v:shape>
                  </v:group>
                </v:group>
              </w:pict>
            </w:r>
            <w:r>
              <w:rPr>
                <w:rFonts w:ascii="宋体" w:hAnsi="宋体" w:cs="宋体" w:eastAsia="宋体" w:hint="default"/>
                <w:sz w:val="2"/>
                <w:szCs w:val="2"/>
              </w:rPr>
            </w:r>
          </w:p>
          <w:p>
            <w:pPr>
              <w:pStyle w:val="TableParagraph"/>
              <w:tabs>
                <w:tab w:pos="1315" w:val="left" w:leader="none"/>
              </w:tabs>
              <w:spacing w:line="240" w:lineRule="auto" w:before="9"/>
              <w:ind w:left="818" w:right="0"/>
              <w:jc w:val="left"/>
              <w:rPr>
                <w:rFonts w:ascii="Times New Roman" w:hAnsi="Times New Roman" w:cs="Times New Roman" w:eastAsia="Times New Roman" w:hint="default"/>
                <w:sz w:val="21"/>
                <w:szCs w:val="21"/>
              </w:rPr>
            </w:pPr>
            <w:r>
              <w:rPr>
                <w:rFonts w:ascii="Times New Roman"/>
                <w:sz w:val="21"/>
              </w:rPr>
              <w:t>-</w:t>
              <w:tab/>
              <w:t>1,653,701.72</w:t>
            </w:r>
          </w:p>
        </w:tc>
      </w:tr>
    </w:tbl>
    <w:p>
      <w:pPr>
        <w:spacing w:line="240" w:lineRule="auto" w:before="10"/>
        <w:rPr>
          <w:rFonts w:ascii="宋体" w:hAnsi="宋体" w:cs="宋体" w:eastAsia="宋体" w:hint="default"/>
          <w:sz w:val="13"/>
          <w:szCs w:val="13"/>
        </w:rPr>
      </w:pPr>
    </w:p>
    <w:p>
      <w:pPr>
        <w:spacing w:before="36"/>
        <w:ind w:left="756" w:right="0" w:firstLine="0"/>
        <w:jc w:val="left"/>
        <w:rPr>
          <w:rFonts w:ascii="宋体" w:hAnsi="宋体" w:cs="宋体" w:eastAsia="宋体" w:hint="default"/>
          <w:sz w:val="21"/>
          <w:szCs w:val="21"/>
        </w:rPr>
      </w:pPr>
      <w:r>
        <w:rPr/>
        <w:pict>
          <v:group style="position:absolute;margin-left:231.360001pt;margin-top:-10.04632pt;width:50.15pt;height:1.45pt;mso-position-horizontal-relative:page;mso-position-vertical-relative:paragraph;z-index:-551680" coordorigin="4627,-201" coordsize="1003,29">
            <v:group style="position:absolute;left:4632;top:-196;width:994;height:2" coordorigin="4632,-196" coordsize="994,2">
              <v:shape style="position:absolute;left:4632;top:-196;width:994;height:2" coordorigin="4632,-196" coordsize="994,0" path="m4632,-196l5625,-196e" filled="false" stroked="true" strokeweight=".47pt" strokecolor="#000000">
                <v:path arrowok="t"/>
              </v:shape>
            </v:group>
            <v:group style="position:absolute;left:4632;top:-177;width:994;height:2" coordorigin="4632,-177" coordsize="994,2">
              <v:shape style="position:absolute;left:4632;top:-177;width:994;height:2" coordorigin="4632,-177" coordsize="994,0" path="m4632,-177l5625,-177e" filled="false" stroked="true" strokeweight=".48pt" strokecolor="#000000">
                <v:path arrowok="t"/>
              </v:shape>
            </v:group>
            <w10:wrap type="none"/>
          </v:group>
        </w:pict>
      </w:r>
      <w:r>
        <w:rPr/>
        <w:pict>
          <v:group style="position:absolute;margin-left:451.079987pt;margin-top:-10.04632pt;width:50.3pt;height:1.45pt;mso-position-horizontal-relative:page;mso-position-vertical-relative:paragraph;z-index:-551656" coordorigin="9022,-201" coordsize="1006,29">
            <v:group style="position:absolute;left:9026;top:-196;width:996;height:2" coordorigin="9026,-196" coordsize="996,2">
              <v:shape style="position:absolute;left:9026;top:-196;width:996;height:2" coordorigin="9026,-196" coordsize="996,0" path="m9026,-196l10022,-196e" filled="false" stroked="true" strokeweight=".47pt" strokecolor="#000000">
                <v:path arrowok="t"/>
              </v:shape>
            </v:group>
            <v:group style="position:absolute;left:9026;top:-177;width:996;height:2" coordorigin="9026,-177" coordsize="996,2">
              <v:shape style="position:absolute;left:9026;top:-177;width:996;height:2" coordorigin="9026,-177" coordsize="996,0" path="m9026,-177l10022,-177e" filled="false" stroked="true" strokeweight=".48pt" strokecolor="#000000">
                <v:path arrowok="t"/>
              </v:shape>
            </v:group>
            <w10:wrap type="none"/>
          </v:group>
        </w:pict>
      </w:r>
      <w:r>
        <w:rPr>
          <w:rFonts w:ascii="宋体" w:hAnsi="宋体" w:cs="宋体" w:eastAsia="宋体" w:hint="default"/>
          <w:sz w:val="21"/>
          <w:szCs w:val="21"/>
        </w:rPr>
        <w:t>本公司董事会认为：本公司的存货经测试未发生减值，故无需就存货计提任何跌价准备。</w:t>
      </w:r>
    </w:p>
    <w:p>
      <w:pPr>
        <w:spacing w:line="240" w:lineRule="auto" w:before="3"/>
        <w:rPr>
          <w:rFonts w:ascii="宋体" w:hAnsi="宋体" w:cs="宋体" w:eastAsia="宋体" w:hint="default"/>
          <w:sz w:val="18"/>
          <w:szCs w:val="18"/>
        </w:rPr>
      </w:pPr>
    </w:p>
    <w:p>
      <w:pPr>
        <w:tabs>
          <w:tab w:pos="809" w:val="left" w:leader="none"/>
        </w:tabs>
        <w:spacing w:before="0"/>
        <w:ind w:left="331"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6.6</w:t>
        <w:tab/>
      </w:r>
      <w:r>
        <w:rPr>
          <w:rFonts w:ascii="宋体" w:hAnsi="宋体" w:cs="宋体" w:eastAsia="宋体" w:hint="default"/>
          <w:sz w:val="21"/>
          <w:szCs w:val="21"/>
        </w:rPr>
        <w:t>长期应收款</w:t>
      </w:r>
    </w:p>
    <w:p>
      <w:pPr>
        <w:spacing w:line="240" w:lineRule="auto" w:before="3"/>
        <w:rPr>
          <w:rFonts w:ascii="宋体" w:hAnsi="宋体" w:cs="宋体" w:eastAsia="宋体" w:hint="default"/>
          <w:sz w:val="18"/>
          <w:szCs w:val="18"/>
        </w:rPr>
      </w:pPr>
    </w:p>
    <w:p>
      <w:pPr>
        <w:tabs>
          <w:tab w:pos="4714" w:val="left" w:leader="none"/>
          <w:tab w:pos="8357" w:val="left" w:leader="none"/>
        </w:tabs>
        <w:spacing w:line="287" w:lineRule="exact" w:before="0"/>
        <w:ind w:left="1618"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5501" w:val="left" w:leader="none"/>
          <w:tab w:pos="9144" w:val="left" w:leader="none"/>
        </w:tabs>
        <w:spacing w:line="277" w:lineRule="exact" w:before="0"/>
        <w:ind w:left="809" w:right="0" w:firstLine="0"/>
        <w:jc w:val="left"/>
        <w:rPr>
          <w:rFonts w:ascii="Times New Roman" w:hAnsi="Times New Roman" w:cs="Times New Roman" w:eastAsia="Times New Roman" w:hint="default"/>
          <w:sz w:val="21"/>
          <w:szCs w:val="21"/>
        </w:rPr>
      </w:pPr>
      <w:r>
        <w:rPr/>
        <w:pict>
          <v:group style="position:absolute;margin-left:97.080002pt;margin-top:1.286207pt;width:112.95pt;height:.1pt;mso-position-horizontal-relative:page;mso-position-vertical-relative:paragraph;z-index:-551632" coordorigin="1942,26" coordsize="2259,2">
            <v:shape style="position:absolute;left:1942;top:26;width:2259;height:2" coordorigin="1942,26" coordsize="2259,0" path="m1942,26l4200,26e" filled="false" stroked="true" strokeweight=".48pt" strokecolor="#000000">
              <v:path arrowok="t"/>
            </v:shape>
            <w10:wrap type="none"/>
          </v:group>
        </w:pict>
      </w:r>
      <w:r>
        <w:rPr/>
        <w:pict>
          <v:group style="position:absolute;margin-left:224.160004pt;margin-top:1.286207pt;width:165.6pt;height:.1pt;mso-position-horizontal-relative:page;mso-position-vertical-relative:paragraph;z-index:-551608" coordorigin="4483,26" coordsize="3312,2">
            <v:shape style="position:absolute;left:4483;top:26;width:3312;height:2" coordorigin="4483,26" coordsize="3312,0" path="m4483,26l7795,26e" filled="false" stroked="true" strokeweight=".48pt" strokecolor="#000000">
              <v:path arrowok="t"/>
            </v:shape>
            <w10:wrap type="none"/>
          </v:group>
        </w:pict>
      </w:r>
      <w:r>
        <w:rPr/>
        <w:pict>
          <v:group style="position:absolute;margin-left:407.76001pt;margin-top:1.286207pt;width:164.2pt;height:.1pt;mso-position-horizontal-relative:page;mso-position-vertical-relative:paragraph;z-index:-551584" coordorigin="8155,26" coordsize="3284,2">
            <v:shape style="position:absolute;left:8155;top:26;width:3284;height:2" coordorigin="8155,26" coordsize="3284,0" path="m8155,26l11438,26e" filled="false" stroked="true" strokeweight=".48pt" strokecolor="#000000">
              <v:path arrowok="t"/>
            </v:shape>
            <w10:wrap type="none"/>
          </v:group>
        </w:pict>
      </w:r>
      <w:r>
        <w:rPr>
          <w:rFonts w:ascii="宋体" w:hAnsi="宋体" w:cs="宋体" w:eastAsia="宋体" w:hint="default"/>
          <w:spacing w:val="-1"/>
          <w:sz w:val="21"/>
          <w:szCs w:val="21"/>
        </w:rPr>
        <w:t>高尔夫权证押金</w:t>
        <w:tab/>
      </w:r>
      <w:r>
        <w:rPr>
          <w:rFonts w:ascii="Times New Roman" w:hAnsi="Times New Roman" w:cs="Times New Roman" w:eastAsia="Times New Roman" w:hint="default"/>
          <w:spacing w:val="-1"/>
          <w:position w:val="1"/>
          <w:sz w:val="21"/>
          <w:szCs w:val="21"/>
        </w:rPr>
        <w:t>248,700.00</w:t>
        <w:tab/>
        <w:t>248,700.00</w:t>
      </w:r>
      <w:r>
        <w:rPr>
          <w:rFonts w:ascii="Times New Roman" w:hAnsi="Times New Roman" w:cs="Times New Roman" w:eastAsia="Times New Roman" w:hint="default"/>
          <w:spacing w:val="-1"/>
          <w:sz w:val="21"/>
          <w:szCs w:val="21"/>
        </w:rPr>
      </w:r>
    </w:p>
    <w:p>
      <w:pPr>
        <w:spacing w:line="240" w:lineRule="auto" w:before="2"/>
        <w:rPr>
          <w:rFonts w:ascii="Times New Roman" w:hAnsi="Times New Roman" w:cs="Times New Roman" w:eastAsia="Times New Roman" w:hint="default"/>
          <w:sz w:val="2"/>
          <w:szCs w:val="2"/>
        </w:rPr>
      </w:pPr>
    </w:p>
    <w:p>
      <w:pPr>
        <w:tabs>
          <w:tab w:pos="6910" w:val="left" w:leader="none"/>
        </w:tabs>
        <w:spacing w:line="28" w:lineRule="exact"/>
        <w:ind w:left="3238" w:right="0" w:firstLine="0"/>
        <w:rPr>
          <w:rFonts w:ascii="Times New Roman" w:hAnsi="Times New Roman" w:cs="Times New Roman" w:eastAsia="Times New Roman" w:hint="default"/>
          <w:sz w:val="2"/>
          <w:szCs w:val="2"/>
        </w:rPr>
      </w:pPr>
      <w:r>
        <w:rPr>
          <w:rFonts w:ascii="Times New Roman"/>
          <w:position w:val="0"/>
          <w:sz w:val="2"/>
        </w:rPr>
        <w:pict>
          <v:group style="width:166.1pt;height:1.45pt;mso-position-horizontal-relative:char;mso-position-vertical-relative:line" coordorigin="0,0" coordsize="3322,29">
            <v:group style="position:absolute;left:5;top:5;width:3312;height:2" coordorigin="5,5" coordsize="3312,2">
              <v:shape style="position:absolute;left:5;top:5;width:3312;height:2" coordorigin="5,5" coordsize="3312,0" path="m5,5l3317,5e" filled="false" stroked="true" strokeweight=".48pt" strokecolor="#000000">
                <v:path arrowok="t"/>
              </v:shape>
            </v:group>
            <v:group style="position:absolute;left:5;top:24;width:3312;height:2" coordorigin="5,24" coordsize="3312,2">
              <v:shape style="position:absolute;left:5;top:24;width:3312;height:2" coordorigin="5,24" coordsize="3312,0" path="m5,24l331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64.65pt;height:1.45pt;mso-position-horizontal-relative:char;mso-position-vertical-relative:line" coordorigin="0,0" coordsize="3293,29">
            <v:group style="position:absolute;left:5;top:5;width:3284;height:2" coordorigin="5,5" coordsize="3284,2">
              <v:shape style="position:absolute;left:5;top:5;width:3284;height:2" coordorigin="5,5" coordsize="3284,0" path="m5,5l3288,5e" filled="false" stroked="true" strokeweight=".48pt" strokecolor="#000000">
                <v:path arrowok="t"/>
              </v:shape>
            </v:group>
            <v:group style="position:absolute;left:5;top:24;width:3284;height:2" coordorigin="5,24" coordsize="3284,2">
              <v:shape style="position:absolute;left:5;top:24;width:3284;height:2" coordorigin="5,24" coordsize="3284,0" path="m5,24l3288,24e" filled="false" stroked="true" strokeweight=".48pt" strokecolor="#000000">
                <v:path arrowok="t"/>
              </v:shape>
            </v:group>
          </v:group>
        </w:pict>
      </w:r>
      <w:r>
        <w:rPr>
          <w:rFonts w:ascii="Times New Roman"/>
          <w:position w:val="0"/>
          <w:sz w:val="2"/>
        </w:rPr>
      </w:r>
    </w:p>
    <w:p>
      <w:pPr>
        <w:spacing w:line="240" w:lineRule="auto" w:before="3"/>
        <w:rPr>
          <w:rFonts w:ascii="Times New Roman" w:hAnsi="Times New Roman" w:cs="Times New Roman" w:eastAsia="Times New Roman" w:hint="default"/>
          <w:sz w:val="15"/>
          <w:szCs w:val="15"/>
        </w:rPr>
      </w:pPr>
    </w:p>
    <w:p>
      <w:pPr>
        <w:spacing w:before="36"/>
        <w:ind w:left="809" w:right="0" w:firstLine="0"/>
        <w:jc w:val="left"/>
        <w:rPr>
          <w:rFonts w:ascii="宋体" w:hAnsi="宋体" w:cs="宋体" w:eastAsia="宋体" w:hint="default"/>
          <w:sz w:val="21"/>
          <w:szCs w:val="21"/>
        </w:rPr>
      </w:pPr>
      <w:r>
        <w:rPr>
          <w:rFonts w:ascii="宋体" w:hAnsi="宋体" w:cs="宋体" w:eastAsia="宋体" w:hint="default"/>
          <w:sz w:val="21"/>
          <w:szCs w:val="21"/>
        </w:rPr>
        <w:t>长期应收款年末数系上海华钟计算机软件开发有限公司的高尔夫权证押金。</w:t>
      </w:r>
    </w:p>
    <w:p>
      <w:pPr>
        <w:spacing w:after="0"/>
        <w:jc w:val="left"/>
        <w:rPr>
          <w:rFonts w:ascii="宋体" w:hAnsi="宋体" w:cs="宋体" w:eastAsia="宋体" w:hint="default"/>
          <w:sz w:val="21"/>
          <w:szCs w:val="21"/>
        </w:rPr>
        <w:sectPr>
          <w:pgSz w:w="11900" w:h="16840"/>
          <w:pgMar w:header="886" w:footer="983" w:top="1800" w:bottom="1180" w:left="1240" w:right="300"/>
        </w:sectPr>
      </w:pPr>
    </w:p>
    <w:p>
      <w:pPr>
        <w:spacing w:line="240" w:lineRule="auto" w:before="10"/>
        <w:rPr>
          <w:rFonts w:ascii="宋体" w:hAnsi="宋体" w:cs="宋体" w:eastAsia="宋体" w:hint="default"/>
          <w:sz w:val="12"/>
          <w:szCs w:val="12"/>
        </w:rPr>
      </w:pPr>
    </w:p>
    <w:p>
      <w:pPr>
        <w:tabs>
          <w:tab w:pos="649"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666" w:val="left" w:leader="none"/>
        </w:tabs>
        <w:spacing w:before="0"/>
        <w:ind w:left="191"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6.7</w:t>
        <w:tab/>
      </w:r>
      <w:r>
        <w:rPr>
          <w:rFonts w:ascii="宋体" w:hAnsi="宋体" w:cs="宋体" w:eastAsia="宋体" w:hint="default"/>
          <w:sz w:val="21"/>
          <w:szCs w:val="21"/>
        </w:rPr>
        <w:t>固定资产</w:t>
      </w:r>
    </w:p>
    <w:p>
      <w:pPr>
        <w:spacing w:line="240" w:lineRule="auto" w:before="6"/>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6.7.1  </w:t>
      </w:r>
      <w:r>
        <w:rPr>
          <w:rFonts w:ascii="宋体" w:hAnsi="宋体" w:cs="宋体" w:eastAsia="宋体" w:hint="default"/>
          <w:sz w:val="21"/>
          <w:szCs w:val="21"/>
        </w:rPr>
        <w:t>固定资产情况</w:t>
      </w:r>
    </w:p>
    <w:p>
      <w:pPr>
        <w:spacing w:line="240" w:lineRule="auto" w:before="4"/>
        <w:rPr>
          <w:rFonts w:ascii="宋体" w:hAnsi="宋体" w:cs="宋体" w:eastAsia="宋体" w:hint="default"/>
          <w:sz w:val="18"/>
          <w:szCs w:val="18"/>
        </w:rPr>
      </w:pPr>
    </w:p>
    <w:tbl>
      <w:tblPr>
        <w:tblW w:w="0" w:type="auto"/>
        <w:jc w:val="left"/>
        <w:tblInd w:w="523" w:type="dxa"/>
        <w:tblLayout w:type="fixed"/>
        <w:tblCellMar>
          <w:top w:w="0" w:type="dxa"/>
          <w:left w:w="0" w:type="dxa"/>
          <w:bottom w:w="0" w:type="dxa"/>
          <w:right w:w="0" w:type="dxa"/>
        </w:tblCellMar>
        <w:tblLook w:val="01E0"/>
      </w:tblPr>
      <w:tblGrid>
        <w:gridCol w:w="2176"/>
        <w:gridCol w:w="185"/>
        <w:gridCol w:w="1474"/>
        <w:gridCol w:w="151"/>
        <w:gridCol w:w="1653"/>
        <w:gridCol w:w="142"/>
        <w:gridCol w:w="1543"/>
        <w:gridCol w:w="281"/>
        <w:gridCol w:w="1821"/>
      </w:tblGrid>
      <w:tr>
        <w:trPr>
          <w:trHeight w:val="334" w:hRule="exact"/>
        </w:trPr>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1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95" w:hRule="exact"/>
        </w:trPr>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left="76" w:right="0"/>
              <w:jc w:val="left"/>
              <w:rPr>
                <w:rFonts w:ascii="Times New Roman" w:hAnsi="Times New Roman" w:cs="Times New Roman" w:eastAsia="Times New Roman" w:hint="default"/>
                <w:sz w:val="21"/>
                <w:szCs w:val="21"/>
              </w:rPr>
            </w:pPr>
            <w:r>
              <w:rPr>
                <w:rFonts w:ascii="Times New Roman"/>
                <w:sz w:val="21"/>
              </w:rPr>
              <w:t>25,544,882.17</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85"/>
              <w:jc w:val="right"/>
              <w:rPr>
                <w:rFonts w:ascii="Times New Roman" w:hAnsi="Times New Roman" w:cs="Times New Roman" w:eastAsia="Times New Roman" w:hint="default"/>
                <w:sz w:val="21"/>
                <w:szCs w:val="21"/>
              </w:rPr>
            </w:pPr>
            <w:r>
              <w:rPr>
                <w:rFonts w:ascii="Times New Roman"/>
                <w:spacing w:val="-1"/>
                <w:sz w:val="21"/>
              </w:rPr>
              <w:t>4,231,870.73</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21"/>
                <w:szCs w:val="21"/>
              </w:rPr>
            </w:pPr>
            <w:r>
              <w:rPr>
                <w:rFonts w:ascii="Times New Roman"/>
                <w:spacing w:val="-1"/>
                <w:sz w:val="21"/>
              </w:rPr>
              <w:t>3,977,634.28</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87"/>
              <w:jc w:val="right"/>
              <w:rPr>
                <w:rFonts w:ascii="Times New Roman" w:hAnsi="Times New Roman" w:cs="Times New Roman" w:eastAsia="Times New Roman" w:hint="default"/>
                <w:sz w:val="21"/>
                <w:szCs w:val="21"/>
              </w:rPr>
            </w:pPr>
            <w:r>
              <w:rPr>
                <w:rFonts w:ascii="Times New Roman"/>
                <w:spacing w:val="-2"/>
                <w:sz w:val="21"/>
              </w:rPr>
              <w:t>25,799,118.62</w:t>
            </w:r>
          </w:p>
        </w:tc>
      </w:tr>
      <w:tr>
        <w:trPr>
          <w:trHeight w:val="297"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left="170" w:right="0"/>
              <w:jc w:val="left"/>
              <w:rPr>
                <w:rFonts w:ascii="Times New Roman" w:hAnsi="Times New Roman" w:cs="Times New Roman" w:eastAsia="Times New Roman" w:hint="default"/>
                <w:sz w:val="21"/>
                <w:szCs w:val="21"/>
              </w:rPr>
            </w:pPr>
            <w:r>
              <w:rPr>
                <w:rFonts w:ascii="Times New Roman"/>
                <w:sz w:val="21"/>
              </w:rPr>
              <w:t>6,774,991.00</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4"/>
              <w:jc w:val="right"/>
              <w:rPr>
                <w:rFonts w:ascii="Times New Roman" w:hAnsi="Times New Roman" w:cs="Times New Roman" w:eastAsia="Times New Roman" w:hint="default"/>
                <w:sz w:val="21"/>
                <w:szCs w:val="21"/>
              </w:rPr>
            </w:pPr>
            <w:r>
              <w:rPr>
                <w:rFonts w:ascii="Times New Roman"/>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2"/>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5"/>
              <w:jc w:val="right"/>
              <w:rPr>
                <w:rFonts w:ascii="Times New Roman" w:hAnsi="Times New Roman" w:cs="Times New Roman" w:eastAsia="Times New Roman" w:hint="default"/>
                <w:sz w:val="21"/>
                <w:szCs w:val="21"/>
              </w:rPr>
            </w:pPr>
            <w:r>
              <w:rPr>
                <w:rFonts w:ascii="Times New Roman"/>
                <w:spacing w:val="-1"/>
                <w:sz w:val="21"/>
              </w:rPr>
              <w:t>6,774,991.00</w:t>
            </w:r>
          </w:p>
        </w:tc>
      </w:tr>
      <w:tr>
        <w:trPr>
          <w:trHeight w:val="276"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8"/>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76" w:right="0"/>
              <w:jc w:val="left"/>
              <w:rPr>
                <w:rFonts w:ascii="Times New Roman" w:hAnsi="Times New Roman" w:cs="Times New Roman" w:eastAsia="Times New Roman" w:hint="default"/>
                <w:sz w:val="21"/>
                <w:szCs w:val="21"/>
              </w:rPr>
            </w:pPr>
            <w:r>
              <w:rPr>
                <w:rFonts w:ascii="Times New Roman"/>
                <w:sz w:val="21"/>
              </w:rPr>
              <w:t>10,444,912.17</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5"/>
              <w:jc w:val="right"/>
              <w:rPr>
                <w:rFonts w:ascii="Times New Roman" w:hAnsi="Times New Roman" w:cs="Times New Roman" w:eastAsia="Times New Roman" w:hint="default"/>
                <w:sz w:val="21"/>
                <w:szCs w:val="21"/>
              </w:rPr>
            </w:pPr>
            <w:r>
              <w:rPr>
                <w:rFonts w:ascii="Times New Roman"/>
                <w:spacing w:val="-1"/>
                <w:sz w:val="21"/>
              </w:rPr>
              <w:t>3,202,095.13</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3"/>
              <w:jc w:val="right"/>
              <w:rPr>
                <w:rFonts w:ascii="Times New Roman" w:hAnsi="Times New Roman" w:cs="Times New Roman" w:eastAsia="Times New Roman" w:hint="default"/>
                <w:sz w:val="21"/>
                <w:szCs w:val="21"/>
              </w:rPr>
            </w:pPr>
            <w:r>
              <w:rPr>
                <w:rFonts w:ascii="Times New Roman"/>
                <w:spacing w:val="-1"/>
                <w:sz w:val="21"/>
              </w:rPr>
              <w:t>2,366,457.28</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7"/>
              <w:jc w:val="right"/>
              <w:rPr>
                <w:rFonts w:ascii="Times New Roman" w:hAnsi="Times New Roman" w:cs="Times New Roman" w:eastAsia="Times New Roman" w:hint="default"/>
                <w:sz w:val="21"/>
                <w:szCs w:val="21"/>
              </w:rPr>
            </w:pPr>
            <w:r>
              <w:rPr>
                <w:rFonts w:ascii="Times New Roman"/>
                <w:spacing w:val="-2"/>
                <w:sz w:val="21"/>
              </w:rPr>
              <w:t>11,280,550.02</w:t>
            </w:r>
          </w:p>
        </w:tc>
      </w:tr>
      <w:tr>
        <w:trPr>
          <w:trHeight w:val="28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2" w:right="0"/>
              <w:jc w:val="left"/>
              <w:rPr>
                <w:rFonts w:ascii="Times New Roman" w:hAnsi="Times New Roman" w:cs="Times New Roman" w:eastAsia="Times New Roman" w:hint="default"/>
                <w:sz w:val="21"/>
                <w:szCs w:val="21"/>
              </w:rPr>
            </w:pPr>
            <w:r>
              <w:rPr>
                <w:rFonts w:ascii="Times New Roman"/>
                <w:sz w:val="21"/>
              </w:rPr>
              <w:t>8,324,979.00</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4"/>
              <w:jc w:val="right"/>
              <w:rPr>
                <w:rFonts w:ascii="Times New Roman" w:hAnsi="Times New Roman" w:cs="Times New Roman" w:eastAsia="Times New Roman" w:hint="default"/>
                <w:sz w:val="21"/>
                <w:szCs w:val="21"/>
              </w:rPr>
            </w:pPr>
            <w:r>
              <w:rPr>
                <w:rFonts w:ascii="Times New Roman"/>
                <w:spacing w:val="-1"/>
                <w:sz w:val="21"/>
              </w:rPr>
              <w:t>1,029,775.60</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3"/>
              <w:jc w:val="right"/>
              <w:rPr>
                <w:rFonts w:ascii="Times New Roman" w:hAnsi="Times New Roman" w:cs="Times New Roman" w:eastAsia="Times New Roman" w:hint="default"/>
                <w:sz w:val="21"/>
                <w:szCs w:val="21"/>
              </w:rPr>
            </w:pPr>
            <w:r>
              <w:rPr>
                <w:rFonts w:ascii="Times New Roman"/>
                <w:spacing w:val="-2"/>
                <w:sz w:val="21"/>
              </w:rPr>
              <w:t>1,611,177.00</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7"/>
              <w:jc w:val="right"/>
              <w:rPr>
                <w:rFonts w:ascii="Times New Roman" w:hAnsi="Times New Roman" w:cs="Times New Roman" w:eastAsia="Times New Roman" w:hint="default"/>
                <w:sz w:val="21"/>
                <w:szCs w:val="21"/>
              </w:rPr>
            </w:pPr>
            <w:r>
              <w:rPr>
                <w:rFonts w:ascii="Times New Roman"/>
                <w:spacing w:val="-1"/>
                <w:sz w:val="21"/>
              </w:rPr>
              <w:t>7,743,577.60</w:t>
            </w:r>
          </w:p>
        </w:tc>
      </w:tr>
      <w:tr>
        <w:trPr>
          <w:trHeight w:val="260" w:hRule="exact"/>
        </w:trPr>
        <w:tc>
          <w:tcPr>
            <w:tcW w:w="2176"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16" w:lineRule="exact"/>
              <w:ind w:left="357"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
        </w:tc>
      </w:tr>
      <w:tr>
        <w:trPr>
          <w:trHeight w:val="298"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84" w:right="0"/>
              <w:jc w:val="left"/>
              <w:rPr>
                <w:rFonts w:ascii="Times New Roman" w:hAnsi="Times New Roman" w:cs="Times New Roman" w:eastAsia="Times New Roman" w:hint="default"/>
                <w:sz w:val="21"/>
                <w:szCs w:val="21"/>
              </w:rPr>
            </w:pPr>
            <w:r>
              <w:rPr>
                <w:rFonts w:ascii="Times New Roman"/>
                <w:sz w:val="21"/>
              </w:rPr>
              <w:t>11,775,133.51</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85"/>
              <w:jc w:val="right"/>
              <w:rPr>
                <w:rFonts w:ascii="Times New Roman" w:hAnsi="Times New Roman" w:cs="Times New Roman" w:eastAsia="Times New Roman" w:hint="default"/>
                <w:sz w:val="21"/>
                <w:szCs w:val="21"/>
              </w:rPr>
            </w:pPr>
            <w:r>
              <w:rPr>
                <w:rFonts w:ascii="Times New Roman"/>
                <w:spacing w:val="-1"/>
                <w:sz w:val="21"/>
              </w:rPr>
              <w:t>3,423,588.95</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83"/>
              <w:jc w:val="right"/>
              <w:rPr>
                <w:rFonts w:ascii="Times New Roman" w:hAnsi="Times New Roman" w:cs="Times New Roman" w:eastAsia="Times New Roman" w:hint="default"/>
                <w:sz w:val="21"/>
                <w:szCs w:val="21"/>
              </w:rPr>
            </w:pPr>
            <w:r>
              <w:rPr>
                <w:rFonts w:ascii="Times New Roman"/>
                <w:spacing w:val="-1"/>
                <w:sz w:val="21"/>
              </w:rPr>
              <w:t>3,461,698.33</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87"/>
              <w:jc w:val="right"/>
              <w:rPr>
                <w:rFonts w:ascii="Times New Roman" w:hAnsi="Times New Roman" w:cs="Times New Roman" w:eastAsia="Times New Roman" w:hint="default"/>
                <w:sz w:val="21"/>
                <w:szCs w:val="21"/>
              </w:rPr>
            </w:pPr>
            <w:r>
              <w:rPr>
                <w:rFonts w:ascii="Times New Roman"/>
                <w:spacing w:val="-2"/>
                <w:sz w:val="21"/>
              </w:rPr>
              <w:t>11,737,024.13</w:t>
            </w:r>
          </w:p>
        </w:tc>
      </w:tr>
      <w:tr>
        <w:trPr>
          <w:trHeight w:val="295"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338" w:right="0"/>
              <w:jc w:val="left"/>
              <w:rPr>
                <w:rFonts w:ascii="Times New Roman" w:hAnsi="Times New Roman" w:cs="Times New Roman" w:eastAsia="Times New Roman" w:hint="default"/>
                <w:sz w:val="21"/>
                <w:szCs w:val="21"/>
              </w:rPr>
            </w:pPr>
            <w:r>
              <w:rPr>
                <w:rFonts w:ascii="Times New Roman"/>
                <w:sz w:val="21"/>
              </w:rPr>
              <w:t>965,436.31</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84"/>
              <w:jc w:val="right"/>
              <w:rPr>
                <w:rFonts w:ascii="Times New Roman" w:hAnsi="Times New Roman" w:cs="Times New Roman" w:eastAsia="Times New Roman" w:hint="default"/>
                <w:sz w:val="21"/>
                <w:szCs w:val="21"/>
              </w:rPr>
            </w:pPr>
            <w:r>
              <w:rPr>
                <w:rFonts w:ascii="Times New Roman"/>
                <w:spacing w:val="-1"/>
                <w:sz w:val="21"/>
              </w:rPr>
              <w:t>128,724.83</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84"/>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186"/>
              <w:jc w:val="right"/>
              <w:rPr>
                <w:rFonts w:ascii="Times New Roman" w:hAnsi="Times New Roman" w:cs="Times New Roman" w:eastAsia="Times New Roman" w:hint="default"/>
                <w:sz w:val="21"/>
                <w:szCs w:val="21"/>
              </w:rPr>
            </w:pPr>
            <w:r>
              <w:rPr>
                <w:rFonts w:ascii="Times New Roman"/>
                <w:spacing w:val="-1"/>
                <w:sz w:val="21"/>
              </w:rPr>
              <w:t>1,094,161.14</w:t>
            </w:r>
          </w:p>
        </w:tc>
      </w:tr>
      <w:tr>
        <w:trPr>
          <w:trHeight w:val="276"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8"/>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2" w:right="0"/>
              <w:jc w:val="left"/>
              <w:rPr>
                <w:rFonts w:ascii="Times New Roman" w:hAnsi="Times New Roman" w:cs="Times New Roman" w:eastAsia="Times New Roman" w:hint="default"/>
                <w:sz w:val="21"/>
                <w:szCs w:val="21"/>
              </w:rPr>
            </w:pPr>
            <w:r>
              <w:rPr>
                <w:rFonts w:ascii="Times New Roman"/>
                <w:sz w:val="21"/>
              </w:rPr>
              <w:t>5,345,193.50</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4"/>
              <w:jc w:val="right"/>
              <w:rPr>
                <w:rFonts w:ascii="Times New Roman" w:hAnsi="Times New Roman" w:cs="Times New Roman" w:eastAsia="Times New Roman" w:hint="default"/>
                <w:sz w:val="21"/>
                <w:szCs w:val="21"/>
              </w:rPr>
            </w:pPr>
            <w:r>
              <w:rPr>
                <w:rFonts w:ascii="Times New Roman"/>
                <w:spacing w:val="-1"/>
                <w:sz w:val="21"/>
              </w:rPr>
              <w:t>2,546,143.99</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3"/>
              <w:jc w:val="right"/>
              <w:rPr>
                <w:rFonts w:ascii="Times New Roman" w:hAnsi="Times New Roman" w:cs="Times New Roman" w:eastAsia="Times New Roman" w:hint="default"/>
                <w:sz w:val="21"/>
                <w:szCs w:val="21"/>
              </w:rPr>
            </w:pPr>
            <w:r>
              <w:rPr>
                <w:rFonts w:ascii="Times New Roman"/>
                <w:spacing w:val="-1"/>
                <w:sz w:val="21"/>
              </w:rPr>
              <w:t>1,954,231.98</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7"/>
              <w:jc w:val="right"/>
              <w:rPr>
                <w:rFonts w:ascii="Times New Roman" w:hAnsi="Times New Roman" w:cs="Times New Roman" w:eastAsia="Times New Roman" w:hint="default"/>
                <w:sz w:val="21"/>
                <w:szCs w:val="21"/>
              </w:rPr>
            </w:pPr>
            <w:r>
              <w:rPr>
                <w:rFonts w:ascii="Times New Roman"/>
                <w:spacing w:val="-1"/>
                <w:sz w:val="21"/>
              </w:rPr>
              <w:t>5,937,105.51</w:t>
            </w:r>
          </w:p>
        </w:tc>
      </w:tr>
      <w:tr>
        <w:trPr>
          <w:trHeight w:val="414"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2" w:right="0"/>
              <w:jc w:val="left"/>
              <w:rPr>
                <w:rFonts w:ascii="Times New Roman" w:hAnsi="Times New Roman" w:cs="Times New Roman" w:eastAsia="Times New Roman" w:hint="default"/>
                <w:sz w:val="21"/>
                <w:szCs w:val="21"/>
              </w:rPr>
            </w:pPr>
            <w:r>
              <w:rPr>
                <w:rFonts w:ascii="Times New Roman"/>
                <w:sz w:val="21"/>
              </w:rPr>
              <w:t>5,464,503.70</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6"/>
              <w:jc w:val="right"/>
              <w:rPr>
                <w:rFonts w:ascii="Times New Roman" w:hAnsi="Times New Roman" w:cs="Times New Roman" w:eastAsia="Times New Roman" w:hint="default"/>
                <w:sz w:val="21"/>
                <w:szCs w:val="21"/>
              </w:rPr>
            </w:pPr>
            <w:r>
              <w:rPr>
                <w:rFonts w:ascii="Times New Roman"/>
                <w:spacing w:val="-1"/>
                <w:sz w:val="21"/>
              </w:rPr>
              <w:t>748,720.13</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3"/>
              <w:jc w:val="right"/>
              <w:rPr>
                <w:rFonts w:ascii="Times New Roman" w:hAnsi="Times New Roman" w:cs="Times New Roman" w:eastAsia="Times New Roman" w:hint="default"/>
                <w:sz w:val="21"/>
                <w:szCs w:val="21"/>
              </w:rPr>
            </w:pPr>
            <w:r>
              <w:rPr>
                <w:rFonts w:ascii="Times New Roman"/>
                <w:spacing w:val="-1"/>
                <w:sz w:val="21"/>
              </w:rPr>
              <w:t>1,507,466.35</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87"/>
              <w:jc w:val="right"/>
              <w:rPr>
                <w:rFonts w:ascii="Times New Roman" w:hAnsi="Times New Roman" w:cs="Times New Roman" w:eastAsia="Times New Roman" w:hint="default"/>
                <w:sz w:val="21"/>
                <w:szCs w:val="21"/>
              </w:rPr>
            </w:pPr>
            <w:r>
              <w:rPr>
                <w:rFonts w:ascii="Times New Roman"/>
                <w:spacing w:val="-1"/>
                <w:sz w:val="21"/>
              </w:rPr>
              <w:t>4,705,757.48</w:t>
            </w:r>
          </w:p>
        </w:tc>
      </w:tr>
      <w:tr>
        <w:trPr>
          <w:trHeight w:val="424" w:hRule="exact"/>
        </w:trPr>
        <w:tc>
          <w:tcPr>
            <w:tcW w:w="23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474" w:type="dxa"/>
            <w:tcBorders>
              <w:top w:val="nil" w:sz="6" w:space="0" w:color="auto"/>
              <w:left w:val="nil" w:sz="6" w:space="0" w:color="auto"/>
              <w:bottom w:val="single" w:sz="11" w:space="0" w:color="000000"/>
              <w:right w:val="nil" w:sz="6" w:space="0" w:color="auto"/>
            </w:tcBorders>
          </w:tcPr>
          <w:p>
            <w:pPr>
              <w:pStyle w:val="TableParagraph"/>
              <w:spacing w:line="240" w:lineRule="auto" w:before="143"/>
              <w:ind w:left="76" w:right="0"/>
              <w:jc w:val="left"/>
              <w:rPr>
                <w:rFonts w:ascii="Times New Roman" w:hAnsi="Times New Roman" w:cs="Times New Roman" w:eastAsia="Times New Roman" w:hint="default"/>
                <w:sz w:val="21"/>
                <w:szCs w:val="21"/>
              </w:rPr>
            </w:pPr>
            <w:r>
              <w:rPr>
                <w:rFonts w:ascii="Times New Roman"/>
                <w:sz w:val="21"/>
              </w:rPr>
              <w:t>13,769,748.66</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single" w:sz="11" w:space="0" w:color="000000"/>
              <w:right w:val="nil" w:sz="6" w:space="0" w:color="auto"/>
            </w:tcBorders>
          </w:tcPr>
          <w:p>
            <w:pPr>
              <w:pStyle w:val="TableParagraph"/>
              <w:spacing w:line="240" w:lineRule="auto" w:before="143"/>
              <w:ind w:right="185"/>
              <w:jc w:val="right"/>
              <w:rPr>
                <w:rFonts w:ascii="Times New Roman" w:hAnsi="Times New Roman" w:cs="Times New Roman" w:eastAsia="Times New Roman" w:hint="default"/>
                <w:sz w:val="21"/>
                <w:szCs w:val="21"/>
              </w:rPr>
            </w:pPr>
            <w:r>
              <w:rPr>
                <w:rFonts w:ascii="Times New Roman"/>
                <w:spacing w:val="-1"/>
                <w:sz w:val="21"/>
              </w:rPr>
              <w:t>808,281.78</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11" w:space="0" w:color="000000"/>
              <w:right w:val="nil" w:sz="6" w:space="0" w:color="auto"/>
            </w:tcBorders>
          </w:tcPr>
          <w:p>
            <w:pPr>
              <w:pStyle w:val="TableParagraph"/>
              <w:spacing w:line="240" w:lineRule="auto" w:before="143"/>
              <w:ind w:right="183"/>
              <w:jc w:val="right"/>
              <w:rPr>
                <w:rFonts w:ascii="Times New Roman" w:hAnsi="Times New Roman" w:cs="Times New Roman" w:eastAsia="Times New Roman" w:hint="default"/>
                <w:sz w:val="21"/>
                <w:szCs w:val="21"/>
              </w:rPr>
            </w:pPr>
            <w:r>
              <w:rPr>
                <w:rFonts w:ascii="Times New Roman"/>
                <w:spacing w:val="-1"/>
                <w:sz w:val="21"/>
              </w:rPr>
              <w:t>515,935.95</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single" w:sz="11" w:space="0" w:color="000000"/>
              <w:right w:val="nil" w:sz="6" w:space="0" w:color="auto"/>
            </w:tcBorders>
          </w:tcPr>
          <w:p>
            <w:pPr>
              <w:pStyle w:val="TableParagraph"/>
              <w:spacing w:line="240" w:lineRule="auto" w:before="143"/>
              <w:ind w:right="187"/>
              <w:jc w:val="right"/>
              <w:rPr>
                <w:rFonts w:ascii="Times New Roman" w:hAnsi="Times New Roman" w:cs="Times New Roman" w:eastAsia="Times New Roman" w:hint="default"/>
                <w:sz w:val="21"/>
                <w:szCs w:val="21"/>
              </w:rPr>
            </w:pPr>
            <w:r>
              <w:rPr>
                <w:rFonts w:ascii="Times New Roman"/>
                <w:spacing w:val="-1"/>
                <w:sz w:val="21"/>
              </w:rPr>
              <w:t>14,062,094.49</w:t>
            </w:r>
          </w:p>
        </w:tc>
      </w:tr>
      <w:tr>
        <w:trPr>
          <w:trHeight w:val="297" w:hRule="exact"/>
        </w:trPr>
        <w:tc>
          <w:tcPr>
            <w:tcW w:w="23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4"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left="182" w:right="0"/>
              <w:jc w:val="left"/>
              <w:rPr>
                <w:rFonts w:ascii="Times New Roman" w:hAnsi="Times New Roman" w:cs="Times New Roman" w:eastAsia="Times New Roman" w:hint="default"/>
                <w:sz w:val="21"/>
                <w:szCs w:val="21"/>
              </w:rPr>
            </w:pPr>
            <w:r>
              <w:rPr>
                <w:rFonts w:ascii="Times New Roman"/>
                <w:sz w:val="21"/>
              </w:rPr>
              <w:t>5,809,554.69</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5"/>
              <w:jc w:val="right"/>
              <w:rPr>
                <w:rFonts w:ascii="Times New Roman" w:hAnsi="Times New Roman" w:cs="Times New Roman" w:eastAsia="Times New Roman" w:hint="default"/>
                <w:sz w:val="21"/>
                <w:szCs w:val="21"/>
              </w:rPr>
            </w:pPr>
            <w:r>
              <w:rPr>
                <w:rFonts w:ascii="Times New Roman"/>
                <w:spacing w:val="-1"/>
                <w:sz w:val="21"/>
              </w:rPr>
              <w:t>-128,724.83</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4"/>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6"/>
              <w:jc w:val="right"/>
              <w:rPr>
                <w:rFonts w:ascii="Times New Roman" w:hAnsi="Times New Roman" w:cs="Times New Roman" w:eastAsia="Times New Roman" w:hint="default"/>
                <w:sz w:val="21"/>
                <w:szCs w:val="21"/>
              </w:rPr>
            </w:pPr>
            <w:r>
              <w:rPr>
                <w:rFonts w:ascii="Times New Roman"/>
                <w:spacing w:val="-1"/>
                <w:sz w:val="21"/>
              </w:rPr>
              <w:t>5,680,829.86</w:t>
            </w:r>
          </w:p>
        </w:tc>
      </w:tr>
      <w:tr>
        <w:trPr>
          <w:trHeight w:val="276" w:hRule="exact"/>
        </w:trPr>
        <w:tc>
          <w:tcPr>
            <w:tcW w:w="23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2" w:right="0"/>
              <w:jc w:val="left"/>
              <w:rPr>
                <w:rFonts w:ascii="Times New Roman" w:hAnsi="Times New Roman" w:cs="Times New Roman" w:eastAsia="Times New Roman" w:hint="default"/>
                <w:sz w:val="21"/>
                <w:szCs w:val="21"/>
              </w:rPr>
            </w:pPr>
            <w:r>
              <w:rPr>
                <w:rFonts w:ascii="Times New Roman"/>
                <w:sz w:val="21"/>
              </w:rPr>
              <w:t>5,099,718.67</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6"/>
              <w:jc w:val="right"/>
              <w:rPr>
                <w:rFonts w:ascii="Times New Roman" w:hAnsi="Times New Roman" w:cs="Times New Roman" w:eastAsia="Times New Roman" w:hint="default"/>
                <w:sz w:val="21"/>
                <w:szCs w:val="21"/>
              </w:rPr>
            </w:pPr>
            <w:r>
              <w:rPr>
                <w:rFonts w:ascii="Times New Roman"/>
                <w:spacing w:val="-1"/>
                <w:sz w:val="21"/>
              </w:rPr>
              <w:t>655,951.14</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3"/>
              <w:jc w:val="right"/>
              <w:rPr>
                <w:rFonts w:ascii="Times New Roman" w:hAnsi="Times New Roman" w:cs="Times New Roman" w:eastAsia="Times New Roman" w:hint="default"/>
                <w:sz w:val="21"/>
                <w:szCs w:val="21"/>
              </w:rPr>
            </w:pPr>
            <w:r>
              <w:rPr>
                <w:rFonts w:ascii="Times New Roman"/>
                <w:spacing w:val="-1"/>
                <w:sz w:val="21"/>
              </w:rPr>
              <w:t>412,225.30</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7"/>
              <w:jc w:val="right"/>
              <w:rPr>
                <w:rFonts w:ascii="Times New Roman" w:hAnsi="Times New Roman" w:cs="Times New Roman" w:eastAsia="Times New Roman" w:hint="default"/>
                <w:sz w:val="21"/>
                <w:szCs w:val="21"/>
              </w:rPr>
            </w:pPr>
            <w:r>
              <w:rPr>
                <w:rFonts w:ascii="Times New Roman"/>
                <w:spacing w:val="-1"/>
                <w:sz w:val="21"/>
              </w:rPr>
              <w:t>5,343,444.51</w:t>
            </w:r>
          </w:p>
        </w:tc>
      </w:tr>
      <w:tr>
        <w:trPr>
          <w:trHeight w:val="344" w:hRule="exact"/>
        </w:trPr>
        <w:tc>
          <w:tcPr>
            <w:tcW w:w="23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82" w:right="0"/>
              <w:jc w:val="left"/>
              <w:rPr>
                <w:rFonts w:ascii="Times New Roman" w:hAnsi="Times New Roman" w:cs="Times New Roman" w:eastAsia="Times New Roman" w:hint="default"/>
                <w:sz w:val="21"/>
                <w:szCs w:val="21"/>
              </w:rPr>
            </w:pPr>
            <w:r>
              <w:rPr>
                <w:rFonts w:ascii="Times New Roman"/>
                <w:sz w:val="21"/>
              </w:rPr>
              <w:t>2,860,475.30</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6"/>
              <w:jc w:val="right"/>
              <w:rPr>
                <w:rFonts w:ascii="Times New Roman" w:hAnsi="Times New Roman" w:cs="Times New Roman" w:eastAsia="Times New Roman" w:hint="default"/>
                <w:sz w:val="21"/>
                <w:szCs w:val="21"/>
              </w:rPr>
            </w:pPr>
            <w:r>
              <w:rPr>
                <w:rFonts w:ascii="Times New Roman"/>
                <w:spacing w:val="-1"/>
                <w:sz w:val="21"/>
              </w:rPr>
              <w:t>281,055.47</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3"/>
              <w:jc w:val="right"/>
              <w:rPr>
                <w:rFonts w:ascii="Times New Roman" w:hAnsi="Times New Roman" w:cs="Times New Roman" w:eastAsia="Times New Roman" w:hint="default"/>
                <w:sz w:val="21"/>
                <w:szCs w:val="21"/>
              </w:rPr>
            </w:pPr>
            <w:r>
              <w:rPr>
                <w:rFonts w:ascii="Times New Roman"/>
                <w:spacing w:val="-1"/>
                <w:sz w:val="21"/>
              </w:rPr>
              <w:t>103,710.65</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7"/>
              <w:jc w:val="right"/>
              <w:rPr>
                <w:rFonts w:ascii="Times New Roman" w:hAnsi="Times New Roman" w:cs="Times New Roman" w:eastAsia="Times New Roman" w:hint="default"/>
                <w:sz w:val="21"/>
                <w:szCs w:val="21"/>
              </w:rPr>
            </w:pPr>
            <w:r>
              <w:rPr>
                <w:rFonts w:ascii="Times New Roman"/>
                <w:spacing w:val="-1"/>
                <w:sz w:val="21"/>
              </w:rPr>
              <w:t>3,037,820.12</w:t>
            </w:r>
          </w:p>
        </w:tc>
      </w:tr>
    </w:tbl>
    <w:p>
      <w:pPr>
        <w:spacing w:line="240" w:lineRule="auto" w:before="10"/>
        <w:rPr>
          <w:rFonts w:ascii="宋体" w:hAnsi="宋体" w:cs="宋体" w:eastAsia="宋体" w:hint="default"/>
          <w:sz w:val="10"/>
          <w:szCs w:val="10"/>
        </w:rPr>
      </w:pPr>
    </w:p>
    <w:p>
      <w:pPr>
        <w:tabs>
          <w:tab w:pos="4098" w:val="left" w:leader="none"/>
          <w:tab w:pos="5904" w:val="left" w:leader="none"/>
          <w:tab w:pos="7587" w:val="left" w:leader="none"/>
          <w:tab w:pos="9685" w:val="left" w:leader="none"/>
        </w:tabs>
        <w:spacing w:before="74"/>
        <w:ind w:left="558" w:right="0"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四、减值准备合计</w:t>
        <w:tab/>
      </w:r>
      <w:r>
        <w:rPr>
          <w:rFonts w:ascii="Times New Roman" w:hAnsi="Times New Roman" w:cs="Times New Roman" w:eastAsia="Times New Roman" w:hint="default"/>
          <w:position w:val="1"/>
          <w:sz w:val="21"/>
          <w:szCs w:val="21"/>
        </w:rPr>
        <w:t>-</w:t>
        <w:tab/>
        <w:t>-</w:t>
        <w:tab/>
        <w:t>-</w:t>
        <w:tab/>
        <w:t>-</w:t>
      </w:r>
      <w:r>
        <w:rPr>
          <w:rFonts w:ascii="Times New Roman" w:hAnsi="Times New Roman" w:cs="Times New Roman" w:eastAsia="Times New Roman" w:hint="default"/>
          <w:sz w:val="21"/>
          <w:szCs w:val="21"/>
        </w:rPr>
      </w:r>
    </w:p>
    <w:p>
      <w:pPr>
        <w:tabs>
          <w:tab w:pos="8123" w:val="left" w:leader="none"/>
        </w:tabs>
        <w:spacing w:line="28" w:lineRule="exact"/>
        <w:ind w:left="2879" w:right="0" w:firstLine="0"/>
        <w:rPr>
          <w:rFonts w:ascii="Times New Roman" w:hAnsi="Times New Roman" w:cs="Times New Roman" w:eastAsia="Times New Roman" w:hint="default"/>
          <w:sz w:val="2"/>
          <w:szCs w:val="2"/>
        </w:rPr>
      </w:pPr>
      <w:r>
        <w:rPr>
          <w:rFonts w:ascii="Times New Roman"/>
          <w:position w:val="0"/>
          <w:sz w:val="2"/>
        </w:rPr>
        <w:pict>
          <v:group style="width:74.150pt;height:1.45pt;mso-position-horizontal-relative:char;mso-position-vertical-relative:line" coordorigin="0,0" coordsize="1483,29">
            <v:group style="position:absolute;left:5;top:5;width:1474;height:2" coordorigin="5,5" coordsize="1474,2">
              <v:shape style="position:absolute;left:5;top:5;width:1474;height:2" coordorigin="5,5" coordsize="1474,0" path="m5,5l1478,5e" filled="false" stroked="true" strokeweight=".48pt" strokecolor="#000000">
                <v:path arrowok="t"/>
              </v:shape>
            </v:group>
            <v:group style="position:absolute;left:5;top:24;width:1474;height:2" coordorigin="5,24" coordsize="1474,2">
              <v:shape style="position:absolute;left:5;top:24;width:1474;height:2" coordorigin="5,24" coordsize="1474,0" path="m5,24l1478,24e" filled="false" stroked="true" strokeweight=".48pt" strokecolor="#000000">
                <v:path arrowok="t"/>
              </v:shape>
            </v:group>
          </v:group>
        </w:pict>
      </w:r>
      <w:r>
        <w:rPr>
          <w:rFonts w:ascii="Times New Roman"/>
          <w:position w:val="0"/>
          <w:sz w:val="2"/>
        </w:rPr>
      </w:r>
      <w:r>
        <w:rPr>
          <w:rFonts w:ascii="Times New Roman"/>
          <w:spacing w:val="126"/>
          <w:position w:val="0"/>
          <w:sz w:val="2"/>
        </w:rPr>
        <w:t> </w:t>
      </w:r>
      <w:r>
        <w:rPr>
          <w:rFonts w:ascii="Times New Roman"/>
          <w:spacing w:val="126"/>
          <w:position w:val="0"/>
          <w:sz w:val="2"/>
        </w:rPr>
        <w:pict>
          <v:group style="width:83.15pt;height:1.45pt;mso-position-horizontal-relative:char;mso-position-vertical-relative:line" coordorigin="0,0" coordsize="1663,29">
            <v:group style="position:absolute;left:5;top:5;width:1654;height:2" coordorigin="5,5" coordsize="1654,2">
              <v:shape style="position:absolute;left:5;top:5;width:1654;height:2" coordorigin="5,5" coordsize="1654,0" path="m5,5l1658,5e" filled="false" stroked="true" strokeweight=".48pt" strokecolor="#000000">
                <v:path arrowok="t"/>
              </v:shape>
            </v:group>
            <v:group style="position:absolute;left:5;top:24;width:1654;height:2" coordorigin="5,24" coordsize="1654,2">
              <v:shape style="position:absolute;left:5;top:24;width:1654;height:2" coordorigin="5,24" coordsize="1654,0" path="m5,24l1658,24e" filled="false" stroked="true" strokeweight=".48pt" strokecolor="#000000">
                <v:path arrowok="t"/>
              </v:shape>
            </v:group>
          </v:group>
        </w:pict>
      </w:r>
      <w:r>
        <w:rPr>
          <w:rFonts w:ascii="Times New Roman"/>
          <w:spacing w:val="126"/>
          <w:position w:val="0"/>
          <w:sz w:val="2"/>
        </w:rPr>
      </w:r>
      <w:r>
        <w:rPr>
          <w:rFonts w:ascii="Times New Roman"/>
          <w:spacing w:val="117"/>
          <w:position w:val="0"/>
          <w:sz w:val="2"/>
        </w:rPr>
        <w:t> </w:t>
      </w:r>
      <w:r>
        <w:rPr>
          <w:rFonts w:ascii="Times New Roman"/>
          <w:spacing w:val="117"/>
          <w:position w:val="0"/>
          <w:sz w:val="2"/>
        </w:rPr>
        <w:pict>
          <v:group style="width:77.650pt;height:1.45pt;mso-position-horizontal-relative:char;mso-position-vertical-relative:line" coordorigin="0,0" coordsize="1553,29">
            <v:group style="position:absolute;left:5;top:5;width:1544;height:2" coordorigin="5,5" coordsize="1544,2">
              <v:shape style="position:absolute;left:5;top:5;width:1544;height:2" coordorigin="5,5" coordsize="1544,0" path="m5,5l1548,5e" filled="false" stroked="true" strokeweight=".48pt" strokecolor="#000000">
                <v:path arrowok="t"/>
              </v:shape>
            </v:group>
            <v:group style="position:absolute;left:5;top:24;width:1544;height:2" coordorigin="5,24" coordsize="1544,2">
              <v:shape style="position:absolute;left:5;top:24;width:1544;height:2" coordorigin="5,24" coordsize="1544,0" path="m5,24l1548,24e" filled="false" stroked="true" strokeweight=".48pt" strokecolor="#000000">
                <v:path arrowok="t"/>
              </v:shape>
            </v:group>
          </v:group>
        </w:pict>
      </w:r>
      <w:r>
        <w:rPr>
          <w:rFonts w:ascii="Times New Roman"/>
          <w:spacing w:val="117"/>
          <w:position w:val="0"/>
          <w:sz w:val="2"/>
        </w:rPr>
      </w:r>
      <w:r>
        <w:rPr>
          <w:rFonts w:ascii="Times New Roman"/>
          <w:spacing w:val="117"/>
          <w:position w:val="0"/>
          <w:sz w:val="2"/>
        </w:rPr>
        <w:tab/>
      </w:r>
      <w:r>
        <w:rPr>
          <w:rFonts w:ascii="Times New Roman"/>
          <w:spacing w:val="117"/>
          <w:position w:val="0"/>
          <w:sz w:val="2"/>
        </w:rPr>
        <w:pict>
          <v:group style="width:91.55pt;height:1.45pt;mso-position-horizontal-relative:char;mso-position-vertical-relative:line" coordorigin="0,0" coordsize="1831,29">
            <v:group style="position:absolute;left:5;top:5;width:1822;height:2" coordorigin="5,5" coordsize="1822,2">
              <v:shape style="position:absolute;left:5;top:5;width:1822;height:2" coordorigin="5,5" coordsize="1822,0" path="m5,5l1826,5e" filled="false" stroked="true" strokeweight=".48pt" strokecolor="#000000">
                <v:path arrowok="t"/>
              </v:shape>
            </v:group>
            <v:group style="position:absolute;left:5;top:24;width:1822;height:2" coordorigin="5,24" coordsize="1822,2">
              <v:shape style="position:absolute;left:5;top:24;width:1822;height:2" coordorigin="5,24" coordsize="1822,0" path="m5,24l1826,24e" filled="false" stroked="true" strokeweight=".48pt" strokecolor="#000000">
                <v:path arrowok="t"/>
              </v:shape>
            </v:group>
          </v:group>
        </w:pict>
      </w:r>
      <w:r>
        <w:rPr>
          <w:rFonts w:ascii="Times New Roman"/>
          <w:spacing w:val="117"/>
          <w:position w:val="0"/>
          <w:sz w:val="2"/>
        </w:rPr>
      </w:r>
    </w:p>
    <w:p>
      <w:pPr>
        <w:tabs>
          <w:tab w:pos="4098" w:val="left" w:leader="none"/>
          <w:tab w:pos="5904" w:val="left" w:leader="none"/>
          <w:tab w:pos="7587" w:val="left" w:leader="none"/>
          <w:tab w:pos="9685" w:val="left" w:leader="none"/>
        </w:tabs>
        <w:spacing w:before="27"/>
        <w:ind w:left="558" w:right="0"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其中：房屋建筑物</w:t>
        <w:tab/>
      </w:r>
      <w:r>
        <w:rPr>
          <w:rFonts w:ascii="Times New Roman" w:hAnsi="Times New Roman" w:cs="Times New Roman" w:eastAsia="Times New Roman" w:hint="default"/>
          <w:position w:val="2"/>
          <w:sz w:val="21"/>
          <w:szCs w:val="21"/>
        </w:rPr>
        <w:t>-</w:t>
        <w:tab/>
        <w:t>-</w:t>
        <w:tab/>
        <w:t>-</w:t>
        <w:tab/>
        <w:t>-</w:t>
      </w:r>
      <w:r>
        <w:rPr>
          <w:rFonts w:ascii="Times New Roman" w:hAnsi="Times New Roman" w:cs="Times New Roman" w:eastAsia="Times New Roman" w:hint="default"/>
          <w:sz w:val="21"/>
          <w:szCs w:val="21"/>
        </w:rPr>
      </w:r>
    </w:p>
    <w:p>
      <w:pPr>
        <w:tabs>
          <w:tab w:pos="4098" w:val="left" w:leader="none"/>
          <w:tab w:pos="5904" w:val="left" w:leader="none"/>
          <w:tab w:pos="7587" w:val="left" w:leader="none"/>
          <w:tab w:pos="9685" w:val="left" w:leader="none"/>
        </w:tabs>
        <w:spacing w:before="34"/>
        <w:ind w:left="1098" w:right="0"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办公及电子设备</w:t>
        <w:tab/>
      </w:r>
      <w:r>
        <w:rPr>
          <w:rFonts w:ascii="Times New Roman" w:hAnsi="Times New Roman" w:cs="Times New Roman" w:eastAsia="Times New Roman" w:hint="default"/>
          <w:position w:val="2"/>
          <w:sz w:val="21"/>
          <w:szCs w:val="21"/>
        </w:rPr>
        <w:t>-</w:t>
        <w:tab/>
        <w:t>-</w:t>
        <w:tab/>
        <w:t>-</w:t>
        <w:tab/>
        <w:t>-</w:t>
      </w:r>
      <w:r>
        <w:rPr>
          <w:rFonts w:ascii="Times New Roman" w:hAnsi="Times New Roman" w:cs="Times New Roman" w:eastAsia="Times New Roman" w:hint="default"/>
          <w:sz w:val="21"/>
          <w:szCs w:val="21"/>
        </w:rPr>
      </w:r>
    </w:p>
    <w:p>
      <w:pPr>
        <w:tabs>
          <w:tab w:pos="4098" w:val="left" w:leader="none"/>
          <w:tab w:pos="5904" w:val="left" w:leader="none"/>
          <w:tab w:pos="7587" w:val="left" w:leader="none"/>
          <w:tab w:pos="9685" w:val="left" w:leader="none"/>
        </w:tabs>
        <w:spacing w:before="34"/>
        <w:ind w:left="1098" w:right="0" w:firstLine="0"/>
        <w:jc w:val="left"/>
        <w:rPr>
          <w:rFonts w:ascii="Times New Roman" w:hAnsi="Times New Roman" w:cs="Times New Roman" w:eastAsia="Times New Roman" w:hint="default"/>
          <w:sz w:val="21"/>
          <w:szCs w:val="21"/>
        </w:rPr>
      </w:pPr>
      <w:r>
        <w:rPr>
          <w:rFonts w:ascii="宋体" w:hAnsi="宋体" w:cs="宋体" w:eastAsia="宋体" w:hint="default"/>
          <w:sz w:val="18"/>
          <w:szCs w:val="18"/>
        </w:rPr>
        <w:t>运输工具</w:t>
        <w:tab/>
      </w:r>
      <w:r>
        <w:rPr>
          <w:rFonts w:ascii="Times New Roman" w:hAnsi="Times New Roman" w:cs="Times New Roman" w:eastAsia="Times New Roman" w:hint="default"/>
          <w:position w:val="2"/>
          <w:sz w:val="21"/>
          <w:szCs w:val="21"/>
        </w:rPr>
        <w:t>-</w:t>
        <w:tab/>
        <w:t>-</w:t>
        <w:tab/>
        <w:t>-</w:t>
        <w:tab/>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sz w:val="20"/>
          <w:szCs w:val="20"/>
        </w:rPr>
      </w:pPr>
    </w:p>
    <w:tbl>
      <w:tblPr>
        <w:tblW w:w="0" w:type="auto"/>
        <w:jc w:val="left"/>
        <w:tblInd w:w="523" w:type="dxa"/>
        <w:tblLayout w:type="fixed"/>
        <w:tblCellMar>
          <w:top w:w="0" w:type="dxa"/>
          <w:left w:w="0" w:type="dxa"/>
          <w:bottom w:w="0" w:type="dxa"/>
          <w:right w:w="0" w:type="dxa"/>
        </w:tblCellMar>
        <w:tblLook w:val="01E0"/>
      </w:tblPr>
      <w:tblGrid>
        <w:gridCol w:w="2361"/>
        <w:gridCol w:w="1473"/>
        <w:gridCol w:w="151"/>
        <w:gridCol w:w="1653"/>
        <w:gridCol w:w="142"/>
        <w:gridCol w:w="1543"/>
        <w:gridCol w:w="281"/>
        <w:gridCol w:w="1821"/>
      </w:tblGrid>
      <w:tr>
        <w:trPr>
          <w:trHeight w:val="354"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473" w:type="dxa"/>
            <w:tcBorders>
              <w:top w:val="nil" w:sz="6" w:space="0" w:color="auto"/>
              <w:left w:val="nil" w:sz="6" w:space="0" w:color="auto"/>
              <w:bottom w:val="single" w:sz="11" w:space="0" w:color="000000"/>
              <w:right w:val="nil" w:sz="6" w:space="0" w:color="auto"/>
            </w:tcBorders>
          </w:tcPr>
          <w:p>
            <w:pPr>
              <w:pStyle w:val="TableParagraph"/>
              <w:spacing w:line="240" w:lineRule="auto" w:before="73"/>
              <w:ind w:right="187"/>
              <w:jc w:val="right"/>
              <w:rPr>
                <w:rFonts w:ascii="Times New Roman" w:hAnsi="Times New Roman" w:cs="Times New Roman" w:eastAsia="Times New Roman" w:hint="default"/>
                <w:sz w:val="21"/>
                <w:szCs w:val="21"/>
              </w:rPr>
            </w:pPr>
            <w:r>
              <w:rPr>
                <w:rFonts w:ascii="Times New Roman"/>
                <w:spacing w:val="-1"/>
                <w:sz w:val="21"/>
              </w:rPr>
              <w:t>13,769,748.66</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single" w:sz="11" w:space="0" w:color="000000"/>
              <w:right w:val="nil" w:sz="6" w:space="0" w:color="auto"/>
            </w:tcBorders>
          </w:tcPr>
          <w:p>
            <w:pPr>
              <w:pStyle w:val="TableParagraph"/>
              <w:spacing w:line="240" w:lineRule="auto" w:before="73"/>
              <w:ind w:right="185"/>
              <w:jc w:val="right"/>
              <w:rPr>
                <w:rFonts w:ascii="Times New Roman" w:hAnsi="Times New Roman" w:cs="Times New Roman" w:eastAsia="Times New Roman" w:hint="default"/>
                <w:sz w:val="21"/>
                <w:szCs w:val="21"/>
              </w:rPr>
            </w:pPr>
            <w:r>
              <w:rPr>
                <w:rFonts w:ascii="Times New Roman"/>
                <w:spacing w:val="-1"/>
                <w:sz w:val="21"/>
              </w:rPr>
              <w:t>808,281.78</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11" w:space="0" w:color="000000"/>
              <w:right w:val="nil" w:sz="6" w:space="0" w:color="auto"/>
            </w:tcBorders>
          </w:tcPr>
          <w:p>
            <w:pPr>
              <w:pStyle w:val="TableParagraph"/>
              <w:spacing w:line="240" w:lineRule="auto" w:before="73"/>
              <w:ind w:right="183"/>
              <w:jc w:val="right"/>
              <w:rPr>
                <w:rFonts w:ascii="Times New Roman" w:hAnsi="Times New Roman" w:cs="Times New Roman" w:eastAsia="Times New Roman" w:hint="default"/>
                <w:sz w:val="21"/>
                <w:szCs w:val="21"/>
              </w:rPr>
            </w:pPr>
            <w:r>
              <w:rPr>
                <w:rFonts w:ascii="Times New Roman"/>
                <w:spacing w:val="-1"/>
                <w:sz w:val="21"/>
              </w:rPr>
              <w:t>515,935.95</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single" w:sz="11" w:space="0" w:color="000000"/>
              <w:right w:val="nil" w:sz="6" w:space="0" w:color="auto"/>
            </w:tcBorders>
          </w:tcPr>
          <w:p>
            <w:pPr>
              <w:pStyle w:val="TableParagraph"/>
              <w:spacing w:line="240" w:lineRule="auto" w:before="73"/>
              <w:ind w:right="187"/>
              <w:jc w:val="right"/>
              <w:rPr>
                <w:rFonts w:ascii="Times New Roman" w:hAnsi="Times New Roman" w:cs="Times New Roman" w:eastAsia="Times New Roman" w:hint="default"/>
                <w:sz w:val="21"/>
                <w:szCs w:val="21"/>
              </w:rPr>
            </w:pPr>
            <w:r>
              <w:rPr>
                <w:rFonts w:ascii="Times New Roman"/>
                <w:spacing w:val="-1"/>
                <w:sz w:val="21"/>
              </w:rPr>
              <w:t>14,062,094.49</w:t>
            </w:r>
          </w:p>
        </w:tc>
      </w:tr>
      <w:tr>
        <w:trPr>
          <w:trHeight w:val="297"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3"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5"/>
              <w:jc w:val="right"/>
              <w:rPr>
                <w:rFonts w:ascii="Times New Roman" w:hAnsi="Times New Roman" w:cs="Times New Roman" w:eastAsia="Times New Roman" w:hint="default"/>
                <w:sz w:val="21"/>
                <w:szCs w:val="21"/>
              </w:rPr>
            </w:pPr>
            <w:r>
              <w:rPr>
                <w:rFonts w:ascii="Times New Roman"/>
                <w:spacing w:val="-1"/>
                <w:sz w:val="21"/>
              </w:rPr>
              <w:t>5,809,554.69</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5"/>
              <w:jc w:val="right"/>
              <w:rPr>
                <w:rFonts w:ascii="Times New Roman" w:hAnsi="Times New Roman" w:cs="Times New Roman" w:eastAsia="Times New Roman" w:hint="default"/>
                <w:sz w:val="21"/>
                <w:szCs w:val="21"/>
              </w:rPr>
            </w:pPr>
            <w:r>
              <w:rPr>
                <w:rFonts w:ascii="Times New Roman"/>
                <w:spacing w:val="-1"/>
                <w:sz w:val="21"/>
              </w:rPr>
              <w:t>-128,724.83</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4"/>
              <w:jc w:val="right"/>
              <w:rPr>
                <w:rFonts w:ascii="Times New Roman" w:hAnsi="Times New Roman" w:cs="Times New Roman" w:eastAsia="Times New Roman" w:hint="default"/>
                <w:sz w:val="21"/>
                <w:szCs w:val="21"/>
              </w:rPr>
            </w:pPr>
            <w:r>
              <w:rPr>
                <w:rFonts w:ascii="Times New Roman"/>
                <w:w w:val="100"/>
                <w:sz w:val="21"/>
              </w:rPr>
              <w:t>-</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single" w:sz="11" w:space="0" w:color="000000"/>
              <w:left w:val="nil" w:sz="6" w:space="0" w:color="auto"/>
              <w:bottom w:val="nil" w:sz="6" w:space="0" w:color="auto"/>
              <w:right w:val="nil" w:sz="6" w:space="0" w:color="auto"/>
            </w:tcBorders>
          </w:tcPr>
          <w:p>
            <w:pPr>
              <w:pStyle w:val="TableParagraph"/>
              <w:spacing w:line="240" w:lineRule="auto" w:before="12"/>
              <w:ind w:right="186"/>
              <w:jc w:val="right"/>
              <w:rPr>
                <w:rFonts w:ascii="Times New Roman" w:hAnsi="Times New Roman" w:cs="Times New Roman" w:eastAsia="Times New Roman" w:hint="default"/>
                <w:sz w:val="21"/>
                <w:szCs w:val="21"/>
              </w:rPr>
            </w:pPr>
            <w:r>
              <w:rPr>
                <w:rFonts w:ascii="Times New Roman"/>
                <w:spacing w:val="-1"/>
                <w:sz w:val="21"/>
              </w:rPr>
              <w:t>5,680,829.86</w:t>
            </w:r>
          </w:p>
        </w:tc>
      </w:tr>
      <w:tr>
        <w:trPr>
          <w:trHeight w:val="276"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5"/>
              <w:jc w:val="right"/>
              <w:rPr>
                <w:rFonts w:ascii="Times New Roman" w:hAnsi="Times New Roman" w:cs="Times New Roman" w:eastAsia="Times New Roman" w:hint="default"/>
                <w:sz w:val="21"/>
                <w:szCs w:val="21"/>
              </w:rPr>
            </w:pPr>
            <w:r>
              <w:rPr>
                <w:rFonts w:ascii="Times New Roman"/>
                <w:spacing w:val="-1"/>
                <w:sz w:val="21"/>
              </w:rPr>
              <w:t>5,099,718.67</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6"/>
              <w:jc w:val="right"/>
              <w:rPr>
                <w:rFonts w:ascii="Times New Roman" w:hAnsi="Times New Roman" w:cs="Times New Roman" w:eastAsia="Times New Roman" w:hint="default"/>
                <w:sz w:val="21"/>
                <w:szCs w:val="21"/>
              </w:rPr>
            </w:pPr>
            <w:r>
              <w:rPr>
                <w:rFonts w:ascii="Times New Roman"/>
                <w:spacing w:val="-1"/>
                <w:sz w:val="21"/>
              </w:rPr>
              <w:t>655,951.14</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3"/>
              <w:jc w:val="right"/>
              <w:rPr>
                <w:rFonts w:ascii="Times New Roman" w:hAnsi="Times New Roman" w:cs="Times New Roman" w:eastAsia="Times New Roman" w:hint="default"/>
                <w:sz w:val="21"/>
                <w:szCs w:val="21"/>
              </w:rPr>
            </w:pPr>
            <w:r>
              <w:rPr>
                <w:rFonts w:ascii="Times New Roman"/>
                <w:spacing w:val="-1"/>
                <w:sz w:val="21"/>
              </w:rPr>
              <w:t>412,225.30</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7"/>
              <w:jc w:val="right"/>
              <w:rPr>
                <w:rFonts w:ascii="Times New Roman" w:hAnsi="Times New Roman" w:cs="Times New Roman" w:eastAsia="Times New Roman" w:hint="default"/>
                <w:sz w:val="21"/>
                <w:szCs w:val="21"/>
              </w:rPr>
            </w:pPr>
            <w:r>
              <w:rPr>
                <w:rFonts w:ascii="Times New Roman"/>
                <w:spacing w:val="-1"/>
                <w:sz w:val="21"/>
              </w:rPr>
              <w:t>5,343,444.51</w:t>
            </w:r>
          </w:p>
        </w:tc>
      </w:tr>
      <w:tr>
        <w:trPr>
          <w:trHeight w:val="344" w:hRule="exact"/>
        </w:trPr>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5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5"/>
              <w:jc w:val="right"/>
              <w:rPr>
                <w:rFonts w:ascii="Times New Roman" w:hAnsi="Times New Roman" w:cs="Times New Roman" w:eastAsia="Times New Roman" w:hint="default"/>
                <w:sz w:val="21"/>
                <w:szCs w:val="21"/>
              </w:rPr>
            </w:pPr>
            <w:r>
              <w:rPr>
                <w:rFonts w:ascii="Times New Roman"/>
                <w:spacing w:val="-1"/>
                <w:sz w:val="21"/>
              </w:rPr>
              <w:t>2,860,475.30</w:t>
            </w:r>
          </w:p>
        </w:tc>
        <w:tc>
          <w:tcPr>
            <w:tcW w:w="151"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6"/>
              <w:jc w:val="right"/>
              <w:rPr>
                <w:rFonts w:ascii="Times New Roman" w:hAnsi="Times New Roman" w:cs="Times New Roman" w:eastAsia="Times New Roman" w:hint="default"/>
                <w:sz w:val="21"/>
                <w:szCs w:val="21"/>
              </w:rPr>
            </w:pPr>
            <w:r>
              <w:rPr>
                <w:rFonts w:ascii="Times New Roman"/>
                <w:spacing w:val="-1"/>
                <w:sz w:val="21"/>
              </w:rPr>
              <w:t>281,055.47</w:t>
            </w:r>
          </w:p>
        </w:tc>
        <w:tc>
          <w:tcPr>
            <w:tcW w:w="142"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3"/>
              <w:jc w:val="right"/>
              <w:rPr>
                <w:rFonts w:ascii="Times New Roman" w:hAnsi="Times New Roman" w:cs="Times New Roman" w:eastAsia="Times New Roman" w:hint="default"/>
                <w:sz w:val="21"/>
                <w:szCs w:val="21"/>
              </w:rPr>
            </w:pPr>
            <w:r>
              <w:rPr>
                <w:rFonts w:ascii="Times New Roman"/>
                <w:spacing w:val="-1"/>
                <w:sz w:val="21"/>
              </w:rPr>
              <w:t>103,710.65</w:t>
            </w:r>
          </w:p>
        </w:tc>
        <w:tc>
          <w:tcPr>
            <w:tcW w:w="281"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7"/>
              <w:jc w:val="right"/>
              <w:rPr>
                <w:rFonts w:ascii="Times New Roman" w:hAnsi="Times New Roman" w:cs="Times New Roman" w:eastAsia="Times New Roman" w:hint="default"/>
                <w:sz w:val="21"/>
                <w:szCs w:val="21"/>
              </w:rPr>
            </w:pPr>
            <w:r>
              <w:rPr>
                <w:rFonts w:ascii="Times New Roman"/>
                <w:spacing w:val="-1"/>
                <w:sz w:val="21"/>
              </w:rPr>
              <w:t>3,037,820.12</w:t>
            </w:r>
          </w:p>
        </w:tc>
      </w:tr>
    </w:tbl>
    <w:p>
      <w:pPr>
        <w:spacing w:line="240" w:lineRule="auto" w:before="5"/>
        <w:rPr>
          <w:rFonts w:ascii="Times New Roman" w:hAnsi="Times New Roman" w:cs="Times New Roman" w:eastAsia="Times New Roman" w:hint="default"/>
          <w:sz w:val="11"/>
          <w:szCs w:val="11"/>
        </w:rPr>
      </w:pPr>
    </w:p>
    <w:p>
      <w:pPr>
        <w:spacing w:line="424" w:lineRule="auto" w:before="36"/>
        <w:ind w:left="666" w:right="6236" w:firstLine="33"/>
        <w:jc w:val="left"/>
        <w:rPr>
          <w:rFonts w:ascii="宋体" w:hAnsi="宋体" w:cs="宋体" w:eastAsia="宋体" w:hint="default"/>
          <w:sz w:val="21"/>
          <w:szCs w:val="21"/>
        </w:rPr>
      </w:pPr>
      <w:r>
        <w:rPr>
          <w:rFonts w:ascii="宋体" w:hAnsi="宋体" w:cs="宋体" w:eastAsia="宋体" w:hint="default"/>
          <w:sz w:val="21"/>
          <w:szCs w:val="21"/>
        </w:rPr>
        <w:t>本年折旧额： </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3,423,588.95</w:t>
      </w:r>
      <w:r>
        <w:rPr>
          <w:rFonts w:ascii="Times New Roman" w:hAnsi="Times New Roman" w:cs="Times New Roman" w:eastAsia="Times New Roman" w:hint="default"/>
          <w:spacing w:val="51"/>
          <w:sz w:val="21"/>
          <w:szCs w:val="21"/>
          <w:u w:val="single" w:color="000000"/>
        </w:rPr>
        <w:t> </w:t>
      </w:r>
      <w:r>
        <w:rPr>
          <w:rFonts w:ascii="Times New Roman" w:hAnsi="Times New Roman" w:cs="Times New Roman" w:eastAsia="Times New Roman" w:hint="default"/>
          <w:spacing w:val="51"/>
          <w:sz w:val="21"/>
          <w:szCs w:val="21"/>
        </w:rPr>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6.7.2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通过经营租赁租出的固定资产</w:t>
      </w:r>
    </w:p>
    <w:p>
      <w:pPr>
        <w:tabs>
          <w:tab w:pos="9051" w:val="left" w:leader="none"/>
        </w:tabs>
        <w:spacing w:before="84"/>
        <w:ind w:left="2020" w:right="0" w:firstLine="0"/>
        <w:jc w:val="left"/>
        <w:rPr>
          <w:rFonts w:ascii="宋体" w:hAnsi="宋体" w:cs="宋体" w:eastAsia="宋体" w:hint="default"/>
          <w:sz w:val="21"/>
          <w:szCs w:val="21"/>
        </w:rPr>
      </w:pPr>
      <w:r>
        <w:rPr>
          <w:rFonts w:ascii="宋体" w:hAnsi="宋体" w:cs="宋体" w:eastAsia="宋体" w:hint="default"/>
          <w:sz w:val="21"/>
          <w:szCs w:val="21"/>
        </w:rPr>
        <w:t>项目</w:t>
        <w:tab/>
        <w:t>账面价值</w:t>
      </w:r>
    </w:p>
    <w:p>
      <w:pPr>
        <w:tabs>
          <w:tab w:pos="8790" w:val="left" w:leader="none"/>
        </w:tabs>
        <w:spacing w:before="6"/>
        <w:ind w:left="666" w:right="0" w:firstLine="0"/>
        <w:jc w:val="left"/>
        <w:rPr>
          <w:rFonts w:ascii="Times New Roman" w:hAnsi="Times New Roman" w:cs="Times New Roman" w:eastAsia="Times New Roman" w:hint="default"/>
          <w:sz w:val="21"/>
          <w:szCs w:val="21"/>
        </w:rPr>
      </w:pPr>
      <w:r>
        <w:rPr/>
        <w:pict>
          <v:group style="position:absolute;margin-left:82.919998pt;margin-top:1.853674pt;width:167.05pt;height:.1pt;mso-position-horizontal-relative:page;mso-position-vertical-relative:paragraph;z-index:-551440" coordorigin="1658,37" coordsize="3341,2">
            <v:shape style="position:absolute;left:1658;top:37;width:3341;height:2" coordorigin="1658,37" coordsize="3341,0" path="m1658,37l4999,37e" filled="false" stroked="true" strokeweight=".48pt" strokecolor="#000000">
              <v:path arrowok="t"/>
            </v:shape>
            <w10:wrap type="none"/>
          </v:group>
        </w:pict>
      </w:r>
      <w:r>
        <w:rPr/>
        <w:pict>
          <v:group style="position:absolute;margin-left:408.959991pt;margin-top:1.853674pt;width:146.050pt;height:.1pt;mso-position-horizontal-relative:page;mso-position-vertical-relative:paragraph;z-index:-551416" coordorigin="8179,37" coordsize="2921,2">
            <v:shape style="position:absolute;left:8179;top:37;width:2921;height:2" coordorigin="8179,37" coordsize="2921,0" path="m8179,37l11100,37e" filled="false" stroked="true" strokeweight=".48pt" strokecolor="#000000">
              <v:path arrowok="t"/>
            </v:shape>
            <w10:wrap type="none"/>
          </v:group>
        </w:pict>
      </w:r>
      <w:r>
        <w:rPr>
          <w:rFonts w:ascii="宋体" w:hAnsi="宋体" w:cs="宋体" w:eastAsia="宋体" w:hint="default"/>
          <w:spacing w:val="-1"/>
          <w:position w:val="-1"/>
          <w:sz w:val="21"/>
          <w:szCs w:val="21"/>
        </w:rPr>
        <w:t>房屋及建筑物</w:t>
        <w:tab/>
      </w:r>
      <w:r>
        <w:rPr>
          <w:rFonts w:ascii="Times New Roman" w:hAnsi="Times New Roman" w:cs="Times New Roman" w:eastAsia="Times New Roman" w:hint="default"/>
          <w:spacing w:val="-1"/>
          <w:sz w:val="21"/>
          <w:szCs w:val="21"/>
        </w:rPr>
        <w:t>4,891,054.92</w:t>
      </w:r>
    </w:p>
    <w:p>
      <w:pPr>
        <w:spacing w:line="240" w:lineRule="auto" w:before="9"/>
        <w:rPr>
          <w:rFonts w:ascii="Times New Roman" w:hAnsi="Times New Roman" w:cs="Times New Roman" w:eastAsia="Times New Roman" w:hint="default"/>
          <w:sz w:val="17"/>
          <w:szCs w:val="17"/>
        </w:rPr>
      </w:pPr>
    </w:p>
    <w:p>
      <w:pPr>
        <w:spacing w:line="448" w:lineRule="auto" w:before="36"/>
        <w:ind w:left="666" w:right="0" w:firstLine="0"/>
        <w:jc w:val="left"/>
        <w:rPr>
          <w:rFonts w:ascii="宋体" w:hAnsi="宋体" w:cs="宋体" w:eastAsia="宋体" w:hint="default"/>
          <w:sz w:val="21"/>
          <w:szCs w:val="21"/>
        </w:rPr>
      </w:pPr>
      <w:r>
        <w:rPr>
          <w:rFonts w:ascii="宋体" w:hAnsi="宋体" w:cs="宋体" w:eastAsia="宋体" w:hint="default"/>
          <w:sz w:val="21"/>
          <w:szCs w:val="21"/>
        </w:rPr>
        <w:t>上述房屋位于南京市，本公司主要以自用为目的，目前系暂时出租。</w:t>
      </w:r>
      <w:r>
        <w:rPr>
          <w:rFonts w:ascii="宋体" w:hAnsi="宋体" w:cs="宋体" w:eastAsia="宋体" w:hint="default"/>
          <w:w w:val="100"/>
          <w:sz w:val="21"/>
          <w:szCs w:val="21"/>
        </w:rPr>
        <w:t> </w:t>
      </w:r>
      <w:r>
        <w:rPr>
          <w:rFonts w:ascii="宋体" w:hAnsi="宋体" w:cs="宋体" w:eastAsia="宋体" w:hint="default"/>
          <w:spacing w:val="-2"/>
          <w:sz w:val="21"/>
          <w:szCs w:val="21"/>
        </w:rPr>
        <w:t>本公司董事会认为：本公司的固定资产经测试未发生减值，故无需计提减值准备。</w:t>
      </w:r>
    </w:p>
    <w:p>
      <w:pPr>
        <w:spacing w:after="0" w:line="448" w:lineRule="auto"/>
        <w:jc w:val="left"/>
        <w:rPr>
          <w:rFonts w:ascii="宋体" w:hAnsi="宋体" w:cs="宋体" w:eastAsia="宋体" w:hint="default"/>
          <w:sz w:val="21"/>
          <w:szCs w:val="21"/>
        </w:rPr>
        <w:sectPr>
          <w:pgSz w:w="11900" w:h="16840"/>
          <w:pgMar w:header="886" w:footer="983" w:top="1800" w:bottom="1180" w:left="1100" w:right="680"/>
        </w:sectPr>
      </w:pPr>
    </w:p>
    <w:p>
      <w:pPr>
        <w:spacing w:line="240" w:lineRule="auto" w:before="10"/>
        <w:rPr>
          <w:rFonts w:ascii="宋体" w:hAnsi="宋体" w:cs="宋体" w:eastAsia="宋体" w:hint="default"/>
          <w:sz w:val="12"/>
          <w:szCs w:val="12"/>
        </w:rPr>
      </w:pPr>
    </w:p>
    <w:p>
      <w:pPr>
        <w:tabs>
          <w:tab w:pos="551" w:val="left" w:leader="none"/>
        </w:tabs>
        <w:spacing w:before="41"/>
        <w:ind w:left="0" w:right="7303"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22"/>
          <w:szCs w:val="22"/>
        </w:rPr>
      </w:pPr>
    </w:p>
    <w:p>
      <w:pPr>
        <w:spacing w:before="0"/>
        <w:ind w:left="402"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6.8  </w:t>
      </w:r>
      <w:r>
        <w:rPr>
          <w:rFonts w:ascii="宋体" w:hAnsi="宋体" w:cs="宋体" w:eastAsia="宋体" w:hint="default"/>
          <w:sz w:val="21"/>
          <w:szCs w:val="21"/>
        </w:rPr>
        <w:t>无形资产</w:t>
      </w:r>
    </w:p>
    <w:p>
      <w:pPr>
        <w:spacing w:line="240" w:lineRule="auto" w:before="13"/>
        <w:rPr>
          <w:rFonts w:ascii="宋体" w:hAnsi="宋体" w:cs="宋体" w:eastAsia="宋体" w:hint="default"/>
          <w:sz w:val="20"/>
          <w:szCs w:val="20"/>
        </w:rPr>
      </w:pPr>
    </w:p>
    <w:p>
      <w:pPr>
        <w:spacing w:before="0"/>
        <w:ind w:left="0" w:right="7422"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6.8.1  </w:t>
      </w:r>
      <w:r>
        <w:rPr>
          <w:rFonts w:ascii="宋体" w:hAnsi="宋体" w:cs="宋体" w:eastAsia="宋体" w:hint="default"/>
          <w:sz w:val="21"/>
          <w:szCs w:val="21"/>
        </w:rPr>
        <w:t>无形资产情况</w:t>
      </w:r>
    </w:p>
    <w:p>
      <w:pPr>
        <w:spacing w:line="240" w:lineRule="auto" w:before="10"/>
        <w:rPr>
          <w:rFonts w:ascii="宋体" w:hAnsi="宋体" w:cs="宋体" w:eastAsia="宋体" w:hint="default"/>
          <w:sz w:val="2"/>
          <w:szCs w:val="2"/>
        </w:rPr>
      </w:pPr>
    </w:p>
    <w:tbl>
      <w:tblPr>
        <w:tblW w:w="0" w:type="auto"/>
        <w:jc w:val="left"/>
        <w:tblInd w:w="629" w:type="dxa"/>
        <w:tblLayout w:type="fixed"/>
        <w:tblCellMar>
          <w:top w:w="0" w:type="dxa"/>
          <w:left w:w="0" w:type="dxa"/>
          <w:bottom w:w="0" w:type="dxa"/>
          <w:right w:w="0" w:type="dxa"/>
        </w:tblCellMar>
        <w:tblLook w:val="01E0"/>
      </w:tblPr>
      <w:tblGrid>
        <w:gridCol w:w="2027"/>
        <w:gridCol w:w="142"/>
        <w:gridCol w:w="1841"/>
        <w:gridCol w:w="142"/>
        <w:gridCol w:w="1985"/>
        <w:gridCol w:w="151"/>
        <w:gridCol w:w="1321"/>
        <w:gridCol w:w="2190"/>
      </w:tblGrid>
      <w:tr>
        <w:trPr>
          <w:trHeight w:val="260" w:hRule="exact"/>
        </w:trPr>
        <w:tc>
          <w:tcPr>
            <w:tcW w:w="2027" w:type="dxa"/>
            <w:tcBorders>
              <w:top w:val="nil" w:sz="6" w:space="0" w:color="auto"/>
              <w:left w:val="nil" w:sz="6" w:space="0" w:color="auto"/>
              <w:bottom w:val="single" w:sz="4" w:space="0" w:color="000000"/>
              <w:right w:val="nil" w:sz="6" w:space="0" w:color="auto"/>
            </w:tcBorders>
          </w:tcPr>
          <w:p>
            <w:pPr>
              <w:pStyle w:val="TableParagraph"/>
              <w:spacing w:line="206" w:lineRule="exact"/>
              <w:ind w:left="3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19" w:lineRule="exact"/>
              <w:ind w:right="174"/>
              <w:jc w:val="righ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06" w:lineRule="exact"/>
              <w:ind w:left="63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4" w:space="0" w:color="000000"/>
              <w:right w:val="nil" w:sz="6" w:space="0" w:color="auto"/>
            </w:tcBorders>
          </w:tcPr>
          <w:p>
            <w:pPr>
              <w:pStyle w:val="TableParagraph"/>
              <w:spacing w:line="206" w:lineRule="exact"/>
              <w:ind w:left="46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90" w:type="dxa"/>
            <w:tcBorders>
              <w:top w:val="nil" w:sz="6" w:space="0" w:color="auto"/>
              <w:left w:val="nil" w:sz="6" w:space="0" w:color="auto"/>
              <w:bottom w:val="single" w:sz="4" w:space="0" w:color="000000"/>
              <w:right w:val="nil" w:sz="6" w:space="0" w:color="auto"/>
            </w:tcBorders>
          </w:tcPr>
          <w:p>
            <w:pPr>
              <w:pStyle w:val="TableParagraph"/>
              <w:spacing w:line="219" w:lineRule="exact"/>
              <w:ind w:right="108"/>
              <w:jc w:val="righ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95" w:hRule="exact"/>
        </w:trPr>
        <w:tc>
          <w:tcPr>
            <w:tcW w:w="202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6,026,289.43</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1"/>
                <w:szCs w:val="21"/>
              </w:rPr>
            </w:pPr>
            <w:r>
              <w:rPr>
                <w:rFonts w:ascii="Times New Roman"/>
                <w:spacing w:val="-1"/>
                <w:sz w:val="21"/>
              </w:rPr>
              <w:t>4,342,509.67</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single" w:sz="12" w:space="0" w:color="000000"/>
              <w:right w:val="nil" w:sz="6" w:space="0" w:color="auto"/>
            </w:tcBorders>
          </w:tcPr>
          <w:p>
            <w:pPr/>
          </w:p>
        </w:tc>
        <w:tc>
          <w:tcPr>
            <w:tcW w:w="2190" w:type="dxa"/>
            <w:tcBorders>
              <w:top w:val="single" w:sz="4" w:space="0" w:color="000000"/>
              <w:left w:val="nil" w:sz="6" w:space="0" w:color="auto"/>
              <w:bottom w:val="single" w:sz="12" w:space="0" w:color="000000"/>
              <w:right w:val="nil" w:sz="6" w:space="0" w:color="auto"/>
            </w:tcBorders>
          </w:tcPr>
          <w:p>
            <w:pPr>
              <w:pStyle w:val="TableParagraph"/>
              <w:tabs>
                <w:tab w:pos="729" w:val="left" w:leader="none"/>
              </w:tabs>
              <w:spacing w:line="240" w:lineRule="auto" w:before="12"/>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10,368,799.10</w:t>
            </w:r>
          </w:p>
        </w:tc>
      </w:tr>
      <w:tr>
        <w:trPr>
          <w:trHeight w:val="33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single" w:sz="12" w:space="0" w:color="000000"/>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21"/>
                <w:szCs w:val="21"/>
              </w:rPr>
            </w:pPr>
            <w:r>
              <w:rPr>
                <w:rFonts w:ascii="Times New Roman"/>
                <w:spacing w:val="-1"/>
                <w:sz w:val="21"/>
              </w:rPr>
              <w:t>1,336,824.50</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nil" w:sz="6" w:space="0" w:color="auto"/>
              <w:right w:val="nil" w:sz="6" w:space="0" w:color="auto"/>
            </w:tcBorders>
          </w:tcPr>
          <w:p>
            <w:pPr>
              <w:pStyle w:val="TableParagraph"/>
              <w:spacing w:line="240" w:lineRule="auto" w:before="31"/>
              <w:ind w:right="109"/>
              <w:jc w:val="right"/>
              <w:rPr>
                <w:rFonts w:ascii="Times New Roman" w:hAnsi="Times New Roman" w:cs="Times New Roman" w:eastAsia="Times New Roman" w:hint="default"/>
                <w:sz w:val="21"/>
                <w:szCs w:val="21"/>
              </w:rPr>
            </w:pPr>
            <w:r>
              <w:rPr>
                <w:rFonts w:ascii="Times New Roman"/>
                <w:spacing w:val="-1"/>
                <w:sz w:val="21"/>
              </w:rPr>
              <w:t>477,222.30</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single" w:sz="12" w:space="0" w:color="000000"/>
              <w:left w:val="nil" w:sz="6" w:space="0" w:color="auto"/>
              <w:bottom w:val="nil" w:sz="6" w:space="0" w:color="auto"/>
              <w:right w:val="nil" w:sz="6" w:space="0" w:color="auto"/>
            </w:tcBorders>
          </w:tcPr>
          <w:p>
            <w:pPr/>
          </w:p>
        </w:tc>
        <w:tc>
          <w:tcPr>
            <w:tcW w:w="2190" w:type="dxa"/>
            <w:tcBorders>
              <w:top w:val="single" w:sz="12" w:space="0" w:color="000000"/>
              <w:left w:val="nil" w:sz="6" w:space="0" w:color="auto"/>
              <w:bottom w:val="nil" w:sz="6" w:space="0" w:color="auto"/>
              <w:right w:val="nil" w:sz="6" w:space="0" w:color="auto"/>
            </w:tcBorders>
          </w:tcPr>
          <w:p>
            <w:pPr>
              <w:pStyle w:val="TableParagraph"/>
              <w:tabs>
                <w:tab w:pos="830" w:val="left" w:leader="none"/>
              </w:tabs>
              <w:spacing w:line="240" w:lineRule="auto" w:before="31"/>
              <w:ind w:right="11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1,814,046.80</w:t>
            </w:r>
          </w:p>
        </w:tc>
      </w:tr>
      <w:tr>
        <w:trPr>
          <w:trHeight w:val="31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823,408.20</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798,137.80</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1,621,546.00</w:t>
            </w:r>
          </w:p>
        </w:tc>
      </w:tr>
      <w:tr>
        <w:trPr>
          <w:trHeight w:val="31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3,866,056.73</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21"/>
                <w:szCs w:val="21"/>
              </w:rPr>
            </w:pPr>
            <w:r>
              <w:rPr>
                <w:rFonts w:ascii="Times New Roman"/>
                <w:w w:val="100"/>
                <w:sz w:val="21"/>
              </w:rPr>
              <w:t>-</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3,866,056.73</w:t>
            </w:r>
          </w:p>
        </w:tc>
      </w:tr>
      <w:tr>
        <w:trPr>
          <w:trHeight w:val="44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21"/>
                <w:szCs w:val="21"/>
              </w:rPr>
            </w:pPr>
            <w:r>
              <w:rPr>
                <w:rFonts w:ascii="Times New Roman"/>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3,067,149.57</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3,067,149.57</w:t>
            </w:r>
          </w:p>
        </w:tc>
      </w:tr>
      <w:tr>
        <w:trPr>
          <w:trHeight w:val="43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5"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1" w:space="0" w:color="000000"/>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21"/>
                <w:szCs w:val="21"/>
              </w:rPr>
            </w:pPr>
            <w:r>
              <w:rPr>
                <w:rFonts w:ascii="Times New Roman"/>
                <w:spacing w:val="-1"/>
                <w:sz w:val="21"/>
              </w:rPr>
              <w:t>1,438,008.05</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1" w:space="0" w:color="000000"/>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21"/>
                <w:szCs w:val="21"/>
              </w:rPr>
            </w:pPr>
            <w:r>
              <w:rPr>
                <w:rFonts w:ascii="Times New Roman"/>
                <w:spacing w:val="-1"/>
                <w:sz w:val="21"/>
              </w:rPr>
              <w:t>1,232,837.82</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11" w:space="0" w:color="000000"/>
              <w:right w:val="nil" w:sz="6" w:space="0" w:color="auto"/>
            </w:tcBorders>
          </w:tcPr>
          <w:p>
            <w:pPr/>
          </w:p>
        </w:tc>
        <w:tc>
          <w:tcPr>
            <w:tcW w:w="2190" w:type="dxa"/>
            <w:tcBorders>
              <w:top w:val="nil" w:sz="6" w:space="0" w:color="auto"/>
              <w:left w:val="nil" w:sz="6" w:space="0" w:color="auto"/>
              <w:bottom w:val="single" w:sz="11" w:space="0" w:color="000000"/>
              <w:right w:val="nil" w:sz="6" w:space="0" w:color="auto"/>
            </w:tcBorders>
          </w:tcPr>
          <w:p>
            <w:pPr>
              <w:pStyle w:val="TableParagraph"/>
              <w:tabs>
                <w:tab w:pos="835" w:val="left" w:leader="none"/>
              </w:tabs>
              <w:spacing w:line="240" w:lineRule="auto" w:before="152"/>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2,670,845.87</w:t>
            </w:r>
          </w:p>
        </w:tc>
      </w:tr>
      <w:tr>
        <w:trPr>
          <w:trHeight w:val="956"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316" w:lineRule="auto" w:before="22"/>
              <w:ind w:left="35" w:right="1089"/>
              <w:jc w:val="left"/>
              <w:rPr>
                <w:rFonts w:ascii="宋体" w:hAnsi="宋体" w:cs="宋体" w:eastAsia="宋体" w:hint="default"/>
                <w:sz w:val="18"/>
                <w:szCs w:val="18"/>
              </w:rPr>
            </w:pPr>
            <w:r>
              <w:rPr>
                <w:rFonts w:ascii="宋体" w:hAnsi="宋体" w:cs="宋体" w:eastAsia="宋体" w:hint="default"/>
                <w:sz w:val="18"/>
                <w:szCs w:val="18"/>
              </w:rPr>
              <w:t>财务软件 高尔夫权证</w:t>
            </w:r>
          </w:p>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left="787" w:right="0"/>
              <w:jc w:val="left"/>
              <w:rPr>
                <w:rFonts w:ascii="Times New Roman" w:hAnsi="Times New Roman" w:cs="Times New Roman" w:eastAsia="Times New Roman" w:hint="default"/>
                <w:sz w:val="21"/>
                <w:szCs w:val="21"/>
              </w:rPr>
            </w:pPr>
            <w:r>
              <w:rPr>
                <w:rFonts w:ascii="Times New Roman"/>
                <w:sz w:val="21"/>
              </w:rPr>
              <w:t>922,533.82</w:t>
            </w:r>
          </w:p>
          <w:p>
            <w:pPr>
              <w:pStyle w:val="TableParagraph"/>
              <w:spacing w:line="309" w:lineRule="auto" w:before="70"/>
              <w:ind w:left="784" w:right="106" w:firstLine="876"/>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515,474.23</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left="926" w:right="0"/>
              <w:jc w:val="left"/>
              <w:rPr>
                <w:rFonts w:ascii="Times New Roman" w:hAnsi="Times New Roman" w:cs="Times New Roman" w:eastAsia="Times New Roman" w:hint="default"/>
                <w:sz w:val="21"/>
                <w:szCs w:val="21"/>
              </w:rPr>
            </w:pPr>
            <w:r>
              <w:rPr>
                <w:rFonts w:ascii="Times New Roman"/>
                <w:sz w:val="21"/>
              </w:rPr>
              <w:t>204,030.66</w:t>
            </w:r>
          </w:p>
          <w:p>
            <w:pPr>
              <w:pStyle w:val="TableParagraph"/>
              <w:spacing w:line="309" w:lineRule="auto" w:before="70"/>
              <w:ind w:left="936" w:right="106" w:firstLine="868"/>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2"/>
                <w:sz w:val="21"/>
              </w:rPr>
              <w:t>773,211.36</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single" w:sz="11" w:space="0" w:color="000000"/>
              <w:left w:val="nil" w:sz="6" w:space="0" w:color="auto"/>
              <w:bottom w:val="nil" w:sz="6" w:space="0" w:color="auto"/>
              <w:right w:val="nil" w:sz="6" w:space="0" w:color="auto"/>
            </w:tcBorders>
          </w:tcPr>
          <w:p>
            <w:pPr/>
          </w:p>
        </w:tc>
        <w:tc>
          <w:tcPr>
            <w:tcW w:w="2190" w:type="dxa"/>
            <w:tcBorders>
              <w:top w:val="single" w:sz="11" w:space="0" w:color="000000"/>
              <w:left w:val="nil" w:sz="6" w:space="0" w:color="auto"/>
              <w:bottom w:val="nil" w:sz="6" w:space="0" w:color="auto"/>
              <w:right w:val="nil" w:sz="6" w:space="0" w:color="auto"/>
            </w:tcBorders>
          </w:tcPr>
          <w:p>
            <w:pPr>
              <w:pStyle w:val="TableParagraph"/>
              <w:tabs>
                <w:tab w:pos="973" w:val="left" w:leader="none"/>
              </w:tabs>
              <w:spacing w:line="240" w:lineRule="auto" w:before="29"/>
              <w:ind w:left="142" w:right="0"/>
              <w:jc w:val="left"/>
              <w:rPr>
                <w:rFonts w:ascii="Times New Roman" w:hAnsi="Times New Roman" w:cs="Times New Roman" w:eastAsia="Times New Roman" w:hint="default"/>
                <w:sz w:val="21"/>
                <w:szCs w:val="21"/>
              </w:rPr>
            </w:pPr>
            <w:r>
              <w:rPr>
                <w:rFonts w:ascii="Times New Roman"/>
                <w:sz w:val="21"/>
              </w:rPr>
              <w:t>-</w:t>
              <w:tab/>
              <w:t>1,126,564.48</w:t>
            </w:r>
          </w:p>
          <w:p>
            <w:pPr>
              <w:pStyle w:val="TableParagraph"/>
              <w:tabs>
                <w:tab w:pos="2007" w:val="left" w:leader="none"/>
              </w:tabs>
              <w:spacing w:line="240" w:lineRule="auto" w:before="70"/>
              <w:ind w:left="14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975" w:val="left" w:leader="none"/>
              </w:tabs>
              <w:spacing w:line="240" w:lineRule="auto" w:before="70"/>
              <w:ind w:left="140" w:right="0"/>
              <w:jc w:val="left"/>
              <w:rPr>
                <w:rFonts w:ascii="Times New Roman" w:hAnsi="Times New Roman" w:cs="Times New Roman" w:eastAsia="Times New Roman" w:hint="default"/>
                <w:sz w:val="21"/>
                <w:szCs w:val="21"/>
              </w:rPr>
            </w:pPr>
            <w:r>
              <w:rPr>
                <w:rFonts w:ascii="Times New Roman"/>
                <w:sz w:val="21"/>
              </w:rPr>
              <w:t>-</w:t>
              <w:tab/>
              <w:t>1,288,685.59</w:t>
            </w:r>
          </w:p>
        </w:tc>
      </w:tr>
      <w:tr>
        <w:trPr>
          <w:trHeight w:val="44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21"/>
                <w:szCs w:val="21"/>
              </w:rPr>
            </w:pPr>
            <w:r>
              <w:rPr>
                <w:rFonts w:ascii="Times New Roman"/>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255,595.80</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991"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255,595.80</w:t>
            </w:r>
          </w:p>
        </w:tc>
      </w:tr>
      <w:tr>
        <w:trPr>
          <w:trHeight w:val="43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5" w:right="0"/>
              <w:jc w:val="left"/>
              <w:rPr>
                <w:rFonts w:ascii="宋体" w:hAnsi="宋体" w:cs="宋体" w:eastAsia="宋体" w:hint="default"/>
                <w:sz w:val="18"/>
                <w:szCs w:val="18"/>
              </w:rPr>
            </w:pPr>
            <w:r>
              <w:rPr>
                <w:rFonts w:ascii="宋体" w:hAnsi="宋体" w:cs="宋体" w:eastAsia="宋体" w:hint="default"/>
                <w:sz w:val="18"/>
                <w:szCs w:val="18"/>
              </w:rPr>
              <w:t>三、账面净值合计</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21"/>
                <w:szCs w:val="21"/>
              </w:rPr>
            </w:pPr>
            <w:r>
              <w:rPr>
                <w:rFonts w:ascii="Times New Roman"/>
                <w:spacing w:val="-1"/>
                <w:sz w:val="21"/>
              </w:rPr>
              <w:t>4,588,281.38</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2" w:space="0" w:color="000000"/>
              <w:right w:val="nil" w:sz="6" w:space="0" w:color="auto"/>
            </w:tcBorders>
          </w:tcPr>
          <w:p>
            <w:pPr>
              <w:pStyle w:val="TableParagraph"/>
              <w:spacing w:line="240" w:lineRule="auto" w:before="152"/>
              <w:ind w:right="106"/>
              <w:jc w:val="right"/>
              <w:rPr>
                <w:rFonts w:ascii="Times New Roman" w:hAnsi="Times New Roman" w:cs="Times New Roman" w:eastAsia="Times New Roman" w:hint="default"/>
                <w:sz w:val="21"/>
                <w:szCs w:val="21"/>
              </w:rPr>
            </w:pPr>
            <w:r>
              <w:rPr>
                <w:rFonts w:ascii="Times New Roman"/>
                <w:spacing w:val="-1"/>
                <w:sz w:val="21"/>
              </w:rPr>
              <w:t>3,109,671.85</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12" w:space="0" w:color="000000"/>
              <w:right w:val="nil" w:sz="6" w:space="0" w:color="auto"/>
            </w:tcBorders>
          </w:tcPr>
          <w:p>
            <w:pPr/>
          </w:p>
        </w:tc>
        <w:tc>
          <w:tcPr>
            <w:tcW w:w="2190" w:type="dxa"/>
            <w:tcBorders>
              <w:top w:val="nil" w:sz="6" w:space="0" w:color="auto"/>
              <w:left w:val="nil" w:sz="6" w:space="0" w:color="auto"/>
              <w:bottom w:val="single" w:sz="12" w:space="0" w:color="000000"/>
              <w:right w:val="nil" w:sz="6" w:space="0" w:color="auto"/>
            </w:tcBorders>
          </w:tcPr>
          <w:p>
            <w:pPr>
              <w:pStyle w:val="TableParagraph"/>
              <w:tabs>
                <w:tab w:pos="835" w:val="left" w:leader="none"/>
              </w:tabs>
              <w:spacing w:line="240" w:lineRule="auto" w:before="152"/>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7,697,953.23</w:t>
            </w:r>
          </w:p>
        </w:tc>
      </w:tr>
      <w:tr>
        <w:trPr>
          <w:trHeight w:val="33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single" w:sz="12" w:space="0" w:color="000000"/>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414,290.68</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nil" w:sz="6" w:space="0" w:color="auto"/>
              <w:right w:val="nil" w:sz="6" w:space="0" w:color="auto"/>
            </w:tcBorders>
          </w:tcPr>
          <w:p>
            <w:pPr>
              <w:pStyle w:val="TableParagraph"/>
              <w:spacing w:line="240" w:lineRule="auto" w:before="29"/>
              <w:ind w:right="109"/>
              <w:jc w:val="right"/>
              <w:rPr>
                <w:rFonts w:ascii="Times New Roman" w:hAnsi="Times New Roman" w:cs="Times New Roman" w:eastAsia="Times New Roman" w:hint="default"/>
                <w:sz w:val="21"/>
                <w:szCs w:val="21"/>
              </w:rPr>
            </w:pPr>
            <w:r>
              <w:rPr>
                <w:rFonts w:ascii="Times New Roman"/>
                <w:spacing w:val="-1"/>
                <w:sz w:val="21"/>
              </w:rPr>
              <w:t>273,191.64</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single" w:sz="12" w:space="0" w:color="000000"/>
              <w:left w:val="nil" w:sz="6" w:space="0" w:color="auto"/>
              <w:bottom w:val="nil" w:sz="6" w:space="0" w:color="auto"/>
              <w:right w:val="nil" w:sz="6" w:space="0" w:color="auto"/>
            </w:tcBorders>
          </w:tcPr>
          <w:p>
            <w:pPr/>
          </w:p>
        </w:tc>
        <w:tc>
          <w:tcPr>
            <w:tcW w:w="2190" w:type="dxa"/>
            <w:tcBorders>
              <w:top w:val="single" w:sz="12" w:space="0" w:color="000000"/>
              <w:left w:val="nil" w:sz="6" w:space="0" w:color="auto"/>
              <w:bottom w:val="nil" w:sz="6" w:space="0" w:color="auto"/>
              <w:right w:val="nil" w:sz="6" w:space="0" w:color="auto"/>
            </w:tcBorders>
          </w:tcPr>
          <w:p>
            <w:pPr>
              <w:pStyle w:val="TableParagraph"/>
              <w:tabs>
                <w:tab w:pos="986" w:val="left" w:leader="none"/>
              </w:tabs>
              <w:spacing w:line="240" w:lineRule="auto" w:before="29"/>
              <w:ind w:right="11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687,482.32</w:t>
            </w:r>
          </w:p>
        </w:tc>
      </w:tr>
      <w:tr>
        <w:trPr>
          <w:trHeight w:val="31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823,408.20</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798,137.80</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1,621,546.00</w:t>
            </w:r>
          </w:p>
        </w:tc>
      </w:tr>
      <w:tr>
        <w:trPr>
          <w:trHeight w:val="31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3,350,582.50</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2"/>
                <w:sz w:val="21"/>
              </w:rPr>
              <w:t>-773,211.36</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2,577,371.14</w:t>
            </w:r>
          </w:p>
        </w:tc>
      </w:tr>
      <w:tr>
        <w:trPr>
          <w:trHeight w:val="44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2"/>
                <w:sz w:val="21"/>
              </w:rPr>
              <w:t>2,811,553.77</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9"/>
              <w:jc w:val="right"/>
              <w:rPr>
                <w:rFonts w:ascii="Times New Roman" w:hAnsi="Times New Roman" w:cs="Times New Roman" w:eastAsia="Times New Roman" w:hint="default"/>
                <w:sz w:val="21"/>
                <w:szCs w:val="21"/>
              </w:rPr>
            </w:pPr>
            <w:r>
              <w:rPr>
                <w:rFonts w:ascii="Times New Roman"/>
                <w:spacing w:val="-2"/>
                <w:sz w:val="21"/>
              </w:rPr>
              <w:t>2,811,553.77</w:t>
            </w:r>
          </w:p>
        </w:tc>
      </w:tr>
      <w:tr>
        <w:trPr>
          <w:trHeight w:val="43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5"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1" w:space="0" w:color="000000"/>
              <w:right w:val="nil" w:sz="6" w:space="0" w:color="auto"/>
            </w:tcBorders>
          </w:tcPr>
          <w:p>
            <w:pPr>
              <w:pStyle w:val="TableParagraph"/>
              <w:spacing w:line="240" w:lineRule="auto" w:before="154"/>
              <w:ind w:right="107"/>
              <w:jc w:val="right"/>
              <w:rPr>
                <w:rFonts w:ascii="Times New Roman" w:hAnsi="Times New Roman" w:cs="Times New Roman" w:eastAsia="Times New Roman" w:hint="default"/>
                <w:sz w:val="21"/>
                <w:szCs w:val="21"/>
              </w:rPr>
            </w:pPr>
            <w:r>
              <w:rPr>
                <w:rFonts w:ascii="Times New Roman"/>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1" w:space="0" w:color="000000"/>
              <w:right w:val="nil" w:sz="6" w:space="0" w:color="auto"/>
            </w:tcBorders>
          </w:tcPr>
          <w:p>
            <w:pPr>
              <w:pStyle w:val="TableParagraph"/>
              <w:spacing w:line="240" w:lineRule="auto" w:before="154"/>
              <w:ind w:right="107"/>
              <w:jc w:val="right"/>
              <w:rPr>
                <w:rFonts w:ascii="Times New Roman" w:hAnsi="Times New Roman" w:cs="Times New Roman" w:eastAsia="Times New Roman" w:hint="default"/>
                <w:sz w:val="21"/>
                <w:szCs w:val="21"/>
              </w:rPr>
            </w:pPr>
            <w:r>
              <w:rPr>
                <w:rFonts w:ascii="Times New Roman"/>
                <w:w w:val="100"/>
                <w:sz w:val="21"/>
              </w:rPr>
              <w:t>-</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11" w:space="0" w:color="000000"/>
              <w:right w:val="nil" w:sz="6" w:space="0" w:color="auto"/>
            </w:tcBorders>
          </w:tcPr>
          <w:p>
            <w:pPr/>
          </w:p>
        </w:tc>
        <w:tc>
          <w:tcPr>
            <w:tcW w:w="2190" w:type="dxa"/>
            <w:tcBorders>
              <w:top w:val="nil" w:sz="6" w:space="0" w:color="auto"/>
              <w:left w:val="nil" w:sz="6" w:space="0" w:color="auto"/>
              <w:bottom w:val="single" w:sz="11" w:space="0" w:color="000000"/>
              <w:right w:val="nil" w:sz="6" w:space="0" w:color="auto"/>
            </w:tcBorders>
          </w:tcPr>
          <w:p>
            <w:pPr>
              <w:pStyle w:val="TableParagraph"/>
              <w:tabs>
                <w:tab w:pos="1867" w:val="left" w:leader="none"/>
              </w:tabs>
              <w:spacing w:line="240" w:lineRule="auto" w:before="154"/>
              <w:ind w:right="110"/>
              <w:jc w:val="right"/>
              <w:rPr>
                <w:rFonts w:ascii="Times New Roman" w:hAnsi="Times New Roman" w:cs="Times New Roman" w:eastAsia="Times New Roman" w:hint="default"/>
                <w:sz w:val="21"/>
                <w:szCs w:val="21"/>
              </w:rPr>
            </w:pPr>
            <w:r>
              <w:rPr>
                <w:rFonts w:ascii="Times New Roman"/>
                <w:sz w:val="21"/>
              </w:rPr>
              <w:t>-</w:t>
              <w:tab/>
              <w:t>-</w:t>
            </w:r>
          </w:p>
        </w:tc>
      </w:tr>
      <w:tr>
        <w:trPr>
          <w:trHeight w:val="127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316" w:lineRule="auto" w:before="22"/>
              <w:ind w:left="35" w:right="1089"/>
              <w:jc w:val="left"/>
              <w:rPr>
                <w:rFonts w:ascii="宋体" w:hAnsi="宋体" w:cs="宋体" w:eastAsia="宋体" w:hint="default"/>
                <w:sz w:val="18"/>
                <w:szCs w:val="18"/>
              </w:rPr>
            </w:pPr>
            <w:r>
              <w:rPr>
                <w:rFonts w:ascii="宋体" w:hAnsi="宋体" w:cs="宋体" w:eastAsia="宋体" w:hint="default"/>
                <w:sz w:val="18"/>
                <w:szCs w:val="18"/>
              </w:rPr>
              <w:t>财务软件 高尔夫权证</w:t>
            </w:r>
          </w:p>
          <w:p>
            <w:pPr>
              <w:pStyle w:val="TableParagraph"/>
              <w:spacing w:line="316" w:lineRule="auto" w:before="19"/>
              <w:ind w:left="35" w:right="189"/>
              <w:jc w:val="left"/>
              <w:rPr>
                <w:rFonts w:ascii="宋体" w:hAnsi="宋体" w:cs="宋体" w:eastAsia="宋体" w:hint="default"/>
                <w:sz w:val="18"/>
                <w:szCs w:val="18"/>
              </w:rPr>
            </w:pPr>
            <w:r>
              <w:rPr>
                <w:rFonts w:ascii="宋体" w:hAnsi="宋体" w:cs="宋体" w:eastAsia="宋体" w:hint="default"/>
                <w:sz w:val="18"/>
                <w:szCs w:val="18"/>
              </w:rPr>
              <w:t>移动电话内容服务软件 移动电话内容服务软件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70"/>
              <w:ind w:right="107"/>
              <w:jc w:val="right"/>
              <w:rPr>
                <w:rFonts w:ascii="Times New Roman" w:hAnsi="Times New Roman" w:cs="Times New Roman" w:eastAsia="Times New Roman" w:hint="default"/>
                <w:sz w:val="21"/>
                <w:szCs w:val="21"/>
              </w:rPr>
            </w:pPr>
            <w:r>
              <w:rPr>
                <w:rFonts w:ascii="Times New Roman"/>
                <w:w w:val="100"/>
                <w:sz w:val="21"/>
              </w:rPr>
              <w:t>-</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single" w:sz="11" w:space="0" w:color="000000"/>
              <w:left w:val="nil" w:sz="6" w:space="0" w:color="auto"/>
              <w:bottom w:val="nil" w:sz="6" w:space="0" w:color="auto"/>
              <w:right w:val="nil" w:sz="6" w:space="0" w:color="auto"/>
            </w:tcBorders>
          </w:tcPr>
          <w:p>
            <w:pPr/>
          </w:p>
        </w:tc>
        <w:tc>
          <w:tcPr>
            <w:tcW w:w="2190" w:type="dxa"/>
            <w:tcBorders>
              <w:top w:val="single" w:sz="11" w:space="0" w:color="000000"/>
              <w:left w:val="nil" w:sz="6" w:space="0" w:color="auto"/>
              <w:bottom w:val="nil" w:sz="6" w:space="0" w:color="auto"/>
              <w:right w:val="nil" w:sz="6" w:space="0" w:color="auto"/>
            </w:tcBorders>
          </w:tcPr>
          <w:p>
            <w:pPr>
              <w:pStyle w:val="TableParagraph"/>
              <w:tabs>
                <w:tab w:pos="2009" w:val="left" w:leader="none"/>
              </w:tabs>
              <w:spacing w:line="240" w:lineRule="auto" w:before="29"/>
              <w:ind w:left="142"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2007" w:val="left" w:leader="none"/>
              </w:tabs>
              <w:spacing w:line="240" w:lineRule="auto" w:before="70"/>
              <w:ind w:left="14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2007" w:val="left" w:leader="none"/>
              </w:tabs>
              <w:spacing w:line="240" w:lineRule="auto" w:before="70"/>
              <w:ind w:left="140"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2007" w:val="left" w:leader="none"/>
              </w:tabs>
              <w:spacing w:line="240" w:lineRule="auto" w:before="70"/>
              <w:ind w:left="140" w:right="0"/>
              <w:jc w:val="left"/>
              <w:rPr>
                <w:rFonts w:ascii="Times New Roman" w:hAnsi="Times New Roman" w:cs="Times New Roman" w:eastAsia="Times New Roman" w:hint="default"/>
                <w:sz w:val="21"/>
                <w:szCs w:val="21"/>
              </w:rPr>
            </w:pPr>
            <w:r>
              <w:rPr>
                <w:rFonts w:ascii="Times New Roman"/>
                <w:sz w:val="21"/>
              </w:rPr>
              <w:t>-</w:t>
              <w:tab/>
              <w:t>-</w:t>
            </w:r>
          </w:p>
        </w:tc>
      </w:tr>
      <w:tr>
        <w:trPr>
          <w:trHeight w:val="44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
        </w:tc>
      </w:tr>
      <w:tr>
        <w:trPr>
          <w:trHeight w:val="46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五、账面价值合计</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11"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4,588,281.38</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1"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spacing w:val="-1"/>
                <w:sz w:val="21"/>
              </w:rPr>
              <w:t>3,109,671.85</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11" w:space="0" w:color="000000"/>
              <w:right w:val="nil" w:sz="6" w:space="0" w:color="auto"/>
            </w:tcBorders>
          </w:tcPr>
          <w:p>
            <w:pPr/>
          </w:p>
        </w:tc>
        <w:tc>
          <w:tcPr>
            <w:tcW w:w="2190" w:type="dxa"/>
            <w:tcBorders>
              <w:top w:val="nil" w:sz="6" w:space="0" w:color="auto"/>
              <w:left w:val="nil" w:sz="6" w:space="0" w:color="auto"/>
              <w:bottom w:val="single" w:sz="11"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tabs>
                <w:tab w:pos="835" w:val="left" w:leader="none"/>
              </w:tabs>
              <w:spacing w:line="240" w:lineRule="auto"/>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7,697,953.23</w:t>
            </w:r>
          </w:p>
        </w:tc>
      </w:tr>
      <w:tr>
        <w:trPr>
          <w:trHeight w:val="33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414,290.68</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single" w:sz="11" w:space="0" w:color="000000"/>
              <w:left w:val="nil" w:sz="6" w:space="0" w:color="auto"/>
              <w:bottom w:val="nil" w:sz="6" w:space="0" w:color="auto"/>
              <w:right w:val="nil" w:sz="6" w:space="0" w:color="auto"/>
            </w:tcBorders>
          </w:tcPr>
          <w:p>
            <w:pPr>
              <w:pStyle w:val="TableParagraph"/>
              <w:spacing w:line="240" w:lineRule="auto" w:before="29"/>
              <w:ind w:right="109"/>
              <w:jc w:val="right"/>
              <w:rPr>
                <w:rFonts w:ascii="Times New Roman" w:hAnsi="Times New Roman" w:cs="Times New Roman" w:eastAsia="Times New Roman" w:hint="default"/>
                <w:sz w:val="21"/>
                <w:szCs w:val="21"/>
              </w:rPr>
            </w:pPr>
            <w:r>
              <w:rPr>
                <w:rFonts w:ascii="Times New Roman"/>
                <w:spacing w:val="-1"/>
                <w:sz w:val="21"/>
              </w:rPr>
              <w:t>273,191.64</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single" w:sz="11" w:space="0" w:color="000000"/>
              <w:left w:val="nil" w:sz="6" w:space="0" w:color="auto"/>
              <w:bottom w:val="nil" w:sz="6" w:space="0" w:color="auto"/>
              <w:right w:val="nil" w:sz="6" w:space="0" w:color="auto"/>
            </w:tcBorders>
          </w:tcPr>
          <w:p>
            <w:pPr/>
          </w:p>
        </w:tc>
        <w:tc>
          <w:tcPr>
            <w:tcW w:w="2190" w:type="dxa"/>
            <w:tcBorders>
              <w:top w:val="single" w:sz="11" w:space="0" w:color="000000"/>
              <w:left w:val="nil" w:sz="6" w:space="0" w:color="auto"/>
              <w:bottom w:val="nil" w:sz="6" w:space="0" w:color="auto"/>
              <w:right w:val="nil" w:sz="6" w:space="0" w:color="auto"/>
            </w:tcBorders>
          </w:tcPr>
          <w:p>
            <w:pPr>
              <w:pStyle w:val="TableParagraph"/>
              <w:tabs>
                <w:tab w:pos="986" w:val="left" w:leader="none"/>
              </w:tabs>
              <w:spacing w:line="240" w:lineRule="auto" w:before="29"/>
              <w:ind w:right="111"/>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687,482.32</w:t>
            </w:r>
          </w:p>
        </w:tc>
      </w:tr>
      <w:tr>
        <w:trPr>
          <w:trHeight w:val="31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高尔夫权证</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823,408.20</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798,137.80</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1,621,546.00</w:t>
            </w:r>
          </w:p>
        </w:tc>
      </w:tr>
      <w:tr>
        <w:trPr>
          <w:trHeight w:val="312"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移动电话内容服务软件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3,350,582.50</w:t>
            </w: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2"/>
                <w:sz w:val="21"/>
              </w:rPr>
              <w:t>-773,211.36</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24"/>
              <w:ind w:right="109"/>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2,577,371.14</w:t>
            </w:r>
          </w:p>
        </w:tc>
      </w:tr>
      <w:tr>
        <w:trPr>
          <w:trHeight w:val="36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嵌入式系统软件</w:t>
            </w:r>
          </w:p>
        </w:tc>
        <w:tc>
          <w:tcPr>
            <w:tcW w:w="142"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2"/>
                <w:sz w:val="21"/>
              </w:rPr>
              <w:t>2,811,553.77</w:t>
            </w:r>
          </w:p>
        </w:tc>
        <w:tc>
          <w:tcPr>
            <w:tcW w:w="151"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9"/>
              <w:jc w:val="right"/>
              <w:rPr>
                <w:rFonts w:ascii="Times New Roman" w:hAnsi="Times New Roman" w:cs="Times New Roman" w:eastAsia="Times New Roman" w:hint="default"/>
                <w:sz w:val="21"/>
                <w:szCs w:val="21"/>
              </w:rPr>
            </w:pPr>
            <w:r>
              <w:rPr>
                <w:rFonts w:ascii="Times New Roman"/>
                <w:spacing w:val="-2"/>
                <w:sz w:val="21"/>
              </w:rPr>
              <w:t>2,811,553.77</w:t>
            </w:r>
          </w:p>
        </w:tc>
      </w:tr>
    </w:tbl>
    <w:p>
      <w:pPr>
        <w:spacing w:line="240" w:lineRule="auto" w:before="10"/>
        <w:rPr>
          <w:rFonts w:ascii="宋体" w:hAnsi="宋体" w:cs="宋体" w:eastAsia="宋体" w:hint="default"/>
          <w:sz w:val="11"/>
          <w:szCs w:val="11"/>
        </w:rPr>
      </w:pPr>
    </w:p>
    <w:p>
      <w:pPr>
        <w:tabs>
          <w:tab w:pos="3450" w:val="left" w:leader="none"/>
        </w:tabs>
        <w:spacing w:before="36"/>
        <w:ind w:left="771" w:right="0" w:firstLine="0"/>
        <w:jc w:val="left"/>
        <w:rPr>
          <w:rFonts w:ascii="宋体" w:hAnsi="宋体" w:cs="宋体" w:eastAsia="宋体" w:hint="default"/>
          <w:sz w:val="21"/>
          <w:szCs w:val="21"/>
        </w:rPr>
      </w:pPr>
      <w:r>
        <w:rPr>
          <w:rFonts w:ascii="宋体" w:hAnsi="宋体" w:cs="宋体" w:eastAsia="宋体" w:hint="default"/>
          <w:sz w:val="21"/>
          <w:szCs w:val="21"/>
        </w:rPr>
        <w:t>本年摊销额：</w:t>
      </w:r>
      <w:r>
        <w:rPr>
          <w:rFonts w:ascii="宋体" w:hAnsi="宋体" w:cs="宋体" w:eastAsia="宋体" w:hint="default"/>
          <w:spacing w:val="-7"/>
          <w:sz w:val="21"/>
          <w:szCs w:val="21"/>
        </w:rPr>
        <w:t> </w:t>
      </w:r>
      <w:r>
        <w:rPr>
          <w:rFonts w:ascii="Times New Roman" w:hAnsi="Times New Roman" w:cs="Times New Roman" w:eastAsia="Times New Roman" w:hint="default"/>
          <w:spacing w:val="-7"/>
          <w:sz w:val="21"/>
          <w:szCs w:val="21"/>
        </w:rPr>
      </w:r>
      <w:r>
        <w:rPr>
          <w:rFonts w:ascii="Times New Roman" w:hAnsi="Times New Roman" w:cs="Times New Roman" w:eastAsia="Times New Roman" w:hint="default"/>
          <w:spacing w:val="-7"/>
          <w:sz w:val="21"/>
          <w:szCs w:val="21"/>
          <w:u w:val="single" w:color="000000"/>
        </w:rPr>
        <w:t> </w:t>
      </w:r>
      <w:r>
        <w:rPr>
          <w:rFonts w:ascii="Times New Roman" w:hAnsi="Times New Roman" w:cs="Times New Roman" w:eastAsia="Times New Roman" w:hint="default"/>
          <w:sz w:val="21"/>
          <w:szCs w:val="21"/>
          <w:u w:val="single" w:color="000000"/>
        </w:rPr>
        <w:t>1,232,837.82</w:t>
        <w:tab/>
      </w:r>
      <w:r>
        <w:rPr>
          <w:rFonts w:ascii="Times New Roman" w:hAnsi="Times New Roman" w:cs="Times New Roman" w:eastAsia="Times New Roman" w:hint="default"/>
          <w:sz w:val="21"/>
          <w:szCs w:val="21"/>
        </w:rPr>
      </w:r>
      <w:r>
        <w:rPr>
          <w:rFonts w:ascii="宋体" w:hAnsi="宋体" w:cs="宋体" w:eastAsia="宋体" w:hint="default"/>
          <w:sz w:val="21"/>
          <w:szCs w:val="21"/>
        </w:rPr>
        <w:t>。</w:t>
      </w:r>
    </w:p>
    <w:p>
      <w:pPr>
        <w:spacing w:line="240" w:lineRule="auto" w:before="2"/>
        <w:rPr>
          <w:rFonts w:ascii="宋体" w:hAnsi="宋体" w:cs="宋体" w:eastAsia="宋体" w:hint="default"/>
          <w:sz w:val="19"/>
          <w:szCs w:val="19"/>
        </w:rPr>
      </w:pPr>
    </w:p>
    <w:p>
      <w:pPr>
        <w:spacing w:line="272" w:lineRule="exact" w:before="0"/>
        <w:ind w:left="771" w:right="0" w:firstLine="0"/>
        <w:jc w:val="left"/>
        <w:rPr>
          <w:rFonts w:ascii="宋体" w:hAnsi="宋体" w:cs="宋体" w:eastAsia="宋体" w:hint="default"/>
          <w:sz w:val="21"/>
          <w:szCs w:val="21"/>
        </w:rPr>
      </w:pPr>
      <w:r>
        <w:rPr>
          <w:rFonts w:ascii="宋体" w:hAnsi="宋体" w:cs="宋体" w:eastAsia="宋体" w:hint="default"/>
          <w:sz w:val="21"/>
          <w:szCs w:val="21"/>
        </w:rPr>
        <w:t>无形资产年末数比年初数增加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3,109,671.85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元，增加比例为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67.77%</w:t>
      </w:r>
      <w:r>
        <w:rPr>
          <w:rFonts w:ascii="宋体" w:hAnsi="宋体" w:cs="宋体" w:eastAsia="宋体" w:hint="default"/>
          <w:sz w:val="21"/>
          <w:szCs w:val="21"/>
        </w:rPr>
        <w:t>，增加原因为</w:t>
      </w:r>
      <w:r>
        <w:rPr>
          <w:rFonts w:ascii="Times New Roman" w:hAnsi="Times New Roman" w:cs="Times New Roman" w:eastAsia="Times New Roman" w:hint="default"/>
          <w:sz w:val="21"/>
          <w:szCs w:val="21"/>
        </w:rPr>
        <w:t>:</w:t>
      </w:r>
      <w:r>
        <w:rPr>
          <w:rFonts w:ascii="宋体" w:hAnsi="宋体" w:cs="宋体" w:eastAsia="宋体" w:hint="default"/>
          <w:sz w:val="21"/>
          <w:szCs w:val="21"/>
        </w:rPr>
        <w:t>本年售票机嵌入式项目</w:t>
      </w:r>
      <w:r>
        <w:rPr>
          <w:rFonts w:ascii="宋体" w:hAnsi="宋体" w:cs="宋体" w:eastAsia="宋体" w:hint="default"/>
          <w:w w:val="100"/>
          <w:sz w:val="21"/>
          <w:szCs w:val="21"/>
        </w:rPr>
        <w:t> </w:t>
      </w:r>
      <w:r>
        <w:rPr>
          <w:rFonts w:ascii="宋体" w:hAnsi="宋体" w:cs="宋体" w:eastAsia="宋体" w:hint="default"/>
          <w:sz w:val="21"/>
          <w:szCs w:val="21"/>
        </w:rPr>
        <w:t>开发完成，从开发支出转入无形资产所致。</w:t>
      </w:r>
    </w:p>
    <w:p>
      <w:pPr>
        <w:spacing w:line="240" w:lineRule="auto" w:before="5"/>
        <w:rPr>
          <w:rFonts w:ascii="宋体" w:hAnsi="宋体" w:cs="宋体" w:eastAsia="宋体" w:hint="default"/>
          <w:sz w:val="16"/>
          <w:szCs w:val="16"/>
        </w:rPr>
      </w:pPr>
    </w:p>
    <w:p>
      <w:pPr>
        <w:spacing w:before="0"/>
        <w:ind w:left="771" w:right="0" w:firstLine="0"/>
        <w:jc w:val="left"/>
        <w:rPr>
          <w:rFonts w:ascii="宋体" w:hAnsi="宋体" w:cs="宋体" w:eastAsia="宋体" w:hint="default"/>
          <w:sz w:val="21"/>
          <w:szCs w:val="21"/>
        </w:rPr>
      </w:pPr>
      <w:r>
        <w:rPr>
          <w:rFonts w:ascii="宋体" w:hAnsi="宋体" w:cs="宋体" w:eastAsia="宋体" w:hint="default"/>
          <w:sz w:val="21"/>
          <w:szCs w:val="21"/>
        </w:rPr>
        <w:t>本公司董事会认为：本公司的无形资产经测试未发生减值，故无需计提减值准备。</w:t>
      </w:r>
    </w:p>
    <w:p>
      <w:pPr>
        <w:spacing w:after="0"/>
        <w:jc w:val="left"/>
        <w:rPr>
          <w:rFonts w:ascii="宋体" w:hAnsi="宋体" w:cs="宋体" w:eastAsia="宋体" w:hint="default"/>
          <w:sz w:val="21"/>
          <w:szCs w:val="21"/>
        </w:rPr>
        <w:sectPr>
          <w:pgSz w:w="11900" w:h="16840"/>
          <w:pgMar w:header="886" w:footer="983" w:top="1800" w:bottom="1180" w:left="980" w:right="380"/>
        </w:sectPr>
      </w:pPr>
    </w:p>
    <w:p>
      <w:pPr>
        <w:spacing w:line="240" w:lineRule="auto" w:before="1"/>
        <w:rPr>
          <w:rFonts w:ascii="宋体" w:hAnsi="宋体" w:cs="宋体" w:eastAsia="宋体" w:hint="default"/>
          <w:sz w:val="18"/>
          <w:szCs w:val="18"/>
        </w:rPr>
      </w:pPr>
    </w:p>
    <w:p>
      <w:pPr>
        <w:tabs>
          <w:tab w:pos="675" w:val="left" w:leader="none"/>
        </w:tabs>
        <w:spacing w:before="41"/>
        <w:ind w:left="112" w:right="66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6"/>
        <w:rPr>
          <w:rFonts w:ascii="Times New Roman" w:hAnsi="Times New Roman" w:cs="Times New Roman" w:eastAsia="Times New Roman" w:hint="default"/>
          <w:b/>
          <w:bCs/>
          <w:sz w:val="22"/>
          <w:szCs w:val="22"/>
        </w:rPr>
      </w:pPr>
    </w:p>
    <w:p>
      <w:pPr>
        <w:spacing w:before="0"/>
        <w:ind w:left="416" w:right="664"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6.8</w:t>
      </w:r>
      <w:r>
        <w:rPr>
          <w:rFonts w:ascii="Times New Roman" w:hAnsi="Times New Roman" w:cs="Times New Roman" w:eastAsia="Times New Roman" w:hint="default"/>
          <w:spacing w:val="49"/>
          <w:position w:val="2"/>
          <w:sz w:val="21"/>
          <w:szCs w:val="21"/>
        </w:rPr>
        <w:t> </w:t>
      </w:r>
      <w:r>
        <w:rPr>
          <w:rFonts w:ascii="宋体" w:hAnsi="宋体" w:cs="宋体" w:eastAsia="宋体" w:hint="default"/>
          <w:sz w:val="21"/>
          <w:szCs w:val="21"/>
        </w:rPr>
        <w:t>无形资产（续）</w:t>
      </w:r>
    </w:p>
    <w:p>
      <w:pPr>
        <w:spacing w:line="240" w:lineRule="auto" w:before="3"/>
        <w:rPr>
          <w:rFonts w:ascii="宋体" w:hAnsi="宋体" w:cs="宋体" w:eastAsia="宋体" w:hint="default"/>
          <w:sz w:val="18"/>
          <w:szCs w:val="18"/>
        </w:rPr>
      </w:pPr>
    </w:p>
    <w:p>
      <w:pPr>
        <w:spacing w:before="0"/>
        <w:ind w:left="784" w:right="664" w:firstLine="0"/>
        <w:jc w:val="left"/>
        <w:rPr>
          <w:rFonts w:ascii="宋体" w:hAnsi="宋体" w:cs="宋体" w:eastAsia="宋体" w:hint="default"/>
          <w:sz w:val="21"/>
          <w:szCs w:val="21"/>
        </w:rPr>
      </w:pPr>
      <w:r>
        <w:rPr/>
        <w:pict>
          <v:group style="position:absolute;margin-left:380.880005pt;margin-top:39.633694pt;width:92.05pt;height:.1pt;mso-position-horizontal-relative:page;mso-position-vertical-relative:paragraph;z-index:-551176" coordorigin="7618,793" coordsize="1841,2">
            <v:shape style="position:absolute;left:7618;top:793;width:1841;height:2" coordorigin="7618,793" coordsize="1841,0" path="m7618,793l9458,793e" filled="false" stroked="true" strokeweight=".48pt" strokecolor="#000000">
              <v:path arrowok="t"/>
            </v:shape>
            <w10:wrap type="none"/>
          </v:group>
        </w:pict>
      </w:r>
      <w:r>
        <w:rPr>
          <w:rFonts w:ascii="Times New Roman" w:hAnsi="Times New Roman" w:cs="Times New Roman" w:eastAsia="Times New Roman" w:hint="default"/>
          <w:sz w:val="21"/>
          <w:szCs w:val="21"/>
        </w:rPr>
        <w:t>6.8.2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公司开发项目支出</w:t>
      </w: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86" w:footer="983" w:top="1800" w:bottom="1180" w:left="980" w:right="340"/>
        </w:sectPr>
      </w:pPr>
    </w:p>
    <w:p>
      <w:pPr>
        <w:spacing w:line="240" w:lineRule="auto" w:before="2"/>
        <w:rPr>
          <w:rFonts w:ascii="宋体" w:hAnsi="宋体" w:cs="宋体" w:eastAsia="宋体" w:hint="default"/>
          <w:sz w:val="13"/>
          <w:szCs w:val="13"/>
        </w:rPr>
      </w:pPr>
    </w:p>
    <w:p>
      <w:pPr>
        <w:tabs>
          <w:tab w:pos="2655" w:val="left" w:leader="none"/>
          <w:tab w:pos="4993" w:val="left" w:leader="none"/>
        </w:tabs>
        <w:spacing w:before="0"/>
        <w:ind w:left="1345" w:right="-20" w:firstLine="0"/>
        <w:jc w:val="left"/>
        <w:rPr>
          <w:rFonts w:ascii="宋体" w:hAnsi="宋体" w:cs="宋体" w:eastAsia="宋体" w:hint="default"/>
          <w:sz w:val="18"/>
          <w:szCs w:val="18"/>
        </w:rPr>
      </w:pPr>
      <w:r>
        <w:rPr/>
        <w:pict>
          <v:group style="position:absolute;margin-left:380.880005pt;margin-top:19.881704pt;width:92.05pt;height:.1pt;mso-position-horizontal-relative:page;mso-position-vertical-relative:paragraph;z-index:-551152" coordorigin="7618,398" coordsize="1841,2">
            <v:shape style="position:absolute;left:7618;top:398;width:1841;height:2" coordorigin="7618,398" coordsize="1841,0" path="m7618,398l9458,398e" filled="false" stroked="true" strokeweight=".48pt" strokecolor="#000000">
              <v:path arrowok="t"/>
            </v:shape>
            <w10:wrap type="none"/>
          </v:group>
        </w:pic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tab/>
        <w:t>本年增加</w:t>
      </w:r>
    </w:p>
    <w:p>
      <w:pPr>
        <w:spacing w:line="256" w:lineRule="auto" w:before="44"/>
        <w:ind w:left="1174" w:right="-20" w:firstLine="271"/>
        <w:jc w:val="left"/>
        <w:rPr>
          <w:rFonts w:ascii="宋体" w:hAnsi="宋体" w:cs="宋体" w:eastAsia="宋体" w:hint="default"/>
          <w:sz w:val="18"/>
          <w:szCs w:val="18"/>
        </w:rPr>
      </w:pPr>
      <w:r>
        <w:rPr/>
        <w:br w:type="column"/>
      </w:r>
      <w:r>
        <w:rPr>
          <w:rFonts w:ascii="宋体" w:hAnsi="宋体" w:cs="宋体" w:eastAsia="宋体" w:hint="default"/>
          <w:sz w:val="18"/>
          <w:szCs w:val="18"/>
        </w:rPr>
        <w:t>本年减少 确认为无形资产</w:t>
      </w:r>
    </w:p>
    <w:p>
      <w:pPr>
        <w:spacing w:line="240" w:lineRule="auto" w:before="2"/>
        <w:rPr>
          <w:rFonts w:ascii="宋体" w:hAnsi="宋体" w:cs="宋体" w:eastAsia="宋体" w:hint="default"/>
          <w:sz w:val="13"/>
          <w:szCs w:val="13"/>
        </w:rPr>
      </w:pPr>
      <w:r>
        <w:rPr/>
        <w:br w:type="column"/>
      </w:r>
      <w:r>
        <w:rPr>
          <w:rFonts w:ascii="宋体"/>
          <w:sz w:val="13"/>
        </w:rPr>
      </w:r>
    </w:p>
    <w:p>
      <w:pPr>
        <w:spacing w:before="0"/>
        <w:ind w:left="6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type w:val="continuous"/>
          <w:pgSz w:w="11900" w:h="16840"/>
          <w:pgMar w:top="1040" w:bottom="1180" w:left="980" w:right="340"/>
          <w:cols w:num="3" w:equalWidth="0">
            <w:col w:w="5714" w:space="40"/>
            <w:col w:w="2435" w:space="40"/>
            <w:col w:w="2351"/>
          </w:cols>
        </w:sectPr>
      </w:pPr>
    </w:p>
    <w:p>
      <w:pPr>
        <w:spacing w:line="240" w:lineRule="auto" w:before="0"/>
        <w:rPr>
          <w:rFonts w:ascii="宋体" w:hAnsi="宋体" w:cs="宋体" w:eastAsia="宋体" w:hint="default"/>
          <w:sz w:val="2"/>
          <w:szCs w:val="2"/>
        </w:rPr>
      </w:pPr>
    </w:p>
    <w:tbl>
      <w:tblPr>
        <w:tblW w:w="0" w:type="auto"/>
        <w:jc w:val="left"/>
        <w:tblInd w:w="675" w:type="dxa"/>
        <w:tblLayout w:type="fixed"/>
        <w:tblCellMar>
          <w:top w:w="0" w:type="dxa"/>
          <w:left w:w="0" w:type="dxa"/>
          <w:bottom w:w="0" w:type="dxa"/>
          <w:right w:w="0" w:type="dxa"/>
        </w:tblCellMar>
        <w:tblLook w:val="01E0"/>
      </w:tblPr>
      <w:tblGrid>
        <w:gridCol w:w="1702"/>
        <w:gridCol w:w="283"/>
        <w:gridCol w:w="1555"/>
        <w:gridCol w:w="286"/>
        <w:gridCol w:w="1706"/>
        <w:gridCol w:w="430"/>
        <w:gridCol w:w="3825"/>
      </w:tblGrid>
      <w:tr>
        <w:trPr>
          <w:trHeight w:val="251"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手机嵌入式项目</w:t>
            </w:r>
          </w:p>
        </w:tc>
        <w:tc>
          <w:tcPr>
            <w:tcW w:w="283" w:type="dxa"/>
            <w:tcBorders>
              <w:top w:val="nil" w:sz="6" w:space="0" w:color="auto"/>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708,550.14</w:t>
            </w:r>
          </w:p>
        </w:tc>
        <w:tc>
          <w:tcPr>
            <w:tcW w:w="286"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1,007,182.10</w:t>
            </w:r>
          </w:p>
        </w:tc>
        <w:tc>
          <w:tcPr>
            <w:tcW w:w="430" w:type="dxa"/>
            <w:tcBorders>
              <w:top w:val="nil" w:sz="6" w:space="0" w:color="auto"/>
              <w:left w:val="nil" w:sz="6" w:space="0" w:color="auto"/>
              <w:bottom w:val="nil" w:sz="6" w:space="0" w:color="auto"/>
              <w:right w:val="nil" w:sz="6" w:space="0" w:color="auto"/>
            </w:tcBorders>
          </w:tcPr>
          <w:p>
            <w:pPr/>
          </w:p>
        </w:tc>
        <w:tc>
          <w:tcPr>
            <w:tcW w:w="3825" w:type="dxa"/>
            <w:tcBorders>
              <w:top w:val="single" w:sz="4" w:space="0" w:color="000000"/>
              <w:left w:val="nil" w:sz="6" w:space="0" w:color="auto"/>
              <w:bottom w:val="nil" w:sz="6" w:space="0" w:color="auto"/>
              <w:right w:val="nil" w:sz="6" w:space="0" w:color="auto"/>
            </w:tcBorders>
          </w:tcPr>
          <w:p>
            <w:pPr>
              <w:pStyle w:val="TableParagraph"/>
              <w:tabs>
                <w:tab w:pos="2579" w:val="left" w:leader="none"/>
              </w:tabs>
              <w:spacing w:line="235" w:lineRule="exact"/>
              <w:ind w:left="1665" w:right="0"/>
              <w:jc w:val="left"/>
              <w:rPr>
                <w:rFonts w:ascii="Times New Roman" w:hAnsi="Times New Roman" w:cs="Times New Roman" w:eastAsia="Times New Roman" w:hint="default"/>
                <w:sz w:val="21"/>
                <w:szCs w:val="21"/>
              </w:rPr>
            </w:pPr>
            <w:r>
              <w:rPr>
                <w:rFonts w:ascii="Times New Roman"/>
                <w:sz w:val="21"/>
              </w:rPr>
              <w:t>-</w:t>
              <w:tab/>
              <w:t>1,715,732.24</w:t>
            </w:r>
          </w:p>
        </w:tc>
      </w:tr>
      <w:tr>
        <w:trPr>
          <w:trHeight w:val="247"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售票机嵌入式项目</w:t>
            </w:r>
          </w:p>
        </w:tc>
        <w:tc>
          <w:tcPr>
            <w:tcW w:w="28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tabs>
                <w:tab w:pos="499" w:val="left" w:leader="none"/>
                <w:tab w:pos="1554" w:val="left" w:leader="none"/>
              </w:tabs>
              <w:spacing w:line="231" w:lineRule="exact"/>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947,661.69</w:t>
              <w:tab/>
            </w:r>
            <w:r>
              <w:rPr>
                <w:rFonts w:ascii="Times New Roman"/>
                <w:spacing w:val="-1"/>
                <w:sz w:val="21"/>
              </w:rPr>
            </w:r>
          </w:p>
        </w:tc>
        <w:tc>
          <w:tcPr>
            <w:tcW w:w="28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Style w:val="TableParagraph"/>
              <w:tabs>
                <w:tab w:pos="503" w:val="left" w:leader="none"/>
                <w:tab w:pos="1706" w:val="left" w:leader="none"/>
              </w:tabs>
              <w:spacing w:line="231" w:lineRule="exact"/>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2"/>
                <w:sz w:val="21"/>
                <w:u w:val="single" w:color="000000"/>
              </w:rPr>
              <w:t>2,119,487.88</w:t>
              <w:tab/>
            </w:r>
            <w:r>
              <w:rPr>
                <w:rFonts w:ascii="Times New Roman"/>
                <w:spacing w:val="-2"/>
                <w:sz w:val="21"/>
              </w:rPr>
            </w:r>
          </w:p>
        </w:tc>
        <w:tc>
          <w:tcPr>
            <w:tcW w:w="430"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nil" w:sz="6" w:space="0" w:color="auto"/>
              <w:right w:val="nil" w:sz="6" w:space="0" w:color="auto"/>
            </w:tcBorders>
          </w:tcPr>
          <w:p>
            <w:pPr>
              <w:pStyle w:val="TableParagraph"/>
              <w:tabs>
                <w:tab w:pos="633" w:val="left" w:leader="none"/>
                <w:tab w:pos="2126" w:val="left" w:leader="none"/>
                <w:tab w:pos="3611" w:val="left" w:leader="none"/>
              </w:tabs>
              <w:spacing w:line="231" w:lineRule="exact"/>
              <w:ind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3,067,149.57</w:t>
            </w:r>
            <w:r>
              <w:rPr>
                <w:rFonts w:ascii="Times New Roman"/>
                <w:spacing w:val="-1"/>
                <w:sz w:val="21"/>
              </w:rPr>
              <w:tab/>
            </w:r>
            <w:r>
              <w:rPr>
                <w:rFonts w:ascii="Times New Roman"/>
                <w:spacing w:val="-1"/>
                <w:sz w:val="21"/>
                <w:u w:val="single" w:color="000000"/>
              </w:rPr>
              <w:t> </w:t>
              <w:tab/>
            </w:r>
            <w:r>
              <w:rPr>
                <w:rFonts w:ascii="Times New Roman"/>
                <w:sz w:val="21"/>
                <w:u w:val="single" w:color="000000"/>
              </w:rPr>
              <w:t>-</w:t>
              <w:tab/>
            </w:r>
            <w:r>
              <w:rPr>
                <w:rFonts w:ascii="Times New Roman"/>
                <w:sz w:val="21"/>
              </w:rPr>
            </w:r>
          </w:p>
        </w:tc>
      </w:tr>
      <w:tr>
        <w:trPr>
          <w:trHeight w:val="255"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12" w:space="0" w:color="000000"/>
              <w:right w:val="nil" w:sz="6" w:space="0" w:color="auto"/>
            </w:tcBorders>
          </w:tcPr>
          <w:p>
            <w:pPr>
              <w:pStyle w:val="TableParagraph"/>
              <w:spacing w:line="236" w:lineRule="exact"/>
              <w:ind w:left="350" w:right="0"/>
              <w:jc w:val="left"/>
              <w:rPr>
                <w:rFonts w:ascii="Times New Roman" w:hAnsi="Times New Roman" w:cs="Times New Roman" w:eastAsia="Times New Roman" w:hint="default"/>
                <w:sz w:val="21"/>
                <w:szCs w:val="21"/>
              </w:rPr>
            </w:pPr>
            <w:r>
              <w:rPr>
                <w:rFonts w:ascii="Times New Roman"/>
                <w:sz w:val="21"/>
              </w:rPr>
              <w:t>1,656,211.83</w:t>
            </w:r>
          </w:p>
        </w:tc>
        <w:tc>
          <w:tcPr>
            <w:tcW w:w="28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12" w:space="0" w:color="000000"/>
              <w:right w:val="nil" w:sz="6" w:space="0" w:color="auto"/>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3,126,669.98</w:t>
            </w:r>
          </w:p>
        </w:tc>
        <w:tc>
          <w:tcPr>
            <w:tcW w:w="430" w:type="dxa"/>
            <w:tcBorders>
              <w:top w:val="nil" w:sz="6" w:space="0" w:color="auto"/>
              <w:left w:val="nil" w:sz="6" w:space="0" w:color="auto"/>
              <w:bottom w:val="nil" w:sz="6" w:space="0" w:color="auto"/>
              <w:right w:val="nil" w:sz="6" w:space="0" w:color="auto"/>
            </w:tcBorders>
          </w:tcPr>
          <w:p>
            <w:pPr/>
          </w:p>
        </w:tc>
        <w:tc>
          <w:tcPr>
            <w:tcW w:w="3825" w:type="dxa"/>
            <w:tcBorders>
              <w:top w:val="nil" w:sz="6" w:space="0" w:color="auto"/>
              <w:left w:val="nil" w:sz="6" w:space="0" w:color="auto"/>
              <w:bottom w:val="single" w:sz="12" w:space="0" w:color="000000"/>
              <w:right w:val="nil" w:sz="6" w:space="0" w:color="auto"/>
            </w:tcBorders>
          </w:tcPr>
          <w:p>
            <w:pPr>
              <w:pStyle w:val="TableParagraph"/>
              <w:tabs>
                <w:tab w:pos="2579" w:val="left" w:leader="none"/>
              </w:tabs>
              <w:spacing w:line="236" w:lineRule="exact"/>
              <w:ind w:left="633" w:right="0"/>
              <w:jc w:val="left"/>
              <w:rPr>
                <w:rFonts w:ascii="Times New Roman" w:hAnsi="Times New Roman" w:cs="Times New Roman" w:eastAsia="Times New Roman" w:hint="default"/>
                <w:sz w:val="21"/>
                <w:szCs w:val="21"/>
              </w:rPr>
            </w:pPr>
            <w:r>
              <w:rPr>
                <w:rFonts w:ascii="Times New Roman"/>
                <w:spacing w:val="-1"/>
                <w:sz w:val="21"/>
              </w:rPr>
              <w:t>3,067,149.57</w:t>
              <w:tab/>
              <w:t>1,715,732.24</w:t>
            </w:r>
          </w:p>
        </w:tc>
      </w:tr>
    </w:tbl>
    <w:p>
      <w:pPr>
        <w:spacing w:line="240" w:lineRule="auto" w:before="12"/>
        <w:rPr>
          <w:rFonts w:ascii="宋体" w:hAnsi="宋体" w:cs="宋体" w:eastAsia="宋体" w:hint="default"/>
          <w:sz w:val="11"/>
          <w:szCs w:val="11"/>
        </w:rPr>
      </w:pPr>
    </w:p>
    <w:p>
      <w:pPr>
        <w:spacing w:line="427" w:lineRule="auto" w:before="36"/>
        <w:ind w:left="784" w:right="3049" w:firstLine="0"/>
        <w:jc w:val="left"/>
        <w:rPr>
          <w:rFonts w:ascii="宋体" w:hAnsi="宋体" w:cs="宋体" w:eastAsia="宋体" w:hint="default"/>
          <w:sz w:val="21"/>
          <w:szCs w:val="21"/>
        </w:rPr>
      </w:pPr>
      <w:r>
        <w:rPr/>
        <w:pict>
          <v:group style="position:absolute;margin-left:380.640015pt;margin-top:-10.046345pt;width:92.55pt;height:1.45pt;mso-position-horizontal-relative:page;mso-position-vertical-relative:paragraph;z-index:-551128" coordorigin="7613,-201" coordsize="1851,29">
            <v:group style="position:absolute;left:7618;top:-196;width:1841;height:2" coordorigin="7618,-196" coordsize="1841,2">
              <v:shape style="position:absolute;left:7618;top:-196;width:1841;height:2" coordorigin="7618,-196" coordsize="1841,0" path="m7618,-196l9458,-196e" filled="false" stroked="true" strokeweight=".48pt" strokecolor="#000000">
                <v:path arrowok="t"/>
              </v:shape>
            </v:group>
            <v:group style="position:absolute;left:7618;top:-177;width:1841;height:2" coordorigin="7618,-177" coordsize="1841,2">
              <v:shape style="position:absolute;left:7618;top:-177;width:1841;height:2" coordorigin="7618,-177" coordsize="1841,0" path="m7618,-177l9458,-177e" filled="false" stroked="true" strokeweight=".48pt" strokecolor="#000000">
                <v:path arrowok="t"/>
              </v:shape>
            </v:group>
            <w10:wrap type="none"/>
          </v:group>
        </w:pict>
      </w:r>
      <w:r>
        <w:rPr>
          <w:rFonts w:ascii="宋体" w:hAnsi="宋体" w:cs="宋体" w:eastAsia="宋体" w:hint="default"/>
          <w:sz w:val="21"/>
          <w:szCs w:val="21"/>
        </w:rPr>
        <w:t>本年开发支出占本年研究开发项目支出总额的比例</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31.25%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2"/>
          <w:sz w:val="21"/>
          <w:szCs w:val="21"/>
        </w:rPr>
        <w:t>通过公司内部研发形成的无形资产占无形资产年末账面价值的比例</w:t>
      </w:r>
      <w:r>
        <w:rPr>
          <w:rFonts w:ascii="宋体" w:hAnsi="宋体" w:cs="宋体" w:eastAsia="宋体" w:hint="default"/>
          <w:spacing w:val="-1"/>
          <w:sz w:val="21"/>
          <w:szCs w:val="21"/>
        </w:rPr>
        <w:t> </w:t>
      </w:r>
      <w:r>
        <w:rPr>
          <w:rFonts w:ascii="Times New Roman" w:hAnsi="Times New Roman" w:cs="Times New Roman" w:eastAsia="Times New Roman" w:hint="default"/>
          <w:spacing w:val="-1"/>
          <w:sz w:val="21"/>
          <w:szCs w:val="21"/>
        </w:rPr>
        <w:t>70%</w:t>
      </w:r>
      <w:r>
        <w:rPr>
          <w:rFonts w:ascii="宋体" w:hAnsi="宋体" w:cs="宋体" w:eastAsia="宋体" w:hint="default"/>
          <w:spacing w:val="-1"/>
          <w:sz w:val="21"/>
          <w:szCs w:val="21"/>
        </w:rPr>
        <w:t>。</w:t>
      </w:r>
    </w:p>
    <w:p>
      <w:pPr>
        <w:tabs>
          <w:tab w:pos="783" w:val="left" w:leader="none"/>
        </w:tabs>
        <w:spacing w:before="40"/>
        <w:ind w:left="308"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6.9</w:t>
        <w:tab/>
      </w:r>
      <w:r>
        <w:rPr>
          <w:rFonts w:ascii="宋体" w:hAnsi="宋体" w:cs="宋体" w:eastAsia="宋体" w:hint="default"/>
          <w:position w:val="-1"/>
          <w:sz w:val="21"/>
          <w:szCs w:val="21"/>
        </w:rPr>
        <w:t>商誉</w:t>
      </w:r>
      <w:r>
        <w:rPr>
          <w:rFonts w:ascii="宋体" w:hAnsi="宋体" w:cs="宋体" w:eastAsia="宋体" w:hint="default"/>
          <w:sz w:val="21"/>
          <w:szCs w:val="21"/>
        </w:rPr>
      </w:r>
    </w:p>
    <w:p>
      <w:pPr>
        <w:spacing w:line="240" w:lineRule="auto" w:before="9"/>
        <w:rPr>
          <w:rFonts w:ascii="宋体" w:hAnsi="宋体" w:cs="宋体" w:eastAsia="宋体" w:hint="default"/>
          <w:sz w:val="21"/>
          <w:szCs w:val="21"/>
        </w:rPr>
      </w:pPr>
    </w:p>
    <w:p>
      <w:pPr>
        <w:spacing w:before="0"/>
        <w:ind w:left="827" w:right="8248" w:firstLine="0"/>
        <w:jc w:val="center"/>
        <w:rPr>
          <w:rFonts w:ascii="宋体" w:hAnsi="宋体" w:cs="宋体" w:eastAsia="宋体" w:hint="default"/>
          <w:sz w:val="15"/>
          <w:szCs w:val="15"/>
        </w:rPr>
      </w:pPr>
      <w:r>
        <w:rPr/>
        <w:pict>
          <v:shape style="position:absolute;margin-left:185.210007pt;margin-top:2.191471pt;width:386.75pt;height:69.1pt;mso-position-horizontal-relative:page;mso-position-vertical-relative:paragraph;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7"/>
                    <w:gridCol w:w="283"/>
                    <w:gridCol w:w="914"/>
                    <w:gridCol w:w="235"/>
                    <w:gridCol w:w="786"/>
                    <w:gridCol w:w="1974"/>
                    <w:gridCol w:w="286"/>
                    <w:gridCol w:w="1511"/>
                    <w:gridCol w:w="308"/>
                  </w:tblGrid>
                  <w:tr>
                    <w:trPr>
                      <w:trHeight w:val="374" w:hRule="exact"/>
                    </w:trPr>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4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日</w:t>
                        </w:r>
                      </w:p>
                    </w:tc>
                    <w:tc>
                      <w:tcPr>
                        <w:tcW w:w="283"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55"/>
                          <w:jc w:val="right"/>
                          <w:rPr>
                            <w:rFonts w:ascii="宋体" w:hAnsi="宋体" w:cs="宋体" w:eastAsia="宋体" w:hint="default"/>
                            <w:sz w:val="15"/>
                            <w:szCs w:val="15"/>
                          </w:rPr>
                        </w:pPr>
                        <w:r>
                          <w:rPr>
                            <w:rFonts w:ascii="宋体" w:hAnsi="宋体" w:cs="宋体" w:eastAsia="宋体" w:hint="default"/>
                            <w:spacing w:val="-1"/>
                            <w:sz w:val="15"/>
                            <w:szCs w:val="15"/>
                          </w:rPr>
                          <w:t>本年增加</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75"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7"/>
                          <w:jc w:val="right"/>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86"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58" w:right="0"/>
                          <w:jc w:val="left"/>
                          <w:rPr>
                            <w:rFonts w:ascii="宋体" w:hAnsi="宋体" w:cs="宋体" w:eastAsia="宋体" w:hint="default"/>
                            <w:sz w:val="15"/>
                            <w:szCs w:val="15"/>
                          </w:rPr>
                        </w:pPr>
                        <w:r>
                          <w:rPr>
                            <w:rFonts w:ascii="宋体" w:hAnsi="宋体" w:cs="宋体" w:eastAsia="宋体" w:hint="default"/>
                            <w:sz w:val="15"/>
                            <w:szCs w:val="15"/>
                          </w:rPr>
                          <w:t>年末减值准备</w:t>
                        </w:r>
                      </w:p>
                    </w:tc>
                    <w:tc>
                      <w:tcPr>
                        <w:tcW w:w="308" w:type="dxa"/>
                        <w:tcBorders>
                          <w:top w:val="nil" w:sz="6" w:space="0" w:color="auto"/>
                          <w:left w:val="nil" w:sz="6" w:space="0" w:color="auto"/>
                          <w:bottom w:val="single" w:sz="4" w:space="0" w:color="000000"/>
                          <w:right w:val="nil" w:sz="6" w:space="0" w:color="auto"/>
                        </w:tcBorders>
                      </w:tcPr>
                      <w:p>
                        <w:pPr/>
                      </w:p>
                    </w:tc>
                  </w:tr>
                  <w:tr>
                    <w:trPr>
                      <w:trHeight w:val="420" w:hRule="exact"/>
                    </w:trPr>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146,337.55</w:t>
                        </w:r>
                      </w:p>
                    </w:tc>
                    <w:tc>
                      <w:tcPr>
                        <w:tcW w:w="283" w:type="dxa"/>
                        <w:tcBorders>
                          <w:top w:val="nil" w:sz="6" w:space="0" w:color="auto"/>
                          <w:left w:val="nil" w:sz="6" w:space="0" w:color="auto"/>
                          <w:bottom w:val="nil" w:sz="6" w:space="0" w:color="auto"/>
                          <w:right w:val="nil" w:sz="6" w:space="0" w:color="auto"/>
                        </w:tcBorders>
                      </w:tcPr>
                      <w:p>
                        <w:pPr/>
                      </w:p>
                    </w:tc>
                    <w:tc>
                      <w:tcPr>
                        <w:tcW w:w="91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t>-</w:t>
                        </w:r>
                      </w:p>
                    </w:tc>
                    <w:tc>
                      <w:tcPr>
                        <w:tcW w:w="235" w:type="dxa"/>
                        <w:tcBorders>
                          <w:top w:val="nil" w:sz="6" w:space="0" w:color="auto"/>
                          <w:left w:val="nil" w:sz="6" w:space="0" w:color="auto"/>
                          <w:bottom w:val="nil" w:sz="6" w:space="0" w:color="auto"/>
                          <w:right w:val="nil" w:sz="6" w:space="0" w:color="auto"/>
                        </w:tcBorders>
                      </w:tcPr>
                      <w:p>
                        <w:pPr/>
                      </w:p>
                    </w:tc>
                    <w:tc>
                      <w:tcPr>
                        <w:tcW w:w="786" w:type="dxa"/>
                        <w:tcBorders>
                          <w:top w:val="single" w:sz="4" w:space="0" w:color="000000"/>
                          <w:left w:val="nil" w:sz="6" w:space="0" w:color="auto"/>
                          <w:bottom w:val="nil" w:sz="6" w:space="0" w:color="auto"/>
                          <w:right w:val="nil" w:sz="6" w:space="0" w:color="auto"/>
                        </w:tcBorders>
                      </w:tcPr>
                      <w:p>
                        <w:pPr/>
                      </w:p>
                    </w:tc>
                    <w:tc>
                      <w:tcPr>
                        <w:tcW w:w="1974" w:type="dxa"/>
                        <w:tcBorders>
                          <w:top w:val="single" w:sz="4" w:space="0" w:color="000000"/>
                          <w:left w:val="nil" w:sz="6" w:space="0" w:color="auto"/>
                          <w:bottom w:val="nil" w:sz="6" w:space="0" w:color="auto"/>
                          <w:right w:val="nil" w:sz="6" w:space="0" w:color="auto"/>
                        </w:tcBorders>
                      </w:tcPr>
                      <w:p>
                        <w:pPr>
                          <w:pStyle w:val="TableParagraph"/>
                          <w:tabs>
                            <w:tab w:pos="909" w:val="left" w:leader="none"/>
                          </w:tabs>
                          <w:spacing w:line="240" w:lineRule="auto" w:before="106"/>
                          <w:ind w:right="106"/>
                          <w:jc w:val="right"/>
                          <w:rPr>
                            <w:rFonts w:ascii="Times New Roman" w:hAnsi="Times New Roman" w:cs="Times New Roman" w:eastAsia="Times New Roman" w:hint="default"/>
                            <w:sz w:val="21"/>
                            <w:szCs w:val="21"/>
                          </w:rPr>
                        </w:pPr>
                        <w:r>
                          <w:rPr>
                            <w:rFonts w:ascii="Times New Roman"/>
                            <w:position w:val="2"/>
                            <w:sz w:val="15"/>
                          </w:rPr>
                          <w:t>-</w:t>
                          <w:tab/>
                        </w:r>
                        <w:r>
                          <w:rPr>
                            <w:rFonts w:ascii="Times New Roman"/>
                            <w:spacing w:val="-1"/>
                            <w:sz w:val="21"/>
                          </w:rPr>
                          <w:t>146,337.55</w:t>
                        </w:r>
                      </w:p>
                    </w:tc>
                    <w:tc>
                      <w:tcPr>
                        <w:tcW w:w="286" w:type="dxa"/>
                        <w:tcBorders>
                          <w:top w:val="nil" w:sz="6" w:space="0" w:color="auto"/>
                          <w:left w:val="nil" w:sz="6" w:space="0" w:color="auto"/>
                          <w:bottom w:val="nil" w:sz="6" w:space="0" w:color="auto"/>
                          <w:right w:val="nil" w:sz="6" w:space="0" w:color="auto"/>
                        </w:tcBorders>
                      </w:tcPr>
                      <w:p>
                        <w:pPr/>
                      </w:p>
                    </w:tc>
                    <w:tc>
                      <w:tcPr>
                        <w:tcW w:w="1511" w:type="dxa"/>
                        <w:tcBorders>
                          <w:top w:val="single" w:sz="4" w:space="0" w:color="000000"/>
                          <w:left w:val="nil" w:sz="6" w:space="0" w:color="auto"/>
                          <w:bottom w:val="nil" w:sz="6" w:space="0" w:color="auto"/>
                          <w:right w:val="nil" w:sz="6" w:space="0" w:color="auto"/>
                        </w:tcBorders>
                      </w:tcPr>
                      <w:p>
                        <w:pPr/>
                      </w:p>
                    </w:tc>
                    <w:tc>
                      <w:tcPr>
                        <w:tcW w:w="30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40" w:lineRule="auto"/>
                          <w:ind w:left="41" w:right="0"/>
                          <w:jc w:val="center"/>
                          <w:rPr>
                            <w:rFonts w:ascii="Times New Roman" w:hAnsi="Times New Roman" w:cs="Times New Roman" w:eastAsia="Times New Roman" w:hint="default"/>
                            <w:sz w:val="15"/>
                            <w:szCs w:val="15"/>
                          </w:rPr>
                        </w:pPr>
                        <w:r>
                          <w:rPr>
                            <w:rFonts w:ascii="Times New Roman"/>
                            <w:w w:val="100"/>
                            <w:sz w:val="15"/>
                          </w:rPr>
                          <w:t>-</w:t>
                        </w:r>
                      </w:p>
                    </w:tc>
                  </w:tr>
                  <w:tr>
                    <w:trPr>
                      <w:trHeight w:val="300" w:hRule="exact"/>
                    </w:trPr>
                    <w:tc>
                      <w:tcPr>
                        <w:tcW w:w="1437" w:type="dxa"/>
                        <w:tcBorders>
                          <w:top w:val="nil" w:sz="6" w:space="0" w:color="auto"/>
                          <w:left w:val="nil" w:sz="6" w:space="0" w:color="auto"/>
                          <w:bottom w:val="nil" w:sz="6" w:space="0" w:color="auto"/>
                          <w:right w:val="nil" w:sz="6" w:space="0" w:color="auto"/>
                        </w:tcBorders>
                      </w:tcPr>
                      <w:p>
                        <w:pPr>
                          <w:pStyle w:val="TableParagraph"/>
                          <w:tabs>
                            <w:tab w:pos="1401" w:val="left" w:leader="none"/>
                          </w:tabs>
                          <w:spacing w:line="240" w:lineRule="auto" w:before="46"/>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  </w:t>
                        </w:r>
                        <w:r>
                          <w:rPr>
                            <w:rFonts w:ascii="Times New Roman"/>
                            <w:spacing w:val="-19"/>
                            <w:sz w:val="21"/>
                            <w:u w:val="single" w:color="000000"/>
                          </w:rPr>
                          <w:t> </w:t>
                        </w:r>
                        <w:r>
                          <w:rPr>
                            <w:rFonts w:ascii="Times New Roman"/>
                            <w:spacing w:val="-1"/>
                            <w:sz w:val="21"/>
                            <w:u w:val="single" w:color="000000"/>
                          </w:rPr>
                          <w:t>1,655,442.06</w:t>
                          <w:tab/>
                        </w:r>
                        <w:r>
                          <w:rPr>
                            <w:rFonts w:ascii="Times New Roman"/>
                            <w:spacing w:val="-1"/>
                            <w:sz w:val="21"/>
                          </w:rPr>
                        </w:r>
                      </w:p>
                    </w:tc>
                    <w:tc>
                      <w:tcPr>
                        <w:tcW w:w="283" w:type="dxa"/>
                        <w:tcBorders>
                          <w:top w:val="nil" w:sz="6" w:space="0" w:color="auto"/>
                          <w:left w:val="nil" w:sz="6" w:space="0" w:color="auto"/>
                          <w:bottom w:val="nil" w:sz="6" w:space="0" w:color="auto"/>
                          <w:right w:val="nil" w:sz="6" w:space="0" w:color="auto"/>
                        </w:tcBorders>
                      </w:tcPr>
                      <w:p>
                        <w:pPr/>
                      </w:p>
                    </w:tc>
                    <w:tc>
                      <w:tcPr>
                        <w:tcW w:w="3910" w:type="dxa"/>
                        <w:gridSpan w:val="4"/>
                        <w:tcBorders>
                          <w:top w:val="nil" w:sz="6" w:space="0" w:color="auto"/>
                          <w:left w:val="nil" w:sz="6" w:space="0" w:color="auto"/>
                          <w:bottom w:val="nil" w:sz="6" w:space="0" w:color="auto"/>
                          <w:right w:val="nil" w:sz="6" w:space="0" w:color="auto"/>
                        </w:tcBorders>
                      </w:tcPr>
                      <w:p>
                        <w:pPr>
                          <w:pStyle w:val="TableParagraph"/>
                          <w:tabs>
                            <w:tab w:pos="1943" w:val="left" w:leader="none"/>
                            <w:tab w:pos="2699" w:val="left" w:leader="none"/>
                          </w:tabs>
                          <w:spacing w:line="240" w:lineRule="auto" w:before="46"/>
                          <w:ind w:left="756" w:right="0"/>
                          <w:jc w:val="left"/>
                          <w:rPr>
                            <w:rFonts w:ascii="Times New Roman" w:hAnsi="Times New Roman" w:cs="Times New Roman" w:eastAsia="Times New Roman" w:hint="default"/>
                            <w:sz w:val="21"/>
                            <w:szCs w:val="21"/>
                          </w:rPr>
                        </w:pPr>
                        <w:r>
                          <w:rPr>
                            <w:rFonts w:ascii="Times New Roman"/>
                            <w:position w:val="2"/>
                            <w:sz w:val="15"/>
                          </w:rPr>
                          <w:t>-</w:t>
                          <w:tab/>
                          <w:t>-</w:t>
                          <w:tab/>
                        </w:r>
                        <w:r>
                          <w:rPr>
                            <w:rFonts w:ascii="Times New Roman"/>
                            <w:sz w:val="21"/>
                          </w:rPr>
                          <w:t>1,655,442.06</w:t>
                        </w:r>
                      </w:p>
                    </w:tc>
                    <w:tc>
                      <w:tcPr>
                        <w:tcW w:w="286" w:type="dxa"/>
                        <w:tcBorders>
                          <w:top w:val="nil" w:sz="6" w:space="0" w:color="auto"/>
                          <w:left w:val="nil" w:sz="6" w:space="0" w:color="auto"/>
                          <w:bottom w:val="nil" w:sz="6" w:space="0" w:color="auto"/>
                          <w:right w:val="nil" w:sz="6" w:space="0" w:color="auto"/>
                        </w:tcBorders>
                      </w:tcPr>
                      <w:p>
                        <w:pPr/>
                      </w:p>
                    </w:tc>
                    <w:tc>
                      <w:tcPr>
                        <w:tcW w:w="181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6"/>
                          <w:ind w:left="609" w:right="0"/>
                          <w:jc w:val="left"/>
                          <w:rPr>
                            <w:rFonts w:ascii="Times New Roman" w:hAnsi="Times New Roman" w:cs="Times New Roman" w:eastAsia="Times New Roman" w:hint="default"/>
                            <w:sz w:val="21"/>
                            <w:szCs w:val="21"/>
                          </w:rPr>
                        </w:pPr>
                        <w:r>
                          <w:rPr>
                            <w:rFonts w:ascii="Times New Roman"/>
                            <w:sz w:val="21"/>
                          </w:rPr>
                          <w:t>1,655,442.06</w:t>
                        </w:r>
                      </w:p>
                    </w:tc>
                  </w:tr>
                  <w:tr>
                    <w:trPr>
                      <w:trHeight w:val="259" w:hRule="exact"/>
                    </w:trPr>
                    <w:tc>
                      <w:tcPr>
                        <w:tcW w:w="1437" w:type="dxa"/>
                        <w:tcBorders>
                          <w:top w:val="nil" w:sz="6" w:space="0" w:color="auto"/>
                          <w:left w:val="nil" w:sz="6" w:space="0" w:color="auto"/>
                          <w:bottom w:val="single" w:sz="12" w:space="0" w:color="000000"/>
                          <w:right w:val="nil" w:sz="6" w:space="0" w:color="auto"/>
                        </w:tcBorders>
                      </w:tcPr>
                      <w:p>
                        <w:pPr>
                          <w:pStyle w:val="TableParagraph"/>
                          <w:spacing w:line="240" w:lineRule="exact"/>
                          <w:ind w:left="226" w:right="0"/>
                          <w:jc w:val="left"/>
                          <w:rPr>
                            <w:rFonts w:ascii="Times New Roman" w:hAnsi="Times New Roman" w:cs="Times New Roman" w:eastAsia="Times New Roman" w:hint="default"/>
                            <w:sz w:val="21"/>
                            <w:szCs w:val="21"/>
                          </w:rPr>
                        </w:pPr>
                        <w:r>
                          <w:rPr>
                            <w:rFonts w:ascii="Times New Roman"/>
                            <w:sz w:val="21"/>
                          </w:rPr>
                          <w:t>1,801,779.61</w:t>
                        </w:r>
                      </w:p>
                    </w:tc>
                    <w:tc>
                      <w:tcPr>
                        <w:tcW w:w="283" w:type="dxa"/>
                        <w:tcBorders>
                          <w:top w:val="nil" w:sz="6" w:space="0" w:color="auto"/>
                          <w:left w:val="nil" w:sz="6" w:space="0" w:color="auto"/>
                          <w:bottom w:val="nil" w:sz="6" w:space="0" w:color="auto"/>
                          <w:right w:val="nil" w:sz="6" w:space="0" w:color="auto"/>
                        </w:tcBorders>
                      </w:tcPr>
                      <w:p>
                        <w:pPr/>
                      </w:p>
                    </w:tc>
                    <w:tc>
                      <w:tcPr>
                        <w:tcW w:w="3910" w:type="dxa"/>
                        <w:gridSpan w:val="4"/>
                        <w:tcBorders>
                          <w:top w:val="nil" w:sz="6" w:space="0" w:color="auto"/>
                          <w:left w:val="nil" w:sz="6" w:space="0" w:color="auto"/>
                          <w:bottom w:val="nil" w:sz="6" w:space="0" w:color="auto"/>
                          <w:right w:val="nil" w:sz="6" w:space="0" w:color="auto"/>
                        </w:tcBorders>
                      </w:tcPr>
                      <w:p>
                        <w:pPr>
                          <w:pStyle w:val="TableParagraph"/>
                          <w:tabs>
                            <w:tab w:pos="1943" w:val="left" w:leader="none"/>
                            <w:tab w:pos="2699" w:val="left" w:leader="none"/>
                          </w:tabs>
                          <w:spacing w:line="240" w:lineRule="exact"/>
                          <w:ind w:left="756" w:right="0"/>
                          <w:jc w:val="left"/>
                          <w:rPr>
                            <w:rFonts w:ascii="Times New Roman" w:hAnsi="Times New Roman" w:cs="Times New Roman" w:eastAsia="Times New Roman" w:hint="default"/>
                            <w:sz w:val="21"/>
                            <w:szCs w:val="21"/>
                          </w:rPr>
                        </w:pPr>
                        <w:r>
                          <w:rPr>
                            <w:rFonts w:ascii="Times New Roman"/>
                            <w:position w:val="2"/>
                            <w:sz w:val="15"/>
                          </w:rPr>
                          <w:t>-</w:t>
                          <w:tab/>
                          <w:t>-</w:t>
                          <w:tab/>
                        </w:r>
                        <w:r>
                          <w:rPr>
                            <w:rFonts w:ascii="Times New Roman"/>
                            <w:sz w:val="21"/>
                          </w:rPr>
                          <w:t>1,801,779.61</w:t>
                        </w:r>
                      </w:p>
                    </w:tc>
                    <w:tc>
                      <w:tcPr>
                        <w:tcW w:w="286" w:type="dxa"/>
                        <w:tcBorders>
                          <w:top w:val="nil" w:sz="6" w:space="0" w:color="auto"/>
                          <w:left w:val="nil" w:sz="6" w:space="0" w:color="auto"/>
                          <w:bottom w:val="nil" w:sz="6" w:space="0" w:color="auto"/>
                          <w:right w:val="nil" w:sz="6" w:space="0" w:color="auto"/>
                        </w:tcBorders>
                      </w:tcPr>
                      <w:p>
                        <w:pPr/>
                      </w:p>
                    </w:tc>
                    <w:tc>
                      <w:tcPr>
                        <w:tcW w:w="1819" w:type="dxa"/>
                        <w:gridSpan w:val="2"/>
                        <w:tcBorders>
                          <w:top w:val="single" w:sz="4" w:space="0" w:color="000000"/>
                          <w:left w:val="nil" w:sz="6" w:space="0" w:color="auto"/>
                          <w:bottom w:val="single" w:sz="12" w:space="0" w:color="000000"/>
                          <w:right w:val="nil" w:sz="6" w:space="0" w:color="auto"/>
                        </w:tcBorders>
                      </w:tcPr>
                      <w:p>
                        <w:pPr>
                          <w:pStyle w:val="TableParagraph"/>
                          <w:spacing w:line="235" w:lineRule="exact"/>
                          <w:ind w:left="609" w:right="0"/>
                          <w:jc w:val="left"/>
                          <w:rPr>
                            <w:rFonts w:ascii="Times New Roman" w:hAnsi="Times New Roman" w:cs="Times New Roman" w:eastAsia="Times New Roman" w:hint="default"/>
                            <w:sz w:val="21"/>
                            <w:szCs w:val="21"/>
                          </w:rPr>
                        </w:pPr>
                        <w:r>
                          <w:rPr>
                            <w:rFonts w:ascii="Times New Roman"/>
                            <w:sz w:val="21"/>
                          </w:rPr>
                          <w:t>1,655,442.06</w:t>
                        </w:r>
                      </w:p>
                    </w:tc>
                  </w:tr>
                </w:tbl>
                <w:p>
                  <w:pPr/>
                </w:p>
              </w:txbxContent>
            </v:textbox>
            <w10:wrap type="none"/>
          </v:shape>
        </w:pict>
      </w:r>
      <w:r>
        <w:rPr>
          <w:rFonts w:ascii="宋体" w:hAnsi="宋体" w:cs="宋体" w:eastAsia="宋体" w:hint="default"/>
          <w:spacing w:val="-2"/>
          <w:sz w:val="15"/>
          <w:szCs w:val="15"/>
        </w:rPr>
        <w:t>被投资单位名称或形成</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商誉的事项</w:t>
      </w:r>
    </w:p>
    <w:p>
      <w:pPr>
        <w:spacing w:line="237" w:lineRule="auto" w:before="3"/>
        <w:ind w:left="716" w:right="8404" w:firstLine="0"/>
        <w:jc w:val="left"/>
        <w:rPr>
          <w:rFonts w:ascii="宋体" w:hAnsi="宋体" w:cs="宋体" w:eastAsia="宋体" w:hint="default"/>
          <w:sz w:val="18"/>
          <w:szCs w:val="18"/>
        </w:rPr>
      </w:pPr>
      <w:r>
        <w:rPr/>
        <w:pict>
          <v:group style="position:absolute;margin-left:82.800003pt;margin-top:1.326603pt;width:90.15pt;height:.1pt;mso-position-horizontal-relative:page;mso-position-vertical-relative:paragraph;z-index:-551104" coordorigin="1656,27" coordsize="1803,2">
            <v:shape style="position:absolute;left:1656;top:27;width:1803;height:2" coordorigin="1656,27" coordsize="1803,0" path="m1656,27l3458,27e" filled="false" stroked="true" strokeweight=".48pt" strokecolor="#000000">
              <v:path arrowok="t"/>
            </v:shape>
            <w10:wrap type="none"/>
          </v:group>
        </w:pict>
      </w:r>
      <w:r>
        <w:rPr>
          <w:rFonts w:ascii="宋体" w:hAnsi="宋体" w:cs="宋体" w:eastAsia="宋体" w:hint="default"/>
          <w:sz w:val="18"/>
          <w:szCs w:val="18"/>
        </w:rPr>
        <w:t>上海华钟计算机 软件开发有限公司 日本海隆株式会社</w:t>
      </w:r>
    </w:p>
    <w:p>
      <w:pPr>
        <w:spacing w:before="16"/>
        <w:ind w:left="821" w:right="8248" w:firstLine="0"/>
        <w:jc w:val="center"/>
        <w:rPr>
          <w:rFonts w:ascii="宋体" w:hAnsi="宋体" w:cs="宋体" w:eastAsia="宋体" w:hint="default"/>
          <w:sz w:val="18"/>
          <w:szCs w:val="18"/>
        </w:rPr>
      </w:pPr>
      <w:r>
        <w:rPr/>
        <w:pict>
          <v:group style="position:absolute;margin-left:271.200012pt;margin-top:2.081720pt;width:45.75pt;height:.1pt;mso-position-horizontal-relative:page;mso-position-vertical-relative:paragraph;z-index:4528" coordorigin="5424,42" coordsize="915,2">
            <v:shape style="position:absolute;left:5424;top:42;width:915;height:2" coordorigin="5424,42" coordsize="915,0" path="m5424,42l6338,42e" filled="false" stroked="true" strokeweight=".48pt" strokecolor="#000000">
              <v:path arrowok="t"/>
            </v:shape>
            <w10:wrap type="none"/>
          </v:group>
        </w:pict>
      </w:r>
      <w:r>
        <w:rPr/>
        <w:pict>
          <v:group style="position:absolute;margin-left:328.679993pt;margin-top:2.081720pt;width:47.75pt;height:.1pt;mso-position-horizontal-relative:page;mso-position-vertical-relative:paragraph;z-index:4552" coordorigin="6574,42" coordsize="955,2">
            <v:shape style="position:absolute;left:6574;top:42;width:955;height:2" coordorigin="6574,42" coordsize="955,0" path="m6574,42l7529,42e" filled="false" stroked="true" strokeweight=".48pt" strokecolor="#000000">
              <v:path arrowok="t"/>
            </v:shape>
            <w10:wrap type="none"/>
          </v:group>
        </w:pict>
      </w: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line="240" w:lineRule="auto" w:before="9"/>
        <w:rPr>
          <w:rFonts w:ascii="宋体" w:hAnsi="宋体" w:cs="宋体" w:eastAsia="宋体" w:hint="default"/>
          <w:sz w:val="2"/>
          <w:szCs w:val="2"/>
        </w:rPr>
      </w:pPr>
    </w:p>
    <w:p>
      <w:pPr>
        <w:tabs>
          <w:tab w:pos="5588" w:val="left" w:leader="none"/>
        </w:tabs>
        <w:spacing w:line="28" w:lineRule="exact"/>
        <w:ind w:left="4439" w:right="0" w:firstLine="0"/>
        <w:rPr>
          <w:rFonts w:ascii="宋体" w:hAnsi="宋体" w:cs="宋体" w:eastAsia="宋体" w:hint="default"/>
          <w:sz w:val="2"/>
          <w:szCs w:val="2"/>
        </w:rPr>
      </w:pPr>
      <w:r>
        <w:rPr>
          <w:rFonts w:ascii="宋体"/>
          <w:position w:val="0"/>
          <w:sz w:val="2"/>
        </w:rPr>
        <w:pict>
          <v:group style="width:46.2pt;height:1.45pt;mso-position-horizontal-relative:char;mso-position-vertical-relative:line" coordorigin="0,0" coordsize="924,29">
            <v:group style="position:absolute;left:5;top:5;width:915;height:2" coordorigin="5,5" coordsize="915,2">
              <v:shape style="position:absolute;left:5;top:5;width:915;height:2" coordorigin="5,5" coordsize="915,0" path="m5,5l919,5e" filled="false" stroked="true" strokeweight=".48pt" strokecolor="#000000">
                <v:path arrowok="t"/>
              </v:shape>
            </v:group>
            <v:group style="position:absolute;left:5;top:24;width:915;height:2" coordorigin="5,24" coordsize="915,2">
              <v:shape style="position:absolute;left:5;top:24;width:915;height:2" coordorigin="5,24" coordsize="915,0" path="m5,24l919,24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8.25pt;height:1.45pt;mso-position-horizontal-relative:char;mso-position-vertical-relative:line" coordorigin="0,0" coordsize="965,29">
            <v:group style="position:absolute;left:5;top:5;width:955;height:2" coordorigin="5,5" coordsize="955,2">
              <v:shape style="position:absolute;left:5;top:5;width:955;height:2" coordorigin="5,5" coordsize="955,0" path="m5,5l960,5e" filled="false" stroked="true" strokeweight=".48pt" strokecolor="#000000">
                <v:path arrowok="t"/>
              </v:shape>
            </v:group>
            <v:group style="position:absolute;left:5;top:24;width:955;height:2" coordorigin="5,24" coordsize="955,2">
              <v:shape style="position:absolute;left:5;top:24;width:955;height:2" coordorigin="5,24" coordsize="955,0" path="m5,24l960,24e" filled="false" stroked="true" strokeweight=".48pt" strokecolor="#000000">
                <v:path arrowok="t"/>
              </v:shape>
            </v:group>
          </v:group>
        </w:pict>
      </w:r>
      <w:r>
        <w:rPr>
          <w:rFonts w:ascii="宋体"/>
          <w:position w:val="0"/>
          <w:sz w:val="2"/>
        </w:rPr>
      </w:r>
    </w:p>
    <w:p>
      <w:pPr>
        <w:spacing w:line="240" w:lineRule="auto" w:before="6"/>
        <w:rPr>
          <w:rFonts w:ascii="宋体" w:hAnsi="宋体" w:cs="宋体" w:eastAsia="宋体" w:hint="default"/>
          <w:sz w:val="12"/>
          <w:szCs w:val="12"/>
        </w:rPr>
      </w:pPr>
    </w:p>
    <w:p>
      <w:pPr>
        <w:spacing w:before="46"/>
        <w:ind w:left="315" w:right="664"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6.10</w:t>
      </w:r>
      <w:r>
        <w:rPr>
          <w:rFonts w:ascii="Times New Roman" w:hAnsi="Times New Roman" w:cs="Times New Roman" w:eastAsia="Times New Roman" w:hint="default"/>
          <w:spacing w:val="47"/>
          <w:position w:val="2"/>
          <w:sz w:val="21"/>
          <w:szCs w:val="21"/>
        </w:rPr>
        <w:t> </w:t>
      </w:r>
      <w:r>
        <w:rPr>
          <w:rFonts w:ascii="宋体" w:hAnsi="宋体" w:cs="宋体" w:eastAsia="宋体" w:hint="default"/>
          <w:sz w:val="21"/>
          <w:szCs w:val="21"/>
        </w:rPr>
        <w:t>长期待摊费用</w:t>
      </w:r>
    </w:p>
    <w:p>
      <w:pPr>
        <w:spacing w:line="240" w:lineRule="auto" w:before="4"/>
        <w:rPr>
          <w:rFonts w:ascii="宋体" w:hAnsi="宋体" w:cs="宋体" w:eastAsia="宋体" w:hint="default"/>
          <w:sz w:val="21"/>
          <w:szCs w:val="21"/>
        </w:rPr>
      </w:pPr>
    </w:p>
    <w:p>
      <w:pPr>
        <w:tabs>
          <w:tab w:pos="2859" w:val="left" w:leader="none"/>
          <w:tab w:pos="4232" w:val="left" w:leader="none"/>
          <w:tab w:pos="5720" w:val="left" w:leader="none"/>
          <w:tab w:pos="7424" w:val="left" w:leader="none"/>
          <w:tab w:pos="9193" w:val="left" w:leader="none"/>
        </w:tabs>
        <w:spacing w:line="247" w:lineRule="auto" w:before="0"/>
        <w:ind w:left="714" w:right="664" w:firstLine="69"/>
        <w:jc w:val="left"/>
        <w:rPr>
          <w:rFonts w:ascii="宋体" w:hAnsi="宋体" w:cs="宋体" w:eastAsia="宋体" w:hint="default"/>
          <w:sz w:val="18"/>
          <w:szCs w:val="18"/>
        </w:rPr>
      </w:pPr>
      <w:r>
        <w:rPr/>
        <w:pict>
          <v:group style="position:absolute;margin-left:82.800003pt;margin-top:13.401711pt;width:84.5pt;height:.1pt;mso-position-horizontal-relative:page;mso-position-vertical-relative:paragraph;z-index:-551032" coordorigin="1656,268" coordsize="1690,2">
            <v:shape style="position:absolute;left:1656;top:268;width:1690;height:2" coordorigin="1656,268" coordsize="1690,0" path="m1656,268l3346,268e" filled="false" stroked="true" strokeweight=".48pt" strokecolor="#000000">
              <v:path arrowok="t"/>
            </v:shape>
            <w10:wrap type="none"/>
          </v:group>
        </w:pict>
      </w:r>
      <w:r>
        <w:rPr/>
        <w:pict>
          <v:group style="position:absolute;margin-left:181.320007pt;margin-top:13.401711pt;width:57.5pt;height:.1pt;mso-position-horizontal-relative:page;mso-position-vertical-relative:paragraph;z-index:-551008" coordorigin="3626,268" coordsize="1150,2">
            <v:shape style="position:absolute;left:3626;top:268;width:1150;height:2" coordorigin="3626,268" coordsize="1150,0" path="m3626,268l4776,268e" filled="false" stroked="true" strokeweight=".48pt" strokecolor="#000000">
              <v:path arrowok="t"/>
            </v:shape>
            <w10:wrap type="none"/>
          </v:group>
        </w:pict>
      </w:r>
      <w:r>
        <w:rPr/>
        <w:pict>
          <v:group style="position:absolute;margin-left:253.080002pt;margin-top:13.401711pt;width:56.8pt;height:.1pt;mso-position-horizontal-relative:page;mso-position-vertical-relative:paragraph;z-index:-550984" coordorigin="5062,268" coordsize="1136,2">
            <v:shape style="position:absolute;left:5062;top:268;width:1136;height:2" coordorigin="5062,268" coordsize="1136,0" path="m5062,268l6197,268e" filled="false" stroked="true" strokeweight=".48pt" strokecolor="#000000">
              <v:path arrowok="t"/>
            </v:shape>
            <w10:wrap type="none"/>
          </v:group>
        </w:pict>
      </w:r>
      <w:r>
        <w:rPr/>
        <w:pict>
          <v:group style="position:absolute;margin-left:324pt;margin-top:13.401711pt;width:64pt;height:.1pt;mso-position-horizontal-relative:page;mso-position-vertical-relative:paragraph;z-index:-550960" coordorigin="6480,268" coordsize="1280,2">
            <v:shape style="position:absolute;left:6480;top:268;width:1280;height:2" coordorigin="6480,268" coordsize="1280,0" path="m6480,268l7759,268e" filled="false" stroked="true" strokeweight=".48pt" strokecolor="#000000">
              <v:path arrowok="t"/>
            </v:shape>
            <w10:wrap type="none"/>
          </v:group>
        </w:pict>
      </w:r>
      <w:r>
        <w:rPr/>
        <w:pict>
          <v:group style="position:absolute;margin-left:402.23999pt;margin-top:13.401711pt;width:64.45pt;height:.1pt;mso-position-horizontal-relative:page;mso-position-vertical-relative:paragraph;z-index:-550936" coordorigin="8045,268" coordsize="1289,2">
            <v:shape style="position:absolute;left:8045;top:268;width:1289;height:2" coordorigin="8045,268" coordsize="1289,0" path="m8045,268l9334,268e" filled="false" stroked="true" strokeweight=".48pt" strokecolor="#000000">
              <v:path arrowok="t"/>
            </v:shape>
            <w10:wrap type="none"/>
          </v:group>
        </w:pict>
      </w:r>
      <w:r>
        <w:rPr/>
        <w:pict>
          <v:group style="position:absolute;margin-left:480.959991pt;margin-top:13.401711pt;width:91pt;height:.1pt;mso-position-horizontal-relative:page;mso-position-vertical-relative:paragraph;z-index:-550912" coordorigin="9619,268" coordsize="1820,2">
            <v:shape style="position:absolute;left:9619;top:268;width:1820;height:2" coordorigin="9619,268" coordsize="1820,0" path="m9619,268l11438,268e" filled="false" stroked="true" strokeweight=".48pt" strokecolor="#000000">
              <v:path arrowok="t"/>
            </v:shape>
            <w10:wrap type="none"/>
          </v:group>
        </w:pict>
      </w:r>
      <w:r>
        <w:rPr>
          <w:rFonts w:ascii="宋体" w:hAnsi="宋体" w:cs="宋体" w:eastAsia="宋体" w:hint="default"/>
          <w:sz w:val="18"/>
          <w:szCs w:val="18"/>
        </w:rPr>
        <w:t>项目</w:t>
        <w:tab/>
        <w:t>年初余额</w:t>
        <w:tab/>
        <w:t>本年增加</w:t>
        <w:tab/>
        <w:t>本年摊销</w:t>
        <w:tab/>
        <w:t>其他减少</w:t>
        <w:tab/>
        <w:t>年末余额 </w:t>
      </w:r>
      <w:r>
        <w:rPr>
          <w:rFonts w:ascii="宋体" w:hAnsi="宋体" w:cs="宋体" w:eastAsia="宋体" w:hint="default"/>
          <w:spacing w:val="12"/>
          <w:sz w:val="18"/>
          <w:szCs w:val="18"/>
        </w:rPr>
        <w:t>经营性租入固定资</w:t>
      </w:r>
    </w:p>
    <w:p>
      <w:pPr>
        <w:tabs>
          <w:tab w:pos="2742" w:val="left" w:leader="none"/>
          <w:tab w:pos="4163" w:val="left" w:leader="none"/>
          <w:tab w:pos="5835" w:val="left" w:leader="none"/>
          <w:tab w:pos="8185" w:val="left" w:leader="none"/>
          <w:tab w:pos="9404" w:val="left" w:leader="none"/>
        </w:tabs>
        <w:spacing w:line="230" w:lineRule="exact" w:before="0"/>
        <w:ind w:left="714"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产改良支出</w:t>
        <w:tab/>
      </w:r>
      <w:r>
        <w:rPr>
          <w:rFonts w:ascii="Times New Roman" w:hAnsi="Times New Roman" w:cs="Times New Roman" w:eastAsia="Times New Roman" w:hint="default"/>
          <w:spacing w:val="-1"/>
          <w:sz w:val="18"/>
          <w:szCs w:val="18"/>
        </w:rPr>
        <w:t>1,327,310.04</w:t>
        <w:tab/>
        <w:t>3,016,431.14</w:t>
        <w:tab/>
        <w:t>1,509,730.84</w:t>
        <w:tab/>
      </w:r>
      <w:r>
        <w:rPr>
          <w:rFonts w:ascii="Times New Roman" w:hAnsi="Times New Roman" w:cs="Times New Roman" w:eastAsia="Times New Roman" w:hint="default"/>
          <w:sz w:val="18"/>
          <w:szCs w:val="18"/>
        </w:rPr>
        <w:t>-</w:t>
        <w:tab/>
      </w:r>
      <w:r>
        <w:rPr>
          <w:rFonts w:ascii="Times New Roman" w:hAnsi="Times New Roman" w:cs="Times New Roman" w:eastAsia="Times New Roman" w:hint="default"/>
          <w:spacing w:val="-1"/>
          <w:sz w:val="18"/>
          <w:szCs w:val="18"/>
        </w:rPr>
        <w:t>2,834,010.34</w:t>
      </w:r>
    </w:p>
    <w:p>
      <w:pPr>
        <w:spacing w:line="240" w:lineRule="auto" w:before="5"/>
        <w:rPr>
          <w:rFonts w:ascii="Times New Roman" w:hAnsi="Times New Roman" w:cs="Times New Roman" w:eastAsia="Times New Roman" w:hint="default"/>
          <w:sz w:val="2"/>
          <w:szCs w:val="2"/>
        </w:rPr>
      </w:pPr>
    </w:p>
    <w:p>
      <w:pPr>
        <w:tabs>
          <w:tab w:pos="4076" w:val="left" w:leader="none"/>
          <w:tab w:pos="5495" w:val="left" w:leader="none"/>
          <w:tab w:pos="7060" w:val="left" w:leader="none"/>
          <w:tab w:pos="8634" w:val="left" w:leader="none"/>
        </w:tabs>
        <w:spacing w:line="28" w:lineRule="exact"/>
        <w:ind w:left="2641" w:right="0" w:firstLine="0"/>
        <w:rPr>
          <w:rFonts w:ascii="Times New Roman" w:hAnsi="Times New Roman" w:cs="Times New Roman" w:eastAsia="Times New Roman" w:hint="default"/>
          <w:sz w:val="2"/>
          <w:szCs w:val="2"/>
        </w:rPr>
      </w:pPr>
      <w:r>
        <w:rPr>
          <w:rFonts w:ascii="Times New Roman"/>
          <w:position w:val="0"/>
          <w:sz w:val="2"/>
        </w:rPr>
        <w:pict>
          <v:group style="width:58pt;height:1.45pt;mso-position-horizontal-relative:char;mso-position-vertical-relative:line" coordorigin="0,0" coordsize="1160,29">
            <v:group style="position:absolute;left:5;top:5;width:1150;height:2" coordorigin="5,5" coordsize="1150,2">
              <v:shape style="position:absolute;left:5;top:5;width:1150;height:2" coordorigin="5,5" coordsize="1150,0" path="m5,5l1154,5e" filled="false" stroked="true" strokeweight=".47pt" strokecolor="#000000">
                <v:path arrowok="t"/>
              </v:shape>
            </v:group>
            <v:group style="position:absolute;left:5;top:24;width:1150;height:2" coordorigin="5,24" coordsize="1150,2">
              <v:shape style="position:absolute;left:5;top:24;width:1150;height:2" coordorigin="5,24" coordsize="1150,0" path="m5,24l115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25pt;height:1.45pt;mso-position-horizontal-relative:char;mso-position-vertical-relative:line" coordorigin="0,0" coordsize="1145,29">
            <v:group style="position:absolute;left:5;top:5;width:1136;height:2" coordorigin="5,5" coordsize="1136,2">
              <v:shape style="position:absolute;left:5;top:5;width:1136;height:2" coordorigin="5,5" coordsize="1136,0" path="m5,5l1140,5e" filled="false" stroked="true" strokeweight=".47pt" strokecolor="#000000">
                <v:path arrowok="t"/>
              </v:shape>
            </v:group>
            <v:group style="position:absolute;left:5;top:24;width:1136;height:2" coordorigin="5,24" coordsize="1136,2">
              <v:shape style="position:absolute;left:5;top:24;width:1136;height:2" coordorigin="5,24" coordsize="1136,0" path="m5,24l114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4.45pt;height:1.45pt;mso-position-horizontal-relative:char;mso-position-vertical-relative:line" coordorigin="0,0" coordsize="1289,29">
            <v:group style="position:absolute;left:5;top:5;width:1280;height:2" coordorigin="5,5" coordsize="1280,2">
              <v:shape style="position:absolute;left:5;top:5;width:1280;height:2" coordorigin="5,5" coordsize="1280,0" path="m5,5l1284,5e" filled="false" stroked="true" strokeweight=".47pt" strokecolor="#000000">
                <v:path arrowok="t"/>
              </v:shape>
            </v:group>
            <v:group style="position:absolute;left:5;top:24;width:1280;height:2" coordorigin="5,24" coordsize="1280,2">
              <v:shape style="position:absolute;left:5;top:24;width:1280;height:2" coordorigin="5,24" coordsize="1280,0" path="m5,24l128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4.95pt;height:1.45pt;mso-position-horizontal-relative:char;mso-position-vertical-relative:line" coordorigin="0,0" coordsize="1299,29">
            <v:group style="position:absolute;left:5;top:5;width:1289;height:2" coordorigin="5,5" coordsize="1289,2">
              <v:shape style="position:absolute;left:5;top:5;width:1289;height:2" coordorigin="5,5" coordsize="1289,0" path="m5,5l1294,5e" filled="false" stroked="true" strokeweight=".47pt" strokecolor="#000000">
                <v:path arrowok="t"/>
              </v:shape>
            </v:group>
            <v:group style="position:absolute;left:5;top:24;width:1289;height:2" coordorigin="5,24" coordsize="1289,2">
              <v:shape style="position:absolute;left:5;top:24;width:1289;height:2" coordorigin="5,24" coordsize="1289,0" path="m5,24l1294,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1.45pt;height:1.45pt;mso-position-horizontal-relative:char;mso-position-vertical-relative:line" coordorigin="0,0" coordsize="1829,29">
            <v:group style="position:absolute;left:5;top:5;width:1820;height:2" coordorigin="5,5" coordsize="1820,2">
              <v:shape style="position:absolute;left:5;top:5;width:1820;height:2" coordorigin="5,5" coordsize="1820,0" path="m5,5l1824,5e" filled="false" stroked="true" strokeweight=".47pt" strokecolor="#000000">
                <v:path arrowok="t"/>
              </v:shape>
            </v:group>
            <v:group style="position:absolute;left:5;top:24;width:1820;height:2" coordorigin="5,24" coordsize="1820,2">
              <v:shape style="position:absolute;left:5;top:24;width:1820;height:2" coordorigin="5,24" coordsize="1820,0" path="m5,24l1824,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line="272" w:lineRule="exact" w:before="63"/>
        <w:ind w:left="784" w:right="0" w:firstLine="0"/>
        <w:jc w:val="left"/>
        <w:rPr>
          <w:rFonts w:ascii="宋体" w:hAnsi="宋体" w:cs="宋体" w:eastAsia="宋体" w:hint="default"/>
          <w:sz w:val="21"/>
          <w:szCs w:val="21"/>
        </w:rPr>
      </w:pPr>
      <w:r>
        <w:rPr>
          <w:rFonts w:ascii="宋体" w:hAnsi="宋体" w:cs="宋体" w:eastAsia="宋体" w:hint="default"/>
          <w:sz w:val="21"/>
          <w:szCs w:val="21"/>
        </w:rPr>
        <w:t>长期待摊费用年末数比年初数增加</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1,506,700.30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元，增加比例为</w:t>
      </w:r>
      <w:r>
        <w:rPr>
          <w:rFonts w:ascii="宋体" w:hAnsi="宋体" w:cs="宋体" w:eastAsia="宋体" w:hint="default"/>
          <w:spacing w:val="13"/>
          <w:sz w:val="21"/>
          <w:szCs w:val="21"/>
        </w:rPr>
        <w:t> </w:t>
      </w:r>
      <w:r>
        <w:rPr>
          <w:rFonts w:ascii="Times New Roman" w:hAnsi="Times New Roman" w:cs="Times New Roman" w:eastAsia="Times New Roman" w:hint="default"/>
          <w:spacing w:val="-4"/>
          <w:sz w:val="21"/>
          <w:szCs w:val="21"/>
        </w:rPr>
        <w:t>113.52%</w:t>
      </w:r>
      <w:r>
        <w:rPr>
          <w:rFonts w:ascii="宋体" w:hAnsi="宋体" w:cs="宋体" w:eastAsia="宋体" w:hint="default"/>
          <w:spacing w:val="-4"/>
          <w:sz w:val="21"/>
          <w:szCs w:val="21"/>
        </w:rPr>
        <w:t>，增加原因为：本年新增租房装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修款所致。</w:t>
      </w:r>
    </w:p>
    <w:p>
      <w:pPr>
        <w:spacing w:line="240" w:lineRule="auto" w:before="7"/>
        <w:rPr>
          <w:rFonts w:ascii="宋体" w:hAnsi="宋体" w:cs="宋体" w:eastAsia="宋体" w:hint="default"/>
          <w:sz w:val="16"/>
          <w:szCs w:val="16"/>
        </w:rPr>
      </w:pPr>
    </w:p>
    <w:p>
      <w:pPr>
        <w:spacing w:before="0"/>
        <w:ind w:left="323" w:right="664"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6.11</w:t>
      </w:r>
      <w:r>
        <w:rPr>
          <w:rFonts w:ascii="Times New Roman" w:hAnsi="Times New Roman" w:cs="Times New Roman" w:eastAsia="Times New Roman" w:hint="default"/>
          <w:spacing w:val="37"/>
          <w:position w:val="2"/>
          <w:sz w:val="21"/>
          <w:szCs w:val="21"/>
        </w:rPr>
        <w:t> </w:t>
      </w:r>
      <w:r>
        <w:rPr>
          <w:rFonts w:ascii="宋体" w:hAnsi="宋体" w:cs="宋体" w:eastAsia="宋体" w:hint="default"/>
          <w:sz w:val="21"/>
          <w:szCs w:val="21"/>
        </w:rPr>
        <w:t>递延所得税资产</w:t>
      </w:r>
      <w:r>
        <w:rPr>
          <w:rFonts w:ascii="Times New Roman" w:hAnsi="Times New Roman" w:cs="Times New Roman" w:eastAsia="Times New Roman" w:hint="default"/>
          <w:sz w:val="21"/>
          <w:szCs w:val="21"/>
        </w:rPr>
        <w:t>/</w:t>
      </w:r>
      <w:r>
        <w:rPr>
          <w:rFonts w:ascii="宋体" w:hAnsi="宋体" w:cs="宋体" w:eastAsia="宋体" w:hint="default"/>
          <w:sz w:val="21"/>
          <w:szCs w:val="21"/>
        </w:rPr>
        <w:t>递延所得税负债</w:t>
      </w:r>
    </w:p>
    <w:p>
      <w:pPr>
        <w:spacing w:line="240" w:lineRule="auto" w:before="0"/>
        <w:rPr>
          <w:rFonts w:ascii="宋体" w:hAnsi="宋体" w:cs="宋体" w:eastAsia="宋体" w:hint="default"/>
          <w:sz w:val="17"/>
          <w:szCs w:val="17"/>
        </w:rPr>
      </w:pPr>
    </w:p>
    <w:p>
      <w:pPr>
        <w:spacing w:before="0"/>
        <w:ind w:left="784"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6.11.1</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已确认的递延所得税资产和递延所得税负债</w:t>
      </w:r>
    </w:p>
    <w:p>
      <w:pPr>
        <w:spacing w:line="240" w:lineRule="auto" w:before="9"/>
        <w:rPr>
          <w:rFonts w:ascii="宋体" w:hAnsi="宋体" w:cs="宋体" w:eastAsia="宋体" w:hint="default"/>
          <w:sz w:val="18"/>
          <w:szCs w:val="18"/>
        </w:rPr>
      </w:pPr>
    </w:p>
    <w:p>
      <w:pPr>
        <w:tabs>
          <w:tab w:pos="5221" w:val="left" w:leader="none"/>
          <w:tab w:pos="8617" w:val="left" w:leader="none"/>
        </w:tabs>
        <w:spacing w:line="280" w:lineRule="exact" w:before="0"/>
        <w:ind w:left="784" w:right="225" w:firstLine="1276"/>
        <w:jc w:val="left"/>
        <w:rPr>
          <w:rFonts w:ascii="宋体" w:hAnsi="宋体" w:cs="宋体" w:eastAsia="宋体" w:hint="default"/>
          <w:sz w:val="21"/>
          <w:szCs w:val="21"/>
        </w:rPr>
      </w:pPr>
      <w:r>
        <w:rPr/>
        <w:pict>
          <v:group style="position:absolute;margin-left:82.800003pt;margin-top:14.445007pt;width:159.6pt;height:.1pt;mso-position-horizontal-relative:page;mso-position-vertical-relative:paragraph;z-index:-550888" coordorigin="1656,289" coordsize="3192,2">
            <v:shape style="position:absolute;left:1656;top:289;width:3192;height:2" coordorigin="1656,289" coordsize="3192,0" path="m1656,289l4848,289e" filled="false" stroked="true" strokeweight=".47pt" strokecolor="#000000">
              <v:path arrowok="t"/>
            </v:shape>
            <w10:wrap type="none"/>
          </v:group>
        </w:pict>
      </w:r>
      <w:r>
        <w:rPr/>
        <w:pict>
          <v:group style="position:absolute;margin-left:281.160004pt;margin-top:14.445007pt;width:121.1pt;height:.1pt;mso-position-horizontal-relative:page;mso-position-vertical-relative:paragraph;z-index:-550864" coordorigin="5623,289" coordsize="2422,2">
            <v:shape style="position:absolute;left:5623;top:289;width:2422;height:2" coordorigin="5623,289" coordsize="2422,0" path="m5623,289l8045,289e" filled="false" stroked="true" strokeweight=".47pt" strokecolor="#000000">
              <v:path arrowok="t"/>
            </v:shape>
            <w10:wrap type="none"/>
          </v:group>
        </w:pict>
      </w:r>
      <w:r>
        <w:rPr/>
        <w:pict>
          <v:group style="position:absolute;margin-left:423.359985pt;margin-top:14.445007pt;width:148.550pt;height:.1pt;mso-position-horizontal-relative:page;mso-position-vertical-relative:paragraph;z-index:-550840" coordorigin="8467,289" coordsize="2971,2">
            <v:shape style="position:absolute;left:8467;top:289;width:2971;height:2" coordorigin="8467,289" coordsize="2971,0" path="m8467,289l11438,289e" filled="false" stroked="true" strokeweight=".47pt" strokecolor="#000000">
              <v:path arrowok="t"/>
            </v:shape>
            <w10:wrap type="none"/>
          </v:group>
        </w:pict>
      </w: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递延所得税资产：</w:t>
      </w:r>
    </w:p>
    <w:p>
      <w:pPr>
        <w:tabs>
          <w:tab w:pos="6114" w:val="left" w:leader="none"/>
          <w:tab w:pos="9510" w:val="left" w:leader="none"/>
        </w:tabs>
        <w:spacing w:line="253" w:lineRule="exact" w:before="0"/>
        <w:ind w:left="784"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资产减值准备</w:t>
        <w:tab/>
      </w:r>
      <w:r>
        <w:rPr>
          <w:rFonts w:ascii="Times New Roman" w:hAnsi="Times New Roman" w:cs="Times New Roman" w:eastAsia="Times New Roman" w:hint="default"/>
          <w:spacing w:val="-1"/>
          <w:position w:val="1"/>
          <w:sz w:val="21"/>
          <w:szCs w:val="21"/>
        </w:rPr>
        <w:t>20,000.00</w:t>
        <w:tab/>
        <w:t>44,067.50</w:t>
      </w:r>
      <w:r>
        <w:rPr>
          <w:rFonts w:ascii="Times New Roman" w:hAnsi="Times New Roman" w:cs="Times New Roman" w:eastAsia="Times New Roman" w:hint="default"/>
          <w:spacing w:val="-1"/>
          <w:sz w:val="21"/>
          <w:szCs w:val="21"/>
        </w:rPr>
      </w:r>
    </w:p>
    <w:p>
      <w:pPr>
        <w:spacing w:line="240" w:lineRule="auto" w:before="4"/>
        <w:rPr>
          <w:rFonts w:ascii="Times New Roman" w:hAnsi="Times New Roman" w:cs="Times New Roman" w:eastAsia="Times New Roman" w:hint="default"/>
          <w:sz w:val="2"/>
          <w:szCs w:val="2"/>
        </w:rPr>
      </w:pPr>
    </w:p>
    <w:p>
      <w:pPr>
        <w:tabs>
          <w:tab w:pos="7468" w:val="left" w:leader="none"/>
        </w:tabs>
        <w:spacing w:line="28" w:lineRule="exact"/>
        <w:ind w:left="4624" w:right="0" w:firstLine="0"/>
        <w:rPr>
          <w:rFonts w:ascii="Times New Roman" w:hAnsi="Times New Roman" w:cs="Times New Roman" w:eastAsia="Times New Roman" w:hint="default"/>
          <w:sz w:val="2"/>
          <w:szCs w:val="2"/>
        </w:rPr>
      </w:pPr>
      <w:r>
        <w:rPr>
          <w:rFonts w:ascii="Times New Roman"/>
          <w:position w:val="0"/>
          <w:sz w:val="2"/>
        </w:rPr>
        <w:pict>
          <v:group style="width:122.3pt;height:1.45pt;mso-position-horizontal-relative:char;mso-position-vertical-relative:line" coordorigin="0,0" coordsize="2446,29">
            <v:group style="position:absolute;left:5;top:24;width:2436;height:2" coordorigin="5,24" coordsize="2436,2">
              <v:shape style="position:absolute;left:5;top:24;width:2436;height:2" coordorigin="5,24" coordsize="2436,0" path="m5,24l2441,24e" filled="false" stroked="true" strokeweight=".48pt" strokecolor="#000000">
                <v:path arrowok="t"/>
              </v:shape>
            </v:group>
            <v:group style="position:absolute;left:5;top:5;width:2436;height:2" coordorigin="5,5" coordsize="2436,2">
              <v:shape style="position:absolute;left:5;top:5;width:2436;height:2" coordorigin="5,5" coordsize="2436,0" path="m5,5l2441,5e" filled="false" stroked="true" strokeweight=".47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9.8pt;height:1.45pt;mso-position-horizontal-relative:char;mso-position-vertical-relative:line" coordorigin="0,0" coordsize="2996,29">
            <v:group style="position:absolute;left:5;top:24;width:2986;height:2" coordorigin="5,24" coordsize="2986,2">
              <v:shape style="position:absolute;left:5;top:24;width:2986;height:2" coordorigin="5,24" coordsize="2986,0" path="m5,24l2990,24e" filled="false" stroked="true" strokeweight=".48pt" strokecolor="#000000">
                <v:path arrowok="t"/>
              </v:shape>
            </v:group>
            <v:group style="position:absolute;left:5;top:5;width:2986;height:2" coordorigin="5,5" coordsize="2986,2">
              <v:shape style="position:absolute;left:5;top:5;width:2986;height:2" coordorigin="5,5" coordsize="2986,0" path="m5,5l2990,5e" filled="false" stroked="true" strokeweight=".47pt" strokecolor="#000000">
                <v:path arrowok="t"/>
              </v:shape>
            </v:group>
          </v:group>
        </w:pict>
      </w:r>
      <w:r>
        <w:rPr>
          <w:rFonts w:ascii="Times New Roman"/>
          <w:position w:val="0"/>
          <w:sz w:val="2"/>
        </w:rPr>
      </w:r>
    </w:p>
    <w:p>
      <w:pPr>
        <w:spacing w:line="240" w:lineRule="auto" w:before="9"/>
        <w:rPr>
          <w:rFonts w:ascii="Times New Roman" w:hAnsi="Times New Roman" w:cs="Times New Roman" w:eastAsia="Times New Roman" w:hint="default"/>
          <w:sz w:val="14"/>
          <w:szCs w:val="14"/>
        </w:rPr>
      </w:pPr>
    </w:p>
    <w:tbl>
      <w:tblPr>
        <w:tblW w:w="0" w:type="auto"/>
        <w:jc w:val="left"/>
        <w:tblInd w:w="678" w:type="dxa"/>
        <w:tblLayout w:type="fixed"/>
        <w:tblCellMar>
          <w:top w:w="0" w:type="dxa"/>
          <w:left w:w="0" w:type="dxa"/>
          <w:bottom w:w="0" w:type="dxa"/>
          <w:right w:w="0" w:type="dxa"/>
        </w:tblCellMar>
        <w:tblLook w:val="01E0"/>
      </w:tblPr>
      <w:tblGrid>
        <w:gridCol w:w="3252"/>
        <w:gridCol w:w="718"/>
        <w:gridCol w:w="2407"/>
        <w:gridCol w:w="427"/>
        <w:gridCol w:w="2976"/>
      </w:tblGrid>
      <w:tr>
        <w:trPr>
          <w:trHeight w:val="862" w:hRule="exact"/>
        </w:trPr>
        <w:tc>
          <w:tcPr>
            <w:tcW w:w="325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0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6.11.2</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未确认递延所得税资产明细</w:t>
            </w: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18"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427" w:type="dxa"/>
            <w:tcBorders>
              <w:top w:val="nil" w:sz="6" w:space="0" w:color="auto"/>
              <w:left w:val="nil" w:sz="6" w:space="0" w:color="auto"/>
              <w:bottom w:val="nil" w:sz="6" w:space="0" w:color="auto"/>
              <w:right w:val="nil" w:sz="6" w:space="0" w:color="auto"/>
            </w:tcBorders>
          </w:tcPr>
          <w:p>
            <w:pPr/>
          </w:p>
        </w:tc>
        <w:tc>
          <w:tcPr>
            <w:tcW w:w="29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554" w:hRule="exact"/>
        </w:trPr>
        <w:tc>
          <w:tcPr>
            <w:tcW w:w="3252" w:type="dxa"/>
            <w:tcBorders>
              <w:top w:val="single" w:sz="4" w:space="0" w:color="000000"/>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718" w:type="dxa"/>
            <w:tcBorders>
              <w:top w:val="nil" w:sz="6" w:space="0" w:color="auto"/>
              <w:left w:val="nil" w:sz="6" w:space="0" w:color="auto"/>
              <w:bottom w:val="nil" w:sz="6" w:space="0" w:color="auto"/>
              <w:right w:val="nil" w:sz="6" w:space="0" w:color="auto"/>
            </w:tcBorders>
          </w:tcPr>
          <w:p>
            <w:pPr/>
          </w:p>
        </w:tc>
        <w:tc>
          <w:tcPr>
            <w:tcW w:w="2407" w:type="dxa"/>
            <w:tcBorders>
              <w:top w:val="single" w:sz="4" w:space="0" w:color="000000"/>
              <w:left w:val="nil" w:sz="6" w:space="0" w:color="auto"/>
              <w:bottom w:val="single" w:sz="4" w:space="0" w:color="000000"/>
              <w:right w:val="nil" w:sz="6" w:space="0" w:color="auto"/>
            </w:tcBorders>
          </w:tcPr>
          <w:p>
            <w:pPr>
              <w:pStyle w:val="TableParagraph"/>
              <w:spacing w:line="271" w:lineRule="auto"/>
              <w:ind w:left="1356" w:right="101" w:firstLine="876"/>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153,097.54</w:t>
            </w:r>
          </w:p>
        </w:tc>
        <w:tc>
          <w:tcPr>
            <w:tcW w:w="427"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93"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8" w:type="dxa"/>
            <w:tcBorders>
              <w:top w:val="nil" w:sz="6" w:space="0" w:color="auto"/>
              <w:left w:val="nil" w:sz="6" w:space="0" w:color="auto"/>
              <w:bottom w:val="nil" w:sz="6" w:space="0" w:color="auto"/>
              <w:right w:val="nil" w:sz="6" w:space="0" w:color="auto"/>
            </w:tcBorders>
          </w:tcPr>
          <w:p>
            <w:pPr/>
          </w:p>
        </w:tc>
        <w:tc>
          <w:tcPr>
            <w:tcW w:w="2407"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153,097.54</w:t>
            </w:r>
          </w:p>
        </w:tc>
        <w:tc>
          <w:tcPr>
            <w:tcW w:w="427" w:type="dxa"/>
            <w:tcBorders>
              <w:top w:val="nil" w:sz="6" w:space="0" w:color="auto"/>
              <w:left w:val="nil" w:sz="6" w:space="0" w:color="auto"/>
              <w:bottom w:val="nil" w:sz="6" w:space="0" w:color="auto"/>
              <w:right w:val="nil" w:sz="6" w:space="0" w:color="auto"/>
            </w:tcBorders>
          </w:tcPr>
          <w:p>
            <w:pPr/>
          </w:p>
        </w:tc>
        <w:tc>
          <w:tcPr>
            <w:tcW w:w="2976"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00" w:h="16840"/>
          <w:pgMar w:top="1040" w:bottom="1180" w:left="980" w:right="340"/>
        </w:sectPr>
      </w:pPr>
    </w:p>
    <w:p>
      <w:pPr>
        <w:spacing w:line="240" w:lineRule="auto" w:before="6"/>
        <w:rPr>
          <w:rFonts w:ascii="Times New Roman" w:hAnsi="Times New Roman" w:cs="Times New Roman" w:eastAsia="Times New Roman" w:hint="default"/>
          <w:sz w:val="20"/>
          <w:szCs w:val="20"/>
        </w:rPr>
      </w:pPr>
    </w:p>
    <w:p>
      <w:pPr>
        <w:tabs>
          <w:tab w:pos="678" w:val="left" w:leader="none"/>
        </w:tabs>
        <w:spacing w:before="41"/>
        <w:ind w:left="109" w:right="664"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323" w:right="664"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6.11</w:t>
      </w:r>
      <w:r>
        <w:rPr>
          <w:rFonts w:ascii="Times New Roman" w:hAnsi="Times New Roman" w:cs="Times New Roman" w:eastAsia="Times New Roman" w:hint="default"/>
          <w:spacing w:val="37"/>
          <w:position w:val="2"/>
          <w:sz w:val="21"/>
          <w:szCs w:val="21"/>
        </w:rPr>
        <w:t> </w:t>
      </w:r>
      <w:r>
        <w:rPr>
          <w:rFonts w:ascii="宋体" w:hAnsi="宋体" w:cs="宋体" w:eastAsia="宋体" w:hint="default"/>
          <w:sz w:val="21"/>
          <w:szCs w:val="21"/>
        </w:rPr>
        <w:t>递延所得税资产</w:t>
      </w:r>
      <w:r>
        <w:rPr>
          <w:rFonts w:ascii="Times New Roman" w:hAnsi="Times New Roman" w:cs="Times New Roman" w:eastAsia="Times New Roman" w:hint="default"/>
          <w:sz w:val="21"/>
          <w:szCs w:val="21"/>
        </w:rPr>
        <w:t>/</w:t>
      </w:r>
      <w:r>
        <w:rPr>
          <w:rFonts w:ascii="宋体" w:hAnsi="宋体" w:cs="宋体" w:eastAsia="宋体" w:hint="default"/>
          <w:sz w:val="21"/>
          <w:szCs w:val="21"/>
        </w:rPr>
        <w:t>递延所得税负债（续）</w:t>
      </w:r>
    </w:p>
    <w:p>
      <w:pPr>
        <w:spacing w:line="240" w:lineRule="auto" w:before="0"/>
        <w:rPr>
          <w:rFonts w:ascii="宋体" w:hAnsi="宋体" w:cs="宋体" w:eastAsia="宋体" w:hint="default"/>
          <w:sz w:val="17"/>
          <w:szCs w:val="17"/>
        </w:rPr>
      </w:pPr>
    </w:p>
    <w:p>
      <w:pPr>
        <w:spacing w:before="0"/>
        <w:ind w:left="786"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6.11.3</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未确认递延所得税资产的可抵扣亏损将于以下年度到期</w:t>
      </w:r>
    </w:p>
    <w:p>
      <w:pPr>
        <w:spacing w:line="240" w:lineRule="auto" w:before="0"/>
        <w:rPr>
          <w:rFonts w:ascii="宋体" w:hAnsi="宋体" w:cs="宋体" w:eastAsia="宋体" w:hint="default"/>
          <w:sz w:val="17"/>
          <w:szCs w:val="17"/>
        </w:rPr>
      </w:pPr>
    </w:p>
    <w:p>
      <w:pPr>
        <w:tabs>
          <w:tab w:pos="3087" w:val="left" w:leader="none"/>
          <w:tab w:pos="5475" w:val="left" w:leader="none"/>
          <w:tab w:pos="8826" w:val="left" w:leader="none"/>
        </w:tabs>
        <w:spacing w:before="0"/>
        <w:ind w:left="1288" w:right="664" w:firstLine="0"/>
        <w:jc w:val="left"/>
        <w:rPr>
          <w:rFonts w:ascii="宋体" w:hAnsi="宋体" w:cs="宋体" w:eastAsia="宋体" w:hint="default"/>
          <w:sz w:val="21"/>
          <w:szCs w:val="21"/>
        </w:rPr>
      </w:pPr>
      <w:r>
        <w:rPr>
          <w:rFonts w:ascii="宋体" w:hAnsi="宋体" w:cs="宋体" w:eastAsia="宋体" w:hint="default"/>
          <w:sz w:val="21"/>
          <w:szCs w:val="21"/>
        </w:rPr>
        <w:t>年份</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t>备注</w:t>
      </w:r>
    </w:p>
    <w:p>
      <w:pPr>
        <w:tabs>
          <w:tab w:pos="2612" w:val="left" w:leader="none"/>
          <w:tab w:pos="5209" w:val="left" w:leader="none"/>
          <w:tab w:pos="7614" w:val="left" w:leader="none"/>
        </w:tabs>
        <w:spacing w:line="20" w:lineRule="exact"/>
        <w:ind w:left="673" w:right="0" w:firstLine="0"/>
        <w:rPr>
          <w:rFonts w:ascii="宋体" w:hAnsi="宋体" w:cs="宋体" w:eastAsia="宋体" w:hint="default"/>
          <w:sz w:val="2"/>
          <w:szCs w:val="2"/>
        </w:rPr>
      </w:pPr>
      <w:r>
        <w:rPr>
          <w:rFonts w:ascii="宋体"/>
          <w:sz w:val="2"/>
        </w:rPr>
        <w:pict>
          <v:group style="width:82.45pt;height:.5pt;mso-position-horizontal-relative:char;mso-position-vertical-relative:line" coordorigin="0,0" coordsize="1649,10">
            <v:group style="position:absolute;left:5;top:5;width:1640;height:2" coordorigin="5,5" coordsize="1640,2">
              <v:shape style="position:absolute;left:5;top:5;width:1640;height:2" coordorigin="5,5" coordsize="1640,0" path="m5,5l1644,5e" filled="false" stroked="true" strokeweight=".48pt" strokecolor="#000000">
                <v:path arrowok="t"/>
              </v:shape>
            </v:group>
          </v:group>
        </w:pict>
      </w:r>
      <w:r>
        <w:rPr>
          <w:rFonts w:ascii="宋体"/>
          <w:sz w:val="2"/>
        </w:rPr>
      </w:r>
      <w:r>
        <w:rPr>
          <w:rFonts w:ascii="宋体"/>
          <w:sz w:val="2"/>
        </w:rPr>
        <w:tab/>
      </w:r>
      <w:r>
        <w:rPr>
          <w:rFonts w:ascii="宋体"/>
          <w:sz w:val="2"/>
        </w:rPr>
        <w:pict>
          <v:group style="width:116.15pt;height:.5pt;mso-position-horizontal-relative:char;mso-position-vertical-relative:line" coordorigin="0,0" coordsize="2323,10">
            <v:group style="position:absolute;left:5;top:5;width:2314;height:2" coordorigin="5,5" coordsize="2314,2">
              <v:shape style="position:absolute;left:5;top:5;width:2314;height:2" coordorigin="5,5" coordsize="2314,0" path="m5,5l2318,5e" filled="false" stroked="true" strokeweight=".48pt" strokecolor="#000000">
                <v:path arrowok="t"/>
              </v:shape>
            </v:group>
          </v:group>
        </w:pict>
      </w:r>
      <w:r>
        <w:rPr>
          <w:rFonts w:ascii="宋体"/>
          <w:sz w:val="2"/>
        </w:rPr>
      </w:r>
      <w:r>
        <w:rPr>
          <w:rFonts w:ascii="宋体"/>
          <w:sz w:val="2"/>
        </w:rPr>
        <w:tab/>
      </w:r>
      <w:r>
        <w:rPr>
          <w:rFonts w:ascii="宋体"/>
          <w:sz w:val="2"/>
        </w:rPr>
        <w:pict>
          <v:group style="width:105.75pt;height:.5pt;mso-position-horizontal-relative:char;mso-position-vertical-relative:line" coordorigin="0,0" coordsize="2115,10">
            <v:group style="position:absolute;left:5;top:5;width:2105;height:2" coordorigin="5,5" coordsize="2105,2">
              <v:shape style="position:absolute;left:5;top:5;width:2105;height:2" coordorigin="5,5" coordsize="2105,0" path="m5,5l2109,5e" filled="false" stroked="true" strokeweight=".48pt" strokecolor="#000000">
                <v:path arrowok="t"/>
              </v:shape>
            </v:group>
          </v:group>
        </w:pict>
      </w:r>
      <w:r>
        <w:rPr>
          <w:rFonts w:ascii="宋体"/>
          <w:sz w:val="2"/>
        </w:rPr>
      </w:r>
      <w:r>
        <w:rPr>
          <w:rFonts w:ascii="宋体"/>
          <w:sz w:val="2"/>
        </w:rPr>
        <w:tab/>
      </w:r>
      <w:r>
        <w:rPr>
          <w:rFonts w:ascii="宋体"/>
          <w:sz w:val="2"/>
        </w:rPr>
        <w:pict>
          <v:group style="width:142.450pt;height:.5pt;mso-position-horizontal-relative:char;mso-position-vertical-relative:line" coordorigin="0,0" coordsize="2849,10">
            <v:group style="position:absolute;left:5;top:5;width:2840;height:2" coordorigin="5,5" coordsize="2840,2">
              <v:shape style="position:absolute;left:5;top:5;width:2840;height:2" coordorigin="5,5" coordsize="2840,0" path="m5,5l2844,5e" filled="false" stroked="true" strokeweight=".48pt" strokecolor="#000000">
                <v:path arrowok="t"/>
              </v:shape>
            </v:group>
          </v:group>
        </w:pict>
      </w:r>
      <w:r>
        <w:rPr>
          <w:rFonts w:ascii="宋体"/>
          <w:sz w:val="2"/>
        </w:rPr>
      </w:r>
    </w:p>
    <w:p>
      <w:pPr>
        <w:tabs>
          <w:tab w:pos="3872" w:val="left" w:leader="none"/>
          <w:tab w:pos="7139" w:val="left" w:leader="none"/>
        </w:tabs>
        <w:spacing w:before="0"/>
        <w:ind w:left="786" w:right="664" w:firstLine="0"/>
        <w:jc w:val="left"/>
        <w:rPr>
          <w:rFonts w:ascii="Times New Roman" w:hAnsi="Times New Roman" w:cs="Times New Roman" w:eastAsia="Times New Roman" w:hint="default"/>
          <w:sz w:val="21"/>
          <w:szCs w:val="21"/>
        </w:rPr>
      </w:pPr>
      <w:r>
        <w:rPr>
          <w:rFonts w:ascii="Times New Roman"/>
          <w:sz w:val="21"/>
        </w:rPr>
        <w:t>2015</w:t>
        <w:tab/>
      </w:r>
      <w:r>
        <w:rPr>
          <w:rFonts w:ascii="Times New Roman"/>
          <w:spacing w:val="-1"/>
          <w:sz w:val="21"/>
        </w:rPr>
        <w:t>612,390.16</w:t>
        <w:tab/>
      </w:r>
      <w:r>
        <w:rPr>
          <w:rFonts w:ascii="Times New Roman"/>
          <w:sz w:val="21"/>
        </w:rPr>
        <w:t>-</w:t>
      </w:r>
    </w:p>
    <w:p>
      <w:pPr>
        <w:tabs>
          <w:tab w:pos="5209" w:val="left" w:leader="none"/>
          <w:tab w:pos="7614" w:val="left" w:leader="none"/>
        </w:tabs>
        <w:spacing w:line="28" w:lineRule="exact"/>
        <w:ind w:left="2612" w:right="0" w:firstLine="0"/>
        <w:rPr>
          <w:rFonts w:ascii="Times New Roman" w:hAnsi="Times New Roman" w:cs="Times New Roman" w:eastAsia="Times New Roman" w:hint="default"/>
          <w:sz w:val="2"/>
          <w:szCs w:val="2"/>
        </w:rPr>
      </w:pPr>
      <w:r>
        <w:rPr>
          <w:rFonts w:ascii="Times New Roman"/>
          <w:position w:val="0"/>
          <w:sz w:val="2"/>
        </w:rPr>
        <w:pict>
          <v:group style="width:116.15pt;height:1.45pt;mso-position-horizontal-relative:char;mso-position-vertical-relative:line" coordorigin="0,0" coordsize="2323,29">
            <v:group style="position:absolute;left:5;top:5;width:2314;height:2" coordorigin="5,5" coordsize="2314,2">
              <v:shape style="position:absolute;left:5;top:5;width:2314;height:2" coordorigin="5,5" coordsize="2314,0" path="m5,5l2318,5e" filled="false" stroked="true" strokeweight=".48pt" strokecolor="#000000">
                <v:path arrowok="t"/>
              </v:shape>
            </v:group>
            <v:group style="position:absolute;left:5;top:24;width:2314;height:2" coordorigin="5,24" coordsize="2314,2">
              <v:shape style="position:absolute;left:5;top:24;width:2314;height:2" coordorigin="5,24" coordsize="2314,0" path="m5,24l231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5.75pt;height:1.45pt;mso-position-horizontal-relative:char;mso-position-vertical-relative:line" coordorigin="0,0" coordsize="2115,29">
            <v:group style="position:absolute;left:5;top:5;width:2105;height:2" coordorigin="5,5" coordsize="2105,2">
              <v:shape style="position:absolute;left:5;top:5;width:2105;height:2" coordorigin="5,5" coordsize="2105,0" path="m5,5l2109,5e" filled="false" stroked="true" strokeweight=".48pt" strokecolor="#000000">
                <v:path arrowok="t"/>
              </v:shape>
            </v:group>
            <v:group style="position:absolute;left:5;top:24;width:2105;height:2" coordorigin="5,24" coordsize="2105,2">
              <v:shape style="position:absolute;left:5;top:24;width:2105;height:2" coordorigin="5,24" coordsize="2105,0" path="m5,24l210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42.450pt;height:1.45pt;mso-position-horizontal-relative:char;mso-position-vertical-relative:line" coordorigin="0,0" coordsize="2849,29">
            <v:group style="position:absolute;left:5;top:5;width:2840;height:2" coordorigin="5,5" coordsize="2840,2">
              <v:shape style="position:absolute;left:5;top:5;width:2840;height:2" coordorigin="5,5" coordsize="2840,0" path="m5,5l2844,5e" filled="false" stroked="true" strokeweight=".48pt" strokecolor="#000000">
                <v:path arrowok="t"/>
              </v:shape>
            </v:group>
            <v:group style="position:absolute;left:5;top:24;width:2840;height:2" coordorigin="5,24" coordsize="2840,2">
              <v:shape style="position:absolute;left:5;top:24;width:2840;height:2" coordorigin="5,24" coordsize="2840,0" path="m5,24l2844,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15"/>
          <w:szCs w:val="15"/>
        </w:rPr>
      </w:pPr>
    </w:p>
    <w:p>
      <w:pPr>
        <w:spacing w:before="36"/>
        <w:ind w:left="786"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6.11.4</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引起暂时性差异的资产或负债项目对应的暂时性差异</w:t>
      </w:r>
    </w:p>
    <w:p>
      <w:pPr>
        <w:spacing w:line="240" w:lineRule="auto" w:before="0"/>
        <w:rPr>
          <w:rFonts w:ascii="宋体" w:hAnsi="宋体" w:cs="宋体" w:eastAsia="宋体" w:hint="default"/>
          <w:sz w:val="17"/>
          <w:szCs w:val="17"/>
        </w:rPr>
      </w:pPr>
    </w:p>
    <w:p>
      <w:pPr>
        <w:tabs>
          <w:tab w:pos="8881" w:val="left" w:leader="none"/>
        </w:tabs>
        <w:spacing w:before="0"/>
        <w:ind w:left="2538" w:right="0" w:firstLine="0"/>
        <w:jc w:val="left"/>
        <w:rPr>
          <w:rFonts w:ascii="宋体" w:hAnsi="宋体" w:cs="宋体" w:eastAsia="宋体" w:hint="default"/>
          <w:sz w:val="21"/>
          <w:szCs w:val="21"/>
        </w:rPr>
      </w:pPr>
      <w:r>
        <w:rPr>
          <w:rFonts w:ascii="宋体" w:hAnsi="宋体" w:cs="宋体" w:eastAsia="宋体" w:hint="default"/>
          <w:sz w:val="21"/>
          <w:szCs w:val="21"/>
        </w:rPr>
        <w:t>项目</w:t>
        <w:tab/>
        <w:t>暂时性差异金额</w:t>
      </w:r>
    </w:p>
    <w:p>
      <w:pPr>
        <w:tabs>
          <w:tab w:pos="9407" w:val="left" w:leader="none"/>
        </w:tabs>
        <w:spacing w:before="6"/>
        <w:ind w:left="786" w:right="0" w:firstLine="0"/>
        <w:jc w:val="left"/>
        <w:rPr>
          <w:rFonts w:ascii="Times New Roman" w:hAnsi="Times New Roman" w:cs="Times New Roman" w:eastAsia="Times New Roman" w:hint="default"/>
          <w:sz w:val="21"/>
          <w:szCs w:val="21"/>
        </w:rPr>
      </w:pPr>
      <w:r>
        <w:rPr/>
        <w:pict>
          <v:group style="position:absolute;margin-left:82.919998pt;margin-top:1.733652pt;width:207pt;height:.1pt;mso-position-horizontal-relative:page;mso-position-vertical-relative:paragraph;z-index:-550456" coordorigin="1658,35" coordsize="4140,2">
            <v:shape style="position:absolute;left:1658;top:35;width:4140;height:2" coordorigin="1658,35" coordsize="4140,0" path="m1658,35l5798,35e" filled="false" stroked="true" strokeweight=".48pt" strokecolor="#000000">
              <v:path arrowok="t"/>
            </v:shape>
            <w10:wrap type="none"/>
          </v:group>
        </w:pict>
      </w:r>
      <w:r>
        <w:rPr/>
        <w:pict>
          <v:group style="position:absolute;margin-left:301.799988pt;margin-top:1.733652pt;width:270.150pt;height:.1pt;mso-position-horizontal-relative:page;mso-position-vertical-relative:paragraph;z-index:-550432" coordorigin="6036,35" coordsize="5403,2">
            <v:shape style="position:absolute;left:6036;top:35;width:5403;height:2" coordorigin="6036,35" coordsize="5403,0" path="m6036,35l11438,35e" filled="false" stroked="true" strokeweight=".48pt" strokecolor="#000000">
              <v:path arrowok="t"/>
            </v:shape>
            <w10:wrap type="none"/>
          </v:group>
        </w:pict>
      </w:r>
      <w:r>
        <w:rPr>
          <w:rFonts w:ascii="宋体" w:hAnsi="宋体" w:cs="宋体" w:eastAsia="宋体" w:hint="default"/>
          <w:spacing w:val="-1"/>
          <w:position w:val="-1"/>
          <w:sz w:val="21"/>
          <w:szCs w:val="21"/>
        </w:rPr>
        <w:t>其他应收款</w:t>
        <w:tab/>
      </w:r>
      <w:r>
        <w:rPr>
          <w:rFonts w:ascii="Times New Roman" w:hAnsi="Times New Roman" w:cs="Times New Roman" w:eastAsia="Times New Roman" w:hint="default"/>
          <w:spacing w:val="-1"/>
          <w:sz w:val="21"/>
          <w:szCs w:val="21"/>
        </w:rPr>
        <w:t>200,000.00</w:t>
      </w:r>
    </w:p>
    <w:p>
      <w:pPr>
        <w:spacing w:line="240" w:lineRule="auto" w:before="11"/>
        <w:rPr>
          <w:rFonts w:ascii="Times New Roman" w:hAnsi="Times New Roman" w:cs="Times New Roman" w:eastAsia="Times New Roman" w:hint="default"/>
          <w:sz w:val="22"/>
          <w:szCs w:val="22"/>
        </w:rPr>
      </w:pPr>
    </w:p>
    <w:p>
      <w:pPr>
        <w:spacing w:before="46"/>
        <w:ind w:left="315" w:right="664"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6.12</w:t>
      </w:r>
      <w:r>
        <w:rPr>
          <w:rFonts w:ascii="Times New Roman" w:hAnsi="Times New Roman" w:cs="Times New Roman" w:eastAsia="Times New Roman" w:hint="default"/>
          <w:spacing w:val="49"/>
          <w:position w:val="2"/>
          <w:sz w:val="21"/>
          <w:szCs w:val="21"/>
        </w:rPr>
        <w:t> </w:t>
      </w:r>
      <w:r>
        <w:rPr>
          <w:rFonts w:ascii="宋体" w:hAnsi="宋体" w:cs="宋体" w:eastAsia="宋体" w:hint="default"/>
          <w:sz w:val="21"/>
          <w:szCs w:val="21"/>
        </w:rPr>
        <w:t>资产减值准备明细</w:t>
      </w:r>
    </w:p>
    <w:p>
      <w:pPr>
        <w:spacing w:line="240" w:lineRule="auto" w:before="1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86" w:footer="983" w:top="1800" w:bottom="1180" w:left="980" w:right="340"/>
        </w:sectPr>
      </w:pPr>
    </w:p>
    <w:p>
      <w:pPr>
        <w:tabs>
          <w:tab w:pos="3339" w:val="left" w:leader="none"/>
          <w:tab w:pos="4710" w:val="left" w:leader="none"/>
        </w:tabs>
        <w:spacing w:line="240" w:lineRule="exact" w:before="59"/>
        <w:ind w:left="1520" w:right="-18" w:firstLine="0"/>
        <w:jc w:val="left"/>
        <w:rPr>
          <w:rFonts w:ascii="宋体" w:hAnsi="宋体" w:cs="宋体" w:eastAsia="宋体" w:hint="default"/>
          <w:sz w:val="15"/>
          <w:szCs w:val="15"/>
        </w:rPr>
      </w:pPr>
      <w:r>
        <w:rPr/>
        <w:pict>
          <v:group style="position:absolute;margin-left:323.640015pt;margin-top:13.639773pt;width:170.15pt;height:.5pt;mso-position-horizontal-relative:page;mso-position-vertical-relative:paragraph;z-index:5200" coordorigin="6473,273" coordsize="3403,10">
            <v:group style="position:absolute;left:6478;top:278;width:852;height:2" coordorigin="6478,278" coordsize="852,2">
              <v:shape style="position:absolute;left:6478;top:278;width:852;height:2" coordorigin="6478,278" coordsize="852,0" path="m6478,278l7329,278e" filled="false" stroked="true" strokeweight=".48pt" strokecolor="#000000">
                <v:path arrowok="t"/>
              </v:shape>
            </v:group>
            <v:group style="position:absolute;left:7330;top:278;width:10;height:2" coordorigin="7330,278" coordsize="10,2">
              <v:shape style="position:absolute;left:7330;top:278;width:10;height:2" coordorigin="7330,278" coordsize="10,0" path="m7330,278l7339,278e" filled="false" stroked="true" strokeweight=".48pt" strokecolor="#000000">
                <v:path arrowok="t"/>
              </v:shape>
            </v:group>
            <v:group style="position:absolute;left:7339;top:278;width:274;height:2" coordorigin="7339,278" coordsize="274,2">
              <v:shape style="position:absolute;left:7339;top:278;width:274;height:2" coordorigin="7339,278" coordsize="274,0" path="m7339,278l7613,278e" filled="false" stroked="true" strokeweight=".48pt" strokecolor="#000000">
                <v:path arrowok="t"/>
              </v:shape>
            </v:group>
            <v:group style="position:absolute;left:7613;top:278;width:10;height:2" coordorigin="7613,278" coordsize="10,2">
              <v:shape style="position:absolute;left:7613;top:278;width:10;height:2" coordorigin="7613,278" coordsize="10,0" path="m7613,278l7622,278e" filled="false" stroked="true" strokeweight=".48pt" strokecolor="#000000">
                <v:path arrowok="t"/>
              </v:shape>
            </v:group>
            <v:group style="position:absolute;left:7622;top:278;width:982;height:2" coordorigin="7622,278" coordsize="982,2">
              <v:shape style="position:absolute;left:7622;top:278;width:982;height:2" coordorigin="7622,278" coordsize="982,0" path="m7622,278l8604,278e" filled="false" stroked="true" strokeweight=".48pt" strokecolor="#000000">
                <v:path arrowok="t"/>
              </v:shape>
            </v:group>
            <v:group style="position:absolute;left:8604;top:278;width:10;height:2" coordorigin="8604,278" coordsize="10,2">
              <v:shape style="position:absolute;left:8604;top:278;width:10;height:2" coordorigin="8604,278" coordsize="10,0" path="m8604,278l8614,278e" filled="false" stroked="true" strokeweight=".48pt" strokecolor="#000000">
                <v:path arrowok="t"/>
              </v:shape>
            </v:group>
            <v:group style="position:absolute;left:8614;top:278;width:274;height:2" coordorigin="8614,278" coordsize="274,2">
              <v:shape style="position:absolute;left:8614;top:278;width:274;height:2" coordorigin="8614,278" coordsize="274,0" path="m8614,278l8887,278e" filled="false" stroked="true" strokeweight=".48pt" strokecolor="#000000">
                <v:path arrowok="t"/>
              </v:shape>
            </v:group>
            <v:group style="position:absolute;left:8887;top:278;width:10;height:2" coordorigin="8887,278" coordsize="10,2">
              <v:shape style="position:absolute;left:8887;top:278;width:10;height:2" coordorigin="8887,278" coordsize="10,0" path="m8887,278l8897,278e" filled="false" stroked="true" strokeweight=".48pt" strokecolor="#000000">
                <v:path arrowok="t"/>
              </v:shape>
            </v:group>
            <v:group style="position:absolute;left:8897;top:278;width:975;height:2" coordorigin="8897,278" coordsize="975,2">
              <v:shape style="position:absolute;left:8897;top:278;width:975;height:2" coordorigin="8897,278" coordsize="975,0" path="m8897,278l9871,278e" filled="false" stroked="true" strokeweight=".48pt" strokecolor="#000000">
                <v:path arrowok="t"/>
              </v:shape>
            </v:group>
            <w10:wrap type="none"/>
          </v:group>
        </w:pict>
      </w:r>
      <w:r>
        <w:rPr/>
        <w:pict>
          <v:group style="position:absolute;margin-left:274.320007pt;margin-top:24.079773pt;width:35.4pt;height:.1pt;mso-position-horizontal-relative:page;mso-position-vertical-relative:paragraph;z-index:-550336" coordorigin="5486,482" coordsize="708,2">
            <v:shape style="position:absolute;left:5486;top:482;width:708;height:2" coordorigin="5486,482" coordsize="708,0" path="m5486,482l6194,482e" filled="false" stroked="true" strokeweight=".48pt" strokecolor="#000000">
              <v:path arrowok="t"/>
            </v:shape>
            <w10:wrap type="none"/>
          </v:group>
        </w:pict>
      </w:r>
      <w:r>
        <w:rPr>
          <w:rFonts w:ascii="宋体" w:hAnsi="宋体" w:cs="宋体" w:eastAsia="宋体" w:hint="default"/>
          <w:position w:val="-9"/>
          <w:sz w:val="15"/>
          <w:szCs w:val="15"/>
        </w:rPr>
        <w:t>项目</w:t>
        <w:tab/>
      </w: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tab/>
        <w:t>本年</w:t>
      </w:r>
    </w:p>
    <w:p>
      <w:pPr>
        <w:tabs>
          <w:tab w:pos="4251" w:val="left" w:leader="none"/>
        </w:tabs>
        <w:spacing w:before="59"/>
        <w:ind w:left="1520" w:right="0" w:firstLine="0"/>
        <w:jc w:val="left"/>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本年减少额</w:t>
        <w:tab/>
        <w:t>2010</w:t>
      </w:r>
      <w:r>
        <w:rPr>
          <w:rFonts w:ascii="宋体" w:hAnsi="宋体" w:cs="宋体" w:eastAsia="宋体" w:hint="default"/>
          <w:spacing w:val="-34"/>
          <w:sz w:val="15"/>
          <w:szCs w:val="15"/>
        </w:rPr>
        <w:t> </w:t>
      </w:r>
      <w:r>
        <w:rPr>
          <w:rFonts w:ascii="宋体" w:hAnsi="宋体" w:cs="宋体" w:eastAsia="宋体" w:hint="default"/>
          <w:sz w:val="15"/>
          <w:szCs w:val="15"/>
        </w:rPr>
        <w:t>年</w:t>
      </w:r>
    </w:p>
    <w:p>
      <w:pPr>
        <w:spacing w:after="0"/>
        <w:jc w:val="left"/>
        <w:rPr>
          <w:rFonts w:ascii="宋体" w:hAnsi="宋体" w:cs="宋体" w:eastAsia="宋体" w:hint="default"/>
          <w:sz w:val="15"/>
          <w:szCs w:val="15"/>
        </w:rPr>
        <w:sectPr>
          <w:type w:val="continuous"/>
          <w:pgSz w:w="11900" w:h="16840"/>
          <w:pgMar w:top="1040" w:bottom="1180" w:left="980" w:right="340"/>
          <w:cols w:num="2" w:equalWidth="0">
            <w:col w:w="5013" w:space="284"/>
            <w:col w:w="5283"/>
          </w:cols>
        </w:sectPr>
      </w:pPr>
    </w:p>
    <w:p>
      <w:pPr>
        <w:spacing w:line="151" w:lineRule="exact" w:before="0"/>
        <w:ind w:left="0" w:right="0" w:firstLine="0"/>
        <w:jc w:val="right"/>
        <w:rPr>
          <w:rFonts w:ascii="宋体" w:hAnsi="宋体" w:cs="宋体" w:eastAsia="宋体" w:hint="default"/>
          <w:sz w:val="15"/>
          <w:szCs w:val="15"/>
        </w:rPr>
      </w:pPr>
      <w:r>
        <w:rPr/>
        <w:pict>
          <v:group style="position:absolute;margin-left:82.919998pt;margin-top:9.138281pt;width:99.25pt;height:.1pt;mso-position-horizontal-relative:page;mso-position-vertical-relative:paragraph;z-index:-550384" coordorigin="1658,183" coordsize="1985,2">
            <v:shape style="position:absolute;left:1658;top:183;width:1985;height:2" coordorigin="1658,183" coordsize="1985,0" path="m1658,183l3643,183e" filled="false" stroked="true" strokeweight=".48pt" strokecolor="#000000">
              <v:path arrowok="t"/>
            </v:shape>
            <w10:wrap type="none"/>
          </v:group>
        </w:pict>
      </w:r>
      <w:r>
        <w:rPr/>
        <w:pict>
          <v:group style="position:absolute;margin-left:196.320007pt;margin-top:9.138281pt;width:63.85pt;height:.1pt;mso-position-horizontal-relative:page;mso-position-vertical-relative:paragraph;z-index:-550360" coordorigin="3926,183" coordsize="1277,2">
            <v:shape style="position:absolute;left:3926;top:183;width:1277;height:2" coordorigin="3926,183" coordsize="1277,0" path="m3926,183l5203,183e" filled="false" stroked="true" strokeweight=".48pt" strokecolor="#000000">
              <v:path arrowok="t"/>
            </v:shape>
            <w10:wrap type="none"/>
          </v:group>
        </w:pic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31</w:t>
      </w:r>
      <w:r>
        <w:rPr>
          <w:rFonts w:ascii="宋体" w:hAnsi="宋体" w:cs="宋体" w:eastAsia="宋体" w:hint="default"/>
          <w:spacing w:val="-38"/>
          <w:sz w:val="15"/>
          <w:szCs w:val="15"/>
        </w:rPr>
        <w:t> </w:t>
      </w:r>
      <w:r>
        <w:rPr>
          <w:rFonts w:ascii="宋体" w:hAnsi="宋体" w:cs="宋体" w:eastAsia="宋体" w:hint="default"/>
          <w:sz w:val="15"/>
          <w:szCs w:val="15"/>
        </w:rPr>
        <w:t>日</w:t>
      </w:r>
    </w:p>
    <w:p>
      <w:pPr>
        <w:spacing w:line="151" w:lineRule="exact" w:before="0"/>
        <w:ind w:left="651" w:right="-17" w:firstLine="0"/>
        <w:jc w:val="left"/>
        <w:rPr>
          <w:rFonts w:ascii="宋体" w:hAnsi="宋体" w:cs="宋体" w:eastAsia="宋体" w:hint="default"/>
          <w:sz w:val="15"/>
          <w:szCs w:val="15"/>
        </w:rPr>
      </w:pPr>
      <w:r>
        <w:rPr/>
        <w:br w:type="column"/>
      </w:r>
      <w:r>
        <w:rPr>
          <w:rFonts w:ascii="宋体" w:hAnsi="宋体" w:cs="宋体" w:eastAsia="宋体" w:hint="default"/>
          <w:sz w:val="15"/>
          <w:szCs w:val="15"/>
        </w:rPr>
        <w:t>计提额</w:t>
      </w:r>
    </w:p>
    <w:p>
      <w:pPr>
        <w:tabs>
          <w:tab w:pos="1851" w:val="left" w:leader="none"/>
          <w:tab w:pos="3120" w:val="left" w:leader="none"/>
        </w:tabs>
        <w:spacing w:line="156" w:lineRule="exact" w:before="0"/>
        <w:ind w:left="646" w:right="-17" w:firstLine="0"/>
        <w:jc w:val="left"/>
        <w:rPr>
          <w:rFonts w:ascii="宋体" w:hAnsi="宋体" w:cs="宋体" w:eastAsia="宋体" w:hint="default"/>
          <w:sz w:val="15"/>
          <w:szCs w:val="15"/>
        </w:rPr>
      </w:pPr>
      <w:r>
        <w:rPr/>
        <w:br w:type="column"/>
      </w:r>
      <w:r>
        <w:rPr>
          <w:rFonts w:ascii="宋体" w:hAnsi="宋体" w:cs="宋体" w:eastAsia="宋体" w:hint="default"/>
          <w:sz w:val="15"/>
          <w:szCs w:val="15"/>
        </w:rPr>
        <w:t>转回</w:t>
        <w:tab/>
        <w:t>转销</w:t>
        <w:tab/>
        <w:t>合计</w:t>
      </w:r>
    </w:p>
    <w:p>
      <w:pPr>
        <w:spacing w:line="151" w:lineRule="exact" w:before="0"/>
        <w:ind w:left="845"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31</w:t>
      </w:r>
      <w:r>
        <w:rPr>
          <w:rFonts w:ascii="宋体" w:hAnsi="宋体" w:cs="宋体" w:eastAsia="宋体" w:hint="default"/>
          <w:spacing w:val="-38"/>
          <w:sz w:val="15"/>
          <w:szCs w:val="15"/>
        </w:rPr>
        <w:t> </w:t>
      </w:r>
      <w:r>
        <w:rPr>
          <w:rFonts w:ascii="宋体" w:hAnsi="宋体" w:cs="宋体" w:eastAsia="宋体" w:hint="default"/>
          <w:sz w:val="15"/>
          <w:szCs w:val="15"/>
        </w:rPr>
        <w:t>日</w:t>
      </w:r>
    </w:p>
    <w:p>
      <w:pPr>
        <w:spacing w:after="0" w:line="151" w:lineRule="exact"/>
        <w:jc w:val="left"/>
        <w:rPr>
          <w:rFonts w:ascii="宋体" w:hAnsi="宋体" w:cs="宋体" w:eastAsia="宋体" w:hint="default"/>
          <w:sz w:val="15"/>
          <w:szCs w:val="15"/>
        </w:rPr>
        <w:sectPr>
          <w:type w:val="continuous"/>
          <w:pgSz w:w="11900" w:h="16840"/>
          <w:pgMar w:top="1040" w:bottom="1180" w:left="980" w:right="340"/>
          <w:cols w:num="4" w:equalWidth="0">
            <w:col w:w="3943" w:space="40"/>
            <w:col w:w="1105" w:space="40"/>
            <w:col w:w="3424" w:space="40"/>
            <w:col w:w="1988"/>
          </w:cols>
        </w:sectPr>
      </w:pPr>
    </w:p>
    <w:p>
      <w:pPr>
        <w:tabs>
          <w:tab w:pos="2711" w:val="left" w:leader="none"/>
          <w:tab w:pos="3325" w:val="left" w:leader="none"/>
          <w:tab w:pos="3438" w:val="left" w:leader="none"/>
          <w:tab w:pos="4441" w:val="left" w:leader="none"/>
          <w:tab w:pos="5027" w:val="left" w:leader="none"/>
          <w:tab w:pos="5641" w:val="left" w:leader="none"/>
          <w:tab w:pos="6191" w:val="left" w:leader="none"/>
          <w:tab w:pos="6227" w:val="left" w:leader="none"/>
          <w:tab w:pos="6841" w:val="left" w:leader="none"/>
          <w:tab w:pos="7465" w:val="left" w:leader="none"/>
          <w:tab w:pos="8108" w:val="left" w:leader="none"/>
          <w:tab w:pos="8732" w:val="left" w:leader="none"/>
          <w:tab w:pos="8948" w:val="left" w:leader="none"/>
          <w:tab w:pos="9563" w:val="left" w:leader="none"/>
          <w:tab w:pos="9675" w:val="left" w:leader="none"/>
        </w:tabs>
        <w:spacing w:line="242" w:lineRule="auto" w:before="8"/>
        <w:ind w:left="786" w:right="227" w:firstLine="0"/>
        <w:jc w:val="right"/>
        <w:rPr>
          <w:rFonts w:ascii="Times New Roman" w:hAnsi="Times New Roman" w:cs="Times New Roman" w:eastAsia="Times New Roman" w:hint="default"/>
          <w:sz w:val="15"/>
          <w:szCs w:val="15"/>
        </w:rPr>
      </w:pPr>
      <w:r>
        <w:rPr/>
        <w:pict>
          <v:group style="position:absolute;margin-left:323.880005pt;margin-top:1.341724pt;width:42.6pt;height:.1pt;mso-position-horizontal-relative:page;mso-position-vertical-relative:paragraph;z-index:-550312" coordorigin="6478,27" coordsize="852,2">
            <v:shape style="position:absolute;left:6478;top:27;width:852;height:2" coordorigin="6478,27" coordsize="852,0" path="m6478,27l7329,27e" filled="false" stroked="true" strokeweight=".48pt" strokecolor="#000000">
              <v:path arrowok="t"/>
            </v:shape>
            <w10:wrap type="none"/>
          </v:group>
        </w:pict>
      </w:r>
      <w:r>
        <w:rPr/>
        <w:pict>
          <v:group style="position:absolute;margin-left:380.640015pt;margin-top:1.341724pt;width:49.6pt;height:.1pt;mso-position-horizontal-relative:page;mso-position-vertical-relative:paragraph;z-index:-550288" coordorigin="7613,27" coordsize="992,2">
            <v:shape style="position:absolute;left:7613;top:27;width:992;height:2" coordorigin="7613,27" coordsize="992,0" path="m7613,27l8604,27e" filled="false" stroked="true" strokeweight=".48pt" strokecolor="#000000">
              <v:path arrowok="t"/>
            </v:shape>
            <w10:wrap type="none"/>
          </v:group>
        </w:pict>
      </w:r>
      <w:r>
        <w:rPr/>
        <w:pict>
          <v:group style="position:absolute;margin-left:444.359985pt;margin-top:1.341724pt;width:49.2pt;height:.1pt;mso-position-horizontal-relative:page;mso-position-vertical-relative:paragraph;z-index:-550264" coordorigin="8887,27" coordsize="984,2">
            <v:shape style="position:absolute;left:8887;top:27;width:984;height:2" coordorigin="8887,27" coordsize="984,0" path="m8887,27l9871,27e" filled="false" stroked="true" strokeweight=".48pt" strokecolor="#000000">
              <v:path arrowok="t"/>
            </v:shape>
            <w10:wrap type="none"/>
          </v:group>
        </w:pict>
      </w:r>
      <w:r>
        <w:rPr/>
        <w:pict>
          <v:group style="position:absolute;margin-left:505.320007pt;margin-top:1.341724pt;width:66.6pt;height:.1pt;mso-position-horizontal-relative:page;mso-position-vertical-relative:paragraph;z-index:-550240" coordorigin="10106,27" coordsize="1332,2">
            <v:shape style="position:absolute;left:10106;top:27;width:1332;height:2" coordorigin="10106,27" coordsize="1332,0" path="m10106,27l11438,27e" filled="false" stroked="true" strokeweight=".48pt" strokecolor="#000000">
              <v:path arrowok="t"/>
            </v:shape>
            <w10:wrap type="none"/>
          </v:group>
        </w:pict>
      </w:r>
      <w:r>
        <w:rPr/>
        <w:pict>
          <v:group style="position:absolute;margin-left:196.320007pt;margin-top:25.216724pt;width:63.85pt;height:.1pt;mso-position-horizontal-relative:page;mso-position-vertical-relative:paragraph;z-index:-550216" coordorigin="3926,504" coordsize="1277,2">
            <v:shape style="position:absolute;left:3926;top:504;width:1277;height:2" coordorigin="3926,504" coordsize="1277,0" path="m3926,504l5203,504e" filled="false" stroked="true" strokeweight=".47pt" strokecolor="#000000">
              <v:path arrowok="t"/>
            </v:shape>
            <w10:wrap type="none"/>
          </v:group>
        </w:pict>
      </w:r>
      <w:r>
        <w:rPr/>
        <w:pict>
          <v:group style="position:absolute;margin-left:274.320007pt;margin-top:25.216724pt;width:35.4pt;height:.1pt;mso-position-horizontal-relative:page;mso-position-vertical-relative:paragraph;z-index:-550192" coordorigin="5486,504" coordsize="708,2">
            <v:shape style="position:absolute;left:5486;top:504;width:708;height:2" coordorigin="5486,504" coordsize="708,0" path="m5486,504l6194,504e" filled="false" stroked="true" strokeweight=".47pt" strokecolor="#000000">
              <v:path arrowok="t"/>
            </v:shape>
            <w10:wrap type="none"/>
          </v:group>
        </w:pict>
      </w:r>
      <w:r>
        <w:rPr/>
        <w:pict>
          <v:group style="position:absolute;margin-left:323.880005pt;margin-top:25.216724pt;width:42.6pt;height:.1pt;mso-position-horizontal-relative:page;mso-position-vertical-relative:paragraph;z-index:-550168" coordorigin="6478,504" coordsize="852,2">
            <v:shape style="position:absolute;left:6478;top:504;width:852;height:2" coordorigin="6478,504" coordsize="852,0" path="m6478,504l7329,504e" filled="false" stroked="true" strokeweight=".47pt" strokecolor="#000000">
              <v:path arrowok="t"/>
            </v:shape>
            <w10:wrap type="none"/>
          </v:group>
        </w:pict>
      </w:r>
      <w:r>
        <w:rPr/>
        <w:pict>
          <v:group style="position:absolute;margin-left:380.640015pt;margin-top:25.216724pt;width:49.6pt;height:.1pt;mso-position-horizontal-relative:page;mso-position-vertical-relative:paragraph;z-index:-550144" coordorigin="7613,504" coordsize="992,2">
            <v:shape style="position:absolute;left:7613;top:504;width:992;height:2" coordorigin="7613,504" coordsize="992,0" path="m7613,504l8604,504e" filled="false" stroked="true" strokeweight=".47pt" strokecolor="#000000">
              <v:path arrowok="t"/>
            </v:shape>
            <w10:wrap type="none"/>
          </v:group>
        </w:pict>
      </w:r>
      <w:r>
        <w:rPr/>
        <w:pict>
          <v:group style="position:absolute;margin-left:444.359985pt;margin-top:25.216724pt;width:49.2pt;height:.1pt;mso-position-horizontal-relative:page;mso-position-vertical-relative:paragraph;z-index:-550120" coordorigin="8887,504" coordsize="984,2">
            <v:shape style="position:absolute;left:8887;top:504;width:984;height:2" coordorigin="8887,504" coordsize="984,0" path="m8887,504l9871,504e" filled="false" stroked="true" strokeweight=".47pt" strokecolor="#000000">
              <v:path arrowok="t"/>
            </v:shape>
            <w10:wrap type="none"/>
          </v:group>
        </w:pict>
      </w:r>
      <w:r>
        <w:rPr/>
        <w:pict>
          <v:group style="position:absolute;margin-left:505.320007pt;margin-top:25.216724pt;width:66.6pt;height:.1pt;mso-position-horizontal-relative:page;mso-position-vertical-relative:paragraph;z-index:-550096" coordorigin="10106,504" coordsize="1332,2">
            <v:shape style="position:absolute;left:10106;top:504;width:1332;height:2" coordorigin="10106,504" coordsize="1332,0" path="m10106,504l11438,504e" filled="false" stroked="true" strokeweight=".47pt" strokecolor="#000000">
              <v:path arrowok="t"/>
            </v:shape>
            <w10:wrap type="none"/>
          </v:group>
        </w:pict>
      </w:r>
      <w:r>
        <w:rPr>
          <w:rFonts w:ascii="宋体" w:hAnsi="宋体" w:cs="宋体" w:eastAsia="宋体" w:hint="default"/>
          <w:position w:val="-4"/>
          <w:sz w:val="18"/>
          <w:szCs w:val="18"/>
        </w:rPr>
        <w:t>坏账准备</w:t>
        <w:tab/>
        <w:tab/>
        <w:tab/>
      </w:r>
      <w:r>
        <w:rPr>
          <w:rFonts w:ascii="Times New Roman" w:hAnsi="Times New Roman" w:cs="Times New Roman" w:eastAsia="Times New Roman" w:hint="default"/>
          <w:spacing w:val="-1"/>
          <w:sz w:val="15"/>
          <w:szCs w:val="15"/>
        </w:rPr>
        <w:t>769,768.84</w:t>
        <w:tab/>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25,993.71</w:t>
        <w:tab/>
        <w:t>240,675.00</w:t>
        <w:tab/>
        <w:t>266,668.71</w:t>
        <w:tab/>
        <w:tab/>
        <w:tab/>
        <w:t>503,100.13</w:t>
      </w:r>
      <w:r>
        <w:rPr>
          <w:rFonts w:ascii="Times New Roman" w:hAnsi="Times New Roman" w:cs="Times New Roman" w:eastAsia="Times New Roman" w:hint="default"/>
          <w:w w:val="100"/>
          <w:sz w:val="15"/>
          <w:szCs w:val="15"/>
        </w:rPr>
        <w:t> </w:t>
      </w:r>
      <w:r>
        <w:rPr>
          <w:rFonts w:ascii="宋体" w:hAnsi="宋体" w:cs="宋体" w:eastAsia="宋体" w:hint="default"/>
          <w:position w:val="-4"/>
          <w:sz w:val="18"/>
          <w:szCs w:val="18"/>
        </w:rPr>
        <w:t>商誉减值准备</w:t>
        <w:tab/>
        <w:tab/>
      </w:r>
      <w:r>
        <w:rPr>
          <w:rFonts w:ascii="Times New Roman" w:hAnsi="Times New Roman" w:cs="Times New Roman" w:eastAsia="Times New Roman" w:hint="default"/>
          <w:spacing w:val="-1"/>
          <w:sz w:val="15"/>
          <w:szCs w:val="15"/>
        </w:rPr>
        <w:t>1,655,442.06</w:t>
        <w:tab/>
        <w:tab/>
      </w:r>
      <w:r>
        <w:rPr>
          <w:rFonts w:ascii="Times New Roman" w:hAnsi="Times New Roman" w:cs="Times New Roman" w:eastAsia="Times New Roman" w:hint="default"/>
          <w:sz w:val="15"/>
          <w:szCs w:val="15"/>
        </w:rPr>
        <w:t>-</w:t>
        <w:tab/>
        <w:tab/>
        <w:t>-</w:t>
        <w:tab/>
        <w:tab/>
        <w:t>-</w:t>
        <w:tab/>
        <w:tab/>
        <w:t>-</w:t>
        <w:tab/>
        <w:tab/>
      </w:r>
      <w:r>
        <w:rPr>
          <w:rFonts w:ascii="Times New Roman" w:hAnsi="Times New Roman" w:cs="Times New Roman" w:eastAsia="Times New Roman" w:hint="default"/>
          <w:spacing w:val="-1"/>
          <w:sz w:val="15"/>
          <w:szCs w:val="15"/>
        </w:rPr>
        <w:t>1,655,442.06</w:t>
      </w:r>
      <w:r>
        <w:rPr>
          <w:rFonts w:ascii="Times New Roman" w:hAnsi="Times New Roman" w:cs="Times New Roman" w:eastAsia="Times New Roman" w:hint="default"/>
          <w:w w:val="100"/>
          <w:sz w:val="15"/>
          <w:szCs w:val="15"/>
        </w:rPr>
        <w:t> </w:t>
      </w:r>
      <w:r>
        <w:rPr>
          <w:rFonts w:ascii="宋体" w:hAnsi="宋体" w:cs="宋体" w:eastAsia="宋体" w:hint="default"/>
          <w:position w:val="-4"/>
          <w:sz w:val="18"/>
          <w:szCs w:val="18"/>
        </w:rPr>
        <w:t>合 </w:t>
      </w:r>
      <w:r>
        <w:rPr>
          <w:rFonts w:ascii="宋体" w:hAnsi="宋体" w:cs="宋体" w:eastAsia="宋体" w:hint="default"/>
          <w:spacing w:val="2"/>
          <w:position w:val="-4"/>
          <w:sz w:val="18"/>
          <w:szCs w:val="18"/>
        </w:rPr>
        <w:t> </w:t>
      </w:r>
      <w:r>
        <w:rPr>
          <w:rFonts w:ascii="宋体" w:hAnsi="宋体" w:cs="宋体" w:eastAsia="宋体" w:hint="default"/>
          <w:position w:val="-4"/>
          <w:sz w:val="18"/>
          <w:szCs w:val="18"/>
        </w:rPr>
        <w:t>计</w:t>
        <w:tab/>
      </w:r>
      <w:r>
        <w:rPr>
          <w:rFonts w:ascii="Times New Roman" w:hAnsi="Times New Roman" w:cs="Times New Roman" w:eastAsia="Times New Roman" w:hint="default"/>
          <w:spacing w:val="-1"/>
          <w:sz w:val="15"/>
          <w:szCs w:val="15"/>
        </w:rPr>
        <w:t>2,425,210.90</w:t>
        <w:tab/>
      </w:r>
      <w:r>
        <w:rPr>
          <w:rFonts w:ascii="Times New Roman" w:hAnsi="Times New Roman" w:cs="Times New Roman" w:eastAsia="Times New Roman" w:hint="default"/>
          <w:sz w:val="15"/>
          <w:szCs w:val="15"/>
        </w:rPr>
        <w:t>-</w:t>
        <w:tab/>
      </w:r>
      <w:r>
        <w:rPr>
          <w:rFonts w:ascii="Times New Roman" w:hAnsi="Times New Roman" w:cs="Times New Roman" w:eastAsia="Times New Roman" w:hint="default"/>
          <w:spacing w:val="-1"/>
          <w:sz w:val="15"/>
          <w:szCs w:val="15"/>
        </w:rPr>
        <w:t>25,993.71</w:t>
        <w:tab/>
        <w:tab/>
        <w:tab/>
        <w:t>240,675.00</w:t>
        <w:tab/>
        <w:t>266,668.71</w:t>
        <w:tab/>
        <w:tab/>
        <w:t>2,158,542.19</w:t>
      </w:r>
    </w:p>
    <w:p>
      <w:pPr>
        <w:spacing w:before="16"/>
        <w:ind w:left="315" w:right="664" w:firstLine="0"/>
        <w:jc w:val="left"/>
        <w:rPr>
          <w:rFonts w:ascii="宋体" w:hAnsi="宋体" w:cs="宋体" w:eastAsia="宋体" w:hint="default"/>
          <w:sz w:val="21"/>
          <w:szCs w:val="21"/>
        </w:rPr>
      </w:pPr>
      <w:r>
        <w:rPr/>
        <w:pict>
          <v:group style="position:absolute;margin-left:196.080002pt;margin-top:1.153676pt;width:64.3500pt;height:1.45pt;mso-position-horizontal-relative:page;mso-position-vertical-relative:paragraph;z-index:5536" coordorigin="3922,23" coordsize="1287,29">
            <v:group style="position:absolute;left:3926;top:28;width:1277;height:2" coordorigin="3926,28" coordsize="1277,2">
              <v:shape style="position:absolute;left:3926;top:28;width:1277;height:2" coordorigin="3926,28" coordsize="1277,0" path="m3926,28l5203,28e" filled="false" stroked="true" strokeweight=".48pt" strokecolor="#000000">
                <v:path arrowok="t"/>
              </v:shape>
            </v:group>
            <v:group style="position:absolute;left:3926;top:47;width:1277;height:2" coordorigin="3926,47" coordsize="1277,2">
              <v:shape style="position:absolute;left:3926;top:47;width:1277;height:2" coordorigin="3926,47" coordsize="1277,0" path="m3926,47l5203,47e" filled="false" stroked="true" strokeweight=".48pt" strokecolor="#000000">
                <v:path arrowok="t"/>
              </v:shape>
            </v:group>
            <w10:wrap type="none"/>
          </v:group>
        </w:pict>
      </w:r>
      <w:r>
        <w:rPr/>
        <w:pict>
          <v:group style="position:absolute;margin-left:274.079987pt;margin-top:1.153676pt;width:35.9pt;height:1.45pt;mso-position-horizontal-relative:page;mso-position-vertical-relative:paragraph;z-index:5560" coordorigin="5482,23" coordsize="718,29">
            <v:group style="position:absolute;left:5486;top:28;width:708;height:2" coordorigin="5486,28" coordsize="708,2">
              <v:shape style="position:absolute;left:5486;top:28;width:708;height:2" coordorigin="5486,28" coordsize="708,0" path="m5486,28l6194,28e" filled="false" stroked="true" strokeweight=".48pt" strokecolor="#000000">
                <v:path arrowok="t"/>
              </v:shape>
            </v:group>
            <v:group style="position:absolute;left:5486;top:47;width:708;height:2" coordorigin="5486,47" coordsize="708,2">
              <v:shape style="position:absolute;left:5486;top:47;width:708;height:2" coordorigin="5486,47" coordsize="708,0" path="m5486,47l6194,47e" filled="false" stroked="true" strokeweight=".48pt" strokecolor="#000000">
                <v:path arrowok="t"/>
              </v:shape>
            </v:group>
            <w10:wrap type="none"/>
          </v:group>
        </w:pict>
      </w:r>
      <w:r>
        <w:rPr/>
        <w:pict>
          <v:group style="position:absolute;margin-left:323.640015pt;margin-top:1.153676pt;width:43.1pt;height:1.45pt;mso-position-horizontal-relative:page;mso-position-vertical-relative:paragraph;z-index:5584" coordorigin="6473,23" coordsize="862,29">
            <v:group style="position:absolute;left:6478;top:28;width:852;height:2" coordorigin="6478,28" coordsize="852,2">
              <v:shape style="position:absolute;left:6478;top:28;width:852;height:2" coordorigin="6478,28" coordsize="852,0" path="m6478,28l7329,28e" filled="false" stroked="true" strokeweight=".48pt" strokecolor="#000000">
                <v:path arrowok="t"/>
              </v:shape>
            </v:group>
            <v:group style="position:absolute;left:6478;top:47;width:852;height:2" coordorigin="6478,47" coordsize="852,2">
              <v:shape style="position:absolute;left:6478;top:47;width:852;height:2" coordorigin="6478,47" coordsize="852,0" path="m6478,47l7329,47e" filled="false" stroked="true" strokeweight=".48pt" strokecolor="#000000">
                <v:path arrowok="t"/>
              </v:shape>
            </v:group>
            <w10:wrap type="none"/>
          </v:group>
        </w:pict>
      </w:r>
      <w:r>
        <w:rPr/>
        <w:pict>
          <v:group style="position:absolute;margin-left:380.399994pt;margin-top:1.153676pt;width:50.05pt;height:1.45pt;mso-position-horizontal-relative:page;mso-position-vertical-relative:paragraph;z-index:5608" coordorigin="7608,23" coordsize="1001,29">
            <v:group style="position:absolute;left:7613;top:28;width:992;height:2" coordorigin="7613,28" coordsize="992,2">
              <v:shape style="position:absolute;left:7613;top:28;width:992;height:2" coordorigin="7613,28" coordsize="992,0" path="m7613,28l8604,28e" filled="false" stroked="true" strokeweight=".48pt" strokecolor="#000000">
                <v:path arrowok="t"/>
              </v:shape>
            </v:group>
            <v:group style="position:absolute;left:7613;top:47;width:992;height:2" coordorigin="7613,47" coordsize="992,2">
              <v:shape style="position:absolute;left:7613;top:47;width:992;height:2" coordorigin="7613,47" coordsize="992,0" path="m7613,47l8604,47e" filled="false" stroked="true" strokeweight=".48pt" strokecolor="#000000">
                <v:path arrowok="t"/>
              </v:shape>
            </v:group>
            <w10:wrap type="none"/>
          </v:group>
        </w:pict>
      </w:r>
      <w:r>
        <w:rPr/>
        <w:pict>
          <v:group style="position:absolute;margin-left:444.119995pt;margin-top:1.153676pt;width:49.7pt;height:1.45pt;mso-position-horizontal-relative:page;mso-position-vertical-relative:paragraph;z-index:5632" coordorigin="8882,23" coordsize="994,29">
            <v:group style="position:absolute;left:8887;top:28;width:984;height:2" coordorigin="8887,28" coordsize="984,2">
              <v:shape style="position:absolute;left:8887;top:28;width:984;height:2" coordorigin="8887,28" coordsize="984,0" path="m8887,28l9871,28e" filled="false" stroked="true" strokeweight=".48pt" strokecolor="#000000">
                <v:path arrowok="t"/>
              </v:shape>
            </v:group>
            <v:group style="position:absolute;left:8887;top:47;width:984;height:2" coordorigin="8887,47" coordsize="984,2">
              <v:shape style="position:absolute;left:8887;top:47;width:984;height:2" coordorigin="8887,47" coordsize="984,0" path="m8887,47l9871,47e" filled="false" stroked="true" strokeweight=".48pt" strokecolor="#000000">
                <v:path arrowok="t"/>
              </v:shape>
            </v:group>
            <w10:wrap type="none"/>
          </v:group>
        </w:pict>
      </w:r>
      <w:r>
        <w:rPr/>
        <w:pict>
          <v:group style="position:absolute;margin-left:505.079987pt;margin-top:1.153676pt;width:67.1pt;height:1.45pt;mso-position-horizontal-relative:page;mso-position-vertical-relative:paragraph;z-index:5656" coordorigin="10102,23" coordsize="1342,29">
            <v:group style="position:absolute;left:10106;top:28;width:1332;height:2" coordorigin="10106,28" coordsize="1332,2">
              <v:shape style="position:absolute;left:10106;top:28;width:1332;height:2" coordorigin="10106,28" coordsize="1332,0" path="m10106,28l11438,28e" filled="false" stroked="true" strokeweight=".48pt" strokecolor="#000000">
                <v:path arrowok="t"/>
              </v:shape>
            </v:group>
            <v:group style="position:absolute;left:10106;top:47;width:1332;height:2" coordorigin="10106,47" coordsize="1332,2">
              <v:shape style="position:absolute;left:10106;top:47;width:1332;height:2" coordorigin="10106,47" coordsize="1332,0" path="m10106,47l11438,47e" filled="false" stroked="true" strokeweight=".48pt" strokecolor="#000000">
                <v:path arrowok="t"/>
              </v:shape>
            </v:group>
            <w10:wrap type="none"/>
          </v:group>
        </w:pict>
      </w:r>
      <w:r>
        <w:rPr>
          <w:rFonts w:ascii="Times New Roman" w:hAnsi="Times New Roman" w:cs="Times New Roman" w:eastAsia="Times New Roman" w:hint="default"/>
          <w:sz w:val="21"/>
          <w:szCs w:val="21"/>
        </w:rPr>
        <w:t>6.13</w:t>
      </w:r>
      <w:r>
        <w:rPr>
          <w:rFonts w:ascii="Times New Roman" w:hAnsi="Times New Roman" w:cs="Times New Roman" w:eastAsia="Times New Roman" w:hint="default"/>
          <w:spacing w:val="51"/>
          <w:sz w:val="21"/>
          <w:szCs w:val="21"/>
        </w:rPr>
        <w:t> </w:t>
      </w:r>
      <w:r>
        <w:rPr>
          <w:rFonts w:ascii="宋体" w:hAnsi="宋体" w:cs="宋体" w:eastAsia="宋体" w:hint="default"/>
          <w:position w:val="-1"/>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sz w:val="15"/>
          <w:szCs w:val="15"/>
        </w:rPr>
      </w:pPr>
    </w:p>
    <w:p>
      <w:pPr>
        <w:spacing w:line="282" w:lineRule="exact" w:before="36"/>
        <w:ind w:left="786"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6.13.1  </w:t>
      </w:r>
      <w:r>
        <w:rPr>
          <w:rFonts w:ascii="宋体" w:hAnsi="宋体" w:cs="宋体" w:eastAsia="宋体" w:hint="default"/>
          <w:sz w:val="21"/>
          <w:szCs w:val="21"/>
        </w:rPr>
        <w:t>短期借款分类</w:t>
      </w:r>
    </w:p>
    <w:p>
      <w:pPr>
        <w:tabs>
          <w:tab w:pos="4845" w:val="left" w:leader="none"/>
          <w:tab w:pos="8390" w:val="left" w:leader="none"/>
        </w:tabs>
        <w:spacing w:line="276" w:lineRule="exact" w:before="0"/>
        <w:ind w:left="1588" w:right="0" w:firstLine="0"/>
        <w:jc w:val="center"/>
        <w:rPr>
          <w:rFonts w:ascii="宋体" w:hAnsi="宋体" w:cs="宋体" w:eastAsia="宋体" w:hint="default"/>
          <w:sz w:val="21"/>
          <w:szCs w:val="21"/>
        </w:rPr>
      </w:pPr>
      <w:r>
        <w:rPr>
          <w:rFonts w:ascii="宋体" w:hAnsi="宋体" w:cs="宋体" w:eastAsia="宋体" w:hint="default"/>
          <w:spacing w:val="-1"/>
          <w:sz w:val="21"/>
          <w:szCs w:val="21"/>
        </w:rPr>
        <w:t>借款类别</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5703" w:val="left" w:leader="none"/>
          <w:tab w:pos="9248" w:val="left" w:leader="none"/>
        </w:tabs>
        <w:spacing w:line="268" w:lineRule="exact" w:before="0"/>
        <w:ind w:left="786" w:right="0" w:firstLine="0"/>
        <w:jc w:val="left"/>
        <w:rPr>
          <w:rFonts w:ascii="Times New Roman" w:hAnsi="Times New Roman" w:cs="Times New Roman" w:eastAsia="Times New Roman" w:hint="default"/>
          <w:sz w:val="21"/>
          <w:szCs w:val="21"/>
        </w:rPr>
      </w:pPr>
      <w:r>
        <w:rPr/>
        <w:pict>
          <v:group style="position:absolute;margin-left:82.919998pt;margin-top:1.266221pt;width:155.8pt;height:.1pt;mso-position-horizontal-relative:page;mso-position-vertical-relative:paragraph;z-index:-549928" coordorigin="1658,25" coordsize="3116,2">
            <v:shape style="position:absolute;left:1658;top:25;width:3116;height:2" coordorigin="1658,25" coordsize="3116,0" path="m1658,25l4774,25e" filled="false" stroked="true" strokeweight=".48pt" strokecolor="#000000">
              <v:path arrowok="t"/>
            </v:shape>
            <w10:wrap type="none"/>
          </v:group>
        </w:pict>
      </w:r>
      <w:r>
        <w:rPr/>
        <w:pict>
          <v:group style="position:absolute;margin-left:252.119995pt;margin-top:1.266221pt;width:142.6pt;height:.1pt;mso-position-horizontal-relative:page;mso-position-vertical-relative:paragraph;z-index:-549904" coordorigin="5042,25" coordsize="2852,2">
            <v:shape style="position:absolute;left:5042;top:25;width:2852;height:2" coordorigin="5042,25" coordsize="2852,0" path="m5042,25l7894,25e" filled="false" stroked="true" strokeweight=".48pt" strokecolor="#000000">
              <v:path arrowok="t"/>
            </v:shape>
            <w10:wrap type="none"/>
          </v:group>
        </w:pict>
      </w:r>
      <w:r>
        <w:rPr/>
        <w:pict>
          <v:group style="position:absolute;margin-left:408.839996pt;margin-top:1.266221pt;width:163.1pt;height:.1pt;mso-position-horizontal-relative:page;mso-position-vertical-relative:paragraph;z-index:-549880" coordorigin="8177,25" coordsize="3262,2">
            <v:shape style="position:absolute;left:8177;top:25;width:3262;height:2" coordorigin="8177,25" coordsize="3262,0" path="m8177,25l11438,25e" filled="false" stroked="true" strokeweight=".48pt" strokecolor="#000000">
              <v:path arrowok="t"/>
            </v:shape>
            <w10:wrap type="none"/>
          </v:group>
        </w:pict>
      </w:r>
      <w:r>
        <w:rPr>
          <w:rFonts w:ascii="宋体" w:hAnsi="宋体" w:cs="宋体" w:eastAsia="宋体" w:hint="default"/>
          <w:spacing w:val="-1"/>
          <w:position w:val="-1"/>
          <w:sz w:val="21"/>
          <w:szCs w:val="21"/>
        </w:rPr>
        <w:t>保证借款</w:t>
        <w:tab/>
      </w:r>
      <w:r>
        <w:rPr>
          <w:rFonts w:ascii="Times New Roman" w:hAnsi="Times New Roman" w:cs="Times New Roman" w:eastAsia="Times New Roman" w:hint="default"/>
          <w:spacing w:val="-1"/>
          <w:sz w:val="21"/>
          <w:szCs w:val="21"/>
        </w:rPr>
        <w:t>4,063,000.00</w:t>
        <w:tab/>
        <w:t>8,853,840.00</w:t>
      </w:r>
    </w:p>
    <w:p>
      <w:pPr>
        <w:tabs>
          <w:tab w:pos="5598" w:val="left" w:leader="none"/>
          <w:tab w:pos="9143" w:val="left" w:leader="none"/>
        </w:tabs>
        <w:spacing w:line="274" w:lineRule="exact" w:before="0"/>
        <w:ind w:left="786"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信用借款</w:t>
        <w:tab/>
      </w:r>
      <w:r>
        <w:rPr>
          <w:rFonts w:ascii="Times New Roman" w:hAnsi="Times New Roman" w:cs="Times New Roman" w:eastAsia="Times New Roman" w:hint="default"/>
          <w:spacing w:val="-1"/>
          <w:sz w:val="21"/>
          <w:szCs w:val="21"/>
        </w:rPr>
        <w:t>10,000,000.00</w:t>
        <w:tab/>
        <w:t>10,000,000.00</w:t>
      </w:r>
    </w:p>
    <w:p>
      <w:pPr>
        <w:tabs>
          <w:tab w:pos="2113" w:val="left" w:leader="none"/>
          <w:tab w:pos="5370" w:val="left" w:leader="none"/>
          <w:tab w:pos="8914" w:val="left" w:leader="none"/>
        </w:tabs>
        <w:spacing w:before="6"/>
        <w:ind w:left="1691" w:right="0" w:firstLine="0"/>
        <w:jc w:val="center"/>
        <w:rPr>
          <w:rFonts w:ascii="Times New Roman" w:hAnsi="Times New Roman" w:cs="Times New Roman" w:eastAsia="Times New Roman" w:hint="default"/>
          <w:sz w:val="21"/>
          <w:szCs w:val="21"/>
        </w:rPr>
      </w:pPr>
      <w:r>
        <w:rPr/>
        <w:pict>
          <v:group style="position:absolute;margin-left:252.119995pt;margin-top:1.84368pt;width:142.6pt;height:.1pt;mso-position-horizontal-relative:page;mso-position-vertical-relative:paragraph;z-index:-549856" coordorigin="5042,37" coordsize="2852,2">
            <v:shape style="position:absolute;left:5042;top:37;width:2852;height:2" coordorigin="5042,37" coordsize="2852,0" path="m5042,37l7894,37e" filled="false" stroked="true" strokeweight=".48pt" strokecolor="#000000">
              <v:path arrowok="t"/>
            </v:shape>
            <w10:wrap type="none"/>
          </v:group>
        </w:pict>
      </w:r>
      <w:r>
        <w:rPr/>
        <w:pict>
          <v:group style="position:absolute;margin-left:408.839996pt;margin-top:1.84368pt;width:163.1pt;height:.1pt;mso-position-horizontal-relative:page;mso-position-vertical-relative:paragraph;z-index:-549832" coordorigin="8177,37" coordsize="3262,2">
            <v:shape style="position:absolute;left:8177;top:37;width:3262;height:2" coordorigin="8177,37" coordsize="3262,0" path="m8177,37l11438,37e" filled="false" stroked="true" strokeweight=".48pt" strokecolor="#000000">
              <v:path arrowok="t"/>
            </v:shape>
            <w10:wrap type="none"/>
          </v:group>
        </w:pict>
      </w:r>
      <w:r>
        <w:rPr>
          <w:rFonts w:ascii="宋体" w:hAnsi="宋体" w:cs="宋体" w:eastAsia="宋体" w:hint="default"/>
          <w:position w:val="-1"/>
          <w:sz w:val="21"/>
          <w:szCs w:val="21"/>
        </w:rPr>
        <w:t>合</w:t>
        <w:tab/>
        <w:t>计</w:t>
        <w:tab/>
      </w:r>
      <w:r>
        <w:rPr>
          <w:rFonts w:ascii="Times New Roman" w:hAnsi="Times New Roman" w:cs="Times New Roman" w:eastAsia="Times New Roman" w:hint="default"/>
          <w:spacing w:val="-1"/>
          <w:sz w:val="21"/>
          <w:szCs w:val="21"/>
        </w:rPr>
        <w:t>14,063,000.00</w:t>
        <w:tab/>
        <w:t>18,853,840.00</w:t>
      </w:r>
    </w:p>
    <w:p>
      <w:pPr>
        <w:spacing w:line="240" w:lineRule="auto" w:before="0"/>
        <w:rPr>
          <w:rFonts w:ascii="Times New Roman" w:hAnsi="Times New Roman" w:cs="Times New Roman" w:eastAsia="Times New Roman" w:hint="default"/>
          <w:sz w:val="3"/>
          <w:szCs w:val="3"/>
        </w:rPr>
      </w:pPr>
    </w:p>
    <w:p>
      <w:pPr>
        <w:tabs>
          <w:tab w:pos="7192" w:val="left" w:leader="none"/>
        </w:tabs>
        <w:spacing w:line="28" w:lineRule="exact"/>
        <w:ind w:left="4057" w:right="0" w:firstLine="0"/>
        <w:rPr>
          <w:rFonts w:ascii="Times New Roman" w:hAnsi="Times New Roman" w:cs="Times New Roman" w:eastAsia="Times New Roman" w:hint="default"/>
          <w:sz w:val="2"/>
          <w:szCs w:val="2"/>
        </w:rPr>
      </w:pPr>
      <w:r>
        <w:rPr>
          <w:rFonts w:ascii="Times New Roman"/>
          <w:position w:val="0"/>
          <w:sz w:val="2"/>
        </w:rPr>
        <w:pict>
          <v:group style="width:143.050pt;height:1.45pt;mso-position-horizontal-relative:char;mso-position-vertical-relative:line" coordorigin="0,0" coordsize="2861,29">
            <v:group style="position:absolute;left:5;top:5;width:2852;height:2" coordorigin="5,5" coordsize="2852,2">
              <v:shape style="position:absolute;left:5;top:5;width:2852;height:2" coordorigin="5,5" coordsize="2852,0" path="m5,5l2856,5e" filled="false" stroked="true" strokeweight=".48pt" strokecolor="#000000">
                <v:path arrowok="t"/>
              </v:shape>
            </v:group>
            <v:group style="position:absolute;left:5;top:24;width:2852;height:2" coordorigin="5,24" coordsize="2852,2">
              <v:shape style="position:absolute;left:5;top:24;width:2852;height:2" coordorigin="5,24" coordsize="2852,0" path="m5,24l285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63.550pt;height:1.45pt;mso-position-horizontal-relative:char;mso-position-vertical-relative:line" coordorigin="0,0" coordsize="3271,29">
            <v:group style="position:absolute;left:5;top:5;width:3262;height:2" coordorigin="5,5" coordsize="3262,2">
              <v:shape style="position:absolute;left:5;top:5;width:3262;height:2" coordorigin="5,5" coordsize="3262,0" path="m5,5l3266,5e" filled="false" stroked="true" strokeweight=".48pt" strokecolor="#000000">
                <v:path arrowok="t"/>
              </v:shape>
            </v:group>
            <v:group style="position:absolute;left:5;top:24;width:3262;height:2" coordorigin="5,24" coordsize="3262,2">
              <v:shape style="position:absolute;left:5;top:24;width:3262;height:2" coordorigin="5,24" coordsize="3262,0" path="m5,24l3266,24e" filled="false" stroked="true" strokeweight=".48pt" strokecolor="#000000">
                <v:path arrowok="t"/>
              </v:shape>
            </v:group>
          </v:group>
        </w:pict>
      </w:r>
      <w:r>
        <w:rPr>
          <w:rFonts w:ascii="Times New Roman"/>
          <w:position w:val="0"/>
          <w:sz w:val="2"/>
        </w:rPr>
      </w:r>
    </w:p>
    <w:p>
      <w:pPr>
        <w:spacing w:line="240" w:lineRule="auto" w:before="0"/>
        <w:rPr>
          <w:rFonts w:ascii="Times New Roman" w:hAnsi="Times New Roman" w:cs="Times New Roman" w:eastAsia="Times New Roman" w:hint="default"/>
          <w:sz w:val="15"/>
          <w:szCs w:val="15"/>
        </w:rPr>
      </w:pPr>
    </w:p>
    <w:p>
      <w:pPr>
        <w:spacing w:line="448" w:lineRule="auto" w:before="36"/>
        <w:ind w:left="786" w:right="3049" w:firstLine="0"/>
        <w:jc w:val="left"/>
        <w:rPr>
          <w:rFonts w:ascii="宋体" w:hAnsi="宋体" w:cs="宋体" w:eastAsia="宋体" w:hint="default"/>
          <w:sz w:val="21"/>
          <w:szCs w:val="21"/>
        </w:rPr>
      </w:pPr>
      <w:r>
        <w:rPr>
          <w:rFonts w:ascii="宋体" w:hAnsi="宋体" w:cs="宋体" w:eastAsia="宋体" w:hint="default"/>
          <w:sz w:val="21"/>
          <w:szCs w:val="21"/>
        </w:rPr>
        <w:t>短期借款分类的说明</w:t>
      </w:r>
      <w:r>
        <w:rPr>
          <w:rFonts w:ascii="宋体" w:hAnsi="宋体" w:cs="宋体" w:eastAsia="宋体" w:hint="default"/>
          <w:w w:val="100"/>
          <w:sz w:val="21"/>
          <w:szCs w:val="21"/>
        </w:rPr>
        <w:t> </w:t>
      </w:r>
      <w:r>
        <w:rPr>
          <w:rFonts w:ascii="宋体" w:hAnsi="宋体" w:cs="宋体" w:eastAsia="宋体" w:hint="default"/>
          <w:spacing w:val="-2"/>
          <w:sz w:val="21"/>
          <w:szCs w:val="21"/>
        </w:rPr>
        <w:t>年末保证借款系自然人股东包叔平先生提供个人连带责任的保证担保。</w:t>
      </w:r>
    </w:p>
    <w:p>
      <w:pPr>
        <w:spacing w:line="282" w:lineRule="exact" w:before="56"/>
        <w:ind w:left="786" w:right="0" w:firstLine="0"/>
        <w:jc w:val="left"/>
        <w:rPr>
          <w:rFonts w:ascii="宋体" w:hAnsi="宋体" w:cs="宋体" w:eastAsia="宋体" w:hint="default"/>
          <w:sz w:val="21"/>
          <w:szCs w:val="21"/>
        </w:rPr>
      </w:pPr>
      <w:r>
        <w:rPr>
          <w:rFonts w:ascii="宋体" w:hAnsi="宋体" w:cs="宋体" w:eastAsia="宋体" w:hint="default"/>
          <w:spacing w:val="7"/>
          <w:sz w:val="21"/>
          <w:szCs w:val="21"/>
        </w:rPr>
        <w:t>年末保证借款系本公司下属子公司日本海隆株式会社日币借款，借款本金为 </w:t>
      </w:r>
      <w:r>
        <w:rPr>
          <w:rFonts w:ascii="Times New Roman" w:hAnsi="Times New Roman" w:cs="Times New Roman" w:eastAsia="Times New Roman" w:hint="default"/>
          <w:sz w:val="21"/>
          <w:szCs w:val="21"/>
        </w:rPr>
        <w:t>5   </w:t>
      </w:r>
      <w:r>
        <w:rPr>
          <w:rFonts w:ascii="Times New Roman" w:hAnsi="Times New Roman" w:cs="Times New Roman" w:eastAsia="Times New Roman" w:hint="default"/>
          <w:spacing w:val="4"/>
          <w:sz w:val="21"/>
          <w:szCs w:val="21"/>
        </w:rPr>
        <w:t> </w:t>
      </w:r>
      <w:r>
        <w:rPr>
          <w:rFonts w:ascii="宋体" w:hAnsi="宋体" w:cs="宋体" w:eastAsia="宋体" w:hint="default"/>
          <w:spacing w:val="6"/>
          <w:sz w:val="21"/>
          <w:szCs w:val="21"/>
        </w:rPr>
        <w:t>千万日元，折算汇率</w:t>
      </w:r>
    </w:p>
    <w:p>
      <w:pPr>
        <w:spacing w:line="282" w:lineRule="exact" w:before="0"/>
        <w:ind w:left="786"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0.081260</w:t>
      </w:r>
      <w:r>
        <w:rPr>
          <w:rFonts w:ascii="宋体" w:hAnsi="宋体" w:cs="宋体" w:eastAsia="宋体" w:hint="default"/>
          <w:sz w:val="21"/>
          <w:szCs w:val="21"/>
        </w:rPr>
        <w:t>，折合人民币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4,063,000.00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16"/>
          <w:szCs w:val="16"/>
        </w:rPr>
      </w:pPr>
    </w:p>
    <w:p>
      <w:pPr>
        <w:spacing w:before="0"/>
        <w:ind w:left="315"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6.14</w:t>
      </w:r>
      <w:r>
        <w:rPr>
          <w:rFonts w:ascii="Times New Roman" w:hAnsi="Times New Roman" w:cs="Times New Roman" w:eastAsia="Times New Roman" w:hint="default"/>
          <w:spacing w:val="51"/>
          <w:sz w:val="21"/>
          <w:szCs w:val="21"/>
        </w:rPr>
        <w:t> </w:t>
      </w:r>
      <w:r>
        <w:rPr>
          <w:rFonts w:ascii="宋体" w:hAnsi="宋体" w:cs="宋体" w:eastAsia="宋体" w:hint="default"/>
          <w:position w:val="-1"/>
          <w:sz w:val="21"/>
          <w:szCs w:val="21"/>
        </w:rPr>
        <w:t>应付账款</w:t>
      </w:r>
      <w:r>
        <w:rPr>
          <w:rFonts w:ascii="宋体" w:hAnsi="宋体" w:cs="宋体" w:eastAsia="宋体" w:hint="default"/>
          <w:sz w:val="21"/>
          <w:szCs w:val="21"/>
        </w:rPr>
      </w:r>
    </w:p>
    <w:p>
      <w:pPr>
        <w:spacing w:line="240" w:lineRule="auto" w:before="11"/>
        <w:rPr>
          <w:rFonts w:ascii="宋体" w:hAnsi="宋体" w:cs="宋体" w:eastAsia="宋体" w:hint="default"/>
          <w:sz w:val="14"/>
          <w:szCs w:val="14"/>
        </w:rPr>
      </w:pPr>
    </w:p>
    <w:p>
      <w:pPr>
        <w:spacing w:line="227" w:lineRule="exact" w:before="73"/>
        <w:ind w:left="786" w:right="664" w:firstLine="0"/>
        <w:jc w:val="left"/>
        <w:rPr>
          <w:rFonts w:ascii="Times New Roman" w:hAnsi="Times New Roman" w:cs="Times New Roman" w:eastAsia="Times New Roman" w:hint="default"/>
          <w:sz w:val="21"/>
          <w:szCs w:val="21"/>
        </w:rPr>
      </w:pPr>
      <w:r>
        <w:rPr>
          <w:rFonts w:ascii="Times New Roman"/>
          <w:sz w:val="21"/>
        </w:rPr>
        <w:t>6.14.1</w:t>
      </w:r>
    </w:p>
    <w:p>
      <w:pPr>
        <w:tabs>
          <w:tab w:pos="4652" w:val="left" w:leader="none"/>
          <w:tab w:pos="8619" w:val="left" w:leader="none"/>
        </w:tabs>
        <w:spacing w:line="276" w:lineRule="exact" w:before="0"/>
        <w:ind w:left="1840"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3652" w:val="left" w:leader="none"/>
          <w:tab w:pos="6772" w:val="left" w:leader="none"/>
        </w:tabs>
        <w:spacing w:line="20" w:lineRule="exact"/>
        <w:ind w:left="673" w:right="0" w:firstLine="0"/>
        <w:rPr>
          <w:rFonts w:ascii="宋体" w:hAnsi="宋体" w:cs="宋体" w:eastAsia="宋体" w:hint="default"/>
          <w:sz w:val="2"/>
          <w:szCs w:val="2"/>
        </w:rPr>
      </w:pPr>
      <w:r>
        <w:rPr>
          <w:rFonts w:ascii="宋体"/>
          <w:sz w:val="2"/>
        </w:rPr>
        <w:pict>
          <v:group style="width:137.550pt;height:.5pt;mso-position-horizontal-relative:char;mso-position-vertical-relative:line" coordorigin="0,0" coordsize="2751,10">
            <v:group style="position:absolute;left:5;top:5;width:2741;height:2" coordorigin="5,5" coordsize="2741,2">
              <v:shape style="position:absolute;left:5;top:5;width:2741;height:2" coordorigin="5,5" coordsize="2741,0" path="m5,5l2745,5e" filled="false" stroked="true" strokeweight=".48pt" strokecolor="#000000">
                <v:path arrowok="t"/>
              </v:shape>
            </v:group>
          </v:group>
        </w:pict>
      </w:r>
      <w:r>
        <w:rPr>
          <w:rFonts w:ascii="宋体"/>
          <w:sz w:val="2"/>
        </w:rPr>
      </w:r>
      <w:r>
        <w:rPr>
          <w:rFonts w:ascii="宋体"/>
          <w:sz w:val="2"/>
        </w:rPr>
        <w:tab/>
      </w:r>
      <w:r>
        <w:rPr>
          <w:rFonts w:ascii="宋体"/>
          <w:sz w:val="2"/>
        </w:rPr>
        <w:pict>
          <v:group style="width:142.2pt;height:.5pt;mso-position-horizontal-relative:char;mso-position-vertical-relative:line" coordorigin="0,0" coordsize="2844,10">
            <v:group style="position:absolute;left:5;top:5;width:2835;height:2" coordorigin="5,5" coordsize="2835,2">
              <v:shape style="position:absolute;left:5;top:5;width:2835;height:2" coordorigin="5,5" coordsize="2835,0" path="m5,5l2839,5e" filled="false" stroked="true" strokeweight=".48pt" strokecolor="#000000">
                <v:path arrowok="t"/>
              </v:shape>
            </v:group>
          </v:group>
        </w:pict>
      </w:r>
      <w:r>
        <w:rPr>
          <w:rFonts w:ascii="宋体"/>
          <w:sz w:val="2"/>
        </w:rPr>
      </w:r>
      <w:r>
        <w:rPr>
          <w:rFonts w:ascii="宋体"/>
          <w:sz w:val="2"/>
        </w:rPr>
        <w:tab/>
      </w:r>
      <w:r>
        <w:rPr>
          <w:rFonts w:ascii="宋体"/>
          <w:sz w:val="2"/>
        </w:rPr>
        <w:pict>
          <v:group style="width:184.55pt;height:.5pt;mso-position-horizontal-relative:char;mso-position-vertical-relative:line" coordorigin="0,0" coordsize="3691,10">
            <v:group style="position:absolute;left:5;top:5;width:3682;height:2" coordorigin="5,5" coordsize="3682,2">
              <v:shape style="position:absolute;left:5;top:5;width:3682;height:2" coordorigin="5,5" coordsize="3682,0" path="m5,5l3686,5e" filled="false" stroked="true" strokeweight=".48pt" strokecolor="#000000">
                <v:path arrowok="t"/>
              </v:shape>
            </v:group>
          </v:group>
        </w:pict>
      </w:r>
      <w:r>
        <w:rPr>
          <w:rFonts w:ascii="宋体"/>
          <w:sz w:val="2"/>
        </w:rPr>
      </w:r>
    </w:p>
    <w:p>
      <w:pPr>
        <w:tabs>
          <w:tab w:pos="9251" w:val="left" w:leader="none"/>
        </w:tabs>
        <w:spacing w:before="0"/>
        <w:ind w:left="5440" w:right="0" w:firstLine="0"/>
        <w:jc w:val="left"/>
        <w:rPr>
          <w:rFonts w:ascii="Times New Roman" w:hAnsi="Times New Roman" w:cs="Times New Roman" w:eastAsia="Times New Roman" w:hint="default"/>
          <w:sz w:val="21"/>
          <w:szCs w:val="21"/>
        </w:rPr>
      </w:pPr>
      <w:r>
        <w:rPr>
          <w:rFonts w:ascii="Times New Roman"/>
          <w:spacing w:val="-1"/>
          <w:sz w:val="21"/>
        </w:rPr>
        <w:t>678,579.56</w:t>
        <w:tab/>
        <w:t>2,549,660.00</w:t>
      </w:r>
    </w:p>
    <w:p>
      <w:pPr>
        <w:tabs>
          <w:tab w:pos="6772" w:val="left" w:leader="none"/>
        </w:tabs>
        <w:spacing w:line="28" w:lineRule="exact"/>
        <w:ind w:left="3652" w:right="0" w:firstLine="0"/>
        <w:rPr>
          <w:rFonts w:ascii="Times New Roman" w:hAnsi="Times New Roman" w:cs="Times New Roman" w:eastAsia="Times New Roman" w:hint="default"/>
          <w:sz w:val="2"/>
          <w:szCs w:val="2"/>
        </w:rPr>
      </w:pPr>
      <w:r>
        <w:rPr>
          <w:rFonts w:ascii="Times New Roman"/>
          <w:position w:val="0"/>
          <w:sz w:val="2"/>
        </w:rPr>
        <w:pict>
          <v:group style="width:142.2pt;height:1.45pt;mso-position-horizontal-relative:char;mso-position-vertical-relative:line" coordorigin="0,0" coordsize="2844,29">
            <v:group style="position:absolute;left:5;top:5;width:2835;height:2" coordorigin="5,5" coordsize="2835,2">
              <v:shape style="position:absolute;left:5;top:5;width:2835;height:2" coordorigin="5,5" coordsize="2835,0" path="m5,5l2839,5e" filled="false" stroked="true" strokeweight=".48pt" strokecolor="#000000">
                <v:path arrowok="t"/>
              </v:shape>
            </v:group>
            <v:group style="position:absolute;left:5;top:24;width:2835;height:2" coordorigin="5,24" coordsize="2835,2">
              <v:shape style="position:absolute;left:5;top:24;width:2835;height:2" coordorigin="5,24" coordsize="2835,0" path="m5,24l2839,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84.55pt;height:1.45pt;mso-position-horizontal-relative:char;mso-position-vertical-relative:line" coordorigin="0,0" coordsize="3691,29">
            <v:group style="position:absolute;left:5;top:5;width:3682;height:2" coordorigin="5,5" coordsize="3682,2">
              <v:shape style="position:absolute;left:5;top:5;width:3682;height:2" coordorigin="5,5" coordsize="3682,0" path="m5,5l3686,5e" filled="false" stroked="true" strokeweight=".48pt" strokecolor="#000000">
                <v:path arrowok="t"/>
              </v:shape>
            </v:group>
            <v:group style="position:absolute;left:5;top:24;width:3682;height:2" coordorigin="5,24" coordsize="3682,2">
              <v:shape style="position:absolute;left:5;top:24;width:3682;height:2" coordorigin="5,24" coordsize="3682,0" path="m5,24l3686,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15"/>
          <w:szCs w:val="15"/>
        </w:rPr>
      </w:pPr>
    </w:p>
    <w:p>
      <w:pPr>
        <w:spacing w:before="36"/>
        <w:ind w:left="786" w:right="6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6.14.2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本报告期应付账款中无应付持有公司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p>
      <w:pPr>
        <w:spacing w:line="240" w:lineRule="auto" w:before="2"/>
        <w:rPr>
          <w:rFonts w:ascii="宋体" w:hAnsi="宋体" w:cs="宋体" w:eastAsia="宋体" w:hint="default"/>
          <w:sz w:val="19"/>
          <w:szCs w:val="19"/>
        </w:rPr>
      </w:pPr>
    </w:p>
    <w:p>
      <w:pPr>
        <w:spacing w:line="272" w:lineRule="exact" w:before="0"/>
        <w:ind w:left="78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6.14.3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应付账款年末数比年初数减少</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1,871,080.44</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元，减少比例为</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73.39%</w:t>
      </w:r>
      <w:r>
        <w:rPr>
          <w:rFonts w:ascii="宋体" w:hAnsi="宋体" w:cs="宋体" w:eastAsia="宋体" w:hint="default"/>
          <w:spacing w:val="-4"/>
          <w:sz w:val="21"/>
          <w:szCs w:val="21"/>
        </w:rPr>
        <w:t>，减少原因为：本年支付货款增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加所致。</w:t>
      </w:r>
    </w:p>
    <w:p>
      <w:pPr>
        <w:spacing w:after="0" w:line="272" w:lineRule="exact"/>
        <w:jc w:val="left"/>
        <w:rPr>
          <w:rFonts w:ascii="宋体" w:hAnsi="宋体" w:cs="宋体" w:eastAsia="宋体" w:hint="default"/>
          <w:sz w:val="21"/>
          <w:szCs w:val="21"/>
        </w:rPr>
        <w:sectPr>
          <w:type w:val="continuous"/>
          <w:pgSz w:w="11900" w:h="16840"/>
          <w:pgMar w:top="1040" w:bottom="1180" w:left="980" w:right="340"/>
        </w:sectPr>
      </w:pPr>
    </w:p>
    <w:p>
      <w:pPr>
        <w:spacing w:line="240" w:lineRule="auto" w:before="10"/>
        <w:rPr>
          <w:rFonts w:ascii="宋体" w:hAnsi="宋体" w:cs="宋体" w:eastAsia="宋体" w:hint="default"/>
          <w:sz w:val="12"/>
          <w:szCs w:val="12"/>
        </w:rPr>
      </w:pPr>
    </w:p>
    <w:p>
      <w:pPr>
        <w:tabs>
          <w:tab w:pos="649"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6.15</w:t>
      </w:r>
      <w:r>
        <w:rPr>
          <w:rFonts w:ascii="Times New Roman" w:hAnsi="Times New Roman" w:cs="Times New Roman" w:eastAsia="Times New Roman" w:hint="default"/>
          <w:spacing w:val="51"/>
          <w:sz w:val="21"/>
          <w:szCs w:val="21"/>
        </w:rPr>
        <w:t> </w:t>
      </w:r>
      <w:r>
        <w:rPr>
          <w:rFonts w:ascii="宋体" w:hAnsi="宋体" w:cs="宋体" w:eastAsia="宋体" w:hint="default"/>
          <w:position w:val="-1"/>
          <w:sz w:val="21"/>
          <w:szCs w:val="21"/>
        </w:rPr>
        <w:t>预收款项</w:t>
      </w:r>
      <w:r>
        <w:rPr>
          <w:rFonts w:ascii="宋体" w:hAnsi="宋体" w:cs="宋体" w:eastAsia="宋体" w:hint="default"/>
          <w:sz w:val="21"/>
          <w:szCs w:val="21"/>
        </w:rPr>
      </w:r>
    </w:p>
    <w:p>
      <w:pPr>
        <w:spacing w:line="240" w:lineRule="auto" w:before="6"/>
        <w:rPr>
          <w:rFonts w:ascii="宋体" w:hAnsi="宋体" w:cs="宋体" w:eastAsia="宋体" w:hint="default"/>
          <w:sz w:val="20"/>
          <w:szCs w:val="20"/>
        </w:rPr>
      </w:pPr>
    </w:p>
    <w:p>
      <w:pPr>
        <w:spacing w:before="0"/>
        <w:ind w:left="649" w:right="9246" w:firstLine="0"/>
        <w:jc w:val="center"/>
        <w:rPr>
          <w:rFonts w:ascii="Times New Roman" w:hAnsi="Times New Roman" w:cs="Times New Roman" w:eastAsia="Times New Roman" w:hint="default"/>
          <w:sz w:val="21"/>
          <w:szCs w:val="21"/>
        </w:rPr>
      </w:pPr>
      <w:r>
        <w:rPr>
          <w:rFonts w:ascii="Times New Roman"/>
          <w:sz w:val="21"/>
        </w:rPr>
        <w:t>6.15.1</w:t>
      </w:r>
    </w:p>
    <w:p>
      <w:pPr>
        <w:spacing w:line="240" w:lineRule="auto" w:before="6"/>
        <w:rPr>
          <w:rFonts w:ascii="Times New Roman" w:hAnsi="Times New Roman" w:cs="Times New Roman" w:eastAsia="Times New Roman" w:hint="default"/>
          <w:sz w:val="18"/>
          <w:szCs w:val="18"/>
        </w:rPr>
      </w:pPr>
    </w:p>
    <w:p>
      <w:pPr>
        <w:tabs>
          <w:tab w:pos="4527" w:val="left" w:leader="none"/>
          <w:tab w:pos="8497" w:val="left" w:leader="none"/>
        </w:tabs>
        <w:spacing w:before="0"/>
        <w:ind w:left="1717"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3529" w:val="left" w:leader="none"/>
          <w:tab w:pos="6649" w:val="left" w:leader="none"/>
        </w:tabs>
        <w:spacing w:line="20" w:lineRule="exact"/>
        <w:ind w:left="553" w:right="0" w:firstLine="0"/>
        <w:rPr>
          <w:rFonts w:ascii="宋体" w:hAnsi="宋体" w:cs="宋体" w:eastAsia="宋体" w:hint="default"/>
          <w:sz w:val="2"/>
          <w:szCs w:val="2"/>
        </w:rPr>
      </w:pPr>
      <w:r>
        <w:rPr>
          <w:rFonts w:ascii="宋体"/>
          <w:sz w:val="2"/>
        </w:rPr>
        <w:pict>
          <v:group style="width:137.550pt;height:.5pt;mso-position-horizontal-relative:char;mso-position-vertical-relative:line" coordorigin="0,0" coordsize="2751,10">
            <v:group style="position:absolute;left:5;top:5;width:2741;height:2" coordorigin="5,5" coordsize="2741,2">
              <v:shape style="position:absolute;left:5;top:5;width:2741;height:2" coordorigin="5,5" coordsize="2741,0" path="m5,5l2745,5e" filled="false" stroked="true" strokeweight=".48pt" strokecolor="#000000">
                <v:path arrowok="t"/>
              </v:shape>
            </v:group>
          </v:group>
        </w:pict>
      </w:r>
      <w:r>
        <w:rPr>
          <w:rFonts w:ascii="宋体"/>
          <w:sz w:val="2"/>
        </w:rPr>
      </w:r>
      <w:r>
        <w:rPr>
          <w:rFonts w:ascii="宋体"/>
          <w:sz w:val="2"/>
        </w:rPr>
        <w:tab/>
      </w:r>
      <w:r>
        <w:rPr>
          <w:rFonts w:ascii="宋体"/>
          <w:sz w:val="2"/>
        </w:rPr>
        <w:pict>
          <v:group style="width:142.35pt;height:.5pt;mso-position-horizontal-relative:char;mso-position-vertical-relative:line" coordorigin="0,0" coordsize="2847,10">
            <v:group style="position:absolute;left:5;top:5;width:2837;height:2" coordorigin="5,5" coordsize="2837,2">
              <v:shape style="position:absolute;left:5;top:5;width:2837;height:2" coordorigin="5,5" coordsize="2837,0" path="m5,5l2841,5e" filled="false" stroked="true" strokeweight=".48pt" strokecolor="#000000">
                <v:path arrowok="t"/>
              </v:shape>
            </v:group>
          </v:group>
        </w:pict>
      </w:r>
      <w:r>
        <w:rPr>
          <w:rFonts w:ascii="宋体"/>
          <w:sz w:val="2"/>
        </w:rPr>
      </w:r>
      <w:r>
        <w:rPr>
          <w:rFonts w:ascii="宋体"/>
          <w:sz w:val="2"/>
        </w:rPr>
        <w:tab/>
      </w:r>
      <w:r>
        <w:rPr>
          <w:rFonts w:ascii="宋体"/>
          <w:sz w:val="2"/>
        </w:rPr>
        <w:pict>
          <v:group style="width:184.7pt;height:.5pt;mso-position-horizontal-relative:char;mso-position-vertical-relative:line" coordorigin="0,0" coordsize="3694,10">
            <v:group style="position:absolute;left:5;top:5;width:3684;height:2" coordorigin="5,5" coordsize="3684,2">
              <v:shape style="position:absolute;left:5;top:5;width:3684;height:2" coordorigin="5,5" coordsize="3684,0" path="m5,5l3689,5e" filled="false" stroked="true" strokeweight=".48pt" strokecolor="#000000">
                <v:path arrowok="t"/>
              </v:shape>
            </v:group>
          </v:group>
        </w:pict>
      </w:r>
      <w:r>
        <w:rPr>
          <w:rFonts w:ascii="宋体"/>
          <w:sz w:val="2"/>
        </w:rPr>
      </w:r>
    </w:p>
    <w:p>
      <w:pPr>
        <w:tabs>
          <w:tab w:pos="9128" w:val="left" w:leader="none"/>
        </w:tabs>
        <w:spacing w:before="0"/>
        <w:ind w:left="5159" w:right="0" w:firstLine="0"/>
        <w:jc w:val="left"/>
        <w:rPr>
          <w:rFonts w:ascii="Times New Roman" w:hAnsi="Times New Roman" w:cs="Times New Roman" w:eastAsia="Times New Roman" w:hint="default"/>
          <w:sz w:val="21"/>
          <w:szCs w:val="21"/>
        </w:rPr>
      </w:pPr>
      <w:r>
        <w:rPr>
          <w:rFonts w:ascii="Times New Roman"/>
          <w:spacing w:val="-1"/>
          <w:sz w:val="21"/>
        </w:rPr>
        <w:t>1,487,591.04</w:t>
        <w:tab/>
        <w:t>1,796,499.98</w:t>
      </w:r>
    </w:p>
    <w:p>
      <w:pPr>
        <w:tabs>
          <w:tab w:pos="6649" w:val="left" w:leader="none"/>
        </w:tabs>
        <w:spacing w:line="28" w:lineRule="exact"/>
        <w:ind w:left="3529" w:right="0" w:firstLine="0"/>
        <w:rPr>
          <w:rFonts w:ascii="Times New Roman" w:hAnsi="Times New Roman" w:cs="Times New Roman" w:eastAsia="Times New Roman" w:hint="default"/>
          <w:sz w:val="2"/>
          <w:szCs w:val="2"/>
        </w:rPr>
      </w:pPr>
      <w:r>
        <w:rPr>
          <w:rFonts w:ascii="Times New Roman"/>
          <w:position w:val="0"/>
          <w:sz w:val="2"/>
        </w:rPr>
        <w:pict>
          <v:group style="width:142.35pt;height:1.45pt;mso-position-horizontal-relative:char;mso-position-vertical-relative:line" coordorigin="0,0" coordsize="2847,29">
            <v:group style="position:absolute;left:5;top:5;width:2837;height:2" coordorigin="5,5" coordsize="2837,2">
              <v:shape style="position:absolute;left:5;top:5;width:2837;height:2" coordorigin="5,5" coordsize="2837,0" path="m5,5l2841,5e" filled="false" stroked="true" strokeweight=".48pt" strokecolor="#000000">
                <v:path arrowok="t"/>
              </v:shape>
            </v:group>
            <v:group style="position:absolute;left:5;top:24;width:2837;height:2" coordorigin="5,24" coordsize="2837,2">
              <v:shape style="position:absolute;left:5;top:24;width:2837;height:2" coordorigin="5,24" coordsize="2837,0" path="m5,24l284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84.7pt;height:1.45pt;mso-position-horizontal-relative:char;mso-position-vertical-relative:line" coordorigin="0,0" coordsize="3694,29">
            <v:group style="position:absolute;left:5;top:5;width:3684;height:2" coordorigin="5,5" coordsize="3684,2">
              <v:shape style="position:absolute;left:5;top:5;width:3684;height:2" coordorigin="5,5" coordsize="3684,0" path="m5,5l3689,5e" filled="false" stroked="true" strokeweight=".48pt" strokecolor="#000000">
                <v:path arrowok="t"/>
              </v:shape>
            </v:group>
            <v:group style="position:absolute;left:5;top:24;width:3684;height:2" coordorigin="5,24" coordsize="3684,2">
              <v:shape style="position:absolute;left:5;top:24;width:3684;height:2" coordorigin="5,24" coordsize="3684,0" path="m5,24l3689,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15"/>
          <w:szCs w:val="15"/>
        </w:rPr>
      </w:pPr>
    </w:p>
    <w:p>
      <w:pPr>
        <w:spacing w:before="36"/>
        <w:ind w:left="66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6.15.2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本报告期预收款项中无预收持有本公司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p>
      <w:pPr>
        <w:spacing w:line="240" w:lineRule="auto" w:before="7"/>
        <w:rPr>
          <w:rFonts w:ascii="宋体" w:hAnsi="宋体" w:cs="宋体" w:eastAsia="宋体" w:hint="default"/>
          <w:sz w:val="13"/>
          <w:szCs w:val="13"/>
        </w:rPr>
      </w:pPr>
    </w:p>
    <w:tbl>
      <w:tblPr>
        <w:tblW w:w="0" w:type="auto"/>
        <w:jc w:val="left"/>
        <w:tblInd w:w="161" w:type="dxa"/>
        <w:tblLayout w:type="fixed"/>
        <w:tblCellMar>
          <w:top w:w="0" w:type="dxa"/>
          <w:left w:w="0" w:type="dxa"/>
          <w:bottom w:w="0" w:type="dxa"/>
          <w:right w:w="0" w:type="dxa"/>
        </w:tblCellMar>
        <w:tblLook w:val="01E0"/>
      </w:tblPr>
      <w:tblGrid>
        <w:gridCol w:w="2946"/>
        <w:gridCol w:w="286"/>
        <w:gridCol w:w="1558"/>
        <w:gridCol w:w="283"/>
        <w:gridCol w:w="1421"/>
        <w:gridCol w:w="283"/>
        <w:gridCol w:w="1274"/>
        <w:gridCol w:w="286"/>
        <w:gridCol w:w="1841"/>
      </w:tblGrid>
      <w:tr>
        <w:trPr>
          <w:trHeight w:val="875" w:hRule="exact"/>
        </w:trPr>
        <w:tc>
          <w:tcPr>
            <w:tcW w:w="294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35" w:right="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6.16</w:t>
            </w:r>
            <w:r>
              <w:rPr>
                <w:rFonts w:ascii="Times New Roman" w:hAnsi="Times New Roman" w:cs="Times New Roman" w:eastAsia="Times New Roman" w:hint="default"/>
                <w:spacing w:val="50"/>
                <w:position w:val="2"/>
                <w:sz w:val="21"/>
                <w:szCs w:val="21"/>
              </w:rPr>
              <w:t> </w:t>
            </w:r>
            <w:r>
              <w:rPr>
                <w:rFonts w:ascii="宋体" w:hAnsi="宋体" w:cs="宋体" w:eastAsia="宋体" w:hint="default"/>
                <w:sz w:val="21"/>
                <w:szCs w:val="21"/>
              </w:rPr>
              <w:t>应付职工薪酬</w:t>
            </w: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56"/>
              <w:jc w:val="right"/>
              <w:rPr>
                <w:rFonts w:ascii="宋体" w:hAnsi="宋体" w:cs="宋体" w:eastAsia="宋体" w:hint="default"/>
                <w:sz w:val="15"/>
                <w:szCs w:val="15"/>
              </w:rPr>
            </w:pP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5"/>
                <w:szCs w:val="15"/>
              </w:rPr>
            </w:pPr>
            <w:r>
              <w:rPr>
                <w:rFonts w:ascii="宋体" w:hAnsi="宋体" w:cs="宋体" w:eastAsia="宋体" w:hint="default"/>
                <w:sz w:val="15"/>
                <w:szCs w:val="15"/>
              </w:rPr>
              <w:t>本年增加</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本年减少</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tc>
      </w:tr>
      <w:tr>
        <w:trPr>
          <w:trHeight w:val="269" w:hRule="exact"/>
        </w:trPr>
        <w:tc>
          <w:tcPr>
            <w:tcW w:w="2946" w:type="dxa"/>
            <w:tcBorders>
              <w:top w:val="single" w:sz="4" w:space="0" w:color="000000"/>
              <w:left w:val="nil" w:sz="6" w:space="0" w:color="auto"/>
              <w:bottom w:val="nil" w:sz="6" w:space="0" w:color="auto"/>
              <w:right w:val="nil" w:sz="6" w:space="0" w:color="auto"/>
            </w:tcBorders>
          </w:tcPr>
          <w:p>
            <w:pPr>
              <w:pStyle w:val="TableParagraph"/>
              <w:spacing w:line="172" w:lineRule="exact"/>
              <w:ind w:left="505" w:right="0"/>
              <w:jc w:val="left"/>
              <w:rPr>
                <w:rFonts w:ascii="宋体" w:hAnsi="宋体" w:cs="宋体" w:eastAsia="宋体" w:hint="default"/>
                <w:sz w:val="15"/>
                <w:szCs w:val="15"/>
              </w:rPr>
            </w:pPr>
            <w:r>
              <w:rPr>
                <w:rFonts w:ascii="宋体" w:hAnsi="宋体" w:cs="宋体" w:eastAsia="宋体" w:hint="default"/>
                <w:sz w:val="15"/>
                <w:szCs w:val="15"/>
              </w:rPr>
              <w:t>一、工资、奖金、津贴和补贴</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3,801,095.86</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2"/>
                <w:sz w:val="18"/>
              </w:rPr>
              <w:t>111,984,661.40</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107,949,001.64</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7,836,755.62</w:t>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4" w:lineRule="exact"/>
              <w:ind w:left="505" w:right="0"/>
              <w:jc w:val="left"/>
              <w:rPr>
                <w:rFonts w:ascii="宋体" w:hAnsi="宋体" w:cs="宋体" w:eastAsia="宋体" w:hint="default"/>
                <w:sz w:val="15"/>
                <w:szCs w:val="15"/>
              </w:rPr>
            </w:pPr>
            <w:r>
              <w:rPr>
                <w:rFonts w:ascii="宋体" w:hAnsi="宋体" w:cs="宋体" w:eastAsia="宋体" w:hint="default"/>
                <w:sz w:val="15"/>
                <w:szCs w:val="15"/>
              </w:rPr>
              <w:t>二、职工福利费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2,582,592.73</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721,725.00</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3,304,317.73</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4" w:lineRule="exact"/>
              <w:ind w:left="505" w:right="0"/>
              <w:jc w:val="left"/>
              <w:rPr>
                <w:rFonts w:ascii="宋体" w:hAnsi="宋体" w:cs="宋体" w:eastAsia="宋体" w:hint="default"/>
                <w:sz w:val="15"/>
                <w:szCs w:val="15"/>
              </w:rPr>
            </w:pPr>
            <w:r>
              <w:rPr>
                <w:rFonts w:ascii="宋体" w:hAnsi="宋体" w:cs="宋体" w:eastAsia="宋体" w:hint="default"/>
                <w:sz w:val="15"/>
                <w:szCs w:val="15"/>
              </w:rPr>
              <w:t>三、社会保险费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1,965,384.52</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24,243,931.58</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23,507,029.47</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2,702,286.63</w:t>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95" w:lineRule="exact"/>
              <w:ind w:left="505"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1.</w:t>
            </w:r>
            <w:r>
              <w:rPr>
                <w:rFonts w:ascii="宋体" w:hAnsi="宋体" w:cs="宋体" w:eastAsia="宋体" w:hint="default"/>
                <w:sz w:val="15"/>
                <w:szCs w:val="15"/>
              </w:rPr>
              <w:t>医疗保险费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65,763.22</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485,921.11</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484,640.17</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67,044.16</w:t>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95" w:lineRule="exact"/>
              <w:ind w:left="95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基本养老保险费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1,898,935.73</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23,746,865.38</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23,011,577.37</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2,634,223.74</w:t>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95" w:lineRule="exact"/>
              <w:ind w:left="95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年金缴费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95" w:lineRule="exact"/>
              <w:ind w:left="95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失业保险费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z w:val="18"/>
              </w:rPr>
              <w:t>63.58</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w w:val="95"/>
                <w:sz w:val="18"/>
              </w:rPr>
              <w:t>4,501.61</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w w:val="95"/>
                <w:sz w:val="18"/>
              </w:rPr>
              <w:t>4,050.36</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514.83</w:t>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95" w:lineRule="exact"/>
              <w:ind w:left="95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工伤保险费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2"/>
                <w:sz w:val="18"/>
              </w:rPr>
              <w:t>22.11</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772.19</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794.30</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95" w:lineRule="exact"/>
              <w:ind w:left="95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生育保险费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599.88</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w w:val="95"/>
                <w:sz w:val="18"/>
              </w:rPr>
              <w:t>5,871.29</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w w:val="95"/>
                <w:sz w:val="18"/>
              </w:rPr>
              <w:t>5,967.27</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503.90</w:t>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4" w:lineRule="exact"/>
              <w:ind w:left="579" w:right="0"/>
              <w:jc w:val="left"/>
              <w:rPr>
                <w:rFonts w:ascii="宋体" w:hAnsi="宋体" w:cs="宋体" w:eastAsia="宋体" w:hint="default"/>
                <w:sz w:val="15"/>
                <w:szCs w:val="15"/>
              </w:rPr>
            </w:pPr>
            <w:r>
              <w:rPr>
                <w:rFonts w:ascii="宋体" w:hAnsi="宋体" w:cs="宋体" w:eastAsia="宋体" w:hint="default"/>
                <w:sz w:val="15"/>
                <w:szCs w:val="15"/>
              </w:rPr>
              <w:t>四、住房公积金</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930,536.40</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8,047,920.00</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8,190,015.40</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788,441.00</w:t>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4" w:lineRule="exact"/>
              <w:ind w:left="579" w:right="0"/>
              <w:jc w:val="left"/>
              <w:rPr>
                <w:rFonts w:ascii="宋体" w:hAnsi="宋体" w:cs="宋体" w:eastAsia="宋体" w:hint="default"/>
                <w:sz w:val="15"/>
                <w:szCs w:val="15"/>
              </w:rPr>
            </w:pPr>
            <w:r>
              <w:rPr>
                <w:rFonts w:ascii="宋体" w:hAnsi="宋体" w:cs="宋体" w:eastAsia="宋体" w:hint="default"/>
                <w:sz w:val="15"/>
                <w:szCs w:val="15"/>
              </w:rPr>
              <w:t>五、工会经费和职工教育经费</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spacing w:val="-1"/>
                <w:sz w:val="18"/>
              </w:rPr>
              <w:t>1,565,517.31</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1,565,517.31</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4" w:lineRule="exact"/>
              <w:ind w:left="579" w:right="0"/>
              <w:jc w:val="left"/>
              <w:rPr>
                <w:rFonts w:ascii="宋体" w:hAnsi="宋体" w:cs="宋体" w:eastAsia="宋体" w:hint="default"/>
                <w:sz w:val="15"/>
                <w:szCs w:val="15"/>
              </w:rPr>
            </w:pPr>
            <w:r>
              <w:rPr>
                <w:rFonts w:ascii="宋体" w:hAnsi="宋体" w:cs="宋体" w:eastAsia="宋体" w:hint="default"/>
                <w:sz w:val="15"/>
                <w:szCs w:val="15"/>
              </w:rPr>
              <w:t>六、非货币性福利</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6"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4" w:lineRule="exact"/>
              <w:ind w:left="579" w:right="0"/>
              <w:jc w:val="left"/>
              <w:rPr>
                <w:rFonts w:ascii="宋体" w:hAnsi="宋体" w:cs="宋体" w:eastAsia="宋体" w:hint="default"/>
                <w:sz w:val="15"/>
                <w:szCs w:val="15"/>
              </w:rPr>
            </w:pPr>
            <w:r>
              <w:rPr>
                <w:rFonts w:ascii="宋体" w:hAnsi="宋体" w:cs="宋体" w:eastAsia="宋体" w:hint="default"/>
                <w:sz w:val="15"/>
                <w:szCs w:val="15"/>
              </w:rPr>
              <w:t>七、辞退福利</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2"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84" w:lineRule="exact"/>
              <w:ind w:left="579" w:right="0"/>
              <w:jc w:val="left"/>
              <w:rPr>
                <w:rFonts w:ascii="宋体" w:hAnsi="宋体" w:cs="宋体" w:eastAsia="宋体" w:hint="default"/>
                <w:sz w:val="15"/>
                <w:szCs w:val="15"/>
              </w:rPr>
            </w:pPr>
            <w:r>
              <w:rPr>
                <w:rFonts w:ascii="宋体" w:hAnsi="宋体" w:cs="宋体" w:eastAsia="宋体" w:hint="default"/>
                <w:sz w:val="15"/>
                <w:szCs w:val="15"/>
              </w:rPr>
              <w:t>八、其他</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5" w:hRule="exact"/>
        </w:trPr>
        <w:tc>
          <w:tcPr>
            <w:tcW w:w="2946" w:type="dxa"/>
            <w:tcBorders>
              <w:top w:val="nil" w:sz="6" w:space="0" w:color="auto"/>
              <w:left w:val="nil" w:sz="6" w:space="0" w:color="auto"/>
              <w:bottom w:val="nil" w:sz="6" w:space="0" w:color="auto"/>
              <w:right w:val="nil" w:sz="6" w:space="0" w:color="auto"/>
            </w:tcBorders>
          </w:tcPr>
          <w:p>
            <w:pPr>
              <w:pStyle w:val="TableParagraph"/>
              <w:spacing w:line="177" w:lineRule="exact"/>
              <w:ind w:left="471"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286"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9,279,609.51</w:t>
            </w:r>
          </w:p>
        </w:tc>
        <w:tc>
          <w:tcPr>
            <w:tcW w:w="283"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146,563,755.29</w:t>
            </w:r>
          </w:p>
        </w:tc>
        <w:tc>
          <w:tcPr>
            <w:tcW w:w="283"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144,515,881.55</w:t>
            </w:r>
          </w:p>
        </w:tc>
        <w:tc>
          <w:tcPr>
            <w:tcW w:w="286" w:type="dxa"/>
            <w:tcBorders>
              <w:top w:val="nil" w:sz="6" w:space="0" w:color="auto"/>
              <w:left w:val="nil" w:sz="6" w:space="0" w:color="auto"/>
              <w:bottom w:val="nil" w:sz="6" w:space="0" w:color="auto"/>
              <w:right w:val="nil" w:sz="6" w:space="0" w:color="auto"/>
            </w:tcBorders>
          </w:tcPr>
          <w:p>
            <w:pPr/>
          </w:p>
        </w:tc>
        <w:tc>
          <w:tcPr>
            <w:tcW w:w="1841"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11,327,483.25</w:t>
            </w:r>
          </w:p>
        </w:tc>
      </w:tr>
    </w:tbl>
    <w:p>
      <w:pPr>
        <w:spacing w:line="240" w:lineRule="auto" w:before="1"/>
        <w:rPr>
          <w:rFonts w:ascii="宋体" w:hAnsi="宋体" w:cs="宋体" w:eastAsia="宋体" w:hint="default"/>
          <w:sz w:val="12"/>
          <w:szCs w:val="12"/>
        </w:rPr>
      </w:pPr>
    </w:p>
    <w:p>
      <w:pPr>
        <w:spacing w:before="36"/>
        <w:ind w:left="666" w:right="0" w:firstLine="0"/>
        <w:jc w:val="left"/>
        <w:rPr>
          <w:rFonts w:ascii="宋体" w:hAnsi="宋体" w:cs="宋体" w:eastAsia="宋体" w:hint="default"/>
          <w:sz w:val="21"/>
          <w:szCs w:val="21"/>
        </w:rPr>
      </w:pPr>
      <w:r>
        <w:rPr>
          <w:rFonts w:ascii="宋体" w:hAnsi="宋体" w:cs="宋体" w:eastAsia="宋体" w:hint="default"/>
          <w:sz w:val="21"/>
          <w:szCs w:val="21"/>
        </w:rPr>
        <w:t>年末应付职工薪酬中无属于拖欠性质的款项。</w:t>
      </w:r>
    </w:p>
    <w:p>
      <w:pPr>
        <w:spacing w:line="240" w:lineRule="auto" w:before="3"/>
        <w:rPr>
          <w:rFonts w:ascii="宋体" w:hAnsi="宋体" w:cs="宋体" w:eastAsia="宋体" w:hint="default"/>
          <w:sz w:val="20"/>
          <w:szCs w:val="20"/>
        </w:rPr>
      </w:pPr>
    </w:p>
    <w:p>
      <w:pPr>
        <w:spacing w:line="274" w:lineRule="exact" w:before="0"/>
        <w:ind w:left="666" w:right="0" w:firstLine="0"/>
        <w:jc w:val="left"/>
        <w:rPr>
          <w:rFonts w:ascii="宋体" w:hAnsi="宋体" w:cs="宋体" w:eastAsia="宋体" w:hint="default"/>
          <w:sz w:val="21"/>
          <w:szCs w:val="21"/>
        </w:rPr>
      </w:pPr>
      <w:r>
        <w:rPr>
          <w:rFonts w:ascii="宋体" w:hAnsi="宋体" w:cs="宋体" w:eastAsia="宋体" w:hint="default"/>
          <w:sz w:val="21"/>
          <w:szCs w:val="21"/>
        </w:rPr>
        <w:t>应付职工薪酬年末数比年初数增加 </w:t>
      </w:r>
      <w:r>
        <w:rPr>
          <w:rFonts w:ascii="Times New Roman" w:hAnsi="Times New Roman" w:cs="Times New Roman" w:eastAsia="Times New Roman" w:hint="default"/>
          <w:sz w:val="21"/>
          <w:szCs w:val="21"/>
        </w:rPr>
        <w:t>2,047,873.74 </w:t>
      </w:r>
      <w:r>
        <w:rPr>
          <w:rFonts w:ascii="宋体" w:hAnsi="宋体" w:cs="宋体" w:eastAsia="宋体" w:hint="default"/>
          <w:sz w:val="21"/>
          <w:szCs w:val="21"/>
        </w:rPr>
        <w:t>元，增加比例为</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22.09%</w:t>
      </w:r>
      <w:r>
        <w:rPr>
          <w:rFonts w:ascii="宋体" w:hAnsi="宋体" w:cs="宋体" w:eastAsia="宋体" w:hint="default"/>
          <w:sz w:val="21"/>
          <w:szCs w:val="21"/>
        </w:rPr>
        <w:t>，增加原因为：年末员工人数增</w:t>
      </w:r>
      <w:r>
        <w:rPr>
          <w:rFonts w:ascii="宋体" w:hAnsi="宋体" w:cs="宋体" w:eastAsia="宋体" w:hint="default"/>
          <w:w w:val="100"/>
          <w:sz w:val="21"/>
          <w:szCs w:val="21"/>
        </w:rPr>
        <w:t> </w:t>
      </w:r>
      <w:r>
        <w:rPr>
          <w:rFonts w:ascii="宋体" w:hAnsi="宋体" w:cs="宋体" w:eastAsia="宋体" w:hint="default"/>
          <w:sz w:val="21"/>
          <w:szCs w:val="21"/>
        </w:rPr>
        <w:t>加所致。</w:t>
      </w:r>
    </w:p>
    <w:p>
      <w:pPr>
        <w:spacing w:line="240" w:lineRule="auto" w:before="6"/>
        <w:rPr>
          <w:rFonts w:ascii="宋体" w:hAnsi="宋体" w:cs="宋体" w:eastAsia="宋体" w:hint="default"/>
          <w:sz w:val="18"/>
          <w:szCs w:val="18"/>
        </w:rPr>
      </w:pPr>
    </w:p>
    <w:p>
      <w:pPr>
        <w:spacing w:line="272" w:lineRule="exact" w:before="0"/>
        <w:ind w:left="666" w:right="0" w:firstLine="0"/>
        <w:jc w:val="left"/>
        <w:rPr>
          <w:rFonts w:ascii="宋体" w:hAnsi="宋体" w:cs="宋体" w:eastAsia="宋体" w:hint="default"/>
          <w:sz w:val="21"/>
          <w:szCs w:val="21"/>
        </w:rPr>
      </w:pPr>
      <w:r>
        <w:rPr>
          <w:rFonts w:ascii="宋体" w:hAnsi="宋体" w:cs="宋体" w:eastAsia="宋体" w:hint="default"/>
          <w:spacing w:val="-2"/>
          <w:sz w:val="21"/>
          <w:szCs w:val="21"/>
        </w:rPr>
        <w:t>应付职工薪酬预计发放时间、金额等安排：年末余额为本公司及下属子公司计提的年终奖和社会保险费，</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将于下一会计期间支付。</w:t>
      </w:r>
    </w:p>
    <w:p>
      <w:pPr>
        <w:spacing w:after="0" w:line="272" w:lineRule="exact"/>
        <w:jc w:val="left"/>
        <w:rPr>
          <w:rFonts w:ascii="宋体" w:hAnsi="宋体" w:cs="宋体" w:eastAsia="宋体" w:hint="default"/>
          <w:sz w:val="21"/>
          <w:szCs w:val="21"/>
        </w:rPr>
        <w:sectPr>
          <w:pgSz w:w="11900" w:h="16840"/>
          <w:pgMar w:header="886" w:footer="983" w:top="1800" w:bottom="1180" w:left="1100" w:right="340"/>
        </w:sectPr>
      </w:pPr>
    </w:p>
    <w:p>
      <w:pPr>
        <w:spacing w:line="240" w:lineRule="auto" w:before="10"/>
        <w:rPr>
          <w:rFonts w:ascii="宋体" w:hAnsi="宋体" w:cs="宋体" w:eastAsia="宋体" w:hint="default"/>
          <w:sz w:val="12"/>
          <w:szCs w:val="12"/>
        </w:rPr>
      </w:pPr>
    </w:p>
    <w:p>
      <w:pPr>
        <w:tabs>
          <w:tab w:pos="649"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6.17</w:t>
      </w:r>
      <w:r>
        <w:rPr>
          <w:rFonts w:ascii="Times New Roman" w:hAnsi="Times New Roman" w:cs="Times New Roman" w:eastAsia="Times New Roman" w:hint="default"/>
          <w:spacing w:val="51"/>
          <w:sz w:val="21"/>
          <w:szCs w:val="21"/>
        </w:rPr>
        <w:t> </w:t>
      </w:r>
      <w:r>
        <w:rPr>
          <w:rFonts w:ascii="宋体" w:hAnsi="宋体" w:cs="宋体" w:eastAsia="宋体" w:hint="default"/>
          <w:position w:val="-1"/>
          <w:sz w:val="21"/>
          <w:szCs w:val="21"/>
        </w:rPr>
        <w:t>应交税费</w:t>
      </w:r>
      <w:r>
        <w:rPr>
          <w:rFonts w:ascii="宋体" w:hAnsi="宋体" w:cs="宋体" w:eastAsia="宋体" w:hint="default"/>
          <w:sz w:val="21"/>
          <w:szCs w:val="21"/>
        </w:rPr>
      </w:r>
    </w:p>
    <w:p>
      <w:pPr>
        <w:spacing w:line="240" w:lineRule="auto" w:before="8"/>
        <w:rPr>
          <w:rFonts w:ascii="宋体" w:hAnsi="宋体" w:cs="宋体" w:eastAsia="宋体" w:hint="default"/>
          <w:sz w:val="15"/>
          <w:szCs w:val="15"/>
        </w:rPr>
      </w:pPr>
    </w:p>
    <w:tbl>
      <w:tblPr>
        <w:tblW w:w="0" w:type="auto"/>
        <w:jc w:val="left"/>
        <w:tblInd w:w="558" w:type="dxa"/>
        <w:tblLayout w:type="fixed"/>
        <w:tblCellMar>
          <w:top w:w="0" w:type="dxa"/>
          <w:left w:w="0" w:type="dxa"/>
          <w:bottom w:w="0" w:type="dxa"/>
          <w:right w:w="0" w:type="dxa"/>
        </w:tblCellMar>
        <w:tblLook w:val="01E0"/>
      </w:tblPr>
      <w:tblGrid>
        <w:gridCol w:w="2693"/>
        <w:gridCol w:w="569"/>
        <w:gridCol w:w="2832"/>
        <w:gridCol w:w="283"/>
        <w:gridCol w:w="3403"/>
      </w:tblGrid>
      <w:tr>
        <w:trPr>
          <w:trHeight w:val="346" w:hRule="exact"/>
        </w:trPr>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133"/>
              <w:jc w:val="right"/>
              <w:rPr>
                <w:rFonts w:ascii="宋体" w:hAnsi="宋体" w:cs="宋体" w:eastAsia="宋体" w:hint="default"/>
                <w:sz w:val="21"/>
                <w:szCs w:val="21"/>
              </w:rPr>
            </w:pPr>
            <w:r>
              <w:rPr>
                <w:rFonts w:ascii="宋体" w:hAnsi="宋体" w:cs="宋体" w:eastAsia="宋体" w:hint="default"/>
                <w:sz w:val="21"/>
                <w:szCs w:val="21"/>
              </w:rPr>
              <w:t>税种</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280" w:hRule="exact"/>
        </w:trPr>
        <w:tc>
          <w:tcPr>
            <w:tcW w:w="2693"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spacing w:val="-2"/>
                <w:sz w:val="21"/>
              </w:rPr>
              <w:t>-113,889.03</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-355,965.90</w:t>
            </w:r>
          </w:p>
        </w:tc>
      </w:tr>
      <w:tr>
        <w:trPr>
          <w:trHeight w:val="27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2"/>
              <w:jc w:val="right"/>
              <w:rPr>
                <w:rFonts w:ascii="Times New Roman" w:hAnsi="Times New Roman" w:cs="Times New Roman" w:eastAsia="Times New Roman" w:hint="default"/>
                <w:sz w:val="21"/>
                <w:szCs w:val="21"/>
              </w:rPr>
            </w:pPr>
            <w:r>
              <w:rPr>
                <w:rFonts w:ascii="Times New Roman"/>
                <w:spacing w:val="-1"/>
                <w:sz w:val="21"/>
              </w:rPr>
              <w:t>2,434,122.75</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1,437,349.07</w:t>
            </w:r>
          </w:p>
        </w:tc>
      </w:tr>
      <w:tr>
        <w:trPr>
          <w:trHeight w:val="272"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pacing w:val="-1"/>
                <w:sz w:val="21"/>
              </w:rPr>
              <w:t>5,612.58</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18,437.50</w:t>
            </w:r>
          </w:p>
        </w:tc>
      </w:tr>
      <w:tr>
        <w:trPr>
          <w:trHeight w:val="271"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2"/>
              <w:jc w:val="right"/>
              <w:rPr>
                <w:rFonts w:ascii="Times New Roman" w:hAnsi="Times New Roman" w:cs="Times New Roman" w:eastAsia="Times New Roman" w:hint="default"/>
                <w:sz w:val="21"/>
                <w:szCs w:val="21"/>
              </w:rPr>
            </w:pPr>
            <w:r>
              <w:rPr>
                <w:rFonts w:ascii="Times New Roman"/>
                <w:spacing w:val="-1"/>
                <w:sz w:val="21"/>
              </w:rPr>
              <w:t>3,339,394.25</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520,456.93</w:t>
            </w:r>
          </w:p>
        </w:tc>
      </w:tr>
      <w:tr>
        <w:trPr>
          <w:trHeight w:val="274"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spacing w:val="-1"/>
                <w:sz w:val="21"/>
              </w:rPr>
              <w:t>1,351,870.80</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1,583,253.52</w:t>
            </w:r>
          </w:p>
        </w:tc>
      </w:tr>
      <w:tr>
        <w:trPr>
          <w:trHeight w:val="271"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22,303.22</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3,350.41</w:t>
            </w:r>
          </w:p>
        </w:tc>
      </w:tr>
      <w:tr>
        <w:trPr>
          <w:trHeight w:val="274"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9,558.52</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1,435.89</w:t>
            </w:r>
          </w:p>
        </w:tc>
      </w:tr>
      <w:tr>
        <w:trPr>
          <w:trHeight w:val="274"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1"/>
              <w:jc w:val="right"/>
              <w:rPr>
                <w:rFonts w:ascii="Times New Roman" w:hAnsi="Times New Roman" w:cs="Times New Roman" w:eastAsia="Times New Roman" w:hint="default"/>
                <w:sz w:val="21"/>
                <w:szCs w:val="21"/>
              </w:rPr>
            </w:pPr>
            <w:r>
              <w:rPr>
                <w:rFonts w:ascii="Times New Roman"/>
                <w:spacing w:val="-1"/>
                <w:sz w:val="21"/>
              </w:rPr>
              <w:t>3,186.18</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8,014.05</w:t>
            </w:r>
          </w:p>
        </w:tc>
      </w:tr>
      <w:tr>
        <w:trPr>
          <w:trHeight w:val="293" w:hRule="exact"/>
        </w:trPr>
        <w:tc>
          <w:tcPr>
            <w:tcW w:w="2693" w:type="dxa"/>
            <w:tcBorders>
              <w:top w:val="nil" w:sz="6" w:space="0" w:color="auto"/>
              <w:left w:val="nil" w:sz="6" w:space="0" w:color="auto"/>
              <w:bottom w:val="nil" w:sz="6" w:space="0" w:color="auto"/>
              <w:right w:val="nil" w:sz="6" w:space="0" w:color="auto"/>
            </w:tcBorders>
          </w:tcPr>
          <w:p>
            <w:pPr>
              <w:pStyle w:val="TableParagraph"/>
              <w:spacing w:line="248" w:lineRule="exact"/>
              <w:ind w:right="1080"/>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569" w:type="dxa"/>
            <w:tcBorders>
              <w:top w:val="nil" w:sz="6" w:space="0" w:color="auto"/>
              <w:left w:val="nil" w:sz="6" w:space="0" w:color="auto"/>
              <w:bottom w:val="nil" w:sz="6" w:space="0" w:color="auto"/>
              <w:right w:val="nil" w:sz="6" w:space="0" w:color="auto"/>
            </w:tcBorders>
          </w:tcPr>
          <w:p>
            <w:pPr/>
          </w:p>
        </w:tc>
        <w:tc>
          <w:tcPr>
            <w:tcW w:w="2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spacing w:val="-1"/>
                <w:sz w:val="21"/>
              </w:rPr>
              <w:t>7,052,159.27</w:t>
            </w:r>
          </w:p>
        </w:tc>
        <w:tc>
          <w:tcPr>
            <w:tcW w:w="283" w:type="dxa"/>
            <w:tcBorders>
              <w:top w:val="nil" w:sz="6" w:space="0" w:color="auto"/>
              <w:left w:val="nil" w:sz="6" w:space="0" w:color="auto"/>
              <w:bottom w:val="nil" w:sz="6" w:space="0" w:color="auto"/>
              <w:right w:val="nil" w:sz="6" w:space="0" w:color="auto"/>
            </w:tcBorders>
          </w:tcPr>
          <w:p>
            <w:pPr/>
          </w:p>
        </w:tc>
        <w:tc>
          <w:tcPr>
            <w:tcW w:w="34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3,216,331.47</w:t>
            </w:r>
          </w:p>
        </w:tc>
      </w:tr>
    </w:tbl>
    <w:p>
      <w:pPr>
        <w:spacing w:line="240" w:lineRule="auto" w:before="1"/>
        <w:rPr>
          <w:rFonts w:ascii="宋体" w:hAnsi="宋体" w:cs="宋体" w:eastAsia="宋体" w:hint="default"/>
          <w:sz w:val="12"/>
          <w:szCs w:val="12"/>
        </w:rPr>
      </w:pPr>
    </w:p>
    <w:p>
      <w:pPr>
        <w:spacing w:line="274" w:lineRule="exact" w:before="62"/>
        <w:ind w:left="666" w:right="0" w:firstLine="0"/>
        <w:jc w:val="left"/>
        <w:rPr>
          <w:rFonts w:ascii="宋体" w:hAnsi="宋体" w:cs="宋体" w:eastAsia="宋体" w:hint="default"/>
          <w:sz w:val="21"/>
          <w:szCs w:val="21"/>
        </w:rPr>
      </w:pPr>
      <w:r>
        <w:rPr>
          <w:rFonts w:ascii="宋体" w:hAnsi="宋体" w:cs="宋体" w:eastAsia="宋体" w:hint="default"/>
          <w:sz w:val="21"/>
          <w:szCs w:val="21"/>
        </w:rPr>
        <w:t>应交税费年末数比年初数增加</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3,835,827.80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元，增加比例为</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119.26%</w:t>
      </w:r>
      <w:r>
        <w:rPr>
          <w:rFonts w:ascii="宋体" w:hAnsi="宋体" w:cs="宋体" w:eastAsia="宋体" w:hint="default"/>
          <w:sz w:val="21"/>
          <w:szCs w:val="21"/>
        </w:rPr>
        <w:t>，主要原因为：年末应交企业所得税</w:t>
      </w:r>
      <w:r>
        <w:rPr>
          <w:rFonts w:ascii="宋体" w:hAnsi="宋体" w:cs="宋体" w:eastAsia="宋体" w:hint="default"/>
          <w:w w:val="100"/>
          <w:sz w:val="21"/>
          <w:szCs w:val="21"/>
        </w:rPr>
        <w:t> </w:t>
      </w:r>
      <w:r>
        <w:rPr>
          <w:rFonts w:ascii="宋体" w:hAnsi="宋体" w:cs="宋体" w:eastAsia="宋体" w:hint="default"/>
          <w:sz w:val="21"/>
          <w:szCs w:val="21"/>
        </w:rPr>
        <w:t>及消费税增加所致。</w:t>
      </w:r>
    </w:p>
    <w:p>
      <w:pPr>
        <w:spacing w:line="240" w:lineRule="auto" w:before="4"/>
        <w:rPr>
          <w:rFonts w:ascii="宋体" w:hAnsi="宋体" w:cs="宋体" w:eastAsia="宋体" w:hint="default"/>
          <w:sz w:val="16"/>
          <w:szCs w:val="16"/>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6.18</w:t>
      </w:r>
      <w:r>
        <w:rPr>
          <w:rFonts w:ascii="Times New Roman" w:hAnsi="Times New Roman" w:cs="Times New Roman" w:eastAsia="Times New Roman" w:hint="default"/>
          <w:spacing w:val="52"/>
          <w:position w:val="2"/>
          <w:sz w:val="21"/>
          <w:szCs w:val="21"/>
        </w:rPr>
        <w:t> </w:t>
      </w:r>
      <w:r>
        <w:rPr>
          <w:rFonts w:ascii="宋体" w:hAnsi="宋体" w:cs="宋体" w:eastAsia="宋体" w:hint="default"/>
          <w:sz w:val="21"/>
          <w:szCs w:val="21"/>
        </w:rPr>
        <w:t>其他应付款</w:t>
      </w:r>
    </w:p>
    <w:p>
      <w:pPr>
        <w:spacing w:line="240" w:lineRule="auto" w:before="9"/>
        <w:rPr>
          <w:rFonts w:ascii="宋体" w:hAnsi="宋体" w:cs="宋体" w:eastAsia="宋体" w:hint="default"/>
          <w:sz w:val="14"/>
          <w:szCs w:val="14"/>
        </w:rPr>
      </w:pPr>
    </w:p>
    <w:p>
      <w:pPr>
        <w:spacing w:line="227" w:lineRule="exact" w:before="73"/>
        <w:ind w:left="666" w:right="0" w:firstLine="0"/>
        <w:jc w:val="left"/>
        <w:rPr>
          <w:rFonts w:ascii="Times New Roman" w:hAnsi="Times New Roman" w:cs="Times New Roman" w:eastAsia="Times New Roman" w:hint="default"/>
          <w:sz w:val="21"/>
          <w:szCs w:val="21"/>
        </w:rPr>
      </w:pPr>
      <w:r>
        <w:rPr>
          <w:rFonts w:ascii="Times New Roman"/>
          <w:sz w:val="21"/>
        </w:rPr>
        <w:t>6.18.1</w:t>
      </w:r>
    </w:p>
    <w:p>
      <w:pPr>
        <w:tabs>
          <w:tab w:pos="4955" w:val="left" w:leader="none"/>
          <w:tab w:pos="8497" w:val="left" w:leader="none"/>
        </w:tabs>
        <w:spacing w:line="276" w:lineRule="exact" w:before="0"/>
        <w:ind w:left="1693"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p>
      <w:pPr>
        <w:tabs>
          <w:tab w:pos="3815" w:val="left" w:leader="none"/>
          <w:tab w:pos="7216" w:val="left" w:leader="none"/>
        </w:tabs>
        <w:spacing w:line="20" w:lineRule="exact"/>
        <w:ind w:left="553" w:right="0" w:firstLine="0"/>
        <w:rPr>
          <w:rFonts w:ascii="宋体" w:hAnsi="宋体" w:cs="宋体" w:eastAsia="宋体" w:hint="default"/>
          <w:sz w:val="2"/>
          <w:szCs w:val="2"/>
        </w:rPr>
      </w:pPr>
      <w:r>
        <w:rPr>
          <w:rFonts w:ascii="宋体"/>
          <w:sz w:val="2"/>
        </w:rPr>
        <w:pict>
          <v:group style="width:135.15pt;height:.5pt;mso-position-horizontal-relative:char;mso-position-vertical-relative:line" coordorigin="0,0" coordsize="2703,10">
            <v:group style="position:absolute;left:5;top:5;width:2693;height:2" coordorigin="5,5" coordsize="2693,2">
              <v:shape style="position:absolute;left:5;top:5;width:2693;height:2" coordorigin="5,5" coordsize="2693,0" path="m5,5l2698,5e" filled="false" stroked="true" strokeweight=".48pt" strokecolor="#000000">
                <v:path arrowok="t"/>
              </v:shape>
            </v:group>
          </v:group>
        </w:pict>
      </w:r>
      <w:r>
        <w:rPr>
          <w:rFonts w:ascii="宋体"/>
          <w:sz w:val="2"/>
        </w:rPr>
      </w:r>
      <w:r>
        <w:rPr>
          <w:rFonts w:ascii="宋体"/>
          <w:sz w:val="2"/>
        </w:rPr>
        <w:tab/>
      </w:r>
      <w:r>
        <w:rPr>
          <w:rFonts w:ascii="宋体"/>
          <w:sz w:val="2"/>
        </w:rPr>
        <w:pict>
          <v:group style="width:149.3pt;height:.5pt;mso-position-horizontal-relative:char;mso-position-vertical-relative:line" coordorigin="0,0" coordsize="2986,10">
            <v:group style="position:absolute;left:5;top:5;width:2976;height:2" coordorigin="5,5" coordsize="2976,2">
              <v:shape style="position:absolute;left:5;top:5;width:2976;height:2" coordorigin="5,5" coordsize="2976,0" path="m5,5l2981,5e" filled="false" stroked="true" strokeweight=".48pt" strokecolor="#000000">
                <v:path arrowok="t"/>
              </v:shape>
            </v:group>
          </v:group>
        </w:pict>
      </w:r>
      <w:r>
        <w:rPr>
          <w:rFonts w:ascii="宋体"/>
          <w:sz w:val="2"/>
        </w:rPr>
      </w:r>
      <w:r>
        <w:rPr>
          <w:rFonts w:ascii="宋体"/>
          <w:sz w:val="2"/>
        </w:rPr>
        <w:tab/>
      </w:r>
      <w:r>
        <w:rPr>
          <w:rFonts w:ascii="宋体"/>
          <w:sz w:val="2"/>
        </w:rPr>
        <w:pict>
          <v:group style="width:156.35pt;height:.5pt;mso-position-horizontal-relative:char;mso-position-vertical-relative:line" coordorigin="0,0" coordsize="3127,10">
            <v:group style="position:absolute;left:5;top:5;width:3118;height:2" coordorigin="5,5" coordsize="3118,2">
              <v:shape style="position:absolute;left:5;top:5;width:3118;height:2" coordorigin="5,5" coordsize="3118,0" path="m5,5l3122,5e" filled="false" stroked="true" strokeweight=".48pt" strokecolor="#000000">
                <v:path arrowok="t"/>
              </v:shape>
            </v:group>
          </v:group>
        </w:pict>
      </w:r>
      <w:r>
        <w:rPr>
          <w:rFonts w:ascii="宋体"/>
          <w:sz w:val="2"/>
        </w:rPr>
      </w:r>
    </w:p>
    <w:p>
      <w:pPr>
        <w:tabs>
          <w:tab w:pos="9284" w:val="left" w:leader="none"/>
        </w:tabs>
        <w:spacing w:before="0"/>
        <w:ind w:left="5742" w:right="0" w:firstLine="0"/>
        <w:jc w:val="left"/>
        <w:rPr>
          <w:rFonts w:ascii="Times New Roman" w:hAnsi="Times New Roman" w:cs="Times New Roman" w:eastAsia="Times New Roman" w:hint="default"/>
          <w:sz w:val="21"/>
          <w:szCs w:val="21"/>
        </w:rPr>
      </w:pPr>
      <w:r>
        <w:rPr>
          <w:rFonts w:ascii="Times New Roman"/>
          <w:spacing w:val="-1"/>
          <w:sz w:val="21"/>
        </w:rPr>
        <w:t>958,910.34</w:t>
        <w:tab/>
        <w:t>443,157.90</w:t>
      </w:r>
    </w:p>
    <w:p>
      <w:pPr>
        <w:tabs>
          <w:tab w:pos="7216" w:val="left" w:leader="none"/>
        </w:tabs>
        <w:spacing w:line="28" w:lineRule="exact"/>
        <w:ind w:left="3815" w:right="0" w:firstLine="0"/>
        <w:rPr>
          <w:rFonts w:ascii="Times New Roman" w:hAnsi="Times New Roman" w:cs="Times New Roman" w:eastAsia="Times New Roman" w:hint="default"/>
          <w:sz w:val="2"/>
          <w:szCs w:val="2"/>
        </w:rPr>
      </w:pPr>
      <w:r>
        <w:rPr>
          <w:rFonts w:ascii="Times New Roman"/>
          <w:position w:val="0"/>
          <w:sz w:val="2"/>
        </w:rPr>
        <w:pict>
          <v:group style="width:149.3pt;height:1.45pt;mso-position-horizontal-relative:char;mso-position-vertical-relative:line" coordorigin="0,0" coordsize="2986,29">
            <v:group style="position:absolute;left:5;top:5;width:2976;height:2" coordorigin="5,5" coordsize="2976,2">
              <v:shape style="position:absolute;left:5;top:5;width:2976;height:2" coordorigin="5,5" coordsize="2976,0" path="m5,5l2981,5e" filled="false" stroked="true" strokeweight=".48pt" strokecolor="#000000">
                <v:path arrowok="t"/>
              </v:shape>
            </v:group>
            <v:group style="position:absolute;left:5;top:24;width:2976;height:2" coordorigin="5,24" coordsize="2976,2">
              <v:shape style="position:absolute;left:5;top:24;width:2976;height:2" coordorigin="5,24" coordsize="2976,0" path="m5,24l2981,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56.35pt;height:1.45pt;mso-position-horizontal-relative:char;mso-position-vertical-relative:line" coordorigin="0,0" coordsize="3127,29">
            <v:group style="position:absolute;left:5;top:5;width:3118;height:2" coordorigin="5,5" coordsize="3118,2">
              <v:shape style="position:absolute;left:5;top:5;width:3118;height:2" coordorigin="5,5" coordsize="3118,0" path="m5,5l3122,5e" filled="false" stroked="true" strokeweight=".48pt" strokecolor="#000000">
                <v:path arrowok="t"/>
              </v:shape>
            </v:group>
            <v:group style="position:absolute;left:5;top:24;width:3118;height:2" coordorigin="5,24" coordsize="3118,2">
              <v:shape style="position:absolute;left:5;top:24;width:3118;height:2" coordorigin="5,24" coordsize="3118,0" path="m5,24l3122,24e" filled="false" stroked="true" strokeweight=".48pt" strokecolor="#000000">
                <v:path arrowok="t"/>
              </v:shape>
            </v:group>
          </v:group>
        </w:pict>
      </w:r>
      <w:r>
        <w:rPr>
          <w:rFonts w:ascii="Times New Roman"/>
          <w:position w:val="0"/>
          <w:sz w:val="2"/>
        </w:rPr>
      </w:r>
    </w:p>
    <w:p>
      <w:pPr>
        <w:spacing w:line="240" w:lineRule="auto" w:before="8"/>
        <w:rPr>
          <w:rFonts w:ascii="Times New Roman" w:hAnsi="Times New Roman" w:cs="Times New Roman" w:eastAsia="Times New Roman" w:hint="default"/>
          <w:sz w:val="15"/>
          <w:szCs w:val="15"/>
        </w:rPr>
      </w:pPr>
    </w:p>
    <w:p>
      <w:pPr>
        <w:spacing w:before="36"/>
        <w:ind w:left="66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6.18.2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本报告期其他应付款中无应付持有公司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p>
      <w:pPr>
        <w:spacing w:after="0"/>
        <w:jc w:val="left"/>
        <w:rPr>
          <w:rFonts w:ascii="宋体" w:hAnsi="宋体" w:cs="宋体" w:eastAsia="宋体" w:hint="default"/>
          <w:sz w:val="21"/>
          <w:szCs w:val="21"/>
        </w:rPr>
        <w:sectPr>
          <w:pgSz w:w="11900" w:h="16840"/>
          <w:pgMar w:header="886" w:footer="983" w:top="1800" w:bottom="1180" w:left="1100" w:right="340"/>
        </w:sectPr>
      </w:pPr>
    </w:p>
    <w:p>
      <w:pPr>
        <w:spacing w:line="240" w:lineRule="auto" w:before="10"/>
        <w:rPr>
          <w:rFonts w:ascii="宋体" w:hAnsi="宋体" w:cs="宋体" w:eastAsia="宋体" w:hint="default"/>
          <w:sz w:val="12"/>
          <w:szCs w:val="12"/>
        </w:rPr>
      </w:pPr>
    </w:p>
    <w:p>
      <w:pPr>
        <w:tabs>
          <w:tab w:pos="647"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6.19</w:t>
      </w:r>
      <w:r>
        <w:rPr>
          <w:rFonts w:ascii="Times New Roman" w:hAnsi="Times New Roman" w:cs="Times New Roman" w:eastAsia="Times New Roman" w:hint="default"/>
          <w:spacing w:val="47"/>
          <w:position w:val="2"/>
          <w:sz w:val="21"/>
          <w:szCs w:val="21"/>
        </w:rPr>
        <w:t> </w:t>
      </w:r>
      <w:r>
        <w:rPr>
          <w:rFonts w:ascii="宋体" w:hAnsi="宋体" w:cs="宋体" w:eastAsia="宋体" w:hint="default"/>
          <w:sz w:val="21"/>
          <w:szCs w:val="21"/>
        </w:rPr>
        <w:t>其他流动负债</w:t>
      </w:r>
    </w:p>
    <w:p>
      <w:pPr>
        <w:spacing w:line="240" w:lineRule="auto" w:before="6"/>
        <w:rPr>
          <w:rFonts w:ascii="宋体" w:hAnsi="宋体" w:cs="宋体" w:eastAsia="宋体" w:hint="default"/>
          <w:sz w:val="15"/>
          <w:szCs w:val="15"/>
        </w:rPr>
      </w:pPr>
    </w:p>
    <w:tbl>
      <w:tblPr>
        <w:tblW w:w="0" w:type="auto"/>
        <w:jc w:val="left"/>
        <w:tblInd w:w="555" w:type="dxa"/>
        <w:tblLayout w:type="fixed"/>
        <w:tblCellMar>
          <w:top w:w="0" w:type="dxa"/>
          <w:left w:w="0" w:type="dxa"/>
          <w:bottom w:w="0" w:type="dxa"/>
          <w:right w:w="0" w:type="dxa"/>
        </w:tblCellMar>
        <w:tblLook w:val="01E0"/>
      </w:tblPr>
      <w:tblGrid>
        <w:gridCol w:w="3401"/>
        <w:gridCol w:w="283"/>
        <w:gridCol w:w="2695"/>
        <w:gridCol w:w="425"/>
        <w:gridCol w:w="2978"/>
      </w:tblGrid>
      <w:tr>
        <w:trPr>
          <w:trHeight w:val="346" w:hRule="exact"/>
        </w:trPr>
        <w:tc>
          <w:tcPr>
            <w:tcW w:w="34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425"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275" w:hRule="exact"/>
        </w:trPr>
        <w:tc>
          <w:tcPr>
            <w:tcW w:w="3401"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自主创新产业化专项资金项目</w:t>
            </w:r>
          </w:p>
        </w:tc>
        <w:tc>
          <w:tcPr>
            <w:tcW w:w="283" w:type="dxa"/>
            <w:tcBorders>
              <w:top w:val="nil" w:sz="6" w:space="0" w:color="auto"/>
              <w:left w:val="nil" w:sz="6" w:space="0" w:color="auto"/>
              <w:bottom w:val="nil" w:sz="6" w:space="0" w:color="auto"/>
              <w:right w:val="nil" w:sz="6" w:space="0" w:color="auto"/>
            </w:tcBorders>
          </w:tcPr>
          <w:p>
            <w:pPr/>
          </w:p>
        </w:tc>
        <w:tc>
          <w:tcPr>
            <w:tcW w:w="269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193,421.00</w:t>
            </w:r>
          </w:p>
        </w:tc>
        <w:tc>
          <w:tcPr>
            <w:tcW w:w="425" w:type="dxa"/>
            <w:tcBorders>
              <w:top w:val="nil" w:sz="6" w:space="0" w:color="auto"/>
              <w:left w:val="nil" w:sz="6" w:space="0" w:color="auto"/>
              <w:bottom w:val="nil" w:sz="6" w:space="0" w:color="auto"/>
              <w:right w:val="nil" w:sz="6" w:space="0" w:color="auto"/>
            </w:tcBorders>
          </w:tcPr>
          <w:p>
            <w:pPr/>
          </w:p>
        </w:tc>
        <w:tc>
          <w:tcPr>
            <w:tcW w:w="297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525,000.00</w:t>
            </w:r>
          </w:p>
        </w:tc>
      </w:tr>
      <w:tr>
        <w:trPr>
          <w:trHeight w:val="267"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小巨人工程项目</w:t>
            </w:r>
          </w:p>
        </w:tc>
        <w:tc>
          <w:tcPr>
            <w:tcW w:w="283"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38"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nil" w:sz="6" w:space="0" w:color="auto"/>
              <w:left w:val="nil" w:sz="6" w:space="0" w:color="auto"/>
              <w:bottom w:val="nil" w:sz="6" w:space="0" w:color="auto"/>
              <w:right w:val="nil" w:sz="6" w:space="0" w:color="auto"/>
            </w:tcBorders>
          </w:tcPr>
          <w:p>
            <w:pPr/>
          </w:p>
        </w:tc>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21"/>
                <w:szCs w:val="21"/>
              </w:rPr>
            </w:pPr>
            <w:r>
              <w:rPr>
                <w:rFonts w:ascii="Times New Roman"/>
                <w:spacing w:val="-1"/>
                <w:sz w:val="21"/>
              </w:rPr>
              <w:t>248,000.00</w:t>
            </w:r>
          </w:p>
        </w:tc>
      </w:tr>
    </w:tbl>
    <w:p>
      <w:pPr>
        <w:spacing w:line="203" w:lineRule="exact"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大型银行信息系统软件外包服务中</w:t>
      </w:r>
    </w:p>
    <w:p>
      <w:pPr>
        <w:tabs>
          <w:tab w:pos="6757" w:val="left" w:leader="none"/>
          <w:tab w:pos="9284" w:val="left" w:leader="none"/>
        </w:tabs>
        <w:spacing w:line="317" w:lineRule="exact" w:before="0"/>
        <w:ind w:left="664" w:right="0" w:firstLine="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心建设</w:t>
        <w:tab/>
      </w:r>
      <w:r>
        <w:rPr>
          <w:rFonts w:ascii="Times New Roman" w:hAnsi="Times New Roman" w:cs="Times New Roman" w:eastAsia="Times New Roman" w:hint="default"/>
          <w:sz w:val="21"/>
          <w:szCs w:val="21"/>
        </w:rPr>
        <w:t>-</w:t>
        <w:tab/>
        <w:t>100,000.00</w:t>
      </w:r>
    </w:p>
    <w:p>
      <w:pPr>
        <w:spacing w:line="227" w:lineRule="exact"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高端移动电话内容大规模快速“工</w:t>
      </w:r>
    </w:p>
    <w:p>
      <w:pPr>
        <w:tabs>
          <w:tab w:pos="5881" w:val="left" w:leader="none"/>
          <w:tab w:pos="10160" w:val="left" w:leader="none"/>
        </w:tabs>
        <w:spacing w:line="318" w:lineRule="exact" w:before="0"/>
        <w:ind w:left="664"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业化”外包服务</w:t>
        <w:tab/>
      </w:r>
      <w:r>
        <w:rPr>
          <w:rFonts w:ascii="Times New Roman" w:hAnsi="Times New Roman" w:cs="Times New Roman" w:eastAsia="Times New Roman" w:hint="default"/>
          <w:spacing w:val="-1"/>
          <w:sz w:val="21"/>
          <w:szCs w:val="21"/>
        </w:rPr>
        <w:t>196,000.00</w:t>
        <w:tab/>
      </w:r>
      <w:r>
        <w:rPr>
          <w:rFonts w:ascii="Times New Roman" w:hAnsi="Times New Roman" w:cs="Times New Roman" w:eastAsia="Times New Roman" w:hint="default"/>
          <w:sz w:val="21"/>
          <w:szCs w:val="21"/>
        </w:rPr>
        <w:t>-</w:t>
      </w:r>
    </w:p>
    <w:p>
      <w:pPr>
        <w:spacing w:line="206" w:lineRule="exact" w:before="0"/>
        <w:ind w:left="664" w:right="0" w:firstLine="0"/>
        <w:jc w:val="left"/>
        <w:rPr>
          <w:rFonts w:ascii="宋体" w:hAnsi="宋体" w:cs="宋体" w:eastAsia="宋体" w:hint="default"/>
          <w:sz w:val="21"/>
          <w:szCs w:val="21"/>
        </w:rPr>
      </w:pPr>
      <w:r>
        <w:rPr>
          <w:rFonts w:ascii="宋体" w:hAnsi="宋体" w:cs="宋体" w:eastAsia="宋体" w:hint="default"/>
          <w:sz w:val="21"/>
          <w:szCs w:val="21"/>
        </w:rPr>
        <w:t>轨交票务智能仿真检证系统专项资</w:t>
      </w:r>
    </w:p>
    <w:p>
      <w:pPr>
        <w:tabs>
          <w:tab w:pos="10160" w:val="left" w:leader="none"/>
        </w:tabs>
        <w:spacing w:line="215" w:lineRule="exact" w:before="0"/>
        <w:ind w:left="5881" w:right="0" w:firstLine="0"/>
        <w:jc w:val="left"/>
        <w:rPr>
          <w:rFonts w:ascii="Times New Roman" w:hAnsi="Times New Roman" w:cs="Times New Roman" w:eastAsia="Times New Roman" w:hint="default"/>
          <w:sz w:val="21"/>
          <w:szCs w:val="21"/>
        </w:rPr>
      </w:pPr>
      <w:r>
        <w:rPr/>
        <w:pict>
          <v:shape style="position:absolute;margin-left:82.800003pt;margin-top:6.502902pt;width:489.15pt;height:329.15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10"/>
                    <w:gridCol w:w="202"/>
                    <w:gridCol w:w="1843"/>
                    <w:gridCol w:w="283"/>
                    <w:gridCol w:w="2834"/>
                    <w:gridCol w:w="425"/>
                    <w:gridCol w:w="1985"/>
                  </w:tblGrid>
                  <w:tr>
                    <w:trPr>
                      <w:trHeight w:val="520"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9" w:lineRule="exact"/>
                          <w:ind w:left="108" w:right="0"/>
                          <w:jc w:val="left"/>
                          <w:rPr>
                            <w:rFonts w:ascii="宋体" w:hAnsi="宋体" w:cs="宋体" w:eastAsia="宋体" w:hint="default"/>
                            <w:sz w:val="21"/>
                            <w:szCs w:val="21"/>
                          </w:rPr>
                        </w:pPr>
                        <w:r>
                          <w:rPr>
                            <w:rFonts w:ascii="宋体" w:hAnsi="宋体" w:cs="宋体" w:eastAsia="宋体" w:hint="default"/>
                            <w:sz w:val="21"/>
                            <w:szCs w:val="21"/>
                          </w:rPr>
                          <w:t>助资金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递延收益小计</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83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31" w:right="0"/>
                          <w:jc w:val="left"/>
                          <w:rPr>
                            <w:rFonts w:ascii="Times New Roman" w:hAnsi="Times New Roman" w:cs="Times New Roman" w:eastAsia="Times New Roman" w:hint="default"/>
                            <w:sz w:val="21"/>
                            <w:szCs w:val="21"/>
                          </w:rPr>
                        </w:pPr>
                        <w:r>
                          <w:rPr>
                            <w:rFonts w:ascii="Times New Roman"/>
                            <w:sz w:val="21"/>
                          </w:rPr>
                          <w:t>1,139,421.00</w:t>
                        </w:r>
                      </w:p>
                    </w:tc>
                    <w:tc>
                      <w:tcPr>
                        <w:tcW w:w="425" w:type="dxa"/>
                        <w:tcBorders>
                          <w:top w:val="nil" w:sz="6" w:space="0" w:color="auto"/>
                          <w:left w:val="nil" w:sz="6" w:space="0" w:color="auto"/>
                          <w:bottom w:val="single" w:sz="4" w:space="0" w:color="000000"/>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873,000.00</w:t>
                        </w:r>
                      </w:p>
                    </w:tc>
                  </w:tr>
                  <w:tr>
                    <w:trPr>
                      <w:trHeight w:val="523"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预提办公用房折旧费用</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
                    </w:tc>
                    <w:tc>
                      <w:tcPr>
                        <w:tcW w:w="283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787" w:right="0"/>
                          <w:jc w:val="left"/>
                          <w:rPr>
                            <w:rFonts w:ascii="Times New Roman" w:hAnsi="Times New Roman" w:cs="Times New Roman" w:eastAsia="Times New Roman" w:hint="default"/>
                            <w:sz w:val="21"/>
                            <w:szCs w:val="21"/>
                          </w:rPr>
                        </w:pPr>
                        <w:r>
                          <w:rPr>
                            <w:rFonts w:ascii="Times New Roman"/>
                            <w:sz w:val="21"/>
                          </w:rPr>
                          <w:t>997,327.02</w:t>
                        </w:r>
                      </w:p>
                    </w:tc>
                    <w:tc>
                      <w:tcPr>
                        <w:tcW w:w="425" w:type="dxa"/>
                        <w:tcBorders>
                          <w:top w:val="single" w:sz="4" w:space="0" w:color="000000"/>
                          <w:left w:val="nil" w:sz="6" w:space="0" w:color="auto"/>
                          <w:bottom w:val="single" w:sz="4" w:space="0" w:color="000000"/>
                          <w:right w:val="nil" w:sz="6" w:space="0" w:color="auto"/>
                        </w:tcBorders>
                      </w:tcPr>
                      <w:p>
                        <w:pP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93" w:hRule="exact"/>
                    </w:trPr>
                    <w:tc>
                      <w:tcPr>
                        <w:tcW w:w="2210"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5" w:lineRule="exact"/>
                          <w:ind w:right="13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12" w:space="0" w:color="000000"/>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
                    </w:tc>
                    <w:tc>
                      <w:tcPr>
                        <w:tcW w:w="2834"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631" w:right="0"/>
                          <w:jc w:val="left"/>
                          <w:rPr>
                            <w:rFonts w:ascii="Times New Roman" w:hAnsi="Times New Roman" w:cs="Times New Roman" w:eastAsia="Times New Roman" w:hint="default"/>
                            <w:sz w:val="21"/>
                            <w:szCs w:val="21"/>
                          </w:rPr>
                        </w:pPr>
                        <w:r>
                          <w:rPr>
                            <w:rFonts w:ascii="Times New Roman"/>
                            <w:sz w:val="21"/>
                          </w:rPr>
                          <w:t>2,136,748.02</w:t>
                        </w:r>
                      </w:p>
                    </w:tc>
                    <w:tc>
                      <w:tcPr>
                        <w:tcW w:w="425" w:type="dxa"/>
                        <w:tcBorders>
                          <w:top w:val="single" w:sz="4" w:space="0" w:color="000000"/>
                          <w:left w:val="nil" w:sz="6" w:space="0" w:color="auto"/>
                          <w:bottom w:val="single" w:sz="12" w:space="0" w:color="000000"/>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873,000.00</w:t>
                        </w:r>
                      </w:p>
                    </w:tc>
                  </w:tr>
                  <w:tr>
                    <w:trPr>
                      <w:trHeight w:val="504" w:hRule="exact"/>
                    </w:trPr>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81"/>
                          <w:jc w:val="center"/>
                          <w:rPr>
                            <w:rFonts w:ascii="宋体" w:hAnsi="宋体" w:cs="宋体" w:eastAsia="宋体" w:hint="default"/>
                            <w:sz w:val="18"/>
                            <w:szCs w:val="18"/>
                          </w:rPr>
                        </w:pPr>
                        <w:r>
                          <w:rPr>
                            <w:rFonts w:ascii="宋体" w:hAnsi="宋体" w:cs="宋体" w:eastAsia="宋体" w:hint="default"/>
                            <w:sz w:val="18"/>
                            <w:szCs w:val="18"/>
                          </w:rPr>
                          <w:t>项目</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83" w:type="dxa"/>
                        <w:tcBorders>
                          <w:top w:val="single" w:sz="12" w:space="0" w:color="000000"/>
                          <w:left w:val="nil" w:sz="6" w:space="0" w:color="auto"/>
                          <w:bottom w:val="nil" w:sz="6" w:space="0" w:color="auto"/>
                          <w:right w:val="nil" w:sz="6" w:space="0" w:color="auto"/>
                        </w:tcBorders>
                      </w:tcPr>
                      <w:p>
                        <w:pPr/>
                      </w:p>
                    </w:tc>
                    <w:tc>
                      <w:tcPr>
                        <w:tcW w:w="2834"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tabs>
                            <w:tab w:pos="1835" w:val="left" w:leader="none"/>
                          </w:tabs>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本年增加</w:t>
                          <w:tab/>
                          <w:t>本年减少</w:t>
                        </w:r>
                      </w:p>
                    </w:tc>
                    <w:tc>
                      <w:tcPr>
                        <w:tcW w:w="425" w:type="dxa"/>
                        <w:tcBorders>
                          <w:top w:val="single" w:sz="12" w:space="0" w:color="000000"/>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36" w:hRule="exact"/>
                    </w:trPr>
                    <w:tc>
                      <w:tcPr>
                        <w:tcW w:w="2210"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大型银行信息系统软件</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
                    </w:tc>
                  </w:tr>
                  <w:tr>
                    <w:trPr>
                      <w:trHeight w:val="466"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外包服务中心建设</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基于云计算的证券交易</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100,000.00</w:t>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100,000.00</w:t>
                          <w:tab/>
                          <w:t>200,000.00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平台</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11"/>
                            <w:sz w:val="18"/>
                            <w:szCs w:val="18"/>
                          </w:rPr>
                          <w:t>高性能地铁检票机的嵌</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25"/>
                          <w:ind w:right="104"/>
                          <w:jc w:val="right"/>
                          <w:rPr>
                            <w:rFonts w:ascii="Times New Roman" w:hAnsi="Times New Roman" w:cs="Times New Roman" w:eastAsia="Times New Roman" w:hint="default"/>
                            <w:sz w:val="18"/>
                            <w:szCs w:val="18"/>
                          </w:rPr>
                        </w:pPr>
                        <w:r>
                          <w:rPr>
                            <w:rFonts w:ascii="Times New Roman"/>
                            <w:spacing w:val="-1"/>
                            <w:sz w:val="18"/>
                          </w:rPr>
                          <w:t>900,000.00</w:t>
                          <w:tab/>
                          <w:t>900,000.00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入式软件系统</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轨交票务智能仿真检证</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225,000.00</w:t>
                          <w:tab/>
                          <w:t>225,000.00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系统</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高性能地铁检票机的嵌</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915" w:val="left" w:leader="none"/>
                          </w:tabs>
                          <w:spacing w:line="240" w:lineRule="auto" w:before="24"/>
                          <w:ind w:left="218" w:right="0"/>
                          <w:jc w:val="left"/>
                          <w:rPr>
                            <w:rFonts w:ascii="Times New Roman" w:hAnsi="Times New Roman" w:cs="Times New Roman" w:eastAsia="Times New Roman" w:hint="default"/>
                            <w:sz w:val="18"/>
                            <w:szCs w:val="18"/>
                          </w:rPr>
                        </w:pPr>
                        <w:r>
                          <w:rPr>
                            <w:rFonts w:ascii="Times New Roman"/>
                            <w:spacing w:val="-1"/>
                            <w:sz w:val="18"/>
                          </w:rPr>
                          <w:t>1,500,000.00</w:t>
                          <w:tab/>
                          <w:t>750,000.00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3"/>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6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入式软件系统</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高端软件外包运维中心</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450,000.00</w:t>
                          <w:tab/>
                          <w:t>450,000.00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建设</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全方位的企业信用体系</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915" w:val="left" w:leader="none"/>
                          </w:tabs>
                          <w:spacing w:line="240" w:lineRule="auto" w:before="24"/>
                          <w:ind w:left="218" w:right="0"/>
                          <w:jc w:val="left"/>
                          <w:rPr>
                            <w:rFonts w:ascii="Times New Roman" w:hAnsi="Times New Roman" w:cs="Times New Roman" w:eastAsia="Times New Roman" w:hint="default"/>
                            <w:sz w:val="18"/>
                            <w:szCs w:val="18"/>
                          </w:rPr>
                        </w:pPr>
                        <w:r>
                          <w:rPr>
                            <w:rFonts w:ascii="Times New Roman"/>
                            <w:spacing w:val="-1"/>
                            <w:sz w:val="18"/>
                          </w:rPr>
                          <w:t>1,176,000.00</w:t>
                          <w:tab/>
                          <w:t>980,000.00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3"/>
                          <w:jc w:val="right"/>
                          <w:rPr>
                            <w:rFonts w:ascii="Times New Roman" w:hAnsi="Times New Roman" w:cs="Times New Roman" w:eastAsia="Times New Roman" w:hint="default"/>
                            <w:sz w:val="18"/>
                            <w:szCs w:val="18"/>
                          </w:rPr>
                        </w:pPr>
                        <w:r>
                          <w:rPr>
                            <w:rFonts w:ascii="Times New Roman"/>
                            <w:spacing w:val="-1"/>
                            <w:sz w:val="18"/>
                          </w:rPr>
                          <w:t>196,000.00</w:t>
                        </w:r>
                      </w:p>
                    </w:tc>
                  </w:tr>
                  <w:tr>
                    <w:trPr>
                      <w:trHeight w:val="472"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建设</w:t>
                        </w:r>
                      </w:p>
                      <w:p>
                        <w:pPr>
                          <w:pStyle w:val="TableParagraph"/>
                          <w:spacing w:line="24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年徐汇区科技小巨</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22"/>
                          <w:ind w:right="104"/>
                          <w:jc w:val="right"/>
                          <w:rPr>
                            <w:rFonts w:ascii="Times New Roman" w:hAnsi="Times New Roman" w:cs="Times New Roman" w:eastAsia="Times New Roman" w:hint="default"/>
                            <w:sz w:val="18"/>
                            <w:szCs w:val="18"/>
                          </w:rPr>
                        </w:pPr>
                        <w:r>
                          <w:rPr>
                            <w:rFonts w:ascii="Times New Roman"/>
                            <w:spacing w:val="-1"/>
                            <w:sz w:val="18"/>
                          </w:rPr>
                          <w:t>100,000.00</w:t>
                          <w:tab/>
                          <w:t>100,000.00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人企业</w:t>
                        </w:r>
                      </w:p>
                      <w:p>
                        <w:pPr>
                          <w:pStyle w:val="TableParagraph"/>
                          <w:spacing w:line="248"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年徐汇区科技小巨</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562" w:val="left" w:leader="none"/>
                          </w:tabs>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500,000.00</w:t>
                          <w:tab/>
                          <w:t>500,000.00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8"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人企业</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18"/>
                            <w:szCs w:val="18"/>
                          </w:rPr>
                        </w:pPr>
                        <w:r>
                          <w:rPr>
                            <w:rFonts w:ascii="Times New Roman"/>
                            <w:spacing w:val="-1"/>
                            <w:sz w:val="18"/>
                          </w:rPr>
                          <w:t>248,000.00</w:t>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811" w:val="left" w:leader="none"/>
                          </w:tabs>
                          <w:spacing w:line="240" w:lineRule="auto" w:before="17"/>
                          <w:ind w:right="104"/>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sz w:val="18"/>
                          </w:rPr>
                          <w:t>248,000.00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197" w:lineRule="exact"/>
                          <w:ind w:left="108" w:right="0"/>
                          <w:jc w:val="left"/>
                          <w:rPr>
                            <w:rFonts w:ascii="宋体" w:hAnsi="宋体" w:cs="宋体" w:eastAsia="宋体" w:hint="default"/>
                            <w:sz w:val="18"/>
                            <w:szCs w:val="18"/>
                          </w:rPr>
                        </w:pPr>
                        <w:r>
                          <w:rPr>
                            <w:rFonts w:ascii="宋体" w:hAnsi="宋体" w:cs="宋体" w:eastAsia="宋体" w:hint="default"/>
                            <w:sz w:val="18"/>
                            <w:szCs w:val="18"/>
                          </w:rPr>
                          <w:t>自主创新产业化专项基金</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tabs>
                            <w:tab w:pos="923" w:val="left" w:leader="none"/>
                            <w:tab w:pos="1843" w:val="left" w:leader="none"/>
                          </w:tabs>
                          <w:spacing w:line="240" w:lineRule="auto" w:before="22"/>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525,000.00</w:t>
                          <w:tab/>
                        </w:r>
                        <w:r>
                          <w:rPr>
                            <w:rFonts w:ascii="Times New Roman"/>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nil" w:sz="6" w:space="0" w:color="auto"/>
                          <w:right w:val="nil" w:sz="6" w:space="0" w:color="auto"/>
                        </w:tcBorders>
                      </w:tcPr>
                      <w:p>
                        <w:pPr>
                          <w:pStyle w:val="TableParagraph"/>
                          <w:tabs>
                            <w:tab w:pos="1103" w:val="left" w:leader="none"/>
                            <w:tab w:pos="1557" w:val="left" w:leader="none"/>
                            <w:tab w:pos="1915" w:val="left" w:leader="none"/>
                            <w:tab w:pos="2834" w:val="left" w:leader="none"/>
                          </w:tabs>
                          <w:spacing w:line="240" w:lineRule="auto" w:before="22"/>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tab/>
                        </w:r>
                        <w:r>
                          <w:rPr>
                            <w:rFonts w:ascii="Times New Roman"/>
                            <w:sz w:val="18"/>
                            <w:u w:val="single" w:color="000000"/>
                          </w:rPr>
                          <w:t> </w:t>
                          <w:tab/>
                        </w:r>
                        <w:r>
                          <w:rPr>
                            <w:rFonts w:ascii="Times New Roman"/>
                            <w:spacing w:val="-1"/>
                            <w:sz w:val="18"/>
                            <w:u w:val="single" w:color="000000"/>
                          </w:rPr>
                          <w:t>331,579.00</w:t>
                          <w:tab/>
                        </w:r>
                        <w:r>
                          <w:rPr>
                            <w:rFonts w:ascii="Times New Roman"/>
                            <w:spacing w:val="-1"/>
                            <w:sz w:val="18"/>
                          </w:rPr>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tabs>
                            <w:tab w:pos="1027" w:val="left" w:leader="none"/>
                            <w:tab w:pos="1946" w:val="left" w:leader="none"/>
                          </w:tabs>
                          <w:spacing w:line="240" w:lineRule="auto" w:before="22"/>
                          <w:ind w:right="36"/>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193,421.00</w:t>
                          <w:tab/>
                        </w:r>
                        <w:r>
                          <w:rPr>
                            <w:rFonts w:ascii="Times New Roman"/>
                            <w:spacing w:val="-1"/>
                            <w:sz w:val="18"/>
                          </w:rPr>
                        </w:r>
                      </w:p>
                    </w:tc>
                  </w:tr>
                  <w:tr>
                    <w:trPr>
                      <w:trHeight w:val="253"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18"/>
                            <w:szCs w:val="18"/>
                          </w:rPr>
                        </w:pPr>
                        <w:r>
                          <w:rPr>
                            <w:rFonts w:ascii="Times New Roman"/>
                            <w:spacing w:val="-1"/>
                            <w:sz w:val="18"/>
                          </w:rPr>
                          <w:t>873,000.00</w:t>
                        </w:r>
                      </w:p>
                    </w:tc>
                    <w:tc>
                      <w:tcPr>
                        <w:tcW w:w="283" w:type="dxa"/>
                        <w:tcBorders>
                          <w:top w:val="nil" w:sz="6" w:space="0" w:color="auto"/>
                          <w:left w:val="nil" w:sz="6" w:space="0" w:color="auto"/>
                          <w:bottom w:val="nil" w:sz="6" w:space="0" w:color="auto"/>
                          <w:right w:val="nil" w:sz="6" w:space="0" w:color="auto"/>
                        </w:tcBorders>
                      </w:tcPr>
                      <w:p>
                        <w:pPr/>
                      </w:p>
                    </w:tc>
                    <w:tc>
                      <w:tcPr>
                        <w:tcW w:w="2834" w:type="dxa"/>
                        <w:tcBorders>
                          <w:top w:val="nil" w:sz="6" w:space="0" w:color="auto"/>
                          <w:left w:val="nil" w:sz="6" w:space="0" w:color="auto"/>
                          <w:bottom w:val="single" w:sz="12" w:space="0" w:color="000000"/>
                          <w:right w:val="nil" w:sz="6" w:space="0" w:color="auto"/>
                        </w:tcBorders>
                      </w:tcPr>
                      <w:p>
                        <w:pPr>
                          <w:pStyle w:val="TableParagraph"/>
                          <w:tabs>
                            <w:tab w:pos="1780" w:val="left" w:leader="none"/>
                          </w:tabs>
                          <w:spacing w:line="240" w:lineRule="auto" w:before="27"/>
                          <w:ind w:left="218" w:right="0"/>
                          <w:jc w:val="left"/>
                          <w:rPr>
                            <w:rFonts w:ascii="Times New Roman" w:hAnsi="Times New Roman" w:cs="Times New Roman" w:eastAsia="Times New Roman" w:hint="default"/>
                            <w:sz w:val="18"/>
                            <w:szCs w:val="18"/>
                          </w:rPr>
                        </w:pPr>
                        <w:r>
                          <w:rPr>
                            <w:rFonts w:ascii="Times New Roman"/>
                            <w:spacing w:val="-1"/>
                            <w:sz w:val="18"/>
                          </w:rPr>
                          <w:t>4,951,000.00</w:t>
                          <w:tab/>
                          <w:t>4,684,579.00</w:t>
                        </w:r>
                      </w:p>
                    </w:tc>
                    <w:tc>
                      <w:tcPr>
                        <w:tcW w:w="425"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143"/>
                          <w:jc w:val="right"/>
                          <w:rPr>
                            <w:rFonts w:ascii="Times New Roman" w:hAnsi="Times New Roman" w:cs="Times New Roman" w:eastAsia="Times New Roman" w:hint="default"/>
                            <w:sz w:val="18"/>
                            <w:szCs w:val="18"/>
                          </w:rPr>
                        </w:pPr>
                        <w:r>
                          <w:rPr>
                            <w:rFonts w:ascii="Times New Roman"/>
                            <w:spacing w:val="-1"/>
                            <w:sz w:val="18"/>
                          </w:rPr>
                          <w:t>1,139,421.00</w:t>
                        </w:r>
                      </w:p>
                    </w:tc>
                  </w:tr>
                </w:tbl>
                <w:p>
                  <w:pPr/>
                </w:p>
              </w:txbxContent>
            </v:textbox>
            <w10:wrap type="none"/>
          </v:shape>
        </w:pict>
      </w:r>
      <w:r>
        <w:rPr>
          <w:rFonts w:ascii="Times New Roman"/>
          <w:spacing w:val="-1"/>
          <w:sz w:val="21"/>
        </w:rPr>
        <w:t>750,000.00</w:t>
        <w:tab/>
      </w:r>
      <w:r>
        <w:rPr>
          <w:rFonts w:ascii="Times New Roman"/>
          <w:sz w:val="21"/>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p>
      <w:pPr>
        <w:spacing w:line="20" w:lineRule="exact"/>
        <w:ind w:left="508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4.2pt;height:.5pt;mso-position-horizontal-relative:char;mso-position-vertical-relative:line" coordorigin="0,0" coordsize="1284,10">
            <v:group style="position:absolute;left:5;top:5;width:1275;height:2" coordorigin="5,5" coordsize="1275,2">
              <v:shape style="position:absolute;left:5;top:5;width:1275;height:2" coordorigin="5,5" coordsize="1275,0" path="m5,5l1279,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p>
      <w:pPr>
        <w:spacing w:line="28" w:lineRule="exact"/>
        <w:ind w:left="508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4.2pt;height:1.45pt;mso-position-horizontal-relative:char;mso-position-vertical-relative:line" coordorigin="0,0" coordsize="1284,29">
            <v:group style="position:absolute;left:5;top:5;width:1275;height:2" coordorigin="5,5" coordsize="1275,2">
              <v:shape style="position:absolute;left:5;top:5;width:1275;height:2" coordorigin="5,5" coordsize="1275,0" path="m5,5l1279,5e" filled="false" stroked="true" strokeweight=".48pt" strokecolor="#000000">
                <v:path arrowok="t"/>
              </v:shape>
            </v:group>
            <v:group style="position:absolute;left:5;top:24;width:1275;height:2" coordorigin="5,24" coordsize="1275,2">
              <v:shape style="position:absolute;left:5;top:24;width:1275;height:2" coordorigin="5,24" coordsize="1275,0" path="m5,24l1279,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15"/>
          <w:szCs w:val="15"/>
        </w:rPr>
      </w:pPr>
    </w:p>
    <w:p>
      <w:pPr>
        <w:spacing w:before="36"/>
        <w:ind w:left="664" w:right="0" w:firstLine="0"/>
        <w:jc w:val="left"/>
        <w:rPr>
          <w:rFonts w:ascii="宋体" w:hAnsi="宋体" w:cs="宋体" w:eastAsia="宋体" w:hint="default"/>
          <w:sz w:val="21"/>
          <w:szCs w:val="21"/>
        </w:rPr>
      </w:pPr>
      <w:r>
        <w:rPr>
          <w:rFonts w:ascii="宋体" w:hAnsi="宋体" w:cs="宋体" w:eastAsia="宋体" w:hint="default"/>
          <w:sz w:val="21"/>
          <w:szCs w:val="21"/>
        </w:rPr>
        <w:t>本年减少金额系按照受益期分摊计入当年营业外收入。</w:t>
      </w:r>
    </w:p>
    <w:p>
      <w:pPr>
        <w:spacing w:after="0"/>
        <w:jc w:val="left"/>
        <w:rPr>
          <w:rFonts w:ascii="宋体" w:hAnsi="宋体" w:cs="宋体" w:eastAsia="宋体" w:hint="default"/>
          <w:sz w:val="21"/>
          <w:szCs w:val="21"/>
        </w:rPr>
        <w:sectPr>
          <w:pgSz w:w="11900" w:h="16840"/>
          <w:pgMar w:header="886" w:footer="983" w:top="1800" w:bottom="1180" w:left="1100" w:right="360"/>
        </w:sectPr>
      </w:pPr>
    </w:p>
    <w:p>
      <w:pPr>
        <w:spacing w:line="240" w:lineRule="auto" w:before="10"/>
        <w:rPr>
          <w:rFonts w:ascii="宋体" w:hAnsi="宋体" w:cs="宋体" w:eastAsia="宋体" w:hint="default"/>
          <w:sz w:val="12"/>
          <w:szCs w:val="12"/>
        </w:rPr>
      </w:pPr>
    </w:p>
    <w:p>
      <w:pPr>
        <w:tabs>
          <w:tab w:pos="729" w:val="left" w:leader="none"/>
        </w:tabs>
        <w:spacing w:before="41"/>
        <w:ind w:left="17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spacing w:before="0"/>
        <w:ind w:left="2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6.20</w:t>
      </w:r>
      <w:r>
        <w:rPr>
          <w:rFonts w:ascii="Times New Roman" w:hAnsi="Times New Roman" w:cs="Times New Roman" w:eastAsia="Times New Roman" w:hint="default"/>
          <w:spacing w:val="52"/>
          <w:sz w:val="21"/>
          <w:szCs w:val="21"/>
        </w:rPr>
        <w:t> </w:t>
      </w:r>
      <w:r>
        <w:rPr>
          <w:rFonts w:ascii="宋体" w:hAnsi="宋体" w:cs="宋体" w:eastAsia="宋体" w:hint="default"/>
          <w:position w:val="-1"/>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886" w:footer="983" w:top="1800" w:bottom="1180" w:left="1020" w:right="480"/>
        </w:sectPr>
      </w:pPr>
    </w:p>
    <w:p>
      <w:pPr>
        <w:spacing w:line="240" w:lineRule="auto" w:before="7"/>
        <w:rPr>
          <w:rFonts w:ascii="宋体" w:hAnsi="宋体" w:cs="宋体" w:eastAsia="宋体" w:hint="default"/>
          <w:sz w:val="15"/>
          <w:szCs w:val="15"/>
        </w:rPr>
      </w:pPr>
    </w:p>
    <w:p>
      <w:pPr>
        <w:spacing w:before="0"/>
        <w:ind w:left="1910" w:right="-16" w:firstLine="0"/>
        <w:jc w:val="left"/>
        <w:rPr>
          <w:rFonts w:ascii="宋体" w:hAnsi="宋体" w:cs="宋体" w:eastAsia="宋体" w:hint="default"/>
          <w:sz w:val="13"/>
          <w:szCs w:val="13"/>
        </w:rPr>
      </w:pPr>
      <w:r>
        <w:rPr/>
        <w:pict>
          <v:shape style="position:absolute;margin-left:86.57pt;margin-top:5.436807pt;width:478.4pt;height:29.05pt;mso-position-horizontal-relative:page;mso-position-vertical-relative:paragraph;z-index:6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7"/>
                    <w:gridCol w:w="1140"/>
                    <w:gridCol w:w="283"/>
                    <w:gridCol w:w="991"/>
                    <w:gridCol w:w="286"/>
                    <w:gridCol w:w="708"/>
                    <w:gridCol w:w="283"/>
                    <w:gridCol w:w="1133"/>
                    <w:gridCol w:w="283"/>
                    <w:gridCol w:w="710"/>
                    <w:gridCol w:w="283"/>
                    <w:gridCol w:w="708"/>
                    <w:gridCol w:w="278"/>
                    <w:gridCol w:w="1284"/>
                  </w:tblGrid>
                  <w:tr>
                    <w:trPr>
                      <w:trHeight w:val="245" w:hRule="exact"/>
                    </w:trPr>
                    <w:tc>
                      <w:tcPr>
                        <w:tcW w:w="2620" w:type="dxa"/>
                        <w:gridSpan w:val="3"/>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286" w:type="dxa"/>
                        <w:tcBorders>
                          <w:top w:val="single" w:sz="4" w:space="0" w:color="000000"/>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283"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283"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 w:type="dxa"/>
                        <w:tcBorders>
                          <w:top w:val="single" w:sz="4" w:space="0" w:color="000000"/>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2" w:type="dxa"/>
                        <w:gridSpan w:val="2"/>
                        <w:tcBorders>
                          <w:top w:val="nil" w:sz="6" w:space="0" w:color="auto"/>
                          <w:left w:val="nil" w:sz="6" w:space="0" w:color="auto"/>
                          <w:bottom w:val="nil" w:sz="6" w:space="0" w:color="auto"/>
                          <w:right w:val="nil" w:sz="6" w:space="0" w:color="auto"/>
                        </w:tcBorders>
                      </w:tcPr>
                      <w:p>
                        <w:pPr/>
                      </w:p>
                    </w:tc>
                  </w:tr>
                  <w:tr>
                    <w:trPr>
                      <w:trHeight w:val="335" w:hRule="exact"/>
                    </w:trPr>
                    <w:tc>
                      <w:tcPr>
                        <w:tcW w:w="1197"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02" w:lineRule="exact"/>
                          <w:ind w:right="0"/>
                          <w:jc w:val="left"/>
                          <w:rPr>
                            <w:rFonts w:ascii="Times New Roman" w:hAnsi="Times New Roman" w:cs="Times New Roman" w:eastAsia="Times New Roman" w:hint="default"/>
                            <w:sz w:val="18"/>
                            <w:szCs w:val="18"/>
                          </w:rPr>
                        </w:pPr>
                        <w:r>
                          <w:rPr>
                            <w:rFonts w:ascii="Times New Roman"/>
                            <w:sz w:val="18"/>
                          </w:rPr>
                          <w:t>74,620,000.00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w w:val="100"/>
                            <w:sz w:val="21"/>
                          </w:rPr>
                          <w:t>-</w:t>
                        </w:r>
                      </w:p>
                    </w:tc>
                    <w:tc>
                      <w:tcPr>
                        <w:tcW w:w="286"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w w:val="100"/>
                            <w:sz w:val="21"/>
                          </w:rPr>
                          <w:t>-</w:t>
                        </w:r>
                      </w:p>
                    </w:tc>
                    <w:tc>
                      <w:tcPr>
                        <w:tcW w:w="278" w:type="dxa"/>
                        <w:tcBorders>
                          <w:top w:val="nil" w:sz="6" w:space="0" w:color="auto"/>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02" w:lineRule="exact"/>
                          <w:ind w:right="0"/>
                          <w:jc w:val="left"/>
                          <w:rPr>
                            <w:rFonts w:ascii="Times New Roman" w:hAnsi="Times New Roman" w:cs="Times New Roman" w:eastAsia="Times New Roman" w:hint="default"/>
                            <w:sz w:val="18"/>
                            <w:szCs w:val="18"/>
                          </w:rPr>
                        </w:pPr>
                        <w:r>
                          <w:rPr>
                            <w:rFonts w:ascii="Times New Roman"/>
                            <w:sz w:val="18"/>
                          </w:rPr>
                          <w:t>74,620,000.00</w:t>
                        </w:r>
                      </w:p>
                    </w:tc>
                  </w:tr>
                </w:tbl>
                <w:p>
                  <w:pPr/>
                </w:p>
              </w:txbxContent>
            </v:textbox>
            <w10:wrap type="none"/>
          </v:shape>
        </w:pict>
      </w:r>
      <w:r>
        <w:rPr>
          <w:rFonts w:ascii="Times New Roman" w:hAnsi="Times New Roman" w:cs="Times New Roman" w:eastAsia="Times New Roman" w:hint="default"/>
          <w:sz w:val="13"/>
          <w:szCs w:val="13"/>
        </w:rPr>
        <w:t>2009</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年</w:t>
      </w:r>
      <w:r>
        <w:rPr>
          <w:rFonts w:ascii="宋体" w:hAnsi="宋体" w:cs="宋体" w:eastAsia="宋体" w:hint="default"/>
          <w:spacing w:val="-42"/>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月</w:t>
      </w:r>
      <w:r>
        <w:rPr>
          <w:rFonts w:ascii="宋体" w:hAnsi="宋体" w:cs="宋体" w:eastAsia="宋体" w:hint="default"/>
          <w:spacing w:val="-42"/>
          <w:sz w:val="13"/>
          <w:szCs w:val="13"/>
        </w:rPr>
        <w:t> </w:t>
      </w:r>
      <w:r>
        <w:rPr>
          <w:rFonts w:ascii="Times New Roman" w:hAnsi="Times New Roman" w:cs="Times New Roman" w:eastAsia="Times New Roman" w:hint="default"/>
          <w:sz w:val="13"/>
          <w:szCs w:val="13"/>
        </w:rPr>
        <w:t>31</w:t>
      </w:r>
      <w:r>
        <w:rPr>
          <w:rFonts w:ascii="Times New Roman" w:hAnsi="Times New Roman" w:cs="Times New Roman" w:eastAsia="Times New Roman" w:hint="default"/>
          <w:spacing w:val="-10"/>
          <w:sz w:val="13"/>
          <w:szCs w:val="13"/>
        </w:rPr>
        <w:t> </w:t>
      </w:r>
      <w:r>
        <w:rPr>
          <w:rFonts w:ascii="宋体" w:hAnsi="宋体" w:cs="宋体" w:eastAsia="宋体" w:hint="default"/>
          <w:sz w:val="13"/>
          <w:szCs w:val="13"/>
        </w:rPr>
        <w:t>日</w:t>
      </w:r>
    </w:p>
    <w:p>
      <w:pPr>
        <w:spacing w:before="44"/>
        <w:ind w:left="1910" w:right="-21"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7"/>
        <w:rPr>
          <w:rFonts w:ascii="宋体" w:hAnsi="宋体" w:cs="宋体" w:eastAsia="宋体" w:hint="default"/>
          <w:sz w:val="15"/>
          <w:szCs w:val="15"/>
        </w:rPr>
      </w:pPr>
      <w:r>
        <w:rPr/>
        <w:br w:type="column"/>
      </w:r>
      <w:r>
        <w:rPr>
          <w:rFonts w:ascii="宋体"/>
          <w:sz w:val="15"/>
        </w:rPr>
      </w:r>
    </w:p>
    <w:p>
      <w:pPr>
        <w:spacing w:before="0"/>
        <w:ind w:left="1910" w:right="0"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2010</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年</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12</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月</w:t>
      </w:r>
      <w:r>
        <w:rPr>
          <w:rFonts w:ascii="宋体" w:hAnsi="宋体" w:cs="宋体" w:eastAsia="宋体" w:hint="default"/>
          <w:spacing w:val="-35"/>
          <w:sz w:val="13"/>
          <w:szCs w:val="13"/>
        </w:rPr>
        <w:t> </w:t>
      </w:r>
      <w:r>
        <w:rPr>
          <w:rFonts w:ascii="Times New Roman" w:hAnsi="Times New Roman" w:cs="Times New Roman" w:eastAsia="Times New Roman" w:hint="default"/>
          <w:sz w:val="13"/>
          <w:szCs w:val="13"/>
        </w:rPr>
        <w:t>31</w:t>
      </w:r>
      <w:r>
        <w:rPr>
          <w:rFonts w:ascii="Times New Roman" w:hAnsi="Times New Roman" w:cs="Times New Roman" w:eastAsia="Times New Roman" w:hint="default"/>
          <w:spacing w:val="-3"/>
          <w:sz w:val="13"/>
          <w:szCs w:val="13"/>
        </w:rPr>
        <w:t> </w:t>
      </w:r>
      <w:r>
        <w:rPr>
          <w:rFonts w:ascii="宋体" w:hAnsi="宋体" w:cs="宋体" w:eastAsia="宋体" w:hint="default"/>
          <w:sz w:val="13"/>
          <w:szCs w:val="13"/>
        </w:rPr>
        <w:t>日</w:t>
      </w:r>
    </w:p>
    <w:p>
      <w:pPr>
        <w:spacing w:after="0"/>
        <w:jc w:val="left"/>
        <w:rPr>
          <w:rFonts w:ascii="宋体" w:hAnsi="宋体" w:cs="宋体" w:eastAsia="宋体" w:hint="default"/>
          <w:sz w:val="13"/>
          <w:szCs w:val="13"/>
        </w:rPr>
        <w:sectPr>
          <w:type w:val="continuous"/>
          <w:pgSz w:w="11900" w:h="16840"/>
          <w:pgMar w:top="1040" w:bottom="1180" w:left="1020" w:right="480"/>
          <w:cols w:num="3" w:equalWidth="0">
            <w:col w:w="2938" w:space="285"/>
            <w:col w:w="3692" w:space="283"/>
            <w:col w:w="320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line="272" w:lineRule="exact" w:before="63"/>
        <w:ind w:left="746" w:right="0" w:firstLine="0"/>
        <w:jc w:val="left"/>
        <w:rPr>
          <w:rFonts w:ascii="宋体" w:hAnsi="宋体" w:cs="宋体" w:eastAsia="宋体" w:hint="default"/>
          <w:sz w:val="21"/>
          <w:szCs w:val="21"/>
        </w:rPr>
      </w:pPr>
      <w:r>
        <w:rPr>
          <w:rFonts w:ascii="宋体" w:hAnsi="宋体" w:cs="宋体" w:eastAsia="宋体" w:hint="default"/>
          <w:sz w:val="21"/>
          <w:szCs w:val="21"/>
        </w:rPr>
        <w:t>上述股本已经上海众华沪银会计师事务所沪众会字（</w:t>
      </w:r>
      <w:r>
        <w:rPr>
          <w:rFonts w:ascii="Times New Roman" w:hAnsi="Times New Roman" w:cs="Times New Roman" w:eastAsia="Times New Roman" w:hint="default"/>
          <w:sz w:val="21"/>
          <w:szCs w:val="21"/>
        </w:rPr>
        <w:t>2008</w:t>
      </w:r>
      <w:r>
        <w:rPr>
          <w:rFonts w:ascii="宋体" w:hAnsi="宋体" w:cs="宋体" w:eastAsia="宋体" w:hint="default"/>
          <w:sz w:val="21"/>
          <w:szCs w:val="21"/>
        </w:rPr>
        <w:t>）第 </w:t>
      </w:r>
      <w:r>
        <w:rPr>
          <w:rFonts w:ascii="Times New Roman" w:hAnsi="Times New Roman" w:cs="Times New Roman" w:eastAsia="Times New Roman" w:hint="default"/>
          <w:sz w:val="21"/>
          <w:szCs w:val="21"/>
        </w:rPr>
        <w:t>3463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号验资报告验证确认，本年度股本</w:t>
      </w:r>
      <w:r>
        <w:rPr>
          <w:rFonts w:ascii="宋体" w:hAnsi="宋体" w:cs="宋体" w:eastAsia="宋体" w:hint="default"/>
          <w:w w:val="100"/>
          <w:sz w:val="21"/>
          <w:szCs w:val="21"/>
        </w:rPr>
        <w:t> </w:t>
      </w:r>
      <w:r>
        <w:rPr>
          <w:rFonts w:ascii="宋体" w:hAnsi="宋体" w:cs="宋体" w:eastAsia="宋体" w:hint="default"/>
          <w:sz w:val="21"/>
          <w:szCs w:val="21"/>
        </w:rPr>
        <w:t>未发生变动，与注册资本一致。</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92"/>
        <w:gridCol w:w="2352"/>
        <w:gridCol w:w="196"/>
        <w:gridCol w:w="1789"/>
        <w:gridCol w:w="247"/>
        <w:gridCol w:w="1277"/>
        <w:gridCol w:w="235"/>
        <w:gridCol w:w="1122"/>
        <w:gridCol w:w="2365"/>
      </w:tblGrid>
      <w:tr>
        <w:trPr>
          <w:trHeight w:val="764" w:hRule="exact"/>
        </w:trPr>
        <w:tc>
          <w:tcPr>
            <w:tcW w:w="59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48"/>
              <w:jc w:val="right"/>
              <w:rPr>
                <w:rFonts w:ascii="Times New Roman" w:hAnsi="Times New Roman" w:cs="Times New Roman" w:eastAsia="Times New Roman" w:hint="default"/>
                <w:sz w:val="21"/>
                <w:szCs w:val="21"/>
              </w:rPr>
            </w:pPr>
            <w:r>
              <w:rPr>
                <w:rFonts w:ascii="Times New Roman"/>
                <w:sz w:val="21"/>
              </w:rPr>
              <w:t>6.21</w:t>
            </w: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50" w:right="0"/>
              <w:jc w:val="left"/>
              <w:rPr>
                <w:rFonts w:ascii="宋体" w:hAnsi="宋体" w:cs="宋体" w:eastAsia="宋体" w:hint="default"/>
                <w:sz w:val="21"/>
                <w:szCs w:val="21"/>
              </w:rPr>
            </w:pPr>
            <w:r>
              <w:rPr>
                <w:rFonts w:ascii="宋体" w:hAnsi="宋体" w:cs="宋体" w:eastAsia="宋体" w:hint="default"/>
                <w:sz w:val="21"/>
                <w:szCs w:val="21"/>
              </w:rPr>
              <w:t>资本公积</w:t>
            </w:r>
          </w:p>
          <w:p>
            <w:pPr>
              <w:pStyle w:val="TableParagraph"/>
              <w:spacing w:line="240" w:lineRule="auto" w:before="175"/>
              <w:ind w:right="55"/>
              <w:jc w:val="center"/>
              <w:rPr>
                <w:rFonts w:ascii="宋体" w:hAnsi="宋体" w:cs="宋体" w:eastAsia="宋体" w:hint="default"/>
                <w:sz w:val="18"/>
                <w:szCs w:val="18"/>
              </w:rPr>
            </w:pPr>
            <w:r>
              <w:rPr>
                <w:rFonts w:ascii="宋体" w:hAnsi="宋体" w:cs="宋体" w:eastAsia="宋体" w:hint="default"/>
                <w:sz w:val="18"/>
                <w:szCs w:val="18"/>
              </w:rPr>
              <w:t>项目</w:t>
            </w:r>
          </w:p>
        </w:tc>
        <w:tc>
          <w:tcPr>
            <w:tcW w:w="196" w:type="dxa"/>
            <w:tcBorders>
              <w:top w:val="nil" w:sz="6" w:space="0" w:color="auto"/>
              <w:left w:val="nil" w:sz="6" w:space="0" w:color="auto"/>
              <w:bottom w:val="nil" w:sz="6" w:space="0" w:color="auto"/>
              <w:right w:val="nil" w:sz="6" w:space="0" w:color="auto"/>
            </w:tcBorders>
          </w:tcPr>
          <w:p>
            <w:pPr/>
          </w:p>
        </w:tc>
        <w:tc>
          <w:tcPr>
            <w:tcW w:w="17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3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3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94"/>
              <w:jc w:val="righ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240" w:hRule="exact"/>
        </w:trPr>
        <w:tc>
          <w:tcPr>
            <w:tcW w:w="592" w:type="dxa"/>
            <w:tcBorders>
              <w:top w:val="single" w:sz="4" w:space="0" w:color="000000"/>
              <w:left w:val="nil" w:sz="6" w:space="0" w:color="auto"/>
              <w:bottom w:val="nil" w:sz="6" w:space="0" w:color="auto"/>
              <w:right w:val="nil" w:sz="6" w:space="0" w:color="auto"/>
            </w:tcBorders>
          </w:tcPr>
          <w:p>
            <w:pPr>
              <w:pStyle w:val="TableParagraph"/>
              <w:tabs>
                <w:tab w:pos="459" w:val="left" w:leader="none"/>
              </w:tabs>
              <w:spacing w:line="240" w:lineRule="auto" w:before="21"/>
              <w:ind w:right="9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2352" w:type="dxa"/>
            <w:tcBorders>
              <w:top w:val="single" w:sz="4" w:space="0" w:color="000000"/>
              <w:left w:val="nil" w:sz="6" w:space="0" w:color="auto"/>
              <w:bottom w:val="nil" w:sz="6" w:space="0" w:color="auto"/>
              <w:right w:val="nil" w:sz="6" w:space="0" w:color="auto"/>
            </w:tcBorders>
          </w:tcPr>
          <w:p>
            <w:pPr>
              <w:pStyle w:val="TableParagraph"/>
              <w:spacing w:line="215" w:lineRule="exact"/>
              <w:ind w:left="50"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6" w:type="dxa"/>
            <w:tcBorders>
              <w:top w:val="nil" w:sz="6" w:space="0" w:color="auto"/>
              <w:left w:val="nil" w:sz="6" w:space="0" w:color="auto"/>
              <w:bottom w:val="single" w:sz="6" w:space="0" w:color="000000"/>
              <w:right w:val="nil" w:sz="6" w:space="0" w:color="auto"/>
            </w:tcBorders>
          </w:tcPr>
          <w:p>
            <w:pPr/>
          </w:p>
        </w:tc>
        <w:tc>
          <w:tcPr>
            <w:tcW w:w="1789" w:type="dxa"/>
            <w:tcBorders>
              <w:top w:val="single" w:sz="4" w:space="0" w:color="000000"/>
              <w:left w:val="nil" w:sz="6" w:space="0" w:color="auto"/>
              <w:bottom w:val="nil" w:sz="6" w:space="0" w:color="auto"/>
              <w:right w:val="nil" w:sz="6" w:space="0" w:color="auto"/>
            </w:tcBorders>
          </w:tcPr>
          <w:p>
            <w:pPr>
              <w:pStyle w:val="TableParagraph"/>
              <w:tabs>
                <w:tab w:pos="539" w:val="left" w:leader="none"/>
              </w:tabs>
              <w:spacing w:line="202" w:lineRule="exact"/>
              <w:ind w:left="12"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99,419,105.20</w:t>
            </w:r>
            <w:r>
              <w:rPr>
                <w:rFonts w:ascii="Times New Roman"/>
                <w:sz w:val="18"/>
              </w:rPr>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4"/>
              <w:jc w:val="right"/>
              <w:rPr>
                <w:rFonts w:ascii="Times New Roman" w:hAnsi="Times New Roman" w:cs="Times New Roman" w:eastAsia="Times New Roman" w:hint="default"/>
                <w:sz w:val="18"/>
                <w:szCs w:val="18"/>
              </w:rPr>
            </w:pPr>
            <w:r>
              <w:rPr>
                <w:rFonts w:ascii="Times New Roman"/>
                <w:spacing w:val="-1"/>
                <w:sz w:val="18"/>
              </w:rPr>
              <w:t>20,694.80</w:t>
            </w:r>
          </w:p>
        </w:tc>
        <w:tc>
          <w:tcPr>
            <w:tcW w:w="235" w:type="dxa"/>
            <w:tcBorders>
              <w:top w:val="nil" w:sz="6" w:space="0" w:color="auto"/>
              <w:left w:val="nil" w:sz="6" w:space="0" w:color="auto"/>
              <w:bottom w:val="nil" w:sz="6" w:space="0" w:color="auto"/>
              <w:right w:val="nil" w:sz="6" w:space="0" w:color="auto"/>
            </w:tcBorders>
          </w:tcPr>
          <w:p>
            <w:pPr/>
          </w:p>
        </w:tc>
        <w:tc>
          <w:tcPr>
            <w:tcW w:w="1122" w:type="dxa"/>
            <w:tcBorders>
              <w:top w:val="single" w:sz="4" w:space="0" w:color="000000"/>
              <w:left w:val="nil" w:sz="6" w:space="0" w:color="auto"/>
              <w:bottom w:val="nil" w:sz="6" w:space="0" w:color="auto"/>
              <w:right w:val="nil" w:sz="6" w:space="0" w:color="auto"/>
            </w:tcBorders>
          </w:tcPr>
          <w:p>
            <w:pPr/>
          </w:p>
        </w:tc>
        <w:tc>
          <w:tcPr>
            <w:tcW w:w="2365" w:type="dxa"/>
            <w:tcBorders>
              <w:top w:val="single" w:sz="4" w:space="0" w:color="000000"/>
              <w:left w:val="nil" w:sz="6" w:space="0" w:color="auto"/>
              <w:bottom w:val="single" w:sz="6" w:space="0" w:color="000000"/>
              <w:right w:val="nil" w:sz="6" w:space="0" w:color="auto"/>
            </w:tcBorders>
          </w:tcPr>
          <w:p>
            <w:pPr>
              <w:pStyle w:val="TableParagraph"/>
              <w:tabs>
                <w:tab w:pos="1144" w:val="left" w:leader="none"/>
              </w:tabs>
              <w:spacing w:line="219" w:lineRule="exact"/>
              <w:ind w:right="104"/>
              <w:jc w:val="right"/>
              <w:rPr>
                <w:rFonts w:ascii="Times New Roman" w:hAnsi="Times New Roman" w:cs="Times New Roman" w:eastAsia="Times New Roman" w:hint="default"/>
                <w:sz w:val="18"/>
                <w:szCs w:val="18"/>
              </w:rPr>
            </w:pPr>
            <w:r>
              <w:rPr>
                <w:rFonts w:ascii="Times New Roman"/>
                <w:sz w:val="18"/>
              </w:rPr>
              <w:t>-</w:t>
              <w:tab/>
            </w:r>
            <w:r>
              <w:rPr>
                <w:rFonts w:ascii="Times New Roman"/>
                <w:spacing w:val="-1"/>
                <w:position w:val="2"/>
                <w:sz w:val="18"/>
              </w:rPr>
              <w:t>99,439,800.00</w:t>
            </w:r>
            <w:r>
              <w:rPr>
                <w:rFonts w:ascii="Times New Roman"/>
                <w:spacing w:val="-1"/>
                <w:sz w:val="18"/>
              </w:rPr>
            </w:r>
          </w:p>
        </w:tc>
      </w:tr>
      <w:tr>
        <w:trPr>
          <w:trHeight w:val="242" w:hRule="exact"/>
        </w:trPr>
        <w:tc>
          <w:tcPr>
            <w:tcW w:w="592" w:type="dxa"/>
            <w:tcBorders>
              <w:top w:val="nil" w:sz="6" w:space="0" w:color="auto"/>
              <w:left w:val="nil" w:sz="6" w:space="0" w:color="auto"/>
              <w:bottom w:val="nil" w:sz="6" w:space="0" w:color="auto"/>
              <w:right w:val="nil" w:sz="6" w:space="0" w:color="auto"/>
            </w:tcBorders>
          </w:tcPr>
          <w:p>
            <w:pPr>
              <w:pStyle w:val="TableParagraph"/>
              <w:tabs>
                <w:tab w:pos="459" w:val="left" w:leader="none"/>
              </w:tabs>
              <w:spacing w:line="240" w:lineRule="auto" w:before="26"/>
              <w:ind w:right="94"/>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2352" w:type="dxa"/>
            <w:tcBorders>
              <w:top w:val="nil" w:sz="6" w:space="0" w:color="auto"/>
              <w:left w:val="nil" w:sz="6" w:space="0" w:color="auto"/>
              <w:bottom w:val="nil" w:sz="6" w:space="0" w:color="auto"/>
              <w:right w:val="nil" w:sz="6" w:space="0" w:color="auto"/>
            </w:tcBorders>
          </w:tcPr>
          <w:p>
            <w:pPr>
              <w:pStyle w:val="TableParagraph"/>
              <w:spacing w:line="220" w:lineRule="exact"/>
              <w:ind w:left="50"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6" w:type="dxa"/>
            <w:tcBorders>
              <w:top w:val="single" w:sz="6" w:space="0" w:color="000000"/>
              <w:left w:val="nil" w:sz="6" w:space="0" w:color="auto"/>
              <w:bottom w:val="single" w:sz="6" w:space="0" w:color="000000"/>
              <w:right w:val="nil" w:sz="6" w:space="0" w:color="auto"/>
            </w:tcBorders>
          </w:tcPr>
          <w:p>
            <w:pPr/>
          </w:p>
        </w:tc>
        <w:tc>
          <w:tcPr>
            <w:tcW w:w="1789" w:type="dxa"/>
            <w:tcBorders>
              <w:top w:val="nil" w:sz="6" w:space="0" w:color="auto"/>
              <w:left w:val="nil" w:sz="6" w:space="0" w:color="auto"/>
              <w:bottom w:val="nil" w:sz="6" w:space="0" w:color="auto"/>
              <w:right w:val="nil" w:sz="6" w:space="0" w:color="auto"/>
            </w:tcBorders>
          </w:tcPr>
          <w:p>
            <w:pPr>
              <w:pStyle w:val="TableParagraph"/>
              <w:tabs>
                <w:tab w:pos="1513" w:val="left" w:leader="none"/>
              </w:tabs>
              <w:spacing w:line="240" w:lineRule="auto" w:before="2"/>
              <w:ind w:left="10"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r>
            <w:r>
              <w:rPr>
                <w:rFonts w:ascii="Times New Roman"/>
                <w:sz w:val="18"/>
              </w:rPr>
            </w:r>
          </w:p>
        </w:tc>
        <w:tc>
          <w:tcPr>
            <w:tcW w:w="247"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5"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2365" w:type="dxa"/>
            <w:tcBorders>
              <w:top w:val="single" w:sz="6" w:space="0" w:color="000000"/>
              <w:left w:val="nil" w:sz="6" w:space="0" w:color="auto"/>
              <w:bottom w:val="nil" w:sz="6" w:space="0" w:color="auto"/>
              <w:right w:val="nil" w:sz="6" w:space="0" w:color="auto"/>
            </w:tcBorders>
          </w:tcPr>
          <w:p>
            <w:pPr>
              <w:pStyle w:val="TableParagraph"/>
              <w:tabs>
                <w:tab w:pos="2119" w:val="left" w:leader="none"/>
              </w:tabs>
              <w:spacing w:line="240" w:lineRule="auto" w:before="12"/>
              <w:ind w:right="105"/>
              <w:jc w:val="right"/>
              <w:rPr>
                <w:rFonts w:ascii="Times New Roman" w:hAnsi="Times New Roman" w:cs="Times New Roman" w:eastAsia="Times New Roman" w:hint="default"/>
                <w:sz w:val="18"/>
                <w:szCs w:val="18"/>
              </w:rPr>
            </w:pPr>
            <w:r>
              <w:rPr>
                <w:rFonts w:ascii="Times New Roman"/>
                <w:sz w:val="18"/>
              </w:rPr>
              <w:t>-</w:t>
              <w:tab/>
            </w:r>
            <w:r>
              <w:rPr>
                <w:rFonts w:ascii="Times New Roman"/>
                <w:w w:val="95"/>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040" w:bottom="1180" w:left="1020" w:right="480"/>
        </w:sectPr>
      </w:pPr>
    </w:p>
    <w:p>
      <w:pPr>
        <w:tabs>
          <w:tab w:pos="599" w:val="left" w:leader="none"/>
        </w:tabs>
        <w:spacing w:line="197" w:lineRule="exact" w:before="0"/>
        <w:ind w:left="139"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可供出售金额资产</w:t>
      </w:r>
    </w:p>
    <w:p>
      <w:pPr>
        <w:spacing w:line="234" w:lineRule="exact" w:before="0"/>
        <w:ind w:left="746" w:right="-20" w:firstLine="0"/>
        <w:jc w:val="left"/>
        <w:rPr>
          <w:rFonts w:ascii="宋体" w:hAnsi="宋体" w:cs="宋体" w:eastAsia="宋体" w:hint="default"/>
          <w:sz w:val="18"/>
          <w:szCs w:val="18"/>
        </w:rPr>
      </w:pPr>
      <w:r>
        <w:rPr>
          <w:rFonts w:ascii="宋体" w:hAnsi="宋体" w:cs="宋体" w:eastAsia="宋体" w:hint="default"/>
          <w:sz w:val="18"/>
          <w:szCs w:val="18"/>
        </w:rPr>
        <w:t>公允价值变动</w:t>
      </w:r>
    </w:p>
    <w:p>
      <w:pPr>
        <w:tabs>
          <w:tab w:pos="1663" w:val="left" w:leader="none"/>
          <w:tab w:pos="3266" w:val="left" w:leader="none"/>
          <w:tab w:pos="5385" w:val="left" w:leader="none"/>
        </w:tabs>
        <w:spacing w:before="97"/>
        <w:ind w:left="139" w:right="0" w:firstLine="0"/>
        <w:jc w:val="left"/>
        <w:rPr>
          <w:rFonts w:ascii="Times New Roman" w:hAnsi="Times New Roman" w:cs="Times New Roman" w:eastAsia="Times New Roman" w:hint="default"/>
          <w:sz w:val="18"/>
          <w:szCs w:val="18"/>
        </w:rPr>
      </w:pPr>
      <w:r>
        <w:rPr/>
        <w:br w:type="column"/>
      </w:r>
      <w:r>
        <w:rPr>
          <w:rFonts w:ascii="Times New Roman"/>
          <w:position w:val="2"/>
          <w:sz w:val="18"/>
        </w:rPr>
        <w:t>-</w:t>
        <w:tab/>
      </w:r>
      <w:r>
        <w:rPr>
          <w:rFonts w:ascii="Times New Roman"/>
          <w:sz w:val="18"/>
        </w:rPr>
        <w:t>-</w:t>
        <w:tab/>
        <w:t>-</w:t>
        <w:tab/>
        <w:t>-</w:t>
      </w:r>
    </w:p>
    <w:p>
      <w:pPr>
        <w:spacing w:after="0"/>
        <w:jc w:val="left"/>
        <w:rPr>
          <w:rFonts w:ascii="Times New Roman" w:hAnsi="Times New Roman" w:cs="Times New Roman" w:eastAsia="Times New Roman" w:hint="default"/>
          <w:sz w:val="18"/>
          <w:szCs w:val="18"/>
        </w:rPr>
        <w:sectPr>
          <w:type w:val="continuous"/>
          <w:pgSz w:w="11900" w:h="16840"/>
          <w:pgMar w:top="1040" w:bottom="1180" w:left="1020" w:right="480"/>
          <w:cols w:num="2" w:equalWidth="0">
            <w:col w:w="2187" w:space="2539"/>
            <w:col w:w="5674"/>
          </w:cols>
        </w:sectPr>
      </w:pPr>
    </w:p>
    <w:p>
      <w:pPr>
        <w:tabs>
          <w:tab w:pos="599" w:val="left" w:leader="none"/>
          <w:tab w:pos="3283" w:val="left" w:leader="none"/>
          <w:tab w:pos="4204" w:val="left" w:leader="none"/>
          <w:tab w:pos="6388" w:val="left" w:leader="none"/>
          <w:tab w:pos="7991" w:val="left" w:leader="none"/>
          <w:tab w:pos="9451" w:val="left" w:leader="none"/>
        </w:tabs>
        <w:spacing w:before="10"/>
        <w:ind w:left="139" w:right="0" w:firstLine="0"/>
        <w:jc w:val="left"/>
        <w:rPr>
          <w:rFonts w:ascii="Times New Roman" w:hAnsi="Times New Roman" w:cs="Times New Roman" w:eastAsia="Times New Roman" w:hint="default"/>
          <w:sz w:val="18"/>
          <w:szCs w:val="18"/>
        </w:rPr>
      </w:pPr>
      <w:r>
        <w:rPr/>
        <w:pict>
          <v:group style="position:absolute;margin-left:219.119995pt;margin-top:-4.638285pt;width:79.6pt;height:.1pt;mso-position-horizontal-relative:page;mso-position-vertical-relative:paragraph;z-index:6376" coordorigin="4382,-93" coordsize="1592,2">
            <v:shape style="position:absolute;left:4382;top:-93;width:1592;height:2" coordorigin="4382,-93" coordsize="1592,0" path="m4382,-93l5974,-93e" filled="false" stroked="true" strokeweight=".72pt" strokecolor="#000000">
              <v:path arrowok="t"/>
            </v:shape>
            <w10:wrap type="none"/>
          </v:group>
        </w:pict>
      </w:r>
      <w:r>
        <w:rPr>
          <w:rFonts w:ascii="Times New Roman" w:hAnsi="Times New Roman" w:cs="Times New Roman" w:eastAsia="Times New Roman" w:hint="default"/>
          <w:position w:val="-2"/>
          <w:sz w:val="18"/>
          <w:szCs w:val="18"/>
        </w:rPr>
      </w:r>
      <w:r>
        <w:rPr>
          <w:rFonts w:ascii="Times New Roman" w:hAnsi="Times New Roman" w:cs="Times New Roman" w:eastAsia="Times New Roman" w:hint="default"/>
          <w:position w:val="-2"/>
          <w:sz w:val="18"/>
          <w:szCs w:val="18"/>
          <w:u w:val="single" w:color="000000"/>
        </w:rPr>
        <w:t> </w:t>
        <w:tab/>
      </w:r>
      <w:r>
        <w:rPr>
          <w:rFonts w:ascii="Times New Roman" w:hAnsi="Times New Roman" w:cs="Times New Roman" w:eastAsia="Times New Roman" w:hint="default"/>
          <w:position w:val="-2"/>
          <w:sz w:val="18"/>
          <w:szCs w:val="18"/>
        </w:rPr>
        <w:t>  </w:t>
      </w:r>
      <w:r>
        <w:rPr>
          <w:rFonts w:ascii="Times New Roman" w:hAnsi="Times New Roman" w:cs="Times New Roman" w:eastAsia="Times New Roman" w:hint="default"/>
          <w:spacing w:val="12"/>
          <w:position w:val="-2"/>
          <w:sz w:val="18"/>
          <w:szCs w:val="18"/>
        </w:rPr>
        <w:t> </w:t>
      </w:r>
      <w:r>
        <w:rPr>
          <w:rFonts w:ascii="宋体" w:hAnsi="宋体" w:cs="宋体" w:eastAsia="宋体" w:hint="default"/>
          <w:position w:val="-2"/>
          <w:sz w:val="18"/>
          <w:szCs w:val="18"/>
        </w:rPr>
        <w:t>原制度资本公积转入</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pacing w:val="-1"/>
          <w:sz w:val="18"/>
          <w:szCs w:val="18"/>
          <w:u w:val="thick" w:color="000000"/>
        </w:rPr>
        <w:t>87,108.26</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position w:val="-1"/>
          <w:sz w:val="18"/>
          <w:szCs w:val="18"/>
        </w:rPr>
        <w:t>-</w:t>
        <w:tab/>
        <w:t>-</w:t>
        <w:tab/>
      </w:r>
      <w:r>
        <w:rPr>
          <w:rFonts w:ascii="Times New Roman" w:hAnsi="Times New Roman" w:cs="Times New Roman" w:eastAsia="Times New Roman" w:hint="default"/>
          <w:spacing w:val="-1"/>
          <w:sz w:val="18"/>
          <w:szCs w:val="18"/>
        </w:rPr>
        <w:t>87,108.26</w:t>
      </w:r>
    </w:p>
    <w:p>
      <w:pPr>
        <w:tabs>
          <w:tab w:pos="6787" w:val="left" w:leader="none"/>
          <w:tab w:pos="8390" w:val="left" w:leader="none"/>
        </w:tabs>
        <w:spacing w:line="24" w:lineRule="exact"/>
        <w:ind w:left="5275" w:right="0" w:firstLine="0"/>
        <w:rPr>
          <w:rFonts w:ascii="Times New Roman" w:hAnsi="Times New Roman" w:cs="Times New Roman" w:eastAsia="Times New Roman" w:hint="default"/>
          <w:sz w:val="2"/>
          <w:szCs w:val="2"/>
        </w:rPr>
      </w:pPr>
      <w:r>
        <w:rPr>
          <w:rFonts w:ascii="Times New Roman"/>
          <w:sz w:val="2"/>
        </w:rPr>
        <w:pict>
          <v:group style="width:64.3500pt;height:.5pt;mso-position-horizontal-relative:char;mso-position-vertical-relative:line" coordorigin="0,0" coordsize="1287,10">
            <v:group style="position:absolute;left:5;top:5;width:1277;height:2" coordorigin="5,5" coordsize="1277,2">
              <v:shape style="position:absolute;left:5;top:5;width:1277;height:2" coordorigin="5,5" coordsize="1277,0" path="m5,5l1282,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68.9pt;height:.5pt;mso-position-horizontal-relative:char;mso-position-vertical-relative:line" coordorigin="0,0" coordsize="1378,10">
            <v:group style="position:absolute;left:5;top:5;width:1368;height:2" coordorigin="5,5" coordsize="1368,2">
              <v:shape style="position:absolute;left:5;top:5;width:1368;height:2" coordorigin="5,5" coordsize="1368,0" path="m5,5l1373,5e" filled="false" stroked="true" strokeweight=".48pt" strokecolor="#000000">
                <v:path arrowok="t"/>
              </v:shape>
            </v:group>
          </v:group>
        </w:pict>
      </w:r>
      <w:r>
        <w:rPr>
          <w:rFonts w:ascii="Times New Roman"/>
          <w:sz w:val="2"/>
        </w:rPr>
      </w:r>
      <w:r>
        <w:rPr>
          <w:rFonts w:ascii="Times New Roman"/>
          <w:sz w:val="2"/>
        </w:rPr>
        <w:tab/>
      </w:r>
      <w:r>
        <w:rPr>
          <w:rFonts w:ascii="Times New Roman"/>
          <w:sz w:val="2"/>
        </w:rPr>
        <w:pict>
          <v:group style="width:94.7pt;height:1.2pt;mso-position-horizontal-relative:char;mso-position-vertical-relative:line" coordorigin="0,0" coordsize="1894,24">
            <v:group style="position:absolute;left:84;top:7;width:1726;height:2" coordorigin="84,7" coordsize="1726,2">
              <v:shape style="position:absolute;left:84;top:7;width:1726;height:2" coordorigin="84,7" coordsize="1726,0" path="m84,7l1809,7e" filled="false" stroked="true" strokeweight=".71pt" strokecolor="#000000">
                <v:path arrowok="t"/>
              </v:shape>
            </v:group>
            <v:group style="position:absolute;left:5;top:19;width:1884;height:2" coordorigin="5,19" coordsize="1884,2">
              <v:shape style="position:absolute;left:5;top:19;width:1884;height:2" coordorigin="5,19" coordsize="1884,0" path="m5,19l1889,19e" filled="false" stroked="true" strokeweight=".48pt" strokecolor="#000000">
                <v:path arrowok="t"/>
              </v:shape>
            </v:group>
          </v:group>
        </w:pict>
      </w:r>
      <w:r>
        <w:rPr>
          <w:rFonts w:ascii="Times New Roman"/>
          <w:sz w:val="2"/>
        </w:rPr>
      </w:r>
    </w:p>
    <w:p>
      <w:pPr>
        <w:tabs>
          <w:tab w:pos="3890" w:val="left" w:leader="none"/>
          <w:tab w:pos="5728" w:val="left" w:leader="none"/>
          <w:tab w:pos="7991" w:val="left" w:leader="none"/>
          <w:tab w:pos="8961" w:val="left" w:leader="none"/>
        </w:tabs>
        <w:spacing w:before="38"/>
        <w:ind w:left="746" w:right="0" w:firstLine="0"/>
        <w:jc w:val="left"/>
        <w:rPr>
          <w:rFonts w:ascii="Times New Roman" w:hAnsi="Times New Roman" w:cs="Times New Roman" w:eastAsia="Times New Roman" w:hint="default"/>
          <w:sz w:val="21"/>
          <w:szCs w:val="21"/>
        </w:rPr>
      </w:pPr>
      <w:r>
        <w:rPr/>
        <w:pict>
          <v:group style="position:absolute;margin-left:57.959999pt;margin-top:10.372349pt;width:21pt;height:.1pt;mso-position-horizontal-relative:page;mso-position-vertical-relative:paragraph;z-index:6400" coordorigin="1159,207" coordsize="420,2">
            <v:shape style="position:absolute;left:1159;top:207;width:420;height:2" coordorigin="1159,207" coordsize="420,0" path="m1159,207l1579,207e" filled="false" stroked="true" strokeweight=".72pt" strokecolor="#000000">
              <v:path arrowok="t"/>
            </v:shape>
            <w10:wrap type="none"/>
          </v:group>
        </w:pict>
      </w:r>
      <w:r>
        <w:rPr/>
        <w:pict>
          <v:group style="position:absolute;margin-left:214.919998pt;margin-top:13.492349pt;width:88pt;height:3.85pt;mso-position-horizontal-relative:page;mso-position-vertical-relative:paragraph;z-index:-549184" coordorigin="4298,270" coordsize="1760,77">
            <v:group style="position:absolute;left:4382;top:277;width:1592;height:2" coordorigin="4382,277" coordsize="1592,2">
              <v:shape style="position:absolute;left:4382;top:277;width:1592;height:2" coordorigin="4382,277" coordsize="1592,0" path="m4382,277l5974,277e" filled="false" stroked="true" strokeweight=".72pt" strokecolor="#000000">
                <v:path arrowok="t"/>
              </v:shape>
            </v:group>
            <v:group style="position:absolute;left:4303;top:323;width:1750;height:2" coordorigin="4303,323" coordsize="1750,2">
              <v:shape style="position:absolute;left:4303;top:323;width:1750;height:2" coordorigin="4303,323" coordsize="1750,0" path="m4303,323l6053,323e" filled="false" stroked="true" strokeweight=".48pt" strokecolor="#000000">
                <v:path arrowok="t"/>
              </v:shape>
            </v:group>
            <v:group style="position:absolute;left:4303;top:342;width:1750;height:2" coordorigin="4303,342" coordsize="1750,2">
              <v:shape style="position:absolute;left:4303;top:342;width:1750;height:2" coordorigin="4303,342" coordsize="1750,0" path="m4303,342l6053,342e" filled="false" stroked="true" strokeweight=".48pt" strokecolor="#000000">
                <v:path arrowok="t"/>
              </v:shape>
            </v:group>
            <w10:wrap type="none"/>
          </v:group>
        </w:pict>
      </w:r>
      <w:r>
        <w:rPr>
          <w:rFonts w:ascii="宋体" w:hAnsi="宋体" w:cs="宋体" w:eastAsia="宋体" w:hint="default"/>
          <w:position w:val="-2"/>
          <w:sz w:val="18"/>
          <w:szCs w:val="18"/>
        </w:rPr>
        <w:t>合计</w:t>
        <w:tab/>
      </w:r>
      <w:r>
        <w:rPr>
          <w:rFonts w:ascii="Times New Roman" w:hAnsi="Times New Roman" w:cs="Times New Roman" w:eastAsia="Times New Roman" w:hint="default"/>
          <w:spacing w:val="-1"/>
          <w:position w:val="3"/>
          <w:sz w:val="18"/>
          <w:szCs w:val="18"/>
        </w:rPr>
        <w:t>99,506,213.46</w:t>
        <w:tab/>
      </w:r>
      <w:r>
        <w:rPr>
          <w:rFonts w:ascii="Times New Roman" w:hAnsi="Times New Roman" w:cs="Times New Roman" w:eastAsia="Times New Roman" w:hint="default"/>
          <w:spacing w:val="-1"/>
          <w:position w:val="1"/>
          <w:sz w:val="18"/>
          <w:szCs w:val="18"/>
        </w:rPr>
        <w:t>20,694.80</w:t>
        <w:tab/>
      </w:r>
      <w:r>
        <w:rPr>
          <w:rFonts w:ascii="Times New Roman" w:hAnsi="Times New Roman" w:cs="Times New Roman" w:eastAsia="Times New Roman" w:hint="default"/>
          <w:position w:val="1"/>
          <w:sz w:val="18"/>
          <w:szCs w:val="18"/>
        </w:rPr>
        <w:t>-</w:t>
        <w:tab/>
      </w:r>
      <w:r>
        <w:rPr>
          <w:rFonts w:ascii="Times New Roman" w:hAnsi="Times New Roman" w:cs="Times New Roman" w:eastAsia="Times New Roman" w:hint="default"/>
          <w:spacing w:val="-1"/>
          <w:sz w:val="21"/>
          <w:szCs w:val="21"/>
        </w:rPr>
        <w:t>99,526,908.26</w:t>
      </w:r>
    </w:p>
    <w:p>
      <w:pPr>
        <w:spacing w:line="240" w:lineRule="auto" w:before="3"/>
        <w:rPr>
          <w:rFonts w:ascii="Times New Roman" w:hAnsi="Times New Roman" w:cs="Times New Roman" w:eastAsia="Times New Roman" w:hint="default"/>
          <w:sz w:val="2"/>
          <w:szCs w:val="2"/>
        </w:rPr>
      </w:pPr>
    </w:p>
    <w:p>
      <w:pPr>
        <w:tabs>
          <w:tab w:pos="6787" w:val="left" w:leader="none"/>
          <w:tab w:pos="8390" w:val="left" w:leader="none"/>
        </w:tabs>
        <w:spacing w:line="28" w:lineRule="exact"/>
        <w:ind w:left="5275" w:right="0" w:firstLine="0"/>
        <w:rPr>
          <w:rFonts w:ascii="Times New Roman" w:hAnsi="Times New Roman" w:cs="Times New Roman" w:eastAsia="Times New Roman" w:hint="default"/>
          <w:sz w:val="2"/>
          <w:szCs w:val="2"/>
        </w:rPr>
      </w:pPr>
      <w:r>
        <w:rPr>
          <w:rFonts w:ascii="Times New Roman"/>
          <w:position w:val="0"/>
          <w:sz w:val="2"/>
        </w:rPr>
        <w:pict>
          <v:group style="width:64.3500pt;height:1.45pt;mso-position-horizontal-relative:char;mso-position-vertical-relative:line" coordorigin="0,0" coordsize="1287,29">
            <v:group style="position:absolute;left:5;top:5;width:1277;height:2" coordorigin="5,5" coordsize="1277,2">
              <v:shape style="position:absolute;left:5;top:5;width:1277;height:2" coordorigin="5,5" coordsize="1277,0" path="m5,5l1282,5e" filled="false" stroked="true" strokeweight=".48pt" strokecolor="#000000">
                <v:path arrowok="t"/>
              </v:shape>
            </v:group>
            <v:group style="position:absolute;left:5;top:24;width:1277;height:2" coordorigin="5,24" coordsize="1277,2">
              <v:shape style="position:absolute;left:5;top:24;width:1277;height:2" coordorigin="5,24" coordsize="1277,0" path="m5,24l1282,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68.9pt;height:1.45pt;mso-position-horizontal-relative:char;mso-position-vertical-relative:line" coordorigin="0,0" coordsize="1378,29">
            <v:group style="position:absolute;left:5;top:5;width:1368;height:2" coordorigin="5,5" coordsize="1368,2">
              <v:shape style="position:absolute;left:5;top:5;width:1368;height:2" coordorigin="5,5" coordsize="1368,0" path="m5,5l1373,5e" filled="false" stroked="true" strokeweight=".48pt" strokecolor="#000000">
                <v:path arrowok="t"/>
              </v:shape>
            </v:group>
            <v:group style="position:absolute;left:5;top:24;width:1368;height:2" coordorigin="5,24" coordsize="1368,2">
              <v:shape style="position:absolute;left:5;top:24;width:1368;height:2" coordorigin="5,24" coordsize="1368,0" path="m5,24l1373,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4.7pt;height:1.45pt;mso-position-horizontal-relative:char;mso-position-vertical-relative:line" coordorigin="0,0" coordsize="1894,29">
            <v:group style="position:absolute;left:5;top:5;width:1884;height:2" coordorigin="5,5" coordsize="1884,2">
              <v:shape style="position:absolute;left:5;top:5;width:1884;height:2" coordorigin="5,5" coordsize="1884,0" path="m5,5l1889,5e" filled="false" stroked="true" strokeweight=".48pt" strokecolor="#000000">
                <v:path arrowok="t"/>
              </v:shape>
            </v:group>
            <v:group style="position:absolute;left:5;top:24;width:1884;height:2" coordorigin="5,24" coordsize="1884,2">
              <v:shape style="position:absolute;left:5;top:24;width:1884;height:2" coordorigin="5,24" coordsize="1884,0" path="m5,24l1889,24e" filled="false" stroked="true" strokeweight=".48pt" strokecolor="#000000">
                <v:path arrowok="t"/>
              </v:shape>
            </v:group>
          </v:group>
        </w:pict>
      </w:r>
      <w:r>
        <w:rPr>
          <w:rFonts w:ascii="Times New Roman"/>
          <w:position w:val="0"/>
          <w:sz w:val="2"/>
        </w:rPr>
      </w:r>
    </w:p>
    <w:p>
      <w:pPr>
        <w:spacing w:line="240" w:lineRule="auto" w:before="3"/>
        <w:rPr>
          <w:rFonts w:ascii="Times New Roman" w:hAnsi="Times New Roman" w:cs="Times New Roman" w:eastAsia="Times New Roman" w:hint="default"/>
          <w:sz w:val="11"/>
          <w:szCs w:val="11"/>
        </w:rPr>
      </w:pPr>
    </w:p>
    <w:p>
      <w:pPr>
        <w:spacing w:before="44"/>
        <w:ind w:left="27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6.22</w:t>
      </w:r>
      <w:r>
        <w:rPr>
          <w:rFonts w:ascii="Times New Roman" w:hAnsi="Times New Roman" w:cs="Times New Roman" w:eastAsia="Times New Roman" w:hint="default"/>
          <w:spacing w:val="51"/>
          <w:sz w:val="21"/>
          <w:szCs w:val="21"/>
        </w:rPr>
        <w:t> </w:t>
      </w:r>
      <w:r>
        <w:rPr>
          <w:rFonts w:ascii="宋体" w:hAnsi="宋体" w:cs="宋体" w:eastAsia="宋体" w:hint="default"/>
          <w:position w:val="-1"/>
          <w:sz w:val="21"/>
          <w:szCs w:val="21"/>
        </w:rPr>
        <w:t>盈余公积</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tabs>
          <w:tab w:pos="2704" w:val="left" w:leader="none"/>
          <w:tab w:pos="5133" w:val="left" w:leader="none"/>
          <w:tab w:pos="6791" w:val="left" w:leader="none"/>
          <w:tab w:pos="8474" w:val="left" w:leader="none"/>
        </w:tabs>
        <w:spacing w:line="287" w:lineRule="exact" w:before="0"/>
        <w:ind w:left="1298"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tab/>
      </w:r>
      <w:r>
        <w:rPr>
          <w:rFonts w:ascii="宋体" w:hAnsi="宋体" w:cs="宋体" w:eastAsia="宋体" w:hint="default"/>
          <w:spacing w:val="-1"/>
          <w:sz w:val="21"/>
          <w:szCs w:val="21"/>
        </w:rPr>
        <w:t>本年增加</w:t>
        <w:tab/>
        <w:t>本年减少</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2"/>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3285" w:val="left" w:leader="none"/>
          <w:tab w:pos="5205" w:val="left" w:leader="none"/>
          <w:tab w:pos="7739" w:val="left" w:leader="none"/>
          <w:tab w:pos="8999" w:val="left" w:leader="none"/>
        </w:tabs>
        <w:spacing w:line="277" w:lineRule="exact" w:before="0"/>
        <w:ind w:left="710" w:right="0" w:firstLine="0"/>
        <w:jc w:val="left"/>
        <w:rPr>
          <w:rFonts w:ascii="Times New Roman" w:hAnsi="Times New Roman" w:cs="Times New Roman" w:eastAsia="Times New Roman" w:hint="default"/>
          <w:sz w:val="21"/>
          <w:szCs w:val="21"/>
        </w:rPr>
      </w:pPr>
      <w:r>
        <w:rPr/>
        <w:pict>
          <v:group style="position:absolute;margin-left:82.919998pt;margin-top:1.166207pt;width:87.15pt;height:.1pt;mso-position-horizontal-relative:page;mso-position-vertical-relative:paragraph;z-index:-549160" coordorigin="1658,23" coordsize="1743,2">
            <v:shape style="position:absolute;left:1658;top:23;width:1743;height:2" coordorigin="1658,23" coordsize="1743,0" path="m1658,23l3401,23e" filled="false" stroked="true" strokeweight=".48pt" strokecolor="#000000">
              <v:path arrowok="t"/>
            </v:shape>
            <w10:wrap type="none"/>
          </v:group>
        </w:pict>
      </w:r>
      <w:r>
        <w:rPr/>
        <w:pict>
          <v:group style="position:absolute;margin-left:180pt;margin-top:1.166207pt;width:99.25pt;height:.1pt;mso-position-horizontal-relative:page;mso-position-vertical-relative:paragraph;z-index:-549136" coordorigin="3600,23" coordsize="1985,2">
            <v:shape style="position:absolute;left:3600;top:23;width:1985;height:2" coordorigin="3600,23" coordsize="1985,0" path="m3600,23l5585,23e" filled="false" stroked="true" strokeweight=".48pt" strokecolor="#000000">
              <v:path arrowok="t"/>
            </v:shape>
            <w10:wrap type="none"/>
          </v:group>
        </w:pict>
      </w:r>
      <w:r>
        <w:rPr/>
        <w:pict>
          <v:group style="position:absolute;margin-left:287.399994pt;margin-top:1.166207pt;width:82.55pt;height:.1pt;mso-position-horizontal-relative:page;mso-position-vertical-relative:paragraph;z-index:-549112" coordorigin="5748,23" coordsize="1651,2">
            <v:shape style="position:absolute;left:5748;top:23;width:1651;height:2" coordorigin="5748,23" coordsize="1651,0" path="m5748,23l7399,23e" filled="false" stroked="true" strokeweight=".48pt" strokecolor="#000000">
              <v:path arrowok="t"/>
            </v:shape>
            <w10:wrap type="none"/>
          </v:group>
        </w:pict>
      </w:r>
      <w:r>
        <w:rPr/>
        <w:pict>
          <v:group style="position:absolute;margin-left:378.23999pt;margin-top:1.166207pt;width:66.75pt;height:.1pt;mso-position-horizontal-relative:page;mso-position-vertical-relative:paragraph;z-index:-549088" coordorigin="7565,23" coordsize="1335,2">
            <v:shape style="position:absolute;left:7565;top:23;width:1335;height:2" coordorigin="7565,23" coordsize="1335,0" path="m7565,23l8899,23e" filled="false" stroked="true" strokeweight=".48pt" strokecolor="#000000">
              <v:path arrowok="t"/>
            </v:shape>
            <w10:wrap type="none"/>
          </v:group>
        </w:pict>
      </w:r>
      <w:r>
        <w:rPr/>
        <w:pict>
          <v:group style="position:absolute;margin-left:454.200012pt;margin-top:1.166207pt;width:110.75pt;height:.1pt;mso-position-horizontal-relative:page;mso-position-vertical-relative:paragraph;z-index:-549064" coordorigin="9084,23" coordsize="2215,2">
            <v:shape style="position:absolute;left:9084;top:23;width:2215;height:2" coordorigin="9084,23" coordsize="2215,0" path="m9084,23l11299,23e" filled="false" stroked="true" strokeweight=".48pt" strokecolor="#000000">
              <v:path arrowok="t"/>
            </v:shape>
            <w10:wrap type="none"/>
          </v:group>
        </w:pict>
      </w:r>
      <w:r>
        <w:rPr>
          <w:rFonts w:ascii="宋体" w:hAnsi="宋体" w:cs="宋体" w:eastAsia="宋体" w:hint="default"/>
          <w:spacing w:val="-1"/>
          <w:sz w:val="21"/>
          <w:szCs w:val="21"/>
        </w:rPr>
        <w:t>法定盈余公积</w:t>
        <w:tab/>
      </w:r>
      <w:r>
        <w:rPr>
          <w:rFonts w:ascii="Times New Roman" w:hAnsi="Times New Roman" w:cs="Times New Roman" w:eastAsia="Times New Roman" w:hint="default"/>
          <w:spacing w:val="-1"/>
          <w:position w:val="1"/>
          <w:sz w:val="21"/>
          <w:szCs w:val="21"/>
        </w:rPr>
        <w:t>14,077,753.77</w:t>
        <w:tab/>
        <w:t>4,125,730.10</w:t>
        <w:tab/>
      </w:r>
      <w:r>
        <w:rPr>
          <w:rFonts w:ascii="Times New Roman" w:hAnsi="Times New Roman" w:cs="Times New Roman" w:eastAsia="Times New Roman" w:hint="default"/>
          <w:position w:val="1"/>
          <w:sz w:val="21"/>
          <w:szCs w:val="21"/>
        </w:rPr>
        <w:t>-</w:t>
        <w:tab/>
      </w:r>
      <w:r>
        <w:rPr>
          <w:rFonts w:ascii="Times New Roman" w:hAnsi="Times New Roman" w:cs="Times New Roman" w:eastAsia="Times New Roman" w:hint="default"/>
          <w:spacing w:val="-1"/>
          <w:position w:val="1"/>
          <w:sz w:val="21"/>
          <w:szCs w:val="21"/>
        </w:rPr>
        <w:t>18,203,483.87</w:t>
      </w:r>
      <w:r>
        <w:rPr>
          <w:rFonts w:ascii="Times New Roman" w:hAnsi="Times New Roman" w:cs="Times New Roman" w:eastAsia="Times New Roman" w:hint="default"/>
          <w:spacing w:val="-1"/>
          <w:sz w:val="21"/>
          <w:szCs w:val="21"/>
        </w:rPr>
      </w:r>
    </w:p>
    <w:p>
      <w:pPr>
        <w:spacing w:line="240" w:lineRule="auto" w:before="2"/>
        <w:rPr>
          <w:rFonts w:ascii="Times New Roman" w:hAnsi="Times New Roman" w:cs="Times New Roman" w:eastAsia="Times New Roman" w:hint="default"/>
          <w:sz w:val="2"/>
          <w:szCs w:val="2"/>
        </w:rPr>
      </w:pPr>
    </w:p>
    <w:p>
      <w:pPr>
        <w:spacing w:line="28" w:lineRule="exact"/>
        <w:ind w:left="2575" w:right="0" w:firstLine="0"/>
        <w:rPr>
          <w:rFonts w:ascii="Times New Roman" w:hAnsi="Times New Roman" w:cs="Times New Roman" w:eastAsia="Times New Roman" w:hint="default"/>
          <w:sz w:val="2"/>
          <w:szCs w:val="2"/>
        </w:rPr>
      </w:pPr>
      <w:r>
        <w:rPr>
          <w:rFonts w:ascii="Times New Roman"/>
          <w:position w:val="0"/>
          <w:sz w:val="2"/>
        </w:rPr>
        <w:pict>
          <v:group style="width:99.75pt;height:1.45pt;mso-position-horizontal-relative:char;mso-position-vertical-relative:line" coordorigin="0,0" coordsize="1995,29">
            <v:group style="position:absolute;left:5;top:5;width:1985;height:2" coordorigin="5,5" coordsize="1985,2">
              <v:shape style="position:absolute;left:5;top:5;width:1985;height:2" coordorigin="5,5" coordsize="1985,0" path="m5,5l1990,5e" filled="false" stroked="true" strokeweight=".48pt" strokecolor="#000000">
                <v:path arrowok="t"/>
              </v:shape>
            </v:group>
            <v:group style="position:absolute;left:5;top:24;width:1985;height:2" coordorigin="5,24" coordsize="1985,2">
              <v:shape style="position:absolute;left:5;top:24;width:1985;height:2" coordorigin="5,24" coordsize="1985,0" path="m5,24l1990,24e" filled="false" stroked="true" strokeweight=".48pt" strokecolor="#000000">
                <v:path arrowok="t"/>
              </v:shape>
            </v:group>
          </v:group>
        </w:pict>
      </w:r>
      <w:r>
        <w:rPr>
          <w:rFonts w:ascii="Times New Roman"/>
          <w:position w:val="0"/>
          <w:sz w:val="2"/>
        </w:rPr>
      </w:r>
      <w:r>
        <w:rPr>
          <w:rFonts w:ascii="Times New Roman"/>
          <w:spacing w:val="138"/>
          <w:position w:val="0"/>
          <w:sz w:val="2"/>
        </w:rPr>
        <w:t> </w:t>
      </w:r>
      <w:r>
        <w:rPr>
          <w:rFonts w:ascii="Times New Roman"/>
          <w:spacing w:val="138"/>
          <w:position w:val="0"/>
          <w:sz w:val="2"/>
        </w:rPr>
        <w:pict>
          <v:group style="width:83.05pt;height:1.45pt;mso-position-horizontal-relative:char;mso-position-vertical-relative:line" coordorigin="0,0" coordsize="1661,29">
            <v:group style="position:absolute;left:5;top:5;width:1651;height:2" coordorigin="5,5" coordsize="1651,2">
              <v:shape style="position:absolute;left:5;top:5;width:1651;height:2" coordorigin="5,5" coordsize="1651,0" path="m5,5l1656,5e" filled="false" stroked="true" strokeweight=".48pt" strokecolor="#000000">
                <v:path arrowok="t"/>
              </v:shape>
            </v:group>
            <v:group style="position:absolute;left:5;top:24;width:1651;height:2" coordorigin="5,24" coordsize="1651,2">
              <v:shape style="position:absolute;left:5;top:24;width:1651;height:2" coordorigin="5,24" coordsize="1651,0" path="m5,24l1656,24e" filled="false" stroked="true" strokeweight=".48pt" strokecolor="#000000">
                <v:path arrowok="t"/>
              </v:shape>
            </v:group>
          </v:group>
        </w:pict>
      </w:r>
      <w:r>
        <w:rPr>
          <w:rFonts w:ascii="Times New Roman"/>
          <w:spacing w:val="138"/>
          <w:position w:val="0"/>
          <w:sz w:val="2"/>
        </w:rPr>
      </w:r>
      <w:r>
        <w:rPr>
          <w:rFonts w:ascii="Times New Roman"/>
          <w:spacing w:val="140"/>
          <w:position w:val="0"/>
          <w:sz w:val="2"/>
        </w:rPr>
        <w:t> </w:t>
      </w:r>
      <w:r>
        <w:rPr>
          <w:rFonts w:ascii="Times New Roman"/>
          <w:spacing w:val="140"/>
          <w:position w:val="0"/>
          <w:sz w:val="2"/>
        </w:rPr>
        <w:pict>
          <v:group style="width:67.2pt;height:1.45pt;mso-position-horizontal-relative:char;mso-position-vertical-relative:line" coordorigin="0,0" coordsize="1344,29">
            <v:group style="position:absolute;left:5;top:5;width:1335;height:2" coordorigin="5,5" coordsize="1335,2">
              <v:shape style="position:absolute;left:5;top:5;width:1335;height:2" coordorigin="5,5" coordsize="1335,0" path="m5,5l1339,5e" filled="false" stroked="true" strokeweight=".48pt" strokecolor="#000000">
                <v:path arrowok="t"/>
              </v:shape>
            </v:group>
            <v:group style="position:absolute;left:5;top:24;width:1335;height:2" coordorigin="5,24" coordsize="1335,2">
              <v:shape style="position:absolute;left:5;top:24;width:1335;height:2" coordorigin="5,24" coordsize="1335,0" path="m5,24l1339,24e" filled="false" stroked="true" strokeweight=".48pt" strokecolor="#000000">
                <v:path arrowok="t"/>
              </v:shape>
            </v:group>
          </v:group>
        </w:pict>
      </w:r>
      <w:r>
        <w:rPr>
          <w:rFonts w:ascii="Times New Roman"/>
          <w:spacing w:val="140"/>
          <w:position w:val="0"/>
          <w:sz w:val="2"/>
        </w:rPr>
      </w:r>
      <w:r>
        <w:rPr>
          <w:rFonts w:ascii="Times New Roman"/>
          <w:spacing w:val="160"/>
          <w:position w:val="0"/>
          <w:sz w:val="2"/>
        </w:rPr>
        <w:t> </w:t>
      </w:r>
      <w:r>
        <w:rPr>
          <w:rFonts w:ascii="Times New Roman"/>
          <w:spacing w:val="160"/>
          <w:position w:val="0"/>
          <w:sz w:val="2"/>
        </w:rPr>
        <w:pict>
          <v:group style="width:111.25pt;height:1.45pt;mso-position-horizontal-relative:char;mso-position-vertical-relative:line" coordorigin="0,0" coordsize="2225,29">
            <v:group style="position:absolute;left:5;top:5;width:2215;height:2" coordorigin="5,5" coordsize="2215,2">
              <v:shape style="position:absolute;left:5;top:5;width:2215;height:2" coordorigin="5,5" coordsize="2215,0" path="m5,5l2220,5e" filled="false" stroked="true" strokeweight=".48pt" strokecolor="#000000">
                <v:path arrowok="t"/>
              </v:shape>
            </v:group>
            <v:group style="position:absolute;left:5;top:24;width:2215;height:2" coordorigin="5,24" coordsize="2215,2">
              <v:shape style="position:absolute;left:5;top:24;width:2215;height:2" coordorigin="5,24" coordsize="2215,0" path="m5,24l2220,24e" filled="false" stroked="true" strokeweight=".48pt" strokecolor="#000000">
                <v:path arrowok="t"/>
              </v:shape>
            </v:group>
          </v:group>
        </w:pict>
      </w:r>
      <w:r>
        <w:rPr>
          <w:rFonts w:ascii="Times New Roman"/>
          <w:spacing w:val="160"/>
          <w:position w:val="0"/>
          <w:sz w:val="2"/>
        </w:rPr>
      </w:r>
    </w:p>
    <w:p>
      <w:pPr>
        <w:spacing w:line="240" w:lineRule="auto" w:before="2"/>
        <w:rPr>
          <w:rFonts w:ascii="Times New Roman" w:hAnsi="Times New Roman" w:cs="Times New Roman" w:eastAsia="Times New Roman" w:hint="default"/>
          <w:sz w:val="14"/>
          <w:szCs w:val="14"/>
        </w:rPr>
      </w:pPr>
    </w:p>
    <w:p>
      <w:pPr>
        <w:spacing w:before="46"/>
        <w:ind w:left="27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6.23</w:t>
      </w:r>
      <w:r>
        <w:rPr>
          <w:rFonts w:ascii="Times New Roman" w:hAnsi="Times New Roman" w:cs="Times New Roman" w:eastAsia="Times New Roman" w:hint="default"/>
          <w:spacing w:val="52"/>
          <w:position w:val="2"/>
          <w:sz w:val="21"/>
          <w:szCs w:val="21"/>
        </w:rPr>
        <w:t> </w:t>
      </w:r>
      <w:r>
        <w:rPr>
          <w:rFonts w:ascii="宋体" w:hAnsi="宋体" w:cs="宋体" w:eastAsia="宋体" w:hint="default"/>
          <w:sz w:val="21"/>
          <w:szCs w:val="21"/>
        </w:rPr>
        <w:t>未分配利润</w:t>
      </w:r>
    </w:p>
    <w:p>
      <w:pPr>
        <w:spacing w:line="240" w:lineRule="auto" w:before="3"/>
        <w:rPr>
          <w:rFonts w:ascii="宋体" w:hAnsi="宋体" w:cs="宋体" w:eastAsia="宋体" w:hint="default"/>
          <w:sz w:val="18"/>
          <w:szCs w:val="18"/>
        </w:rPr>
      </w:pPr>
    </w:p>
    <w:p>
      <w:pPr>
        <w:tabs>
          <w:tab w:pos="4483" w:val="left" w:leader="none"/>
          <w:tab w:pos="6407" w:val="left" w:leader="none"/>
        </w:tabs>
        <w:spacing w:before="0"/>
        <w:ind w:left="0" w:right="228" w:firstLine="0"/>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2"/>
          <w:sz w:val="21"/>
          <w:szCs w:val="21"/>
        </w:rPr>
        <w:t> </w:t>
      </w:r>
      <w:r>
        <w:rPr>
          <w:rFonts w:ascii="宋体" w:hAnsi="宋体" w:cs="宋体" w:eastAsia="宋体" w:hint="default"/>
          <w:sz w:val="21"/>
          <w:szCs w:val="21"/>
        </w:rPr>
        <w:t>目</w:t>
        <w:tab/>
        <w:t>金额</w:t>
        <w:tab/>
      </w:r>
      <w:r>
        <w:rPr>
          <w:rFonts w:ascii="宋体" w:hAnsi="宋体" w:cs="宋体" w:eastAsia="宋体" w:hint="default"/>
          <w:spacing w:val="-1"/>
          <w:sz w:val="21"/>
          <w:szCs w:val="21"/>
        </w:rPr>
        <w:t>提取或分配比例</w:t>
      </w:r>
    </w:p>
    <w:p>
      <w:pPr>
        <w:tabs>
          <w:tab w:pos="5985" w:val="left" w:leader="none"/>
          <w:tab w:pos="7123" w:val="left" w:leader="none"/>
        </w:tabs>
        <w:spacing w:line="232" w:lineRule="auto" w:before="15"/>
        <w:ind w:left="746" w:right="3203" w:firstLine="0"/>
        <w:jc w:val="both"/>
        <w:rPr>
          <w:rFonts w:ascii="Times New Roman" w:hAnsi="Times New Roman" w:cs="Times New Roman" w:eastAsia="Times New Roman" w:hint="default"/>
          <w:sz w:val="21"/>
          <w:szCs w:val="21"/>
        </w:rPr>
      </w:pPr>
      <w:r>
        <w:rPr/>
        <w:pict>
          <v:group style="position:absolute;margin-left:82.919998pt;margin-top:1.855759pt;width:191.4pt;height:.1pt;mso-position-horizontal-relative:page;mso-position-vertical-relative:paragraph;z-index:-549040" coordorigin="1658,37" coordsize="3828,2">
            <v:shape style="position:absolute;left:1658;top:37;width:3828;height:2" coordorigin="1658,37" coordsize="3828,0" path="m1658,37l5486,37e" filled="false" stroked="true" strokeweight=".48pt" strokecolor="#000000">
              <v:path arrowok="t"/>
            </v:shape>
            <w10:wrap type="none"/>
          </v:group>
        </w:pict>
      </w:r>
      <w:r>
        <w:rPr/>
        <w:pict>
          <v:group style="position:absolute;margin-left:302.279999pt;margin-top:1.855759pt;width:113.8pt;height:.1pt;mso-position-horizontal-relative:page;mso-position-vertical-relative:paragraph;z-index:-549016" coordorigin="6046,37" coordsize="2276,2">
            <v:shape style="position:absolute;left:6046;top:37;width:2276;height:2" coordorigin="6046,37" coordsize="2276,0" path="m6046,37l8321,37e" filled="false" stroked="true" strokeweight=".48pt" strokecolor="#000000">
              <v:path arrowok="t"/>
            </v:shape>
            <w10:wrap type="none"/>
          </v:group>
        </w:pict>
      </w:r>
      <w:r>
        <w:rPr/>
        <w:pict>
          <v:group style="position:absolute;margin-left:430.200012pt;margin-top:1.855759pt;width:134.75pt;height:.1pt;mso-position-horizontal-relative:page;mso-position-vertical-relative:paragraph;z-index:6616" coordorigin="8604,37" coordsize="2695,2">
            <v:shape style="position:absolute;left:8604;top:37;width:2695;height:2" coordorigin="8604,37" coordsize="2695,0" path="m8604,37l11299,37e" filled="false" stroked="true" strokeweight=".48pt" strokecolor="#000000">
              <v:path arrowok="t"/>
            </v:shape>
            <w10:wrap type="none"/>
          </v:group>
        </w:pict>
      </w:r>
      <w:r>
        <w:rPr/>
        <w:pict>
          <v:group style="position:absolute;margin-left:302.279999pt;margin-top:29.57576pt;width:113.8pt;height:.1pt;mso-position-horizontal-relative:page;mso-position-vertical-relative:paragraph;z-index:-548968" coordorigin="6046,592" coordsize="2276,2">
            <v:shape style="position:absolute;left:6046;top:592;width:2276;height:2" coordorigin="6046,592" coordsize="2276,0" path="m6046,592l8321,592e" filled="false" stroked="true" strokeweight=".48pt" strokecolor="#000000">
              <v:path arrowok="t"/>
            </v:shape>
            <w10:wrap type="none"/>
          </v:group>
        </w:pict>
      </w:r>
      <w:r>
        <w:rPr>
          <w:rFonts w:ascii="宋体" w:hAnsi="宋体" w:cs="宋体" w:eastAsia="宋体" w:hint="default"/>
          <w:sz w:val="21"/>
          <w:szCs w:val="21"/>
        </w:rPr>
        <w:t>调整前 </w:t>
      </w:r>
      <w:r>
        <w:rPr>
          <w:rFonts w:ascii="宋体" w:hAnsi="宋体" w:cs="宋体" w:eastAsia="宋体" w:hint="default"/>
          <w:spacing w:val="14"/>
          <w:sz w:val="21"/>
          <w:szCs w:val="21"/>
        </w:rPr>
        <w:t> </w:t>
      </w:r>
      <w:r>
        <w:rPr>
          <w:rFonts w:ascii="宋体" w:hAnsi="宋体" w:cs="宋体" w:eastAsia="宋体" w:hint="default"/>
          <w:spacing w:val="-2"/>
          <w:sz w:val="21"/>
          <w:szCs w:val="21"/>
        </w:rPr>
        <w:t>上年末未分配利润</w:t>
        <w:tab/>
      </w:r>
      <w:r>
        <w:rPr>
          <w:rFonts w:ascii="Times New Roman" w:hAnsi="Times New Roman" w:cs="Times New Roman" w:eastAsia="Times New Roman" w:hint="default"/>
          <w:spacing w:val="-1"/>
          <w:position w:val="1"/>
          <w:sz w:val="21"/>
          <w:szCs w:val="21"/>
        </w:rPr>
        <w:t>78,969,897.63</w:t>
      </w:r>
      <w:r>
        <w:rPr>
          <w:rFonts w:ascii="Times New Roman" w:hAnsi="Times New Roman" w:cs="Times New Roman" w:eastAsia="Times New Roman" w:hint="default"/>
          <w:spacing w:val="-40"/>
          <w:position w:val="1"/>
          <w:sz w:val="21"/>
          <w:szCs w:val="21"/>
        </w:rPr>
        <w:t> </w:t>
      </w:r>
      <w:r>
        <w:rPr>
          <w:rFonts w:ascii="Times New Roman" w:hAnsi="Times New Roman" w:cs="Times New Roman" w:eastAsia="Times New Roman" w:hint="default"/>
          <w:spacing w:val="-40"/>
          <w:position w:val="1"/>
          <w:sz w:val="21"/>
          <w:szCs w:val="21"/>
        </w:rPr>
      </w:r>
      <w:r>
        <w:rPr>
          <w:rFonts w:ascii="宋体" w:hAnsi="宋体" w:cs="宋体" w:eastAsia="宋体" w:hint="default"/>
          <w:sz w:val="21"/>
          <w:szCs w:val="21"/>
        </w:rPr>
        <w:t>调整</w:t>
      </w:r>
      <w:r>
        <w:rPr>
          <w:rFonts w:ascii="宋体" w:hAnsi="宋体" w:cs="宋体" w:eastAsia="宋体" w:hint="default"/>
          <w:spacing w:val="97"/>
          <w:sz w:val="21"/>
          <w:szCs w:val="21"/>
        </w:rPr>
        <w:t> </w:t>
      </w:r>
      <w:r>
        <w:rPr>
          <w:rFonts w:ascii="宋体" w:hAnsi="宋体" w:cs="宋体" w:eastAsia="宋体" w:hint="default"/>
          <w:sz w:val="21"/>
          <w:szCs w:val="21"/>
        </w:rPr>
        <w:t>年初未分配利润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tab/>
        <w:tab/>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调整后 </w:t>
      </w:r>
      <w:r>
        <w:rPr>
          <w:rFonts w:ascii="宋体" w:hAnsi="宋体" w:cs="宋体" w:eastAsia="宋体" w:hint="default"/>
          <w:spacing w:val="14"/>
          <w:sz w:val="21"/>
          <w:szCs w:val="21"/>
        </w:rPr>
        <w:t> </w:t>
      </w:r>
      <w:r>
        <w:rPr>
          <w:rFonts w:ascii="宋体" w:hAnsi="宋体" w:cs="宋体" w:eastAsia="宋体" w:hint="default"/>
          <w:spacing w:val="-2"/>
          <w:sz w:val="21"/>
          <w:szCs w:val="21"/>
        </w:rPr>
        <w:t>年初未分配利润</w:t>
        <w:tab/>
      </w:r>
      <w:r>
        <w:rPr>
          <w:rFonts w:ascii="Times New Roman" w:hAnsi="Times New Roman" w:cs="Times New Roman" w:eastAsia="Times New Roman" w:hint="default"/>
          <w:spacing w:val="-1"/>
          <w:sz w:val="21"/>
          <w:szCs w:val="21"/>
        </w:rPr>
        <w:t>78,969,897.63</w:t>
      </w:r>
    </w:p>
    <w:p>
      <w:pPr>
        <w:tabs>
          <w:tab w:pos="5985" w:val="left" w:leader="none"/>
        </w:tabs>
        <w:spacing w:line="260" w:lineRule="exact" w:before="0"/>
        <w:ind w:left="746" w:right="0"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加：本年归属于公司所有者的净利润</w:t>
        <w:tab/>
      </w:r>
      <w:r>
        <w:rPr>
          <w:rFonts w:ascii="Times New Roman" w:hAnsi="Times New Roman" w:cs="Times New Roman" w:eastAsia="Times New Roman" w:hint="default"/>
          <w:spacing w:val="-1"/>
          <w:position w:val="1"/>
          <w:sz w:val="21"/>
          <w:szCs w:val="21"/>
        </w:rPr>
        <w:t>45,202,806.42</w:t>
      </w:r>
      <w:r>
        <w:rPr>
          <w:rFonts w:ascii="Times New Roman" w:hAnsi="Times New Roman" w:cs="Times New Roman" w:eastAsia="Times New Roman" w:hint="default"/>
          <w:spacing w:val="-1"/>
          <w:sz w:val="21"/>
          <w:szCs w:val="21"/>
        </w:rPr>
      </w:r>
    </w:p>
    <w:p>
      <w:pPr>
        <w:tabs>
          <w:tab w:pos="6091" w:val="left" w:leader="none"/>
          <w:tab w:pos="8534" w:val="left" w:leader="none"/>
        </w:tabs>
        <w:spacing w:line="272" w:lineRule="exact" w:before="0"/>
        <w:ind w:left="746" w:right="0" w:firstLine="0"/>
        <w:jc w:val="both"/>
        <w:rPr>
          <w:rFonts w:ascii="Times New Roman" w:hAnsi="Times New Roman" w:cs="Times New Roman" w:eastAsia="Times New Roman" w:hint="default"/>
          <w:sz w:val="18"/>
          <w:szCs w:val="18"/>
        </w:rPr>
      </w:pPr>
      <w:r>
        <w:rPr>
          <w:rFonts w:ascii="宋体" w:hAnsi="宋体" w:cs="宋体" w:eastAsia="宋体" w:hint="default"/>
          <w:spacing w:val="-2"/>
          <w:sz w:val="21"/>
          <w:szCs w:val="21"/>
        </w:rPr>
        <w:t>减：提取法定盈余公积</w:t>
        <w:tab/>
      </w:r>
      <w:r>
        <w:rPr>
          <w:rFonts w:ascii="Times New Roman" w:hAnsi="Times New Roman" w:cs="Times New Roman" w:eastAsia="Times New Roman" w:hint="default"/>
          <w:spacing w:val="-1"/>
          <w:position w:val="1"/>
          <w:sz w:val="21"/>
          <w:szCs w:val="21"/>
        </w:rPr>
        <w:t>4,125,730.10</w:t>
        <w:tab/>
      </w:r>
      <w:r>
        <w:rPr>
          <w:rFonts w:ascii="宋体" w:hAnsi="宋体" w:cs="宋体" w:eastAsia="宋体" w:hint="default"/>
          <w:position w:val="1"/>
          <w:sz w:val="18"/>
          <w:szCs w:val="18"/>
        </w:rPr>
        <w:t>母公司净利润的</w:t>
      </w:r>
      <w:r>
        <w:rPr>
          <w:rFonts w:ascii="宋体" w:hAnsi="宋体" w:cs="宋体" w:eastAsia="宋体" w:hint="default"/>
          <w:spacing w:val="-43"/>
          <w:position w:val="1"/>
          <w:sz w:val="18"/>
          <w:szCs w:val="18"/>
        </w:rPr>
        <w:t> </w:t>
      </w:r>
      <w:r>
        <w:rPr>
          <w:rFonts w:ascii="Times New Roman" w:hAnsi="Times New Roman" w:cs="Times New Roman" w:eastAsia="Times New Roman" w:hint="default"/>
          <w:position w:val="1"/>
          <w:sz w:val="18"/>
          <w:szCs w:val="18"/>
        </w:rPr>
        <w:t>10%</w:t>
      </w:r>
      <w:r>
        <w:rPr>
          <w:rFonts w:ascii="Times New Roman" w:hAnsi="Times New Roman" w:cs="Times New Roman" w:eastAsia="Times New Roman" w:hint="default"/>
          <w:sz w:val="18"/>
          <w:szCs w:val="18"/>
        </w:rPr>
      </w:r>
    </w:p>
    <w:p>
      <w:pPr>
        <w:tabs>
          <w:tab w:pos="7123" w:val="left" w:leader="none"/>
        </w:tabs>
        <w:spacing w:line="274" w:lineRule="exact" w:before="0"/>
        <w:ind w:left="1168"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提取任意盈余公积</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p>
      <w:pPr>
        <w:tabs>
          <w:tab w:pos="4922" w:val="left" w:leader="none"/>
          <w:tab w:pos="6897" w:val="left" w:leader="none"/>
        </w:tabs>
        <w:spacing w:line="301" w:lineRule="exact" w:before="0"/>
        <w:ind w:left="0" w:right="259" w:firstLine="0"/>
        <w:jc w:val="right"/>
        <w:rPr>
          <w:rFonts w:ascii="宋体" w:hAnsi="宋体" w:cs="宋体" w:eastAsia="宋体" w:hint="default"/>
          <w:sz w:val="18"/>
          <w:szCs w:val="18"/>
        </w:rPr>
      </w:pPr>
      <w:r>
        <w:rPr>
          <w:rFonts w:ascii="宋体" w:hAnsi="宋体" w:cs="宋体" w:eastAsia="宋体" w:hint="default"/>
          <w:spacing w:val="-2"/>
          <w:sz w:val="21"/>
          <w:szCs w:val="21"/>
        </w:rPr>
        <w:t>应付普通股股利</w:t>
        <w:tab/>
      </w:r>
      <w:r>
        <w:rPr>
          <w:rFonts w:ascii="Times New Roman" w:hAnsi="Times New Roman" w:cs="Times New Roman" w:eastAsia="Times New Roman" w:hint="default"/>
          <w:spacing w:val="-1"/>
          <w:position w:val="1"/>
          <w:sz w:val="21"/>
          <w:szCs w:val="21"/>
        </w:rPr>
        <w:t>7,462,000.00</w:t>
        <w:tab/>
      </w:r>
      <w:r>
        <w:rPr>
          <w:rFonts w:ascii="宋体" w:hAnsi="宋体" w:cs="宋体" w:eastAsia="宋体" w:hint="default"/>
          <w:position w:val="13"/>
          <w:sz w:val="18"/>
          <w:szCs w:val="18"/>
        </w:rPr>
        <w:t>按</w:t>
      </w:r>
      <w:r>
        <w:rPr>
          <w:rFonts w:ascii="宋体" w:hAnsi="宋体" w:cs="宋体" w:eastAsia="宋体" w:hint="default"/>
          <w:spacing w:val="-45"/>
          <w:position w:val="13"/>
          <w:sz w:val="18"/>
          <w:szCs w:val="18"/>
        </w:rPr>
        <w:t> </w:t>
      </w:r>
      <w:r>
        <w:rPr>
          <w:rFonts w:ascii="Times New Roman" w:hAnsi="Times New Roman" w:cs="Times New Roman" w:eastAsia="Times New Roman" w:hint="default"/>
          <w:position w:val="13"/>
          <w:sz w:val="18"/>
          <w:szCs w:val="18"/>
        </w:rPr>
        <w:t>2009</w:t>
      </w:r>
      <w:r>
        <w:rPr>
          <w:rFonts w:ascii="Times New Roman" w:hAnsi="Times New Roman" w:cs="Times New Roman" w:eastAsia="Times New Roman" w:hint="default"/>
          <w:spacing w:val="1"/>
          <w:position w:val="13"/>
          <w:sz w:val="18"/>
          <w:szCs w:val="18"/>
        </w:rPr>
        <w:t> </w:t>
      </w:r>
      <w:r>
        <w:rPr>
          <w:rFonts w:ascii="宋体" w:hAnsi="宋体" w:cs="宋体" w:eastAsia="宋体" w:hint="default"/>
          <w:position w:val="13"/>
          <w:sz w:val="18"/>
          <w:szCs w:val="18"/>
        </w:rPr>
        <w:t>年末可供分配利润</w:t>
      </w:r>
      <w:r>
        <w:rPr>
          <w:rFonts w:ascii="宋体" w:hAnsi="宋体" w:cs="宋体" w:eastAsia="宋体" w:hint="default"/>
          <w:sz w:val="18"/>
          <w:szCs w:val="18"/>
        </w:rPr>
      </w:r>
    </w:p>
    <w:p>
      <w:pPr>
        <w:spacing w:line="178" w:lineRule="exact" w:before="0"/>
        <w:ind w:left="0" w:right="259" w:firstLine="0"/>
        <w:jc w:val="righ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股分配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w:t>
      </w:r>
    </w:p>
    <w:p>
      <w:pPr>
        <w:tabs>
          <w:tab w:pos="7123" w:val="left" w:leader="none"/>
        </w:tabs>
        <w:spacing w:line="263" w:lineRule="exact" w:before="0"/>
        <w:ind w:left="1168"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转作股本的普通股股利</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p>
      <w:pPr>
        <w:tabs>
          <w:tab w:pos="5887" w:val="left" w:leader="none"/>
        </w:tabs>
        <w:spacing w:before="0"/>
        <w:ind w:left="746" w:right="0" w:firstLine="0"/>
        <w:jc w:val="left"/>
        <w:rPr>
          <w:rFonts w:ascii="Times New Roman" w:hAnsi="Times New Roman" w:cs="Times New Roman" w:eastAsia="Times New Roman" w:hint="default"/>
          <w:sz w:val="21"/>
          <w:szCs w:val="21"/>
        </w:rPr>
      </w:pPr>
      <w:r>
        <w:rPr/>
        <w:pict>
          <v:group style="position:absolute;margin-left:302.279999pt;margin-top:1.47367pt;width:113.8pt;height:.1pt;mso-position-horizontal-relative:page;mso-position-vertical-relative:paragraph;z-index:-548944" coordorigin="6046,29" coordsize="2276,2">
            <v:shape style="position:absolute;left:6046;top:29;width:2276;height:2" coordorigin="6046,29" coordsize="2276,0" path="m6046,29l8321,29e" filled="false" stroked="true" strokeweight=".48pt" strokecolor="#000000">
              <v:path arrowok="t"/>
            </v:shape>
            <w10:wrap type="none"/>
          </v:group>
        </w:pict>
      </w:r>
      <w:r>
        <w:rPr>
          <w:rFonts w:ascii="宋体" w:hAnsi="宋体" w:cs="宋体" w:eastAsia="宋体" w:hint="default"/>
          <w:spacing w:val="-1"/>
          <w:sz w:val="21"/>
          <w:szCs w:val="21"/>
        </w:rPr>
        <w:t>年末未分配利润</w:t>
        <w:tab/>
      </w:r>
      <w:r>
        <w:rPr>
          <w:rFonts w:ascii="Times New Roman" w:hAnsi="Times New Roman" w:cs="Times New Roman" w:eastAsia="Times New Roman" w:hint="default"/>
          <w:spacing w:val="-1"/>
          <w:sz w:val="21"/>
          <w:szCs w:val="21"/>
        </w:rPr>
        <w:t>112,584,973.95</w:t>
      </w:r>
    </w:p>
    <w:p>
      <w:pPr>
        <w:spacing w:line="28" w:lineRule="exact"/>
        <w:ind w:left="502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14.25pt;height:1.45pt;mso-position-horizontal-relative:char;mso-position-vertical-relative:line" coordorigin="0,0" coordsize="2285,29">
            <v:group style="position:absolute;left:5;top:5;width:2276;height:2" coordorigin="5,5" coordsize="2276,2">
              <v:shape style="position:absolute;left:5;top:5;width:2276;height:2" coordorigin="5,5" coordsize="2276,0" path="m5,5l2280,5e" filled="false" stroked="true" strokeweight=".48pt" strokecolor="#000000">
                <v:path arrowok="t"/>
              </v:shape>
            </v:group>
            <v:group style="position:absolute;left:5;top:24;width:2276;height:2" coordorigin="5,24" coordsize="2276,2">
              <v:shape style="position:absolute;left:5;top:24;width:2276;height:2" coordorigin="5,24" coordsize="2276,0" path="m5,24l2280,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00" w:h="16840"/>
          <w:pgMar w:top="1040" w:bottom="1180" w:left="1020" w:right="480"/>
        </w:sectPr>
      </w:pPr>
    </w:p>
    <w:p>
      <w:pPr>
        <w:spacing w:line="240" w:lineRule="auto" w:before="6"/>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32"/>
        <w:gridCol w:w="2923"/>
        <w:gridCol w:w="235"/>
        <w:gridCol w:w="2722"/>
        <w:gridCol w:w="238"/>
        <w:gridCol w:w="3285"/>
      </w:tblGrid>
      <w:tr>
        <w:trPr>
          <w:trHeight w:val="468"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2"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6480" w:type="dxa"/>
            <w:gridSpan w:val="4"/>
            <w:vMerge w:val="restart"/>
            <w:tcBorders>
              <w:top w:val="nil" w:sz="6" w:space="0" w:color="auto"/>
              <w:left w:val="nil" w:sz="6" w:space="0" w:color="auto"/>
              <w:right w:val="nil" w:sz="6" w:space="0" w:color="auto"/>
            </w:tcBorders>
          </w:tcPr>
          <w:p>
            <w:pPr/>
          </w:p>
        </w:tc>
      </w:tr>
      <w:tr>
        <w:trPr>
          <w:trHeight w:val="513"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0" w:right="0"/>
              <w:jc w:val="left"/>
              <w:rPr>
                <w:rFonts w:ascii="Times New Roman" w:hAnsi="Times New Roman" w:cs="Times New Roman" w:eastAsia="Times New Roman" w:hint="default"/>
                <w:sz w:val="21"/>
                <w:szCs w:val="21"/>
              </w:rPr>
            </w:pPr>
            <w:r>
              <w:rPr>
                <w:rFonts w:ascii="Times New Roman"/>
                <w:sz w:val="21"/>
              </w:rPr>
              <w:t>6.24</w:t>
            </w: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9"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6480" w:type="dxa"/>
            <w:gridSpan w:val="4"/>
            <w:vMerge/>
            <w:tcBorders>
              <w:left w:val="nil" w:sz="6" w:space="0" w:color="auto"/>
              <w:right w:val="nil" w:sz="6" w:space="0" w:color="auto"/>
            </w:tcBorders>
          </w:tcPr>
          <w:p>
            <w:pPr/>
          </w:p>
        </w:tc>
      </w:tr>
      <w:tr>
        <w:trPr>
          <w:trHeight w:val="519" w:hRule="exact"/>
        </w:trPr>
        <w:tc>
          <w:tcPr>
            <w:tcW w:w="532"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营业收入</w:t>
            </w:r>
          </w:p>
        </w:tc>
        <w:tc>
          <w:tcPr>
            <w:tcW w:w="6480" w:type="dxa"/>
            <w:gridSpan w:val="4"/>
            <w:vMerge/>
            <w:tcBorders>
              <w:left w:val="nil" w:sz="6" w:space="0" w:color="auto"/>
              <w:bottom w:val="nil" w:sz="6" w:space="0" w:color="auto"/>
              <w:right w:val="nil" w:sz="6" w:space="0" w:color="auto"/>
            </w:tcBorders>
          </w:tcPr>
          <w:p>
            <w:pPr/>
          </w:p>
        </w:tc>
      </w:tr>
      <w:tr>
        <w:trPr>
          <w:trHeight w:val="394" w:hRule="exact"/>
        </w:trPr>
        <w:tc>
          <w:tcPr>
            <w:tcW w:w="532"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74"/>
              <w:jc w:val="center"/>
              <w:rPr>
                <w:rFonts w:ascii="宋体" w:hAnsi="宋体" w:cs="宋体" w:eastAsia="宋体" w:hint="default"/>
                <w:sz w:val="21"/>
                <w:szCs w:val="21"/>
              </w:rPr>
            </w:pPr>
            <w:r>
              <w:rPr>
                <w:rFonts w:ascii="宋体" w:hAnsi="宋体" w:cs="宋体" w:eastAsia="宋体" w:hint="default"/>
                <w:sz w:val="21"/>
                <w:szCs w:val="21"/>
              </w:rPr>
              <w:t>项目</w:t>
            </w:r>
          </w:p>
        </w:tc>
        <w:tc>
          <w:tcPr>
            <w:tcW w:w="235"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8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38" w:type="dxa"/>
            <w:tcBorders>
              <w:top w:val="nil" w:sz="6" w:space="0" w:color="auto"/>
              <w:left w:val="nil" w:sz="6" w:space="0" w:color="auto"/>
              <w:bottom w:val="nil" w:sz="6" w:space="0" w:color="auto"/>
              <w:right w:val="nil" w:sz="6" w:space="0" w:color="auto"/>
            </w:tcBorders>
          </w:tcPr>
          <w:p>
            <w:pPr/>
          </w:p>
        </w:tc>
        <w:tc>
          <w:tcPr>
            <w:tcW w:w="3285"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78" w:hRule="exact"/>
        </w:trPr>
        <w:tc>
          <w:tcPr>
            <w:tcW w:w="532" w:type="dxa"/>
            <w:tcBorders>
              <w:top w:val="nil" w:sz="6" w:space="0" w:color="auto"/>
              <w:left w:val="nil" w:sz="6" w:space="0" w:color="auto"/>
              <w:bottom w:val="nil" w:sz="6" w:space="0" w:color="auto"/>
              <w:right w:val="nil" w:sz="6" w:space="0" w:color="auto"/>
            </w:tcBorders>
          </w:tcPr>
          <w:p>
            <w:pPr/>
          </w:p>
        </w:tc>
        <w:tc>
          <w:tcPr>
            <w:tcW w:w="2923" w:type="dxa"/>
            <w:tcBorders>
              <w:top w:val="single" w:sz="4" w:space="0" w:color="000000"/>
              <w:left w:val="nil" w:sz="6" w:space="0" w:color="auto"/>
              <w:bottom w:val="nil" w:sz="6" w:space="0" w:color="auto"/>
              <w:right w:val="nil" w:sz="6" w:space="0" w:color="auto"/>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5" w:type="dxa"/>
            <w:tcBorders>
              <w:top w:val="nil" w:sz="6" w:space="0" w:color="auto"/>
              <w:left w:val="nil" w:sz="6" w:space="0" w:color="auto"/>
              <w:bottom w:val="nil" w:sz="6" w:space="0" w:color="auto"/>
              <w:right w:val="nil" w:sz="6" w:space="0" w:color="auto"/>
            </w:tcBorders>
          </w:tcPr>
          <w:p>
            <w:pPr/>
          </w:p>
        </w:tc>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21"/>
                <w:szCs w:val="21"/>
              </w:rPr>
            </w:pPr>
            <w:r>
              <w:rPr>
                <w:rFonts w:ascii="Times New Roman"/>
                <w:spacing w:val="-1"/>
                <w:sz w:val="21"/>
              </w:rPr>
              <w:t>293,866,720.89</w:t>
            </w:r>
          </w:p>
        </w:tc>
        <w:tc>
          <w:tcPr>
            <w:tcW w:w="238" w:type="dxa"/>
            <w:tcBorders>
              <w:top w:val="nil" w:sz="6" w:space="0" w:color="auto"/>
              <w:left w:val="nil" w:sz="6" w:space="0" w:color="auto"/>
              <w:bottom w:val="nil" w:sz="6" w:space="0" w:color="auto"/>
              <w:right w:val="nil" w:sz="6" w:space="0" w:color="auto"/>
            </w:tcBorders>
          </w:tcPr>
          <w:p>
            <w:pPr/>
          </w:p>
        </w:tc>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192,645,937.63</w:t>
            </w:r>
          </w:p>
        </w:tc>
      </w:tr>
      <w:tr>
        <w:trPr>
          <w:trHeight w:val="274" w:hRule="exact"/>
        </w:trPr>
        <w:tc>
          <w:tcPr>
            <w:tcW w:w="532"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5"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383,400.00</w:t>
            </w:r>
          </w:p>
        </w:tc>
        <w:tc>
          <w:tcPr>
            <w:tcW w:w="238" w:type="dxa"/>
            <w:tcBorders>
              <w:top w:val="nil" w:sz="6" w:space="0" w:color="auto"/>
              <w:left w:val="nil" w:sz="6" w:space="0" w:color="auto"/>
              <w:bottom w:val="nil" w:sz="6" w:space="0" w:color="auto"/>
              <w:right w:val="nil" w:sz="6" w:space="0" w:color="auto"/>
            </w:tcBorders>
          </w:tcPr>
          <w:p>
            <w:pP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315,900.00</w:t>
            </w:r>
          </w:p>
        </w:tc>
      </w:tr>
      <w:tr>
        <w:trPr>
          <w:trHeight w:val="392" w:hRule="exact"/>
        </w:trPr>
        <w:tc>
          <w:tcPr>
            <w:tcW w:w="532"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39" w:lineRule="exact"/>
              <w:ind w:left="3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5"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7"/>
              <w:jc w:val="right"/>
              <w:rPr>
                <w:rFonts w:ascii="Times New Roman" w:hAnsi="Times New Roman" w:cs="Times New Roman" w:eastAsia="Times New Roman" w:hint="default"/>
                <w:sz w:val="21"/>
                <w:szCs w:val="21"/>
              </w:rPr>
            </w:pPr>
            <w:r>
              <w:rPr>
                <w:rFonts w:ascii="Times New Roman"/>
                <w:spacing w:val="-1"/>
                <w:sz w:val="21"/>
              </w:rPr>
              <w:t>175,755,281.47</w:t>
            </w:r>
          </w:p>
        </w:tc>
        <w:tc>
          <w:tcPr>
            <w:tcW w:w="238" w:type="dxa"/>
            <w:tcBorders>
              <w:top w:val="nil" w:sz="6" w:space="0" w:color="auto"/>
              <w:left w:val="nil" w:sz="6" w:space="0" w:color="auto"/>
              <w:bottom w:val="nil" w:sz="6" w:space="0" w:color="auto"/>
              <w:right w:val="nil" w:sz="6" w:space="0" w:color="auto"/>
            </w:tcBorders>
          </w:tcPr>
          <w:p>
            <w:pPr/>
          </w:p>
        </w:tc>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125,022,741.89</w:t>
            </w:r>
          </w:p>
        </w:tc>
      </w:tr>
      <w:tr>
        <w:trPr>
          <w:trHeight w:val="372" w:hRule="exact"/>
        </w:trPr>
        <w:tc>
          <w:tcPr>
            <w:tcW w:w="532" w:type="dxa"/>
            <w:tcBorders>
              <w:top w:val="nil" w:sz="6" w:space="0" w:color="auto"/>
              <w:left w:val="nil" w:sz="6" w:space="0" w:color="auto"/>
              <w:bottom w:val="nil" w:sz="6" w:space="0" w:color="auto"/>
              <w:right w:val="nil" w:sz="6" w:space="0" w:color="auto"/>
            </w:tcBorders>
          </w:tcPr>
          <w:p>
            <w:pPr/>
          </w:p>
        </w:tc>
        <w:tc>
          <w:tcPr>
            <w:tcW w:w="292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主营业务（分行业）</w:t>
            </w:r>
          </w:p>
        </w:tc>
        <w:tc>
          <w:tcPr>
            <w:tcW w:w="235"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3285" w:type="dxa"/>
            <w:tcBorders>
              <w:top w:val="nil" w:sz="6" w:space="0" w:color="auto"/>
              <w:left w:val="nil" w:sz="6" w:space="0" w:color="auto"/>
              <w:bottom w:val="nil" w:sz="6" w:space="0" w:color="auto"/>
              <w:right w:val="nil" w:sz="6" w:space="0" w:color="auto"/>
            </w:tcBorders>
          </w:tcPr>
          <w:p>
            <w:pPr/>
          </w:p>
        </w:tc>
      </w:tr>
      <w:tr>
        <w:trPr>
          <w:trHeight w:val="644" w:hRule="exact"/>
        </w:trPr>
        <w:tc>
          <w:tcPr>
            <w:tcW w:w="9935" w:type="dxa"/>
            <w:gridSpan w:val="6"/>
            <w:tcBorders>
              <w:top w:val="nil" w:sz="6" w:space="0" w:color="auto"/>
              <w:left w:val="nil" w:sz="6" w:space="0" w:color="auto"/>
              <w:bottom w:val="nil" w:sz="6" w:space="0" w:color="auto"/>
              <w:right w:val="nil" w:sz="6" w:space="0" w:color="auto"/>
            </w:tcBorders>
          </w:tcPr>
          <w:p>
            <w:pPr>
              <w:pStyle w:val="TableParagraph"/>
              <w:tabs>
                <w:tab w:pos="2538" w:val="left" w:leader="none"/>
                <w:tab w:pos="3730" w:val="left" w:leader="none"/>
                <w:tab w:pos="5818" w:val="left" w:leader="none"/>
                <w:tab w:pos="6082" w:val="left" w:leader="none"/>
                <w:tab w:pos="7561" w:val="left" w:leader="none"/>
                <w:tab w:pos="9934" w:val="left" w:leader="none"/>
              </w:tabs>
              <w:spacing w:line="240" w:lineRule="auto" w:before="227"/>
              <w:ind w:left="961" w:right="0"/>
              <w:jc w:val="left"/>
              <w:rPr>
                <w:rFonts w:ascii="宋体" w:hAnsi="宋体" w:cs="宋体" w:eastAsia="宋体" w:hint="default"/>
                <w:sz w:val="21"/>
                <w:szCs w:val="21"/>
              </w:rPr>
            </w:pPr>
            <w:r>
              <w:rPr>
                <w:rFonts w:ascii="宋体" w:hAnsi="宋体" w:cs="宋体" w:eastAsia="宋体" w:hint="default"/>
                <w:spacing w:val="-1"/>
                <w:position w:val="-13"/>
                <w:sz w:val="21"/>
                <w:szCs w:val="21"/>
              </w:rPr>
              <w:t>行业名称</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z w:val="21"/>
                <w:szCs w:val="21"/>
                <w:u w:val="single" w:color="000000"/>
              </w:rPr>
              <w:t>2010</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2009</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spacing w:before="36"/>
        <w:ind w:left="706" w:right="0" w:firstLine="0"/>
        <w:jc w:val="left"/>
        <w:rPr>
          <w:rFonts w:ascii="宋体" w:hAnsi="宋体" w:cs="宋体" w:eastAsia="宋体" w:hint="default"/>
          <w:sz w:val="21"/>
          <w:szCs w:val="21"/>
        </w:rPr>
      </w:pPr>
      <w:r>
        <w:rPr/>
        <w:pict>
          <v:shape style="position:absolute;margin-left:86.57pt;margin-top:-69.122719pt;width:468.45pt;height:61.25pt;mso-position-horizontal-relative:page;mso-position-vertical-relative:paragraph;z-index:6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2"/>
                    <w:gridCol w:w="1507"/>
                    <w:gridCol w:w="235"/>
                    <w:gridCol w:w="1538"/>
                    <w:gridCol w:w="264"/>
                    <w:gridCol w:w="1510"/>
                    <w:gridCol w:w="238"/>
                    <w:gridCol w:w="2105"/>
                  </w:tblGrid>
                  <w:tr>
                    <w:trPr>
                      <w:trHeight w:val="349" w:hRule="exact"/>
                    </w:trPr>
                    <w:tc>
                      <w:tcPr>
                        <w:tcW w:w="197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3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0"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8"/>
                          <w:jc w:val="center"/>
                          <w:rPr>
                            <w:rFonts w:ascii="Times New Roman" w:hAnsi="Times New Roman" w:cs="Times New Roman" w:eastAsia="Times New Roman" w:hint="default"/>
                            <w:sz w:val="21"/>
                            <w:szCs w:val="21"/>
                          </w:rPr>
                        </w:pPr>
                        <w:r>
                          <w:rPr>
                            <w:rFonts w:ascii="Times New Roman"/>
                            <w:sz w:val="21"/>
                          </w:rPr>
                          <w:t>261,949,910.64</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152,682,017.22</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5"/>
                          <w:jc w:val="center"/>
                          <w:rPr>
                            <w:rFonts w:ascii="Times New Roman" w:hAnsi="Times New Roman" w:cs="Times New Roman" w:eastAsia="Times New Roman" w:hint="default"/>
                            <w:sz w:val="21"/>
                            <w:szCs w:val="21"/>
                          </w:rPr>
                        </w:pPr>
                        <w:r>
                          <w:rPr>
                            <w:rFonts w:ascii="Times New Roman"/>
                            <w:sz w:val="21"/>
                          </w:rPr>
                          <w:t>178,419,201.85</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113,422,582.67</w:t>
                        </w:r>
                      </w:p>
                    </w:tc>
                  </w:tr>
                  <w:tr>
                    <w:trPr>
                      <w:trHeight w:val="274"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85" w:right="0"/>
                          <w:jc w:val="center"/>
                          <w:rPr>
                            <w:rFonts w:ascii="Times New Roman" w:hAnsi="Times New Roman" w:cs="Times New Roman" w:eastAsia="Times New Roman" w:hint="default"/>
                            <w:sz w:val="21"/>
                            <w:szCs w:val="21"/>
                          </w:rPr>
                        </w:pPr>
                        <w:r>
                          <w:rPr>
                            <w:rFonts w:ascii="Times New Roman"/>
                            <w:sz w:val="21"/>
                          </w:rPr>
                          <w:t>31,916,810.25</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22,961,851.27</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87" w:right="0"/>
                          <w:jc w:val="center"/>
                          <w:rPr>
                            <w:rFonts w:ascii="Times New Roman" w:hAnsi="Times New Roman" w:cs="Times New Roman" w:eastAsia="Times New Roman" w:hint="default"/>
                            <w:sz w:val="21"/>
                            <w:szCs w:val="21"/>
                          </w:rPr>
                        </w:pPr>
                        <w:r>
                          <w:rPr>
                            <w:rFonts w:ascii="Times New Roman"/>
                            <w:sz w:val="21"/>
                          </w:rPr>
                          <w:t>14,226,735.78</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2"/>
                            <w:sz w:val="21"/>
                          </w:rPr>
                          <w:t>11,489,330.30</w:t>
                        </w:r>
                      </w:p>
                    </w:tc>
                  </w:tr>
                  <w:tr>
                    <w:trPr>
                      <w:trHeight w:val="29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42" w:right="0"/>
                          <w:jc w:val="center"/>
                          <w:rPr>
                            <w:rFonts w:ascii="Times New Roman" w:hAnsi="Times New Roman" w:cs="Times New Roman" w:eastAsia="Times New Roman" w:hint="default"/>
                            <w:sz w:val="21"/>
                            <w:szCs w:val="21"/>
                          </w:rPr>
                        </w:pPr>
                        <w:r>
                          <w:rPr>
                            <w:rFonts w:ascii="Times New Roman"/>
                            <w:sz w:val="21"/>
                          </w:rPr>
                          <w:t>293,866,720.89</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175,643,868.49</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5"/>
                          <w:jc w:val="center"/>
                          <w:rPr>
                            <w:rFonts w:ascii="Times New Roman" w:hAnsi="Times New Roman" w:cs="Times New Roman" w:eastAsia="Times New Roman" w:hint="default"/>
                            <w:sz w:val="21"/>
                            <w:szCs w:val="21"/>
                          </w:rPr>
                        </w:pPr>
                        <w:r>
                          <w:rPr>
                            <w:rFonts w:ascii="Times New Roman"/>
                            <w:sz w:val="21"/>
                          </w:rPr>
                          <w:t>192,645,937.63</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124,911,912.97</w:t>
                        </w:r>
                      </w:p>
                    </w:tc>
                  </w:tr>
                </w:tbl>
                <w:p>
                  <w:pPr/>
                </w:p>
              </w:txbxContent>
            </v:textbox>
            <w10:wrap type="none"/>
          </v:shape>
        </w:pict>
      </w:r>
      <w:r>
        <w:rPr>
          <w:rFonts w:ascii="Times New Roman" w:hAnsi="Times New Roman" w:cs="Times New Roman" w:eastAsia="Times New Roman" w:hint="default"/>
          <w:sz w:val="21"/>
          <w:szCs w:val="21"/>
        </w:rPr>
        <w:t>6.24.3 </w:t>
      </w:r>
      <w:r>
        <w:rPr>
          <w:rFonts w:ascii="宋体" w:hAnsi="宋体" w:cs="宋体" w:eastAsia="宋体" w:hint="default"/>
          <w:sz w:val="21"/>
          <w:szCs w:val="21"/>
        </w:rPr>
        <w:t>主营业务</w:t>
      </w:r>
      <w:r>
        <w:rPr>
          <w:rFonts w:ascii="宋体" w:hAnsi="宋体" w:cs="宋体" w:eastAsia="宋体" w:hint="default"/>
          <w:spacing w:val="-5"/>
          <w:sz w:val="21"/>
          <w:szCs w:val="21"/>
        </w:rPr>
        <w:t> </w:t>
      </w:r>
      <w:r>
        <w:rPr>
          <w:rFonts w:ascii="宋体" w:hAnsi="宋体" w:cs="宋体" w:eastAsia="宋体" w:hint="default"/>
          <w:sz w:val="21"/>
          <w:szCs w:val="21"/>
        </w:rPr>
        <w:t>（分地区）</w:t>
      </w:r>
    </w:p>
    <w:p>
      <w:pPr>
        <w:spacing w:line="240" w:lineRule="auto" w:before="0"/>
        <w:rPr>
          <w:rFonts w:ascii="宋体" w:hAnsi="宋体" w:cs="宋体" w:eastAsia="宋体" w:hint="default"/>
          <w:sz w:val="17"/>
          <w:szCs w:val="17"/>
        </w:rPr>
      </w:pPr>
    </w:p>
    <w:p>
      <w:pPr>
        <w:tabs>
          <w:tab w:pos="2643" w:val="left" w:leader="none"/>
          <w:tab w:pos="3835" w:val="left" w:leader="none"/>
          <w:tab w:pos="5923" w:val="left" w:leader="none"/>
          <w:tab w:pos="6187" w:val="left" w:leader="none"/>
          <w:tab w:pos="7666" w:val="left" w:leader="none"/>
          <w:tab w:pos="10039" w:val="left" w:leader="none"/>
        </w:tabs>
        <w:spacing w:before="0"/>
        <w:ind w:left="1066" w:right="0" w:firstLine="0"/>
        <w:jc w:val="left"/>
        <w:rPr>
          <w:rFonts w:ascii="宋体" w:hAnsi="宋体" w:cs="宋体" w:eastAsia="宋体" w:hint="default"/>
          <w:sz w:val="21"/>
          <w:szCs w:val="21"/>
        </w:rPr>
      </w:pPr>
      <w:r>
        <w:rPr/>
        <w:pict>
          <v:shape style="position:absolute;margin-left:86.57pt;margin-top:17.357258pt;width:468.45pt;height:138.1pt;mso-position-horizontal-relative:page;mso-position-vertical-relative:paragraph;z-index:6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2"/>
                    <w:gridCol w:w="1507"/>
                    <w:gridCol w:w="235"/>
                    <w:gridCol w:w="1538"/>
                    <w:gridCol w:w="264"/>
                    <w:gridCol w:w="1510"/>
                    <w:gridCol w:w="238"/>
                    <w:gridCol w:w="2105"/>
                  </w:tblGrid>
                  <w:tr>
                    <w:trPr>
                      <w:trHeight w:val="246" w:hRule="exact"/>
                    </w:trPr>
                    <w:tc>
                      <w:tcPr>
                        <w:tcW w:w="1972"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11" w:lineRule="exact"/>
                          <w:ind w:left="34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11" w:lineRule="exact"/>
                          <w:ind w:left="33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11" w:lineRule="exact"/>
                          <w:ind w:left="63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15"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日本国</w:t>
                        </w:r>
                      </w:p>
                    </w:tc>
                    <w:tc>
                      <w:tcPr>
                        <w:tcW w:w="1507"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
                    </w:tc>
                  </w:tr>
                  <w:tr>
                    <w:trPr>
                      <w:trHeight w:val="32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软件销售</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8"/>
                          <w:jc w:val="center"/>
                          <w:rPr>
                            <w:rFonts w:ascii="Times New Roman" w:hAnsi="Times New Roman" w:cs="Times New Roman" w:eastAsia="Times New Roman" w:hint="default"/>
                            <w:sz w:val="21"/>
                            <w:szCs w:val="21"/>
                          </w:rPr>
                        </w:pPr>
                        <w:r>
                          <w:rPr>
                            <w:rFonts w:ascii="Times New Roman"/>
                            <w:sz w:val="21"/>
                          </w:rPr>
                          <w:t>229,035,935.40</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130,433,788.34</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159,246,517.79</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99,552,455.10</w:t>
                        </w:r>
                      </w:p>
                    </w:tc>
                  </w:tr>
                  <w:tr>
                    <w:trPr>
                      <w:trHeight w:val="301"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美国</w:t>
                        </w:r>
                      </w:p>
                    </w:tc>
                    <w:tc>
                      <w:tcPr>
                        <w:tcW w:w="150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32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软件销售</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5" w:right="0"/>
                          <w:jc w:val="center"/>
                          <w:rPr>
                            <w:rFonts w:ascii="Times New Roman" w:hAnsi="Times New Roman" w:cs="Times New Roman" w:eastAsia="Times New Roman" w:hint="default"/>
                            <w:sz w:val="21"/>
                            <w:szCs w:val="21"/>
                          </w:rPr>
                        </w:pPr>
                        <w:r>
                          <w:rPr>
                            <w:rFonts w:ascii="Times New Roman"/>
                            <w:sz w:val="21"/>
                          </w:rPr>
                          <w:t>12,103,073.78</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7,284,171.92</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3,233,353.58</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1,878,421.54</w:t>
                        </w:r>
                      </w:p>
                    </w:tc>
                  </w:tr>
                  <w:tr>
                    <w:trPr>
                      <w:trHeight w:val="301"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中国</w:t>
                        </w:r>
                      </w:p>
                    </w:tc>
                    <w:tc>
                      <w:tcPr>
                        <w:tcW w:w="150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r>
                  <w:tr>
                    <w:trPr>
                      <w:trHeight w:val="319"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软件销售</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5" w:right="0"/>
                          <w:jc w:val="center"/>
                          <w:rPr>
                            <w:rFonts w:ascii="Times New Roman" w:hAnsi="Times New Roman" w:cs="Times New Roman" w:eastAsia="Times New Roman" w:hint="default"/>
                            <w:sz w:val="21"/>
                            <w:szCs w:val="21"/>
                          </w:rPr>
                        </w:pPr>
                        <w:r>
                          <w:rPr>
                            <w:rFonts w:ascii="Times New Roman"/>
                            <w:sz w:val="21"/>
                          </w:rPr>
                          <w:t>20,810,901.46</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14,964,056.96</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1"/>
                            <w:sz w:val="21"/>
                          </w:rPr>
                          <w:t>15,939,330.48</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21"/>
                            <w:szCs w:val="21"/>
                          </w:rPr>
                        </w:pPr>
                        <w:r>
                          <w:rPr>
                            <w:rFonts w:ascii="Times New Roman"/>
                            <w:spacing w:val="-2"/>
                            <w:sz w:val="21"/>
                          </w:rPr>
                          <w:t>11,991,706.03</w:t>
                        </w:r>
                      </w:p>
                    </w:tc>
                  </w:tr>
                  <w:tr>
                    <w:trPr>
                      <w:trHeight w:val="312"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3"/>
                          <w:ind w:left="445"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85" w:right="0"/>
                          <w:jc w:val="center"/>
                          <w:rPr>
                            <w:rFonts w:ascii="Times New Roman" w:hAnsi="Times New Roman" w:cs="Times New Roman" w:eastAsia="Times New Roman" w:hint="default"/>
                            <w:sz w:val="21"/>
                            <w:szCs w:val="21"/>
                          </w:rPr>
                        </w:pPr>
                        <w:r>
                          <w:rPr>
                            <w:rFonts w:ascii="Times New Roman"/>
                            <w:sz w:val="21"/>
                          </w:rPr>
                          <w:t>31,916,810.25</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22,961,851.27</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1"/>
                            <w:sz w:val="21"/>
                          </w:rPr>
                          <w:t>14,226,735.78</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4"/>
                          <w:jc w:val="right"/>
                          <w:rPr>
                            <w:rFonts w:ascii="Times New Roman" w:hAnsi="Times New Roman" w:cs="Times New Roman" w:eastAsia="Times New Roman" w:hint="default"/>
                            <w:sz w:val="21"/>
                            <w:szCs w:val="21"/>
                          </w:rPr>
                        </w:pPr>
                        <w:r>
                          <w:rPr>
                            <w:rFonts w:ascii="Times New Roman"/>
                            <w:spacing w:val="-2"/>
                            <w:sz w:val="21"/>
                          </w:rPr>
                          <w:t>11,489,330.30</w:t>
                        </w:r>
                      </w:p>
                    </w:tc>
                  </w:tr>
                  <w:tr>
                    <w:trPr>
                      <w:trHeight w:val="293" w:hRule="exact"/>
                    </w:trPr>
                    <w:tc>
                      <w:tcPr>
                        <w:tcW w:w="1972"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07"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left="42" w:right="0"/>
                          <w:jc w:val="center"/>
                          <w:rPr>
                            <w:rFonts w:ascii="Times New Roman" w:hAnsi="Times New Roman" w:cs="Times New Roman" w:eastAsia="Times New Roman" w:hint="default"/>
                            <w:sz w:val="21"/>
                            <w:szCs w:val="21"/>
                          </w:rPr>
                        </w:pPr>
                        <w:r>
                          <w:rPr>
                            <w:rFonts w:ascii="Times New Roman"/>
                            <w:sz w:val="21"/>
                          </w:rPr>
                          <w:t>293,866,720.89</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175,643,868.49</w:t>
                        </w:r>
                      </w:p>
                    </w:tc>
                    <w:tc>
                      <w:tcPr>
                        <w:tcW w:w="26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192,645,937.63</w:t>
                        </w:r>
                      </w:p>
                    </w:tc>
                    <w:tc>
                      <w:tcPr>
                        <w:tcW w:w="238"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124,911,912.97</w:t>
                        </w:r>
                      </w:p>
                    </w:tc>
                  </w:tr>
                </w:tbl>
                <w:p>
                  <w:pPr/>
                </w:p>
              </w:txbxContent>
            </v:textbox>
            <w10:wrap type="none"/>
          </v:shape>
        </w:pict>
      </w:r>
      <w:r>
        <w:rPr>
          <w:rFonts w:ascii="宋体" w:hAnsi="宋体" w:cs="宋体" w:eastAsia="宋体" w:hint="default"/>
          <w:spacing w:val="-1"/>
          <w:position w:val="-13"/>
          <w:sz w:val="21"/>
          <w:szCs w:val="21"/>
        </w:rPr>
        <w:t>地区名称</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z w:val="21"/>
          <w:szCs w:val="21"/>
          <w:u w:val="single" w:color="000000"/>
        </w:rPr>
        <w:t>2010</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2009</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36"/>
        <w:ind w:left="7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公司前五名客户的营业收入情况</w:t>
      </w:r>
    </w:p>
    <w:p>
      <w:pPr>
        <w:spacing w:line="240" w:lineRule="auto" w:before="5"/>
        <w:rPr>
          <w:rFonts w:ascii="宋体" w:hAnsi="宋体" w:cs="宋体" w:eastAsia="宋体" w:hint="default"/>
          <w:sz w:val="17"/>
          <w:szCs w:val="17"/>
        </w:rPr>
      </w:pPr>
    </w:p>
    <w:tbl>
      <w:tblPr>
        <w:tblW w:w="0" w:type="auto"/>
        <w:jc w:val="left"/>
        <w:tblInd w:w="598" w:type="dxa"/>
        <w:tblLayout w:type="fixed"/>
        <w:tblCellMar>
          <w:top w:w="0" w:type="dxa"/>
          <w:left w:w="0" w:type="dxa"/>
          <w:bottom w:w="0" w:type="dxa"/>
          <w:right w:w="0" w:type="dxa"/>
        </w:tblCellMar>
        <w:tblLook w:val="01E0"/>
      </w:tblPr>
      <w:tblGrid>
        <w:gridCol w:w="3117"/>
        <w:gridCol w:w="286"/>
        <w:gridCol w:w="2551"/>
        <w:gridCol w:w="283"/>
        <w:gridCol w:w="3259"/>
      </w:tblGrid>
      <w:tr>
        <w:trPr>
          <w:trHeight w:val="346" w:hRule="exact"/>
        </w:trPr>
        <w:tc>
          <w:tcPr>
            <w:tcW w:w="311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7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86"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pacing w:val="-1"/>
                <w:sz w:val="21"/>
                <w:szCs w:val="21"/>
              </w:rPr>
              <w:t>营业收入总额</w:t>
            </w:r>
          </w:p>
        </w:tc>
        <w:tc>
          <w:tcPr>
            <w:tcW w:w="283" w:type="dxa"/>
            <w:tcBorders>
              <w:top w:val="nil" w:sz="6" w:space="0" w:color="auto"/>
              <w:left w:val="nil" w:sz="6" w:space="0" w:color="auto"/>
              <w:bottom w:val="nil" w:sz="6" w:space="0" w:color="auto"/>
              <w:right w:val="nil" w:sz="6" w:space="0" w:color="auto"/>
            </w:tcBorders>
          </w:tcPr>
          <w:p>
            <w:pPr/>
          </w:p>
        </w:tc>
        <w:tc>
          <w:tcPr>
            <w:tcW w:w="325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6"/>
              <w:jc w:val="right"/>
              <w:rPr>
                <w:rFonts w:ascii="宋体" w:hAnsi="宋体" w:cs="宋体" w:eastAsia="宋体" w:hint="default"/>
                <w:sz w:val="21"/>
                <w:szCs w:val="21"/>
              </w:rPr>
            </w:pPr>
            <w:r>
              <w:rPr>
                <w:rFonts w:ascii="宋体" w:hAnsi="宋体" w:cs="宋体" w:eastAsia="宋体" w:hint="default"/>
                <w:spacing w:val="-2"/>
                <w:sz w:val="21"/>
                <w:szCs w:val="21"/>
              </w:rPr>
              <w:t>占公司全部营业收入的比例</w:t>
            </w:r>
          </w:p>
        </w:tc>
      </w:tr>
      <w:tr>
        <w:trPr>
          <w:trHeight w:val="280" w:hRule="exact"/>
        </w:trPr>
        <w:tc>
          <w:tcPr>
            <w:tcW w:w="3117" w:type="dxa"/>
            <w:tcBorders>
              <w:top w:val="single" w:sz="4" w:space="0" w:color="000000"/>
              <w:left w:val="nil" w:sz="6" w:space="0" w:color="auto"/>
              <w:bottom w:val="nil" w:sz="6" w:space="0" w:color="auto"/>
              <w:right w:val="nil" w:sz="6" w:space="0" w:color="auto"/>
            </w:tcBorders>
          </w:tcPr>
          <w:p>
            <w:pPr>
              <w:pStyle w:val="TableParagraph"/>
              <w:spacing w:line="243" w:lineRule="exact"/>
              <w:ind w:left="86" w:right="0"/>
              <w:jc w:val="left"/>
              <w:rPr>
                <w:rFonts w:ascii="宋体" w:hAnsi="宋体" w:cs="宋体" w:eastAsia="宋体" w:hint="default"/>
                <w:sz w:val="21"/>
                <w:szCs w:val="21"/>
              </w:rPr>
            </w:pPr>
            <w:r>
              <w:rPr>
                <w:rFonts w:ascii="宋体" w:hAnsi="宋体" w:cs="宋体" w:eastAsia="宋体" w:hint="default"/>
                <w:sz w:val="21"/>
                <w:szCs w:val="21"/>
              </w:rPr>
              <w:t>日本野村综合研究所</w:t>
            </w:r>
          </w:p>
        </w:tc>
        <w:tc>
          <w:tcPr>
            <w:tcW w:w="286" w:type="dxa"/>
            <w:tcBorders>
              <w:top w:val="nil" w:sz="6" w:space="0" w:color="auto"/>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85,643,700.72</w:t>
            </w:r>
          </w:p>
        </w:tc>
        <w:tc>
          <w:tcPr>
            <w:tcW w:w="283" w:type="dxa"/>
            <w:tcBorders>
              <w:top w:val="nil" w:sz="6" w:space="0" w:color="auto"/>
              <w:left w:val="nil" w:sz="6" w:space="0" w:color="auto"/>
              <w:bottom w:val="nil" w:sz="6" w:space="0" w:color="auto"/>
              <w:right w:val="nil" w:sz="6" w:space="0" w:color="auto"/>
            </w:tcBorders>
          </w:tcPr>
          <w:p>
            <w:pPr/>
          </w:p>
        </w:tc>
        <w:tc>
          <w:tcPr>
            <w:tcW w:w="325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29.11%</w:t>
            </w:r>
          </w:p>
        </w:tc>
      </w:tr>
      <w:tr>
        <w:trPr>
          <w:trHeight w:val="276"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株式会社</w:t>
            </w:r>
          </w:p>
        </w:tc>
        <w:tc>
          <w:tcPr>
            <w:tcW w:w="286"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26,710,146.78</w:t>
            </w:r>
          </w:p>
        </w:tc>
        <w:tc>
          <w:tcPr>
            <w:tcW w:w="283" w:type="dxa"/>
            <w:tcBorders>
              <w:top w:val="nil" w:sz="6" w:space="0" w:color="auto"/>
              <w:left w:val="nil" w:sz="6" w:space="0" w:color="auto"/>
              <w:bottom w:val="nil" w:sz="6" w:space="0" w:color="auto"/>
              <w:right w:val="nil" w:sz="6" w:space="0" w:color="auto"/>
            </w:tcBorders>
          </w:tcPr>
          <w:p>
            <w:pP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9.08%</w:t>
            </w:r>
          </w:p>
        </w:tc>
      </w:tr>
      <w:tr>
        <w:trPr>
          <w:trHeight w:val="269"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sz w:val="21"/>
                <w:szCs w:val="21"/>
              </w:rPr>
              <w:t>瑞穗情报总研株式会社</w:t>
            </w:r>
          </w:p>
        </w:tc>
        <w:tc>
          <w:tcPr>
            <w:tcW w:w="286"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Times New Roman" w:hAnsi="Times New Roman" w:cs="Times New Roman" w:eastAsia="Times New Roman" w:hint="default"/>
                <w:sz w:val="21"/>
                <w:szCs w:val="21"/>
              </w:rPr>
            </w:pPr>
            <w:r>
              <w:rPr>
                <w:rFonts w:ascii="Times New Roman"/>
                <w:spacing w:val="-1"/>
                <w:sz w:val="21"/>
              </w:rPr>
              <w:t>26,356,777.54</w:t>
            </w:r>
          </w:p>
        </w:tc>
        <w:tc>
          <w:tcPr>
            <w:tcW w:w="283" w:type="dxa"/>
            <w:tcBorders>
              <w:top w:val="nil" w:sz="6" w:space="0" w:color="auto"/>
              <w:left w:val="nil" w:sz="6" w:space="0" w:color="auto"/>
              <w:bottom w:val="nil" w:sz="6" w:space="0" w:color="auto"/>
              <w:right w:val="nil" w:sz="6" w:space="0" w:color="auto"/>
            </w:tcBorders>
          </w:tcPr>
          <w:p>
            <w:pP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3"/>
              <w:jc w:val="right"/>
              <w:rPr>
                <w:rFonts w:ascii="Times New Roman" w:hAnsi="Times New Roman" w:cs="Times New Roman" w:eastAsia="Times New Roman" w:hint="default"/>
                <w:sz w:val="21"/>
                <w:szCs w:val="21"/>
              </w:rPr>
            </w:pPr>
            <w:r>
              <w:rPr>
                <w:rFonts w:ascii="Times New Roman"/>
                <w:sz w:val="21"/>
              </w:rPr>
              <w:t>8.96%</w:t>
            </w:r>
          </w:p>
        </w:tc>
      </w:tr>
      <w:tr>
        <w:trPr>
          <w:trHeight w:val="272"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39" w:lineRule="exact"/>
              <w:ind w:left="86" w:right="0"/>
              <w:jc w:val="left"/>
              <w:rPr>
                <w:rFonts w:ascii="宋体" w:hAnsi="宋体" w:cs="宋体" w:eastAsia="宋体" w:hint="default"/>
                <w:sz w:val="21"/>
                <w:szCs w:val="21"/>
              </w:rPr>
            </w:pPr>
            <w:r>
              <w:rPr>
                <w:rFonts w:ascii="宋体" w:hAnsi="宋体" w:cs="宋体" w:eastAsia="宋体" w:hint="default"/>
                <w:sz w:val="21"/>
                <w:szCs w:val="21"/>
              </w:rPr>
              <w:t>日本欧姆龙软件株式会社</w:t>
            </w:r>
          </w:p>
        </w:tc>
        <w:tc>
          <w:tcPr>
            <w:tcW w:w="286"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23,620,394.52</w:t>
            </w:r>
          </w:p>
        </w:tc>
        <w:tc>
          <w:tcPr>
            <w:tcW w:w="283" w:type="dxa"/>
            <w:tcBorders>
              <w:top w:val="nil" w:sz="6" w:space="0" w:color="auto"/>
              <w:left w:val="nil" w:sz="6" w:space="0" w:color="auto"/>
              <w:bottom w:val="nil" w:sz="6" w:space="0" w:color="auto"/>
              <w:right w:val="nil" w:sz="6" w:space="0" w:color="auto"/>
            </w:tcBorders>
          </w:tcPr>
          <w:p>
            <w:pP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z w:val="21"/>
              </w:rPr>
              <w:t>8.03%</w:t>
            </w:r>
          </w:p>
        </w:tc>
      </w:tr>
      <w:tr>
        <w:trPr>
          <w:trHeight w:val="275"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上海电通信息服务有限公司</w:t>
            </w:r>
          </w:p>
        </w:tc>
        <w:tc>
          <w:tcPr>
            <w:tcW w:w="286" w:type="dxa"/>
            <w:tcBorders>
              <w:top w:val="nil" w:sz="6" w:space="0" w:color="auto"/>
              <w:left w:val="nil" w:sz="6" w:space="0" w:color="auto"/>
              <w:bottom w:val="nil" w:sz="6" w:space="0" w:color="auto"/>
              <w:right w:val="nil" w:sz="6" w:space="0" w:color="auto"/>
            </w:tcBorders>
          </w:tcPr>
          <w:p>
            <w:pPr/>
          </w:p>
        </w:tc>
        <w:tc>
          <w:tcPr>
            <w:tcW w:w="255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19,960,606.00</w:t>
            </w:r>
          </w:p>
        </w:tc>
        <w:tc>
          <w:tcPr>
            <w:tcW w:w="283" w:type="dxa"/>
            <w:tcBorders>
              <w:top w:val="nil" w:sz="6" w:space="0" w:color="auto"/>
              <w:left w:val="nil" w:sz="6" w:space="0" w:color="auto"/>
              <w:bottom w:val="nil" w:sz="6" w:space="0" w:color="auto"/>
              <w:right w:val="nil" w:sz="6" w:space="0" w:color="auto"/>
            </w:tcBorders>
          </w:tcPr>
          <w:p>
            <w:pPr/>
          </w:p>
        </w:tc>
        <w:tc>
          <w:tcPr>
            <w:tcW w:w="325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3"/>
              <w:jc w:val="right"/>
              <w:rPr>
                <w:rFonts w:ascii="Times New Roman" w:hAnsi="Times New Roman" w:cs="Times New Roman" w:eastAsia="Times New Roman" w:hint="default"/>
                <w:sz w:val="21"/>
                <w:szCs w:val="21"/>
              </w:rPr>
            </w:pPr>
            <w:r>
              <w:rPr>
                <w:rFonts w:ascii="Times New Roman"/>
                <w:sz w:val="21"/>
              </w:rPr>
              <w:t>6.78%</w:t>
            </w:r>
          </w:p>
        </w:tc>
      </w:tr>
      <w:tr>
        <w:trPr>
          <w:trHeight w:val="293"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46" w:lineRule="exact"/>
              <w:ind w:left="9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 w:type="dxa"/>
            <w:tcBorders>
              <w:top w:val="nil" w:sz="6" w:space="0" w:color="auto"/>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182,291,625.56</w:t>
            </w:r>
          </w:p>
        </w:tc>
        <w:tc>
          <w:tcPr>
            <w:tcW w:w="283" w:type="dxa"/>
            <w:tcBorders>
              <w:top w:val="nil" w:sz="6" w:space="0" w:color="auto"/>
              <w:left w:val="nil" w:sz="6" w:space="0" w:color="auto"/>
              <w:bottom w:val="nil" w:sz="6" w:space="0" w:color="auto"/>
              <w:right w:val="nil" w:sz="6" w:space="0" w:color="auto"/>
            </w:tcBorders>
          </w:tcPr>
          <w:p>
            <w:pPr/>
          </w:p>
        </w:tc>
        <w:tc>
          <w:tcPr>
            <w:tcW w:w="32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z w:val="21"/>
              </w:rPr>
              <w:t>61.95%</w:t>
            </w:r>
          </w:p>
        </w:tc>
      </w:tr>
    </w:tbl>
    <w:p>
      <w:pPr>
        <w:spacing w:line="240" w:lineRule="auto" w:before="1"/>
        <w:rPr>
          <w:rFonts w:ascii="宋体" w:hAnsi="宋体" w:cs="宋体" w:eastAsia="宋体" w:hint="default"/>
          <w:sz w:val="12"/>
          <w:szCs w:val="12"/>
        </w:rPr>
      </w:pPr>
    </w:p>
    <w:p>
      <w:pPr>
        <w:spacing w:line="230" w:lineRule="auto" w:before="46"/>
        <w:ind w:left="706" w:right="206"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6.23.5 </w:t>
      </w:r>
      <w:r>
        <w:rPr>
          <w:rFonts w:ascii="宋体" w:hAnsi="宋体" w:cs="宋体" w:eastAsia="宋体" w:hint="default"/>
          <w:sz w:val="21"/>
          <w:szCs w:val="21"/>
        </w:rPr>
        <w:t>营业收入本年发生数比上年发生数增加 </w:t>
      </w:r>
      <w:r>
        <w:rPr>
          <w:rFonts w:ascii="Times New Roman" w:hAnsi="Times New Roman" w:cs="Times New Roman" w:eastAsia="Times New Roman" w:hint="default"/>
          <w:sz w:val="21"/>
          <w:szCs w:val="21"/>
        </w:rPr>
        <w:t>101,288,283.26 </w:t>
      </w:r>
      <w:r>
        <w:rPr>
          <w:rFonts w:ascii="宋体" w:hAnsi="宋体" w:cs="宋体" w:eastAsia="宋体" w:hint="default"/>
          <w:sz w:val="21"/>
          <w:szCs w:val="21"/>
        </w:rPr>
        <w:t>元，增加比例为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52.49%</w:t>
      </w:r>
      <w:r>
        <w:rPr>
          <w:rFonts w:ascii="宋体" w:hAnsi="宋体" w:cs="宋体" w:eastAsia="宋体" w:hint="default"/>
          <w:sz w:val="21"/>
          <w:szCs w:val="21"/>
        </w:rPr>
        <w:t>，增加原因为：</w:t>
      </w:r>
      <w:r>
        <w:rPr>
          <w:rFonts w:ascii="宋体" w:hAnsi="宋体" w:cs="宋体" w:eastAsia="宋体" w:hint="default"/>
          <w:w w:val="100"/>
          <w:sz w:val="21"/>
          <w:szCs w:val="21"/>
        </w:rPr>
        <w:t> </w:t>
      </w:r>
      <w:r>
        <w:rPr>
          <w:rFonts w:ascii="宋体" w:hAnsi="宋体" w:cs="宋体" w:eastAsia="宋体" w:hint="default"/>
          <w:spacing w:val="-1"/>
          <w:sz w:val="21"/>
          <w:szCs w:val="21"/>
        </w:rPr>
        <w:t>本年主要业务市场日本经济有所复苏，来自日本企业的订单增加及新开拓美国市场业务及合并报表范</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围增加所致。</w:t>
      </w:r>
    </w:p>
    <w:p>
      <w:pPr>
        <w:spacing w:after="0" w:line="230" w:lineRule="auto"/>
        <w:jc w:val="both"/>
        <w:rPr>
          <w:rFonts w:ascii="宋体" w:hAnsi="宋体" w:cs="宋体" w:eastAsia="宋体" w:hint="default"/>
          <w:sz w:val="21"/>
          <w:szCs w:val="21"/>
        </w:rPr>
        <w:sectPr>
          <w:footerReference w:type="default" r:id="rId35"/>
          <w:pgSz w:w="11900" w:h="16840"/>
          <w:pgMar w:footer="983" w:header="886" w:top="1800" w:bottom="1180" w:left="1060" w:right="640"/>
          <w:pgNumType w:start="110"/>
        </w:sectPr>
      </w:pPr>
    </w:p>
    <w:p>
      <w:pPr>
        <w:spacing w:line="240" w:lineRule="auto" w:before="10"/>
        <w:rPr>
          <w:rFonts w:ascii="宋体" w:hAnsi="宋体" w:cs="宋体" w:eastAsia="宋体" w:hint="default"/>
          <w:sz w:val="12"/>
          <w:szCs w:val="12"/>
        </w:rPr>
      </w:pPr>
    </w:p>
    <w:p>
      <w:pPr>
        <w:tabs>
          <w:tab w:pos="649"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6.25</w:t>
      </w:r>
      <w:r>
        <w:rPr>
          <w:rFonts w:ascii="Times New Roman" w:hAnsi="Times New Roman" w:cs="Times New Roman" w:eastAsia="Times New Roman" w:hint="default"/>
          <w:spacing w:val="51"/>
          <w:position w:val="2"/>
          <w:sz w:val="21"/>
          <w:szCs w:val="21"/>
        </w:rPr>
        <w:t> </w:t>
      </w:r>
      <w:r>
        <w:rPr>
          <w:rFonts w:ascii="宋体" w:hAnsi="宋体" w:cs="宋体" w:eastAsia="宋体" w:hint="default"/>
          <w:sz w:val="21"/>
          <w:szCs w:val="21"/>
        </w:rPr>
        <w:t>营业税金及附加</w:t>
      </w:r>
    </w:p>
    <w:p>
      <w:pPr>
        <w:spacing w:line="240" w:lineRule="auto" w:before="6"/>
        <w:rPr>
          <w:rFonts w:ascii="宋体" w:hAnsi="宋体" w:cs="宋体" w:eastAsia="宋体" w:hint="default"/>
          <w:sz w:val="15"/>
          <w:szCs w:val="15"/>
        </w:rPr>
      </w:pPr>
    </w:p>
    <w:tbl>
      <w:tblPr>
        <w:tblW w:w="0" w:type="auto"/>
        <w:jc w:val="left"/>
        <w:tblInd w:w="558" w:type="dxa"/>
        <w:tblLayout w:type="fixed"/>
        <w:tblCellMar>
          <w:top w:w="0" w:type="dxa"/>
          <w:left w:w="0" w:type="dxa"/>
          <w:bottom w:w="0" w:type="dxa"/>
          <w:right w:w="0" w:type="dxa"/>
        </w:tblCellMar>
        <w:tblLook w:val="01E0"/>
      </w:tblPr>
      <w:tblGrid>
        <w:gridCol w:w="2486"/>
        <w:gridCol w:w="283"/>
        <w:gridCol w:w="1836"/>
        <w:gridCol w:w="235"/>
        <w:gridCol w:w="2040"/>
        <w:gridCol w:w="283"/>
        <w:gridCol w:w="2333"/>
      </w:tblGrid>
      <w:tr>
        <w:trPr>
          <w:trHeight w:val="346" w:hRule="exact"/>
        </w:trPr>
        <w:tc>
          <w:tcPr>
            <w:tcW w:w="248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pacing w:val="-1"/>
                <w:sz w:val="21"/>
                <w:szCs w:val="21"/>
              </w:rPr>
              <w:t>计缴标准</w:t>
            </w:r>
          </w:p>
        </w:tc>
      </w:tr>
      <w:tr>
        <w:trPr>
          <w:trHeight w:val="321" w:hRule="exact"/>
        </w:trPr>
        <w:tc>
          <w:tcPr>
            <w:tcW w:w="2486" w:type="dxa"/>
            <w:tcBorders>
              <w:top w:val="single" w:sz="4" w:space="0" w:color="000000"/>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3"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302,838.84</w:t>
            </w:r>
          </w:p>
        </w:tc>
        <w:tc>
          <w:tcPr>
            <w:tcW w:w="235" w:type="dxa"/>
            <w:tcBorders>
              <w:top w:val="nil" w:sz="6" w:space="0" w:color="auto"/>
              <w:left w:val="nil" w:sz="6" w:space="0" w:color="auto"/>
              <w:bottom w:val="nil" w:sz="6" w:space="0" w:color="auto"/>
              <w:right w:val="nil" w:sz="6" w:space="0" w:color="auto"/>
            </w:tcBorders>
          </w:tcPr>
          <w:p>
            <w:pPr/>
          </w:p>
        </w:tc>
        <w:tc>
          <w:tcPr>
            <w:tcW w:w="204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73,354.19</w:t>
            </w:r>
          </w:p>
        </w:tc>
        <w:tc>
          <w:tcPr>
            <w:tcW w:w="283" w:type="dxa"/>
            <w:tcBorders>
              <w:top w:val="nil" w:sz="6" w:space="0" w:color="auto"/>
              <w:left w:val="nil" w:sz="6" w:space="0" w:color="auto"/>
              <w:bottom w:val="nil" w:sz="6" w:space="0" w:color="auto"/>
              <w:right w:val="nil" w:sz="6" w:space="0" w:color="auto"/>
            </w:tcBorders>
          </w:tcPr>
          <w:p>
            <w:pPr/>
          </w:p>
        </w:tc>
        <w:tc>
          <w:tcPr>
            <w:tcW w:w="2333"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sz w:val="21"/>
              </w:rPr>
              <w:t>5%</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83"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33,083.53</w:t>
            </w:r>
          </w:p>
        </w:tc>
        <w:tc>
          <w:tcPr>
            <w:tcW w:w="23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8,841.42</w:t>
            </w:r>
          </w:p>
        </w:tc>
        <w:tc>
          <w:tcPr>
            <w:tcW w:w="28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1"/>
                <w:szCs w:val="21"/>
              </w:rPr>
            </w:pPr>
            <w:r>
              <w:rPr>
                <w:rFonts w:ascii="Times New Roman"/>
                <w:sz w:val="21"/>
              </w:rPr>
              <w:t>7%</w:t>
            </w:r>
          </w:p>
        </w:tc>
      </w:tr>
      <w:tr>
        <w:trPr>
          <w:trHeight w:val="312"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14,370.39</w:t>
            </w:r>
          </w:p>
        </w:tc>
        <w:tc>
          <w:tcPr>
            <w:tcW w:w="23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3,947.19</w:t>
            </w:r>
          </w:p>
        </w:tc>
        <w:tc>
          <w:tcPr>
            <w:tcW w:w="28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21"/>
                <w:szCs w:val="21"/>
              </w:rPr>
            </w:pPr>
            <w:r>
              <w:rPr>
                <w:rFonts w:ascii="Times New Roman"/>
                <w:sz w:val="21"/>
              </w:rPr>
              <w:t>3%</w:t>
            </w:r>
          </w:p>
        </w:tc>
      </w:tr>
      <w:tr>
        <w:trPr>
          <w:trHeight w:val="315"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83"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63,683.81</w:t>
            </w:r>
          </w:p>
        </w:tc>
        <w:tc>
          <w:tcPr>
            <w:tcW w:w="235" w:type="dxa"/>
            <w:tcBorders>
              <w:top w:val="nil" w:sz="6" w:space="0" w:color="auto"/>
              <w:left w:val="nil" w:sz="6" w:space="0" w:color="auto"/>
              <w:bottom w:val="nil" w:sz="6" w:space="0" w:color="auto"/>
              <w:right w:val="nil" w:sz="6" w:space="0" w:color="auto"/>
            </w:tcBorders>
          </w:tcPr>
          <w:p>
            <w:pPr/>
          </w:p>
        </w:tc>
        <w:tc>
          <w:tcPr>
            <w:tcW w:w="204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4"/>
              <w:jc w:val="right"/>
              <w:rPr>
                <w:rFonts w:ascii="Times New Roman" w:hAnsi="Times New Roman" w:cs="Times New Roman" w:eastAsia="Times New Roman" w:hint="default"/>
                <w:sz w:val="21"/>
                <w:szCs w:val="21"/>
              </w:rPr>
            </w:pPr>
            <w:r>
              <w:rPr>
                <w:rFonts w:ascii="Times New Roman"/>
                <w:spacing w:val="-1"/>
                <w:sz w:val="21"/>
              </w:rPr>
              <w:t>47,453.05</w:t>
            </w:r>
          </w:p>
        </w:tc>
        <w:tc>
          <w:tcPr>
            <w:tcW w:w="28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z w:val="21"/>
              </w:rPr>
              <w:t>12%</w:t>
            </w:r>
          </w:p>
        </w:tc>
      </w:tr>
      <w:tr>
        <w:trPr>
          <w:trHeight w:val="290" w:hRule="exact"/>
        </w:trPr>
        <w:tc>
          <w:tcPr>
            <w:tcW w:w="2486"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283"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413,976.57</w:t>
            </w:r>
          </w:p>
        </w:tc>
        <w:tc>
          <w:tcPr>
            <w:tcW w:w="235" w:type="dxa"/>
            <w:tcBorders>
              <w:top w:val="nil" w:sz="6" w:space="0" w:color="auto"/>
              <w:left w:val="nil" w:sz="6" w:space="0" w:color="auto"/>
              <w:bottom w:val="nil" w:sz="6" w:space="0" w:color="auto"/>
              <w:right w:val="nil" w:sz="6" w:space="0" w:color="auto"/>
            </w:tcBorders>
          </w:tcPr>
          <w:p>
            <w:pPr/>
          </w:p>
        </w:tc>
        <w:tc>
          <w:tcPr>
            <w:tcW w:w="2040"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133,595.85</w:t>
            </w:r>
          </w:p>
        </w:tc>
        <w:tc>
          <w:tcPr>
            <w:tcW w:w="283" w:type="dxa"/>
            <w:tcBorders>
              <w:top w:val="nil" w:sz="6" w:space="0" w:color="auto"/>
              <w:left w:val="nil" w:sz="6" w:space="0" w:color="auto"/>
              <w:bottom w:val="nil" w:sz="6" w:space="0" w:color="auto"/>
              <w:right w:val="nil" w:sz="6" w:space="0" w:color="auto"/>
            </w:tcBorders>
          </w:tcPr>
          <w:p>
            <w:pPr/>
          </w:p>
        </w:tc>
        <w:tc>
          <w:tcPr>
            <w:tcW w:w="2333"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2"/>
          <w:szCs w:val="12"/>
        </w:rPr>
      </w:pPr>
    </w:p>
    <w:p>
      <w:pPr>
        <w:spacing w:line="274" w:lineRule="exact" w:before="62"/>
        <w:ind w:left="666" w:right="0" w:firstLine="0"/>
        <w:jc w:val="left"/>
        <w:rPr>
          <w:rFonts w:ascii="宋体" w:hAnsi="宋体" w:cs="宋体" w:eastAsia="宋体" w:hint="default"/>
          <w:sz w:val="21"/>
          <w:szCs w:val="21"/>
        </w:rPr>
      </w:pPr>
      <w:r>
        <w:rPr>
          <w:rFonts w:ascii="宋体" w:hAnsi="宋体" w:cs="宋体" w:eastAsia="宋体" w:hint="default"/>
          <w:sz w:val="21"/>
          <w:szCs w:val="21"/>
        </w:rPr>
        <w:t>营业税金及附加本年发生数比上年发生数增加 </w:t>
      </w:r>
      <w:r>
        <w:rPr>
          <w:rFonts w:ascii="Times New Roman" w:hAnsi="Times New Roman" w:cs="Times New Roman" w:eastAsia="Times New Roman" w:hint="default"/>
          <w:sz w:val="21"/>
          <w:szCs w:val="21"/>
        </w:rPr>
        <w:t>280,380.72 </w:t>
      </w:r>
      <w:r>
        <w:rPr>
          <w:rFonts w:ascii="宋体" w:hAnsi="宋体" w:cs="宋体" w:eastAsia="宋体" w:hint="default"/>
          <w:sz w:val="21"/>
          <w:szCs w:val="21"/>
        </w:rPr>
        <w:t>元，增加比例为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209.87%</w:t>
      </w:r>
      <w:r>
        <w:rPr>
          <w:rFonts w:ascii="宋体" w:hAnsi="宋体" w:cs="宋体" w:eastAsia="宋体" w:hint="default"/>
          <w:sz w:val="21"/>
          <w:szCs w:val="21"/>
        </w:rPr>
        <w:t>，增加原因为：本</w:t>
      </w:r>
      <w:r>
        <w:rPr>
          <w:rFonts w:ascii="宋体" w:hAnsi="宋体" w:cs="宋体" w:eastAsia="宋体" w:hint="default"/>
          <w:w w:val="100"/>
          <w:sz w:val="21"/>
          <w:szCs w:val="21"/>
        </w:rPr>
        <w:t> </w:t>
      </w:r>
      <w:r>
        <w:rPr>
          <w:rFonts w:ascii="宋体" w:hAnsi="宋体" w:cs="宋体" w:eastAsia="宋体" w:hint="default"/>
          <w:sz w:val="21"/>
          <w:szCs w:val="21"/>
        </w:rPr>
        <w:t>年营业收入增加导致相关税金及附加增加及合并报表范围增加所致。</w:t>
      </w:r>
    </w:p>
    <w:p>
      <w:pPr>
        <w:spacing w:line="240" w:lineRule="auto" w:before="3"/>
        <w:rPr>
          <w:rFonts w:ascii="宋体" w:hAnsi="宋体" w:cs="宋体" w:eastAsia="宋体" w:hint="default"/>
          <w:sz w:val="16"/>
          <w:szCs w:val="16"/>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6.26</w:t>
      </w:r>
      <w:r>
        <w:rPr>
          <w:rFonts w:ascii="Times New Roman" w:hAnsi="Times New Roman" w:cs="Times New Roman" w:eastAsia="Times New Roman" w:hint="default"/>
          <w:spacing w:val="51"/>
          <w:sz w:val="21"/>
          <w:szCs w:val="21"/>
        </w:rPr>
        <w:t> </w:t>
      </w:r>
      <w:r>
        <w:rPr>
          <w:rFonts w:ascii="宋体" w:hAnsi="宋体" w:cs="宋体" w:eastAsia="宋体" w:hint="default"/>
          <w:position w:val="-1"/>
          <w:sz w:val="21"/>
          <w:szCs w:val="21"/>
        </w:rPr>
        <w:t>销售费用</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tabs>
          <w:tab w:pos="5288" w:val="left" w:leader="none"/>
          <w:tab w:pos="8895" w:val="left" w:leader="none"/>
        </w:tabs>
        <w:spacing w:before="0"/>
        <w:ind w:left="1415"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宋体" w:hAnsi="宋体" w:cs="宋体" w:eastAsia="宋体" w:hint="default"/>
          <w:spacing w:val="-1"/>
          <w:sz w:val="21"/>
          <w:szCs w:val="21"/>
        </w:rPr>
        <w:t>本年发生额</w:t>
        <w:tab/>
        <w:t>上年发生额</w:t>
      </w:r>
    </w:p>
    <w:p>
      <w:pPr>
        <w:spacing w:line="240" w:lineRule="auto" w:before="9"/>
        <w:rPr>
          <w:rFonts w:ascii="宋体" w:hAnsi="宋体" w:cs="宋体" w:eastAsia="宋体" w:hint="default"/>
          <w:sz w:val="2"/>
          <w:szCs w:val="2"/>
        </w:rPr>
      </w:pPr>
    </w:p>
    <w:tbl>
      <w:tblPr>
        <w:tblW w:w="0" w:type="auto"/>
        <w:jc w:val="left"/>
        <w:tblInd w:w="558" w:type="dxa"/>
        <w:tblLayout w:type="fixed"/>
        <w:tblCellMar>
          <w:top w:w="0" w:type="dxa"/>
          <w:left w:w="0" w:type="dxa"/>
          <w:bottom w:w="0" w:type="dxa"/>
          <w:right w:w="0" w:type="dxa"/>
        </w:tblCellMar>
        <w:tblLook w:val="01E0"/>
      </w:tblPr>
      <w:tblGrid>
        <w:gridCol w:w="2136"/>
        <w:gridCol w:w="274"/>
        <w:gridCol w:w="3480"/>
        <w:gridCol w:w="235"/>
        <w:gridCol w:w="3372"/>
      </w:tblGrid>
      <w:tr>
        <w:trPr>
          <w:trHeight w:val="327" w:hRule="exact"/>
        </w:trPr>
        <w:tc>
          <w:tcPr>
            <w:tcW w:w="2136" w:type="dxa"/>
            <w:tcBorders>
              <w:top w:val="single" w:sz="4" w:space="0" w:color="000000"/>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9,950,779.31</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2"/>
                <w:szCs w:val="22"/>
              </w:rPr>
            </w:pPr>
            <w:r>
              <w:rPr>
                <w:rFonts w:ascii="Times New Roman"/>
                <w:spacing w:val="-1"/>
                <w:sz w:val="22"/>
              </w:rPr>
              <w:t>8,471,437.54</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7,892.00</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269,975.86</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74,491.90</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销售服务费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22"/>
                <w:szCs w:val="22"/>
              </w:rPr>
            </w:pPr>
            <w:r>
              <w:rPr>
                <w:rFonts w:ascii="Times New Roman"/>
                <w:w w:val="100"/>
                <w:sz w:val="22"/>
              </w:rPr>
              <w:t>-</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1,208,809.64</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894,037.38</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1,357,316.91</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975,990.00</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市内交通费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17,669.40</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22,151.00</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17,589.95</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8,871.90</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公积金</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132,222.00</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pacing w:val="-2"/>
                <w:sz w:val="22"/>
              </w:rPr>
              <w:t>43,112.00</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劳动保险</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21"/>
                <w:szCs w:val="21"/>
              </w:rPr>
            </w:pPr>
            <w:r>
              <w:rPr>
                <w:rFonts w:ascii="Times New Roman"/>
                <w:w w:val="100"/>
                <w:sz w:val="21"/>
              </w:rPr>
              <w:t>-</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15,194.00</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162,524.53</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30,130.64</w:t>
            </w:r>
          </w:p>
        </w:tc>
      </w:tr>
      <w:tr>
        <w:trPr>
          <w:trHeight w:val="312"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376,117.92</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524,162.75</w:t>
            </w:r>
          </w:p>
        </w:tc>
      </w:tr>
      <w:tr>
        <w:trPr>
          <w:trHeight w:val="309"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55"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1"/>
                <w:szCs w:val="21"/>
              </w:rPr>
            </w:pPr>
            <w:r>
              <w:rPr>
                <w:rFonts w:ascii="Times New Roman"/>
                <w:spacing w:val="-1"/>
                <w:sz w:val="21"/>
              </w:rPr>
              <w:t>200,056.17</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22"/>
                <w:szCs w:val="22"/>
              </w:rPr>
            </w:pPr>
            <w:r>
              <w:rPr>
                <w:rFonts w:ascii="Times New Roman"/>
                <w:sz w:val="22"/>
              </w:rPr>
              <w:t>53,876.45</w:t>
            </w:r>
          </w:p>
        </w:tc>
      </w:tr>
      <w:tr>
        <w:trPr>
          <w:trHeight w:val="33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21"/>
                <w:szCs w:val="21"/>
              </w:rPr>
            </w:pPr>
            <w:r>
              <w:rPr>
                <w:rFonts w:ascii="Times New Roman"/>
                <w:spacing w:val="-1"/>
                <w:sz w:val="21"/>
              </w:rPr>
              <w:t>13,693,061.69</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22"/>
                <w:szCs w:val="22"/>
              </w:rPr>
            </w:pPr>
            <w:r>
              <w:rPr>
                <w:rFonts w:ascii="Times New Roman"/>
                <w:spacing w:val="-1"/>
                <w:sz w:val="22"/>
              </w:rPr>
              <w:t>11,121,347.56</w:t>
            </w:r>
          </w:p>
        </w:tc>
      </w:tr>
    </w:tbl>
    <w:p>
      <w:pPr>
        <w:spacing w:line="240" w:lineRule="auto" w:before="1"/>
        <w:rPr>
          <w:rFonts w:ascii="宋体" w:hAnsi="宋体" w:cs="宋体" w:eastAsia="宋体" w:hint="default"/>
          <w:sz w:val="12"/>
          <w:szCs w:val="12"/>
        </w:rPr>
      </w:pPr>
    </w:p>
    <w:p>
      <w:pPr>
        <w:spacing w:line="272" w:lineRule="exact" w:before="63"/>
        <w:ind w:left="666" w:right="0" w:firstLine="0"/>
        <w:jc w:val="left"/>
        <w:rPr>
          <w:rFonts w:ascii="宋体" w:hAnsi="宋体" w:cs="宋体" w:eastAsia="宋体" w:hint="default"/>
          <w:sz w:val="21"/>
          <w:szCs w:val="21"/>
        </w:rPr>
      </w:pPr>
      <w:r>
        <w:rPr>
          <w:rFonts w:ascii="宋体" w:hAnsi="宋体" w:cs="宋体" w:eastAsia="宋体" w:hint="default"/>
          <w:sz w:val="21"/>
          <w:szCs w:val="21"/>
        </w:rPr>
        <w:t>销售费用本年发生数比上年发生数增加</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2,571,714.13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元，增加比例为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23.12%</w:t>
      </w:r>
      <w:r>
        <w:rPr>
          <w:rFonts w:ascii="宋体" w:hAnsi="宋体" w:cs="宋体" w:eastAsia="宋体" w:hint="default"/>
          <w:sz w:val="21"/>
          <w:szCs w:val="21"/>
        </w:rPr>
        <w:t>，增加原因为：本年营业</w:t>
      </w:r>
      <w:r>
        <w:rPr>
          <w:rFonts w:ascii="宋体" w:hAnsi="宋体" w:cs="宋体" w:eastAsia="宋体" w:hint="default"/>
          <w:w w:val="100"/>
          <w:sz w:val="21"/>
          <w:szCs w:val="21"/>
        </w:rPr>
        <w:t> </w:t>
      </w:r>
      <w:r>
        <w:rPr>
          <w:rFonts w:ascii="宋体" w:hAnsi="宋体" w:cs="宋体" w:eastAsia="宋体" w:hint="default"/>
          <w:sz w:val="21"/>
          <w:szCs w:val="21"/>
        </w:rPr>
        <w:t>收入增加导致相关销售费用增加及合并报表范围增加所致。</w:t>
      </w:r>
    </w:p>
    <w:p>
      <w:pPr>
        <w:spacing w:after="0" w:line="272" w:lineRule="exact"/>
        <w:jc w:val="left"/>
        <w:rPr>
          <w:rFonts w:ascii="宋体" w:hAnsi="宋体" w:cs="宋体" w:eastAsia="宋体" w:hint="default"/>
          <w:sz w:val="21"/>
          <w:szCs w:val="21"/>
        </w:rPr>
        <w:sectPr>
          <w:pgSz w:w="11900" w:h="16840"/>
          <w:pgMar w:header="886" w:footer="983" w:top="1800" w:bottom="1180" w:left="1100" w:right="640"/>
        </w:sectPr>
      </w:pPr>
    </w:p>
    <w:p>
      <w:pPr>
        <w:spacing w:line="240" w:lineRule="auto" w:before="1"/>
        <w:rPr>
          <w:rFonts w:ascii="宋体" w:hAnsi="宋体" w:cs="宋体" w:eastAsia="宋体" w:hint="default"/>
          <w:sz w:val="18"/>
          <w:szCs w:val="18"/>
        </w:rPr>
      </w:pPr>
    </w:p>
    <w:p>
      <w:pPr>
        <w:tabs>
          <w:tab w:pos="649"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6.27</w:t>
      </w:r>
      <w:r>
        <w:rPr>
          <w:rFonts w:ascii="Times New Roman" w:hAnsi="Times New Roman" w:cs="Times New Roman" w:eastAsia="Times New Roman" w:hint="default"/>
          <w:spacing w:val="50"/>
          <w:sz w:val="21"/>
          <w:szCs w:val="21"/>
        </w:rPr>
        <w:t> </w:t>
      </w:r>
      <w:r>
        <w:rPr>
          <w:rFonts w:ascii="宋体" w:hAnsi="宋体" w:cs="宋体" w:eastAsia="宋体" w:hint="default"/>
          <w:position w:val="-1"/>
          <w:sz w:val="21"/>
          <w:szCs w:val="21"/>
        </w:rPr>
        <w:t>管理费用</w:t>
      </w:r>
      <w:r>
        <w:rPr>
          <w:rFonts w:ascii="宋体" w:hAnsi="宋体" w:cs="宋体" w:eastAsia="宋体" w:hint="default"/>
          <w:sz w:val="21"/>
          <w:szCs w:val="21"/>
        </w:rPr>
      </w:r>
    </w:p>
    <w:p>
      <w:pPr>
        <w:spacing w:line="240" w:lineRule="auto" w:before="8"/>
        <w:rPr>
          <w:rFonts w:ascii="宋体" w:hAnsi="宋体" w:cs="宋体" w:eastAsia="宋体" w:hint="default"/>
          <w:sz w:val="15"/>
          <w:szCs w:val="15"/>
        </w:rPr>
      </w:pPr>
    </w:p>
    <w:tbl>
      <w:tblPr>
        <w:tblW w:w="0" w:type="auto"/>
        <w:jc w:val="left"/>
        <w:tblInd w:w="558" w:type="dxa"/>
        <w:tblLayout w:type="fixed"/>
        <w:tblCellMar>
          <w:top w:w="0" w:type="dxa"/>
          <w:left w:w="0" w:type="dxa"/>
          <w:bottom w:w="0" w:type="dxa"/>
          <w:right w:w="0" w:type="dxa"/>
        </w:tblCellMar>
        <w:tblLook w:val="01E0"/>
      </w:tblPr>
      <w:tblGrid>
        <w:gridCol w:w="2136"/>
        <w:gridCol w:w="274"/>
        <w:gridCol w:w="3480"/>
        <w:gridCol w:w="235"/>
        <w:gridCol w:w="3372"/>
      </w:tblGrid>
      <w:tr>
        <w:trPr>
          <w:trHeight w:val="349" w:hRule="exact"/>
        </w:trPr>
        <w:tc>
          <w:tcPr>
            <w:tcW w:w="2136"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pacing w:val="-1"/>
                <w:sz w:val="21"/>
                <w:szCs w:val="21"/>
              </w:rPr>
              <w:t>本年发生额</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pacing w:val="-1"/>
                <w:sz w:val="21"/>
                <w:szCs w:val="21"/>
              </w:rPr>
              <w:t>上年发生额</w:t>
            </w:r>
          </w:p>
        </w:tc>
      </w:tr>
      <w:tr>
        <w:trPr>
          <w:trHeight w:val="278" w:hRule="exact"/>
        </w:trPr>
        <w:tc>
          <w:tcPr>
            <w:tcW w:w="2136"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10,218,717.80</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7,829,760.29</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9,600,381.64</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5,474,428.62</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2,936,716.39</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2,263,592.68</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516,367.37</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3"/>
                <w:sz w:val="21"/>
              </w:rPr>
              <w:t>117,118.78</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386,825.68</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243,331.80</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低值易耗品摊销</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91,347.36</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8,203.96</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2,543,623.58</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1,136,392.70</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2"/>
                <w:sz w:val="21"/>
              </w:rPr>
              <w:t>1,011,965.54</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761,965.21</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148,569.20</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93,670.58</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961,391.25</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737,795.42</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市内交通费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280,435.46</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179,922.53</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应付福利费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9,638,222.90</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7,582,856.62</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136,789.04</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123,336.06</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151,492.86</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162,325.00</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劳动保险费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16,133,276.43</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12,082,961.92</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3,412,878.03</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2,508,433.68</w:t>
            </w:r>
          </w:p>
        </w:tc>
      </w:tr>
      <w:tr>
        <w:trPr>
          <w:trHeight w:val="271"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186,558.86</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49,796.58</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职工培训费</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754,647.32</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715,481.69</w:t>
            </w:r>
          </w:p>
        </w:tc>
      </w:tr>
      <w:tr>
        <w:trPr>
          <w:trHeight w:val="274"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2,409,706.95</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21"/>
                <w:szCs w:val="21"/>
              </w:rPr>
            </w:pPr>
            <w:r>
              <w:rPr>
                <w:rFonts w:ascii="Times New Roman"/>
                <w:spacing w:val="-1"/>
                <w:sz w:val="21"/>
              </w:rPr>
              <w:t>1,123,594.50</w:t>
            </w:r>
          </w:p>
        </w:tc>
      </w:tr>
      <w:tr>
        <w:trPr>
          <w:trHeight w:val="293" w:hRule="exact"/>
        </w:trPr>
        <w:tc>
          <w:tcPr>
            <w:tcW w:w="2136"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 w:type="dxa"/>
            <w:tcBorders>
              <w:top w:val="nil" w:sz="6" w:space="0" w:color="auto"/>
              <w:left w:val="nil" w:sz="6" w:space="0" w:color="auto"/>
              <w:bottom w:val="nil" w:sz="6" w:space="0" w:color="auto"/>
              <w:right w:val="nil" w:sz="6" w:space="0" w:color="auto"/>
            </w:tcBorders>
          </w:tcPr>
          <w:p>
            <w:pPr/>
          </w:p>
        </w:tc>
        <w:tc>
          <w:tcPr>
            <w:tcW w:w="3480"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61,519,913.66</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single" w:sz="4" w:space="0" w:color="000000"/>
              <w:left w:val="nil" w:sz="6" w:space="0" w:color="auto"/>
              <w:bottom w:val="single" w:sz="11"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43,194,968.62</w:t>
            </w:r>
          </w:p>
        </w:tc>
      </w:tr>
    </w:tbl>
    <w:p>
      <w:pPr>
        <w:spacing w:line="240" w:lineRule="auto" w:before="1"/>
        <w:rPr>
          <w:rFonts w:ascii="宋体" w:hAnsi="宋体" w:cs="宋体" w:eastAsia="宋体" w:hint="default"/>
          <w:sz w:val="12"/>
          <w:szCs w:val="12"/>
        </w:rPr>
      </w:pPr>
    </w:p>
    <w:p>
      <w:pPr>
        <w:spacing w:line="272" w:lineRule="exact" w:before="63"/>
        <w:ind w:left="666" w:right="0" w:firstLine="0"/>
        <w:jc w:val="left"/>
        <w:rPr>
          <w:rFonts w:ascii="宋体" w:hAnsi="宋体" w:cs="宋体" w:eastAsia="宋体" w:hint="default"/>
          <w:sz w:val="21"/>
          <w:szCs w:val="21"/>
        </w:rPr>
      </w:pPr>
      <w:r>
        <w:rPr>
          <w:rFonts w:ascii="宋体" w:hAnsi="宋体" w:cs="宋体" w:eastAsia="宋体" w:hint="default"/>
          <w:sz w:val="21"/>
          <w:szCs w:val="21"/>
        </w:rPr>
        <w:t>管理费用本年发生数比上年发生数增加</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18,324,945.04</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元，增加比例为</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42.42%</w:t>
      </w:r>
      <w:r>
        <w:rPr>
          <w:rFonts w:ascii="宋体" w:hAnsi="宋体" w:cs="宋体" w:eastAsia="宋体" w:hint="default"/>
          <w:spacing w:val="-5"/>
          <w:sz w:val="21"/>
          <w:szCs w:val="21"/>
        </w:rPr>
        <w:t>，增加原因为：本年营业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收入增加导致相关管理费用增加、合并报表范围增加及研发支出增加所致。</w:t>
      </w:r>
    </w:p>
    <w:p>
      <w:pPr>
        <w:spacing w:line="240" w:lineRule="auto" w:before="3"/>
        <w:rPr>
          <w:rFonts w:ascii="宋体" w:hAnsi="宋体" w:cs="宋体" w:eastAsia="宋体" w:hint="default"/>
          <w:sz w:val="16"/>
          <w:szCs w:val="16"/>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6.28</w:t>
      </w:r>
      <w:r>
        <w:rPr>
          <w:rFonts w:ascii="Times New Roman" w:hAnsi="Times New Roman" w:cs="Times New Roman" w:eastAsia="Times New Roman" w:hint="default"/>
          <w:spacing w:val="50"/>
          <w:sz w:val="21"/>
          <w:szCs w:val="21"/>
        </w:rPr>
        <w:t> </w:t>
      </w:r>
      <w:r>
        <w:rPr>
          <w:rFonts w:ascii="宋体" w:hAnsi="宋体" w:cs="宋体" w:eastAsia="宋体" w:hint="default"/>
          <w:position w:val="-1"/>
          <w:sz w:val="21"/>
          <w:szCs w:val="21"/>
        </w:rPr>
        <w:t>财务费用</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tabs>
          <w:tab w:pos="5286" w:val="left" w:leader="none"/>
          <w:tab w:pos="8895" w:val="left" w:leader="none"/>
        </w:tabs>
        <w:spacing w:before="0"/>
        <w:ind w:left="1765"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宋体" w:hAnsi="宋体" w:cs="宋体" w:eastAsia="宋体" w:hint="default"/>
          <w:spacing w:val="-1"/>
          <w:sz w:val="21"/>
          <w:szCs w:val="21"/>
        </w:rPr>
        <w:t>本年发生额</w:t>
        <w:tab/>
        <w:t>上年发生额</w:t>
      </w:r>
    </w:p>
    <w:p>
      <w:pPr>
        <w:spacing w:line="240" w:lineRule="auto" w:before="12"/>
        <w:rPr>
          <w:rFonts w:ascii="宋体" w:hAnsi="宋体" w:cs="宋体" w:eastAsia="宋体" w:hint="default"/>
          <w:sz w:val="2"/>
          <w:szCs w:val="2"/>
        </w:rPr>
      </w:pPr>
    </w:p>
    <w:tbl>
      <w:tblPr>
        <w:tblW w:w="0" w:type="auto"/>
        <w:jc w:val="left"/>
        <w:tblInd w:w="558" w:type="dxa"/>
        <w:tblLayout w:type="fixed"/>
        <w:tblCellMar>
          <w:top w:w="0" w:type="dxa"/>
          <w:left w:w="0" w:type="dxa"/>
          <w:bottom w:w="0" w:type="dxa"/>
          <w:right w:w="0" w:type="dxa"/>
        </w:tblCellMar>
        <w:tblLook w:val="01E0"/>
      </w:tblPr>
      <w:tblGrid>
        <w:gridCol w:w="2837"/>
        <w:gridCol w:w="281"/>
        <w:gridCol w:w="2772"/>
        <w:gridCol w:w="235"/>
        <w:gridCol w:w="3372"/>
      </w:tblGrid>
      <w:tr>
        <w:trPr>
          <w:trHeight w:val="322" w:hRule="exact"/>
        </w:trPr>
        <w:tc>
          <w:tcPr>
            <w:tcW w:w="2837" w:type="dxa"/>
            <w:tcBorders>
              <w:top w:val="single" w:sz="4" w:space="0" w:color="000000"/>
              <w:left w:val="nil" w:sz="6" w:space="0" w:color="auto"/>
              <w:bottom w:val="nil" w:sz="6" w:space="0" w:color="auto"/>
              <w:right w:val="nil" w:sz="6" w:space="0" w:color="auto"/>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81" w:type="dxa"/>
            <w:tcBorders>
              <w:top w:val="nil" w:sz="6" w:space="0" w:color="auto"/>
              <w:left w:val="nil" w:sz="6" w:space="0" w:color="auto"/>
              <w:bottom w:val="nil" w:sz="6" w:space="0" w:color="auto"/>
              <w:right w:val="nil" w:sz="6" w:space="0" w:color="auto"/>
            </w:tcBorders>
          </w:tcPr>
          <w:p>
            <w:pPr/>
          </w:p>
        </w:tc>
        <w:tc>
          <w:tcPr>
            <w:tcW w:w="277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21"/>
                <w:szCs w:val="21"/>
              </w:rPr>
            </w:pPr>
            <w:r>
              <w:rPr>
                <w:rFonts w:ascii="Times New Roman"/>
                <w:spacing w:val="-1"/>
                <w:sz w:val="21"/>
              </w:rPr>
              <w:t>637,719.97</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620,119.54</w:t>
            </w:r>
          </w:p>
        </w:tc>
      </w:tr>
      <w:tr>
        <w:trPr>
          <w:trHeight w:val="312"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8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2,348,226.83</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6,175,869.24</w:t>
            </w:r>
          </w:p>
        </w:tc>
      </w:tr>
      <w:tr>
        <w:trPr>
          <w:trHeight w:val="313"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73"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利息净支出</w:t>
            </w:r>
            <w:r>
              <w:rPr>
                <w:rFonts w:ascii="Times New Roman" w:hAnsi="Times New Roman" w:cs="Times New Roman" w:eastAsia="Times New Roman" w:hint="default"/>
                <w:sz w:val="21"/>
                <w:szCs w:val="21"/>
              </w:rPr>
              <w:t>/(</w:t>
            </w:r>
            <w:r>
              <w:rPr>
                <w:rFonts w:ascii="宋体" w:hAnsi="宋体" w:cs="宋体" w:eastAsia="宋体" w:hint="default"/>
                <w:sz w:val="21"/>
                <w:szCs w:val="21"/>
              </w:rPr>
              <w:t>净收入</w:t>
            </w:r>
            <w:r>
              <w:rPr>
                <w:rFonts w:ascii="Times New Roman" w:hAnsi="Times New Roman" w:cs="Times New Roman" w:eastAsia="Times New Roman" w:hint="default"/>
                <w:sz w:val="21"/>
                <w:szCs w:val="21"/>
              </w:rPr>
              <w:t>)</w:t>
            </w:r>
          </w:p>
        </w:tc>
        <w:tc>
          <w:tcPr>
            <w:tcW w:w="28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Times New Roman" w:hAnsi="Times New Roman" w:cs="Times New Roman" w:eastAsia="Times New Roman" w:hint="default"/>
                <w:sz w:val="21"/>
                <w:szCs w:val="21"/>
              </w:rPr>
            </w:pPr>
            <w:r>
              <w:rPr>
                <w:rFonts w:ascii="Times New Roman"/>
                <w:spacing w:val="-1"/>
                <w:sz w:val="21"/>
              </w:rPr>
              <w:t>-1,710,506.86</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-5,555,749.70</w:t>
            </w:r>
          </w:p>
        </w:tc>
      </w:tr>
      <w:tr>
        <w:trPr>
          <w:trHeight w:val="311"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加：汇兑净损失</w:t>
            </w:r>
          </w:p>
        </w:tc>
        <w:tc>
          <w:tcPr>
            <w:tcW w:w="28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21"/>
                <w:szCs w:val="21"/>
              </w:rPr>
            </w:pPr>
            <w:r>
              <w:rPr>
                <w:rFonts w:ascii="Times New Roman"/>
                <w:spacing w:val="-1"/>
                <w:sz w:val="21"/>
              </w:rPr>
              <w:t>-280,259.95</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4"/>
              <w:jc w:val="right"/>
              <w:rPr>
                <w:rFonts w:ascii="Times New Roman" w:hAnsi="Times New Roman" w:cs="Times New Roman" w:eastAsia="Times New Roman" w:hint="default"/>
                <w:sz w:val="21"/>
                <w:szCs w:val="21"/>
              </w:rPr>
            </w:pPr>
            <w:r>
              <w:rPr>
                <w:rFonts w:ascii="Times New Roman"/>
                <w:spacing w:val="-1"/>
                <w:sz w:val="21"/>
              </w:rPr>
              <w:t>2,410,968.45</w:t>
            </w:r>
          </w:p>
        </w:tc>
      </w:tr>
      <w:tr>
        <w:trPr>
          <w:trHeight w:val="311"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57" w:lineRule="exact"/>
              <w:ind w:left="527"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281"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21"/>
                <w:szCs w:val="21"/>
              </w:rPr>
            </w:pPr>
            <w:r>
              <w:rPr>
                <w:rFonts w:ascii="Times New Roman"/>
                <w:spacing w:val="-1"/>
                <w:sz w:val="21"/>
              </w:rPr>
              <w:t>104,453.17</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4"/>
              <w:jc w:val="right"/>
              <w:rPr>
                <w:rFonts w:ascii="Times New Roman" w:hAnsi="Times New Roman" w:cs="Times New Roman" w:eastAsia="Times New Roman" w:hint="default"/>
                <w:sz w:val="21"/>
                <w:szCs w:val="21"/>
              </w:rPr>
            </w:pPr>
            <w:r>
              <w:rPr>
                <w:rFonts w:ascii="Times New Roman"/>
                <w:spacing w:val="-1"/>
                <w:sz w:val="21"/>
              </w:rPr>
              <w:t>86,942.95</w:t>
            </w:r>
          </w:p>
        </w:tc>
      </w:tr>
      <w:tr>
        <w:trPr>
          <w:trHeight w:val="331" w:hRule="exact"/>
        </w:trPr>
        <w:tc>
          <w:tcPr>
            <w:tcW w:w="2837"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1" w:type="dxa"/>
            <w:tcBorders>
              <w:top w:val="nil" w:sz="6" w:space="0" w:color="auto"/>
              <w:left w:val="nil" w:sz="6" w:space="0" w:color="auto"/>
              <w:bottom w:val="nil" w:sz="6" w:space="0" w:color="auto"/>
              <w:right w:val="nil" w:sz="6" w:space="0" w:color="auto"/>
            </w:tcBorders>
          </w:tcPr>
          <w:p>
            <w:pPr/>
          </w:p>
        </w:tc>
        <w:tc>
          <w:tcPr>
            <w:tcW w:w="2772"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spacing w:val="-1"/>
                <w:sz w:val="21"/>
              </w:rPr>
              <w:t>-1,886,313.64</w:t>
            </w:r>
          </w:p>
        </w:tc>
        <w:tc>
          <w:tcPr>
            <w:tcW w:w="235" w:type="dxa"/>
            <w:tcBorders>
              <w:top w:val="nil" w:sz="6" w:space="0" w:color="auto"/>
              <w:left w:val="nil" w:sz="6" w:space="0" w:color="auto"/>
              <w:bottom w:val="nil" w:sz="6" w:space="0" w:color="auto"/>
              <w:right w:val="nil" w:sz="6" w:space="0" w:color="auto"/>
            </w:tcBorders>
          </w:tcPr>
          <w:p>
            <w:pPr/>
          </w:p>
        </w:tc>
        <w:tc>
          <w:tcPr>
            <w:tcW w:w="33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-3,057,838.30</w:t>
            </w:r>
          </w:p>
        </w:tc>
      </w:tr>
    </w:tbl>
    <w:p>
      <w:pPr>
        <w:spacing w:line="240" w:lineRule="auto" w:before="3"/>
        <w:rPr>
          <w:rFonts w:ascii="宋体" w:hAnsi="宋体" w:cs="宋体" w:eastAsia="宋体" w:hint="default"/>
          <w:sz w:val="19"/>
          <w:szCs w:val="19"/>
        </w:rPr>
      </w:pPr>
    </w:p>
    <w:p>
      <w:pPr>
        <w:spacing w:line="256" w:lineRule="auto" w:before="36"/>
        <w:ind w:left="666" w:right="0" w:firstLine="0"/>
        <w:jc w:val="left"/>
        <w:rPr>
          <w:rFonts w:ascii="宋体" w:hAnsi="宋体" w:cs="宋体" w:eastAsia="宋体" w:hint="default"/>
          <w:sz w:val="21"/>
          <w:szCs w:val="21"/>
        </w:rPr>
      </w:pPr>
      <w:r>
        <w:rPr>
          <w:rFonts w:ascii="宋体" w:hAnsi="宋体" w:cs="宋体" w:eastAsia="宋体" w:hint="default"/>
          <w:sz w:val="21"/>
          <w:szCs w:val="21"/>
        </w:rPr>
        <w:t>财务费用本年发生数比上年发生数减少</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1,171,524.66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元，减少比例为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38.31%</w:t>
      </w:r>
      <w:r>
        <w:rPr>
          <w:rFonts w:ascii="宋体" w:hAnsi="宋体" w:cs="宋体" w:eastAsia="宋体" w:hint="default"/>
          <w:sz w:val="21"/>
          <w:szCs w:val="21"/>
        </w:rPr>
        <w:t>，减少原因为：本年定期</w:t>
      </w:r>
      <w:r>
        <w:rPr>
          <w:rFonts w:ascii="宋体" w:hAnsi="宋体" w:cs="宋体" w:eastAsia="宋体" w:hint="default"/>
          <w:w w:val="100"/>
          <w:sz w:val="21"/>
          <w:szCs w:val="21"/>
        </w:rPr>
        <w:t> </w:t>
      </w:r>
      <w:r>
        <w:rPr>
          <w:rFonts w:ascii="宋体" w:hAnsi="宋体" w:cs="宋体" w:eastAsia="宋体" w:hint="default"/>
          <w:sz w:val="21"/>
          <w:szCs w:val="21"/>
        </w:rPr>
        <w:t>存款利息收入减少所致。</w:t>
      </w:r>
    </w:p>
    <w:p>
      <w:pPr>
        <w:spacing w:after="0" w:line="256" w:lineRule="auto"/>
        <w:jc w:val="left"/>
        <w:rPr>
          <w:rFonts w:ascii="宋体" w:hAnsi="宋体" w:cs="宋体" w:eastAsia="宋体" w:hint="default"/>
          <w:sz w:val="21"/>
          <w:szCs w:val="21"/>
        </w:rPr>
        <w:sectPr>
          <w:pgSz w:w="11900" w:h="16840"/>
          <w:pgMar w:header="886" w:footer="983" w:top="1800" w:bottom="1180" w:left="1100" w:right="640"/>
        </w:sectPr>
      </w:pPr>
    </w:p>
    <w:p>
      <w:pPr>
        <w:spacing w:line="240" w:lineRule="auto" w:before="10"/>
        <w:rPr>
          <w:rFonts w:ascii="宋体" w:hAnsi="宋体" w:cs="宋体" w:eastAsia="宋体" w:hint="default"/>
          <w:sz w:val="12"/>
          <w:szCs w:val="12"/>
        </w:rPr>
      </w:pPr>
    </w:p>
    <w:p>
      <w:pPr>
        <w:tabs>
          <w:tab w:pos="649"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3"/>
        <w:rPr>
          <w:rFonts w:ascii="Times New Roman" w:hAnsi="Times New Roman" w:cs="Times New Roman" w:eastAsia="Times New Roman" w:hint="default"/>
          <w:b/>
          <w:bCs/>
          <w:sz w:val="19"/>
          <w:szCs w:val="19"/>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6.29</w:t>
      </w:r>
      <w:r>
        <w:rPr>
          <w:rFonts w:ascii="Times New Roman" w:hAnsi="Times New Roman" w:cs="Times New Roman" w:eastAsia="Times New Roman" w:hint="default"/>
          <w:spacing w:val="50"/>
          <w:sz w:val="21"/>
          <w:szCs w:val="21"/>
        </w:rPr>
        <w:t> </w:t>
      </w:r>
      <w:r>
        <w:rPr>
          <w:rFonts w:ascii="宋体" w:hAnsi="宋体" w:cs="宋体" w:eastAsia="宋体" w:hint="default"/>
          <w:position w:val="-1"/>
          <w:sz w:val="21"/>
          <w:szCs w:val="21"/>
        </w:rPr>
        <w:t>投资收益</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spacing w:before="0"/>
        <w:ind w:left="66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6.29.1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投资收益明细情况</w:t>
      </w:r>
    </w:p>
    <w:p>
      <w:pPr>
        <w:spacing w:line="240" w:lineRule="auto" w:before="0"/>
        <w:rPr>
          <w:rFonts w:ascii="宋体" w:hAnsi="宋体" w:cs="宋体" w:eastAsia="宋体" w:hint="default"/>
          <w:sz w:val="17"/>
          <w:szCs w:val="17"/>
        </w:rPr>
      </w:pPr>
    </w:p>
    <w:p>
      <w:pPr>
        <w:tabs>
          <w:tab w:pos="5771" w:val="left" w:leader="none"/>
          <w:tab w:pos="8291" w:val="left" w:leader="none"/>
        </w:tabs>
        <w:spacing w:line="287" w:lineRule="exact" w:before="0"/>
        <w:ind w:left="2574"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6961" w:val="left" w:leader="none"/>
          <w:tab w:pos="9001" w:val="left" w:leader="none"/>
        </w:tabs>
        <w:spacing w:line="277" w:lineRule="exact" w:before="0"/>
        <w:ind w:left="666" w:right="0" w:firstLine="0"/>
        <w:jc w:val="left"/>
        <w:rPr>
          <w:rFonts w:ascii="Times New Roman" w:hAnsi="Times New Roman" w:cs="Times New Roman" w:eastAsia="Times New Roman" w:hint="default"/>
          <w:sz w:val="21"/>
          <w:szCs w:val="21"/>
        </w:rPr>
      </w:pPr>
      <w:r>
        <w:rPr/>
        <w:pict>
          <v:group style="position:absolute;margin-left:82.919998pt;margin-top:1.286227pt;width:222.6pt;height:.1pt;mso-position-horizontal-relative:page;mso-position-vertical-relative:paragraph;z-index:-548752" coordorigin="1658,26" coordsize="4452,2">
            <v:shape style="position:absolute;left:1658;top:26;width:4452;height:2" coordorigin="1658,26" coordsize="4452,0" path="m1658,26l6110,26e" filled="false" stroked="true" strokeweight=".48pt" strokecolor="#000000">
              <v:path arrowok="t"/>
            </v:shape>
            <w10:wrap type="none"/>
          </v:group>
        </w:pict>
      </w:r>
      <w:r>
        <w:rPr/>
        <w:pict>
          <v:group style="position:absolute;margin-left:319.799988pt;margin-top:1.286227pt;width:92.05pt;height:.1pt;mso-position-horizontal-relative:page;mso-position-vertical-relative:paragraph;z-index:-548728" coordorigin="6396,26" coordsize="1841,2">
            <v:shape style="position:absolute;left:6396;top:26;width:1841;height:2" coordorigin="6396,26" coordsize="1841,0" path="m6396,26l8237,26e" filled="false" stroked="true" strokeweight=".48pt" strokecolor="#000000">
              <v:path arrowok="t"/>
            </v:shape>
            <w10:wrap type="none"/>
          </v:group>
        </w:pict>
      </w:r>
      <w:r>
        <w:rPr/>
        <w:pict>
          <v:group style="position:absolute;margin-left:426pt;margin-top:1.286227pt;width:131.8pt;height:.1pt;mso-position-horizontal-relative:page;mso-position-vertical-relative:paragraph;z-index:-548704" coordorigin="8520,26" coordsize="2636,2">
            <v:shape style="position:absolute;left:8520;top:26;width:2636;height:2" coordorigin="8520,26" coordsize="2636,0" path="m8520,26l11155,26e" filled="false" stroked="true" strokeweight=".48pt" strokecolor="#000000">
              <v:path arrowok="t"/>
            </v:shape>
            <w10:wrap type="none"/>
          </v:group>
        </w:pict>
      </w:r>
      <w:r>
        <w:rPr>
          <w:rFonts w:ascii="宋体" w:hAnsi="宋体" w:cs="宋体" w:eastAsia="宋体" w:hint="default"/>
          <w:spacing w:val="-2"/>
          <w:sz w:val="21"/>
          <w:szCs w:val="21"/>
        </w:rPr>
        <w:t>权益法核算的长期股权投资收益</w:t>
        <w:tab/>
      </w:r>
      <w:r>
        <w:rPr>
          <w:rFonts w:ascii="Times New Roman" w:hAnsi="Times New Roman" w:cs="Times New Roman" w:eastAsia="Times New Roman" w:hint="default"/>
          <w:position w:val="1"/>
          <w:sz w:val="21"/>
          <w:szCs w:val="21"/>
        </w:rPr>
        <w:t>-</w:t>
        <w:tab/>
      </w:r>
      <w:r>
        <w:rPr>
          <w:rFonts w:ascii="Times New Roman" w:hAnsi="Times New Roman" w:cs="Times New Roman" w:eastAsia="Times New Roman" w:hint="default"/>
          <w:spacing w:val="-1"/>
          <w:position w:val="1"/>
          <w:sz w:val="21"/>
          <w:szCs w:val="21"/>
        </w:rPr>
        <w:t>597,574.15</w:t>
      </w:r>
      <w:r>
        <w:rPr>
          <w:rFonts w:ascii="Times New Roman" w:hAnsi="Times New Roman" w:cs="Times New Roman" w:eastAsia="Times New Roman" w:hint="default"/>
          <w:spacing w:val="-1"/>
          <w:sz w:val="21"/>
          <w:szCs w:val="21"/>
        </w:rPr>
      </w:r>
    </w:p>
    <w:p>
      <w:pPr>
        <w:spacing w:line="240" w:lineRule="auto" w:before="2"/>
        <w:rPr>
          <w:rFonts w:ascii="Times New Roman" w:hAnsi="Times New Roman" w:cs="Times New Roman" w:eastAsia="Times New Roman" w:hint="default"/>
          <w:sz w:val="2"/>
          <w:szCs w:val="2"/>
        </w:rPr>
      </w:pPr>
    </w:p>
    <w:p>
      <w:pPr>
        <w:tabs>
          <w:tab w:pos="7415" w:val="left" w:leader="none"/>
        </w:tabs>
        <w:spacing w:line="28" w:lineRule="exact"/>
        <w:ind w:left="5291" w:right="0" w:firstLine="0"/>
        <w:rPr>
          <w:rFonts w:ascii="Times New Roman" w:hAnsi="Times New Roman" w:cs="Times New Roman" w:eastAsia="Times New Roman" w:hint="default"/>
          <w:sz w:val="2"/>
          <w:szCs w:val="2"/>
        </w:rPr>
      </w:pPr>
      <w:r>
        <w:rPr>
          <w:rFonts w:ascii="Times New Roman"/>
          <w:position w:val="0"/>
          <w:sz w:val="2"/>
        </w:rPr>
        <w:pict>
          <v:group style="width:92.55pt;height:1.45pt;mso-position-horizontal-relative:char;mso-position-vertical-relative:line" coordorigin="0,0" coordsize="1851,29">
            <v:group style="position:absolute;left:5;top:5;width:1841;height:2" coordorigin="5,5" coordsize="1841,2">
              <v:shape style="position:absolute;left:5;top:5;width:1841;height:2" coordorigin="5,5" coordsize="1841,0" path="m5,5l1846,5e" filled="false" stroked="true" strokeweight=".48pt" strokecolor="#000000">
                <v:path arrowok="t"/>
              </v:shape>
            </v:group>
            <v:group style="position:absolute;left:5;top:24;width:1841;height:2" coordorigin="5,24" coordsize="1841,2">
              <v:shape style="position:absolute;left:5;top:24;width:1841;height:2" coordorigin="5,24" coordsize="1841,0" path="m5,24l184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2.25pt;height:1.45pt;mso-position-horizontal-relative:char;mso-position-vertical-relative:line" coordorigin="0,0" coordsize="2645,29">
            <v:group style="position:absolute;left:5;top:5;width:2636;height:2" coordorigin="5,5" coordsize="2636,2">
              <v:shape style="position:absolute;left:5;top:5;width:2636;height:2" coordorigin="5,5" coordsize="2636,0" path="m5,5l2640,5e" filled="false" stroked="true" strokeweight=".48pt" strokecolor="#000000">
                <v:path arrowok="t"/>
              </v:shape>
            </v:group>
            <v:group style="position:absolute;left:5;top:24;width:2636;height:2" coordorigin="5,24" coordsize="2636,2">
              <v:shape style="position:absolute;left:5;top:24;width:2636;height:2" coordorigin="5,24" coordsize="2636,0" path="m5,24l2640,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14"/>
          <w:szCs w:val="14"/>
        </w:rPr>
      </w:pPr>
    </w:p>
    <w:p>
      <w:pPr>
        <w:spacing w:before="46"/>
        <w:ind w:left="19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6.30</w:t>
      </w:r>
      <w:r>
        <w:rPr>
          <w:rFonts w:ascii="Times New Roman" w:hAnsi="Times New Roman" w:cs="Times New Roman" w:eastAsia="Times New Roman" w:hint="default"/>
          <w:spacing w:val="50"/>
          <w:position w:val="2"/>
          <w:sz w:val="21"/>
          <w:szCs w:val="21"/>
        </w:rPr>
        <w:t> </w:t>
      </w:r>
      <w:r>
        <w:rPr>
          <w:rFonts w:ascii="宋体" w:hAnsi="宋体" w:cs="宋体" w:eastAsia="宋体" w:hint="default"/>
          <w:sz w:val="21"/>
          <w:szCs w:val="21"/>
        </w:rPr>
        <w:t>资产减值损失</w:t>
      </w:r>
    </w:p>
    <w:p>
      <w:pPr>
        <w:spacing w:line="240" w:lineRule="auto" w:before="3"/>
        <w:rPr>
          <w:rFonts w:ascii="宋体" w:hAnsi="宋体" w:cs="宋体" w:eastAsia="宋体" w:hint="default"/>
          <w:sz w:val="18"/>
          <w:szCs w:val="18"/>
        </w:rPr>
      </w:pPr>
    </w:p>
    <w:p>
      <w:pPr>
        <w:tabs>
          <w:tab w:pos="6078" w:val="left" w:leader="none"/>
          <w:tab w:pos="9054" w:val="left" w:leader="none"/>
        </w:tabs>
        <w:spacing w:line="287" w:lineRule="exact" w:before="0"/>
        <w:ind w:left="2545"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6061" w:val="left" w:leader="none"/>
          <w:tab w:pos="9001" w:val="left" w:leader="none"/>
        </w:tabs>
        <w:spacing w:line="277" w:lineRule="exact" w:before="0"/>
        <w:ind w:left="666" w:right="0" w:firstLine="0"/>
        <w:jc w:val="left"/>
        <w:rPr>
          <w:rFonts w:ascii="Times New Roman" w:hAnsi="Times New Roman" w:cs="Times New Roman" w:eastAsia="Times New Roman" w:hint="default"/>
          <w:sz w:val="21"/>
          <w:szCs w:val="21"/>
        </w:rPr>
      </w:pPr>
      <w:r>
        <w:rPr/>
        <w:pict>
          <v:group style="position:absolute;margin-left:82.919998pt;margin-top:1.281205pt;width:219.75pt;height:.1pt;mso-position-horizontal-relative:page;mso-position-vertical-relative:paragraph;z-index:-548680" coordorigin="1658,26" coordsize="4395,2">
            <v:shape style="position:absolute;left:1658;top:26;width:4395;height:2" coordorigin="1658,26" coordsize="4395,0" path="m1658,26l6053,26e" filled="false" stroked="true" strokeweight=".47pt" strokecolor="#000000">
              <v:path arrowok="t"/>
            </v:shape>
            <w10:wrap type="none"/>
          </v:group>
        </w:pict>
      </w:r>
      <w:r>
        <w:rPr/>
        <w:pict>
          <v:group style="position:absolute;margin-left:316.799988pt;margin-top:1.281205pt;width:92.2pt;height:.1pt;mso-position-horizontal-relative:page;mso-position-vertical-relative:paragraph;z-index:-548656" coordorigin="6336,26" coordsize="1844,2">
            <v:shape style="position:absolute;left:6336;top:26;width:1844;height:2" coordorigin="6336,26" coordsize="1844,0" path="m6336,26l8179,26e" filled="false" stroked="true" strokeweight=".47pt" strokecolor="#000000">
              <v:path arrowok="t"/>
            </v:shape>
            <w10:wrap type="none"/>
          </v:group>
        </w:pict>
      </w:r>
      <w:r>
        <w:rPr/>
        <w:pict>
          <v:group style="position:absolute;margin-left:423.119995pt;margin-top:1.281205pt;width:134.65pt;height:.1pt;mso-position-horizontal-relative:page;mso-position-vertical-relative:paragraph;z-index:-548632" coordorigin="8462,26" coordsize="2693,2">
            <v:shape style="position:absolute;left:8462;top:26;width:2693;height:2" coordorigin="8462,26" coordsize="2693,0" path="m8462,26l11155,26e" filled="false" stroked="true" strokeweight=".47pt" strokecolor="#000000">
              <v:path arrowok="t"/>
            </v:shape>
            <w10:wrap type="none"/>
          </v:group>
        </w:pict>
      </w:r>
      <w:r>
        <w:rPr>
          <w:rFonts w:ascii="宋体" w:hAnsi="宋体" w:cs="宋体" w:eastAsia="宋体" w:hint="default"/>
          <w:spacing w:val="-1"/>
          <w:sz w:val="21"/>
          <w:szCs w:val="21"/>
        </w:rPr>
        <w:t>坏账损失</w:t>
        <w:tab/>
      </w:r>
      <w:r>
        <w:rPr>
          <w:rFonts w:ascii="Times New Roman" w:hAnsi="Times New Roman" w:cs="Times New Roman" w:eastAsia="Times New Roman" w:hint="default"/>
          <w:spacing w:val="-1"/>
          <w:position w:val="1"/>
          <w:sz w:val="21"/>
          <w:szCs w:val="21"/>
        </w:rPr>
        <w:t>-59,348.24</w:t>
        <w:tab/>
        <w:t>485,798.82</w:t>
      </w:r>
      <w:r>
        <w:rPr>
          <w:rFonts w:ascii="Times New Roman" w:hAnsi="Times New Roman" w:cs="Times New Roman" w:eastAsia="Times New Roman" w:hint="default"/>
          <w:spacing w:val="-1"/>
          <w:sz w:val="21"/>
          <w:szCs w:val="21"/>
        </w:rPr>
      </w:r>
    </w:p>
    <w:p>
      <w:pPr>
        <w:spacing w:line="240" w:lineRule="auto" w:before="2"/>
        <w:rPr>
          <w:rFonts w:ascii="Times New Roman" w:hAnsi="Times New Roman" w:cs="Times New Roman" w:eastAsia="Times New Roman" w:hint="default"/>
          <w:sz w:val="2"/>
          <w:szCs w:val="2"/>
        </w:rPr>
      </w:pPr>
    </w:p>
    <w:p>
      <w:pPr>
        <w:tabs>
          <w:tab w:pos="7357" w:val="left" w:leader="none"/>
        </w:tabs>
        <w:spacing w:line="28" w:lineRule="exact"/>
        <w:ind w:left="5231" w:right="0" w:firstLine="0"/>
        <w:rPr>
          <w:rFonts w:ascii="Times New Roman" w:hAnsi="Times New Roman" w:cs="Times New Roman" w:eastAsia="Times New Roman" w:hint="default"/>
          <w:sz w:val="2"/>
          <w:szCs w:val="2"/>
        </w:rPr>
      </w:pPr>
      <w:r>
        <w:rPr>
          <w:rFonts w:ascii="Times New Roman"/>
          <w:position w:val="0"/>
          <w:sz w:val="2"/>
        </w:rPr>
        <w:pict>
          <v:group style="width:92.65pt;height:1.45pt;mso-position-horizontal-relative:char;mso-position-vertical-relative:line" coordorigin="0,0" coordsize="1853,29">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5;top:24;width:1844;height:2" coordorigin="5,24" coordsize="1844,2">
              <v:shape style="position:absolute;left:5;top:24;width:1844;height:2" coordorigin="5,24" coordsize="1844,0" path="m5,24l1848,24e" filled="false" stroked="true" strokeweight=".47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35.15pt;height:1.45pt;mso-position-horizontal-relative:char;mso-position-vertical-relative:line" coordorigin="0,0" coordsize="2703,29">
            <v:group style="position:absolute;left:5;top:5;width:2693;height:2" coordorigin="5,5" coordsize="2693,2">
              <v:shape style="position:absolute;left:5;top:5;width:2693;height:2" coordorigin="5,5" coordsize="2693,0" path="m5,5l2698,5e" filled="false" stroked="true" strokeweight=".48pt" strokecolor="#000000">
                <v:path arrowok="t"/>
              </v:shape>
            </v:group>
            <v:group style="position:absolute;left:5;top:24;width:2693;height:2" coordorigin="5,24" coordsize="2693,2">
              <v:shape style="position:absolute;left:5;top:24;width:2693;height:2" coordorigin="5,24" coordsize="2693,0" path="m5,24l2698,24e" filled="false" stroked="true" strokeweight=".47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14"/>
          <w:szCs w:val="14"/>
        </w:rPr>
      </w:pPr>
    </w:p>
    <w:p>
      <w:pPr>
        <w:spacing w:before="46"/>
        <w:ind w:left="0" w:right="8242" w:firstLine="0"/>
        <w:jc w:val="center"/>
        <w:rPr>
          <w:rFonts w:ascii="宋体" w:hAnsi="宋体" w:cs="宋体" w:eastAsia="宋体" w:hint="default"/>
          <w:sz w:val="21"/>
          <w:szCs w:val="21"/>
        </w:rPr>
      </w:pPr>
      <w:r>
        <w:rPr>
          <w:rFonts w:ascii="Times New Roman" w:hAnsi="Times New Roman" w:cs="Times New Roman" w:eastAsia="Times New Roman" w:hint="default"/>
          <w:position w:val="2"/>
          <w:sz w:val="21"/>
          <w:szCs w:val="21"/>
        </w:rPr>
        <w:t>6.31</w:t>
      </w:r>
      <w:r>
        <w:rPr>
          <w:rFonts w:ascii="Times New Roman" w:hAnsi="Times New Roman" w:cs="Times New Roman" w:eastAsia="Times New Roman" w:hint="default"/>
          <w:spacing w:val="52"/>
          <w:position w:val="2"/>
          <w:sz w:val="21"/>
          <w:szCs w:val="21"/>
        </w:rPr>
        <w:t> </w:t>
      </w:r>
      <w:r>
        <w:rPr>
          <w:rFonts w:ascii="宋体" w:hAnsi="宋体" w:cs="宋体" w:eastAsia="宋体" w:hint="default"/>
          <w:sz w:val="21"/>
          <w:szCs w:val="21"/>
        </w:rPr>
        <w:t>营业外收入</w:t>
      </w:r>
    </w:p>
    <w:p>
      <w:pPr>
        <w:spacing w:line="240" w:lineRule="auto" w:before="5"/>
        <w:rPr>
          <w:rFonts w:ascii="宋体" w:hAnsi="宋体" w:cs="宋体" w:eastAsia="宋体" w:hint="default"/>
          <w:sz w:val="20"/>
          <w:szCs w:val="20"/>
        </w:rPr>
      </w:pPr>
    </w:p>
    <w:p>
      <w:pPr>
        <w:spacing w:before="0"/>
        <w:ind w:left="0" w:right="8297" w:firstLine="0"/>
        <w:jc w:val="center"/>
        <w:rPr>
          <w:rFonts w:ascii="Times New Roman" w:hAnsi="Times New Roman" w:cs="Times New Roman" w:eastAsia="Times New Roman" w:hint="default"/>
          <w:sz w:val="21"/>
          <w:szCs w:val="21"/>
        </w:rPr>
      </w:pPr>
      <w:r>
        <w:rPr>
          <w:rFonts w:ascii="Times New Roman"/>
          <w:sz w:val="21"/>
        </w:rPr>
        <w:t>6.31.1</w:t>
      </w:r>
    </w:p>
    <w:p>
      <w:pPr>
        <w:spacing w:line="240" w:lineRule="auto" w:before="5"/>
        <w:rPr>
          <w:rFonts w:ascii="Times New Roman" w:hAnsi="Times New Roman" w:cs="Times New Roman" w:eastAsia="Times New Roman" w:hint="default"/>
          <w:sz w:val="15"/>
          <w:szCs w:val="15"/>
        </w:rPr>
      </w:pPr>
    </w:p>
    <w:p>
      <w:pPr>
        <w:tabs>
          <w:tab w:pos="2295" w:val="left" w:leader="none"/>
          <w:tab w:pos="4427" w:val="left" w:leader="none"/>
          <w:tab w:pos="6411" w:val="left" w:leader="none"/>
          <w:tab w:pos="8221" w:val="left" w:leader="none"/>
        </w:tabs>
        <w:spacing w:line="272" w:lineRule="exact" w:before="63"/>
        <w:ind w:left="8536" w:right="254" w:hanging="6663"/>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宋体" w:hAnsi="宋体" w:cs="宋体" w:eastAsia="宋体" w:hint="default"/>
          <w:spacing w:val="-1"/>
          <w:sz w:val="21"/>
          <w:szCs w:val="21"/>
        </w:rPr>
        <w:t>本年发生额</w:t>
        <w:tab/>
        <w:t>上年发生额</w:t>
        <w:tab/>
      </w:r>
      <w:r>
        <w:rPr>
          <w:rFonts w:ascii="宋体" w:hAnsi="宋体" w:cs="宋体" w:eastAsia="宋体" w:hint="default"/>
          <w:spacing w:val="-2"/>
          <w:sz w:val="21"/>
          <w:szCs w:val="21"/>
        </w:rPr>
        <w:t>计入当期非经常性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损益的金额</w:t>
      </w:r>
    </w:p>
    <w:tbl>
      <w:tblPr>
        <w:tblW w:w="0" w:type="auto"/>
        <w:jc w:val="left"/>
        <w:tblInd w:w="558" w:type="dxa"/>
        <w:tblLayout w:type="fixed"/>
        <w:tblCellMar>
          <w:top w:w="0" w:type="dxa"/>
          <w:left w:w="0" w:type="dxa"/>
          <w:bottom w:w="0" w:type="dxa"/>
          <w:right w:w="0" w:type="dxa"/>
        </w:tblCellMar>
        <w:tblLook w:val="01E0"/>
      </w:tblPr>
      <w:tblGrid>
        <w:gridCol w:w="3261"/>
        <w:gridCol w:w="283"/>
        <w:gridCol w:w="1699"/>
        <w:gridCol w:w="286"/>
        <w:gridCol w:w="1699"/>
        <w:gridCol w:w="283"/>
        <w:gridCol w:w="1985"/>
      </w:tblGrid>
      <w:tr>
        <w:trPr>
          <w:trHeight w:val="272" w:hRule="exact"/>
        </w:trPr>
        <w:tc>
          <w:tcPr>
            <w:tcW w:w="3261"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固定资产处理利得</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79,448.38</w:t>
            </w:r>
          </w:p>
        </w:tc>
        <w:tc>
          <w:tcPr>
            <w:tcW w:w="286"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79,448.38</w:t>
            </w:r>
          </w:p>
        </w:tc>
      </w:tr>
      <w:tr>
        <w:trPr>
          <w:trHeight w:val="272" w:hRule="exact"/>
        </w:trPr>
        <w:tc>
          <w:tcPr>
            <w:tcW w:w="3261"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9,386,179.00</w:t>
            </w:r>
          </w:p>
        </w:tc>
        <w:tc>
          <w:tcPr>
            <w:tcW w:w="28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6,850,420.20</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9,386,179.00</w:t>
            </w:r>
          </w:p>
        </w:tc>
      </w:tr>
      <w:tr>
        <w:trPr>
          <w:trHeight w:val="271" w:hRule="exact"/>
        </w:trPr>
        <w:tc>
          <w:tcPr>
            <w:tcW w:w="3261"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违约金、罚款收入</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141,600.00</w:t>
            </w:r>
          </w:p>
        </w:tc>
        <w:tc>
          <w:tcPr>
            <w:tcW w:w="28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49,000.00</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141,600.00</w:t>
            </w:r>
          </w:p>
        </w:tc>
      </w:tr>
      <w:tr>
        <w:trPr>
          <w:trHeight w:val="284" w:hRule="exact"/>
        </w:trPr>
        <w:tc>
          <w:tcPr>
            <w:tcW w:w="3261"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2"/>
                <w:sz w:val="21"/>
              </w:rPr>
              <w:t>11,853.15</w:t>
            </w:r>
          </w:p>
        </w:tc>
        <w:tc>
          <w:tcPr>
            <w:tcW w:w="28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9,273.88</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2"/>
                <w:sz w:val="21"/>
              </w:rPr>
              <w:t>11,853.15</w:t>
            </w:r>
          </w:p>
        </w:tc>
      </w:tr>
      <w:tr>
        <w:trPr>
          <w:trHeight w:val="293" w:hRule="exact"/>
        </w:trPr>
        <w:tc>
          <w:tcPr>
            <w:tcW w:w="3261"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3"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pacing w:val="-1"/>
                <w:sz w:val="21"/>
              </w:rPr>
              <w:t>9,619,080.53</w:t>
            </w:r>
          </w:p>
        </w:tc>
        <w:tc>
          <w:tcPr>
            <w:tcW w:w="286"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pacing w:val="-1"/>
                <w:sz w:val="21"/>
              </w:rPr>
              <w:t>6,908,694.08</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9,619,080.53</w:t>
            </w:r>
          </w:p>
        </w:tc>
      </w:tr>
    </w:tbl>
    <w:p>
      <w:pPr>
        <w:spacing w:after="0" w:line="235" w:lineRule="exact"/>
        <w:jc w:val="right"/>
        <w:rPr>
          <w:rFonts w:ascii="Times New Roman" w:hAnsi="Times New Roman" w:cs="Times New Roman" w:eastAsia="Times New Roman" w:hint="default"/>
          <w:sz w:val="21"/>
          <w:szCs w:val="21"/>
        </w:rPr>
        <w:sectPr>
          <w:pgSz w:w="11900" w:h="16840"/>
          <w:pgMar w:header="886" w:footer="983" w:top="1800" w:bottom="1180" w:left="1100" w:right="640"/>
        </w:sectPr>
      </w:pPr>
    </w:p>
    <w:p>
      <w:pPr>
        <w:spacing w:line="240" w:lineRule="auto" w:before="10"/>
        <w:rPr>
          <w:rFonts w:ascii="宋体" w:hAnsi="宋体" w:cs="宋体" w:eastAsia="宋体" w:hint="default"/>
          <w:sz w:val="12"/>
          <w:szCs w:val="12"/>
        </w:rPr>
      </w:pPr>
    </w:p>
    <w:p>
      <w:pPr>
        <w:tabs>
          <w:tab w:pos="666" w:val="left" w:leader="none"/>
        </w:tabs>
        <w:spacing w:before="41"/>
        <w:ind w:left="10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19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6.31</w:t>
      </w:r>
      <w:r>
        <w:rPr>
          <w:rFonts w:ascii="Times New Roman" w:hAnsi="Times New Roman" w:cs="Times New Roman" w:eastAsia="Times New Roman" w:hint="default"/>
          <w:spacing w:val="49"/>
          <w:position w:val="2"/>
          <w:sz w:val="21"/>
          <w:szCs w:val="21"/>
        </w:rPr>
        <w:t> </w:t>
      </w:r>
      <w:r>
        <w:rPr>
          <w:rFonts w:ascii="宋体" w:hAnsi="宋体" w:cs="宋体" w:eastAsia="宋体" w:hint="default"/>
          <w:sz w:val="21"/>
          <w:szCs w:val="21"/>
        </w:rPr>
        <w:t>营业外收入（续）</w:t>
      </w:r>
    </w:p>
    <w:p>
      <w:pPr>
        <w:spacing w:line="240" w:lineRule="auto" w:before="3"/>
        <w:rPr>
          <w:rFonts w:ascii="宋体" w:hAnsi="宋体" w:cs="宋体" w:eastAsia="宋体" w:hint="default"/>
          <w:sz w:val="18"/>
          <w:szCs w:val="18"/>
        </w:rPr>
      </w:pPr>
    </w:p>
    <w:p>
      <w:pPr>
        <w:spacing w:before="0"/>
        <w:ind w:left="66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6.31.2  </w:t>
      </w:r>
      <w:r>
        <w:rPr>
          <w:rFonts w:ascii="宋体" w:hAnsi="宋体" w:cs="宋体" w:eastAsia="宋体" w:hint="default"/>
          <w:sz w:val="21"/>
          <w:szCs w:val="21"/>
        </w:rPr>
        <w:t>政府补助明细</w:t>
      </w:r>
    </w:p>
    <w:p>
      <w:pPr>
        <w:spacing w:line="240" w:lineRule="auto" w:before="0"/>
        <w:rPr>
          <w:rFonts w:ascii="宋体" w:hAnsi="宋体" w:cs="宋体" w:eastAsia="宋体" w:hint="default"/>
          <w:sz w:val="17"/>
          <w:szCs w:val="17"/>
        </w:rPr>
      </w:pPr>
    </w:p>
    <w:p>
      <w:pPr>
        <w:tabs>
          <w:tab w:pos="3500" w:val="left" w:leader="none"/>
          <w:tab w:pos="5202" w:val="left" w:leader="none"/>
          <w:tab w:pos="7045" w:val="left" w:leader="none"/>
        </w:tabs>
        <w:spacing w:before="0"/>
        <w:ind w:left="666" w:right="0"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t>说明</w:t>
      </w:r>
    </w:p>
    <w:p>
      <w:pPr>
        <w:spacing w:before="2"/>
        <w:ind w:left="0" w:right="230" w:firstLine="0"/>
        <w:jc w:val="right"/>
        <w:rPr>
          <w:rFonts w:ascii="宋体" w:hAnsi="宋体" w:cs="宋体" w:eastAsia="宋体" w:hint="default"/>
          <w:sz w:val="15"/>
          <w:szCs w:val="15"/>
        </w:rPr>
      </w:pPr>
      <w:r>
        <w:rPr/>
        <w:pict>
          <v:group style="position:absolute;margin-left:82.919998pt;margin-top:1.06979pt;width:127.55pt;height:.1pt;mso-position-horizontal-relative:page;mso-position-vertical-relative:paragraph;z-index:7000" coordorigin="1658,21" coordsize="2551,2">
            <v:shape style="position:absolute;left:1658;top:21;width:2551;height:2" coordorigin="1658,21" coordsize="2551,0" path="m1658,21l4209,21e" filled="false" stroked="true" strokeweight=".48pt" strokecolor="#000000">
              <v:path arrowok="t"/>
            </v:shape>
            <w10:wrap type="none"/>
          </v:group>
        </w:pict>
      </w:r>
      <w:r>
        <w:rPr/>
        <w:pict>
          <v:group style="position:absolute;margin-left:224.759995pt;margin-top:1.06979pt;width:70.8pt;height:.1pt;mso-position-horizontal-relative:page;mso-position-vertical-relative:paragraph;z-index:7024" coordorigin="4495,21" coordsize="1416,2">
            <v:shape style="position:absolute;left:4495;top:21;width:1416;height:2" coordorigin="4495,21" coordsize="1416,0" path="m4495,21l5911,21e" filled="false" stroked="true" strokeweight=".48pt" strokecolor="#000000">
              <v:path arrowok="t"/>
            </v:shape>
            <w10:wrap type="none"/>
          </v:group>
        </w:pict>
      </w:r>
      <w:r>
        <w:rPr/>
        <w:pict>
          <v:group style="position:absolute;margin-left:309.720001pt;margin-top:1.06979pt;width:78pt;height:.1pt;mso-position-horizontal-relative:page;mso-position-vertical-relative:paragraph;z-index:7048" coordorigin="6194,21" coordsize="1560,2">
            <v:shape style="position:absolute;left:6194;top:21;width:1560;height:2" coordorigin="6194,21" coordsize="1560,0" path="m6194,21l7754,21e" filled="false" stroked="true" strokeweight=".48pt" strokecolor="#000000">
              <v:path arrowok="t"/>
            </v:shape>
            <w10:wrap type="none"/>
          </v:group>
        </w:pict>
      </w:r>
      <w:r>
        <w:rPr/>
        <w:pict>
          <v:group style="position:absolute;margin-left:401.880005pt;margin-top:1.06979pt;width:148.8pt;height:.1pt;mso-position-horizontal-relative:page;mso-position-vertical-relative:paragraph;z-index:-548536" coordorigin="8038,21" coordsize="2976,2">
            <v:shape style="position:absolute;left:8038;top:21;width:2976;height:2" coordorigin="8038,21" coordsize="2976,0" path="m8038,21l11014,21e" filled="false" stroked="true" strokeweight=".48pt" strokecolor="#000000">
              <v:path arrowok="t"/>
            </v:shape>
            <w10:wrap type="none"/>
          </v:group>
        </w:pict>
      </w:r>
      <w:r>
        <w:rPr>
          <w:rFonts w:ascii="宋体" w:hAnsi="宋体" w:cs="宋体" w:eastAsia="宋体" w:hint="default"/>
          <w:sz w:val="15"/>
          <w:szCs w:val="15"/>
        </w:rPr>
        <w:t>系根据《上海市促进服务外包产业发展专</w:t>
      </w:r>
    </w:p>
    <w:p>
      <w:pPr>
        <w:spacing w:line="240" w:lineRule="auto" w:before="7"/>
        <w:rPr>
          <w:rFonts w:ascii="宋体" w:hAnsi="宋体" w:cs="宋体" w:eastAsia="宋体" w:hint="default"/>
          <w:sz w:val="10"/>
          <w:szCs w:val="10"/>
        </w:rPr>
      </w:pPr>
    </w:p>
    <w:p>
      <w:pPr>
        <w:spacing w:before="54"/>
        <w:ind w:left="7045" w:right="0" w:firstLine="0"/>
        <w:jc w:val="left"/>
        <w:rPr>
          <w:rFonts w:ascii="宋体" w:hAnsi="宋体" w:cs="宋体" w:eastAsia="宋体" w:hint="default"/>
          <w:sz w:val="15"/>
          <w:szCs w:val="15"/>
        </w:rPr>
      </w:pPr>
      <w:r>
        <w:rPr/>
        <w:pict>
          <v:shape style="position:absolute;margin-left:86.57pt;margin-top:-.714587pt;width:464.7pt;height:402.55pt;mso-position-horizontal-relative:page;mso-position-vertical-relative:paragraph;z-index:7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64"/>
                    <w:gridCol w:w="1416"/>
                    <w:gridCol w:w="283"/>
                    <w:gridCol w:w="1560"/>
                    <w:gridCol w:w="3271"/>
                  </w:tblGrid>
                  <w:tr>
                    <w:trPr>
                      <w:trHeight w:val="385"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服务外包贸易发展及人才资金</w:t>
                        </w:r>
                      </w:p>
                    </w:tc>
                    <w:tc>
                      <w:tcPr>
                        <w:tcW w:w="1416" w:type="dxa"/>
                        <w:tcBorders>
                          <w:top w:val="nil" w:sz="6" w:space="0" w:color="auto"/>
                          <w:left w:val="nil" w:sz="6" w:space="0" w:color="auto"/>
                          <w:bottom w:val="nil" w:sz="6" w:space="0" w:color="auto"/>
                          <w:right w:val="nil" w:sz="6" w:space="0" w:color="auto"/>
                        </w:tcBorders>
                      </w:tcPr>
                      <w:p>
                        <w:pPr>
                          <w:pStyle w:val="TableParagraph"/>
                          <w:spacing w:line="191" w:lineRule="exact"/>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4" w:type="dxa"/>
                        <w:gridSpan w:val="3"/>
                        <w:tcBorders>
                          <w:top w:val="nil" w:sz="6" w:space="0" w:color="auto"/>
                          <w:left w:val="nil" w:sz="6" w:space="0" w:color="auto"/>
                          <w:bottom w:val="nil" w:sz="6" w:space="0" w:color="auto"/>
                          <w:right w:val="nil" w:sz="6" w:space="0" w:color="auto"/>
                        </w:tcBorders>
                      </w:tcPr>
                      <w:p>
                        <w:pPr>
                          <w:pStyle w:val="TableParagraph"/>
                          <w:tabs>
                            <w:tab w:pos="2234" w:val="left" w:leader="none"/>
                          </w:tabs>
                          <w:spacing w:line="188" w:lineRule="exact"/>
                          <w:ind w:left="789" w:right="0"/>
                          <w:jc w:val="left"/>
                          <w:rPr>
                            <w:rFonts w:ascii="宋体" w:hAnsi="宋体" w:cs="宋体" w:eastAsia="宋体" w:hint="default"/>
                            <w:sz w:val="15"/>
                            <w:szCs w:val="15"/>
                          </w:rPr>
                        </w:pPr>
                        <w:r>
                          <w:rPr>
                            <w:rFonts w:ascii="Times New Roman" w:hAnsi="Times New Roman" w:cs="Times New Roman" w:eastAsia="Times New Roman" w:hint="default"/>
                            <w:spacing w:val="-1"/>
                            <w:position w:val="-9"/>
                            <w:sz w:val="18"/>
                            <w:szCs w:val="18"/>
                          </w:rPr>
                          <w:t>1,507,530.00</w:t>
                          <w:tab/>
                        </w:r>
                        <w:r>
                          <w:rPr>
                            <w:rFonts w:ascii="宋体" w:hAnsi="宋体" w:cs="宋体" w:eastAsia="宋体" w:hint="default"/>
                            <w:spacing w:val="1"/>
                            <w:sz w:val="15"/>
                            <w:szCs w:val="15"/>
                          </w:rPr>
                          <w:t>项资金使用和管理试行办法》等收到的服</w:t>
                        </w:r>
                      </w:p>
                    </w:tc>
                  </w:tr>
                  <w:tr>
                    <w:trPr>
                      <w:trHeight w:val="486"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18"/>
                            <w:szCs w:val="18"/>
                          </w:rPr>
                        </w:pPr>
                        <w:r>
                          <w:rPr>
                            <w:rFonts w:ascii="宋体" w:hAnsi="宋体" w:cs="宋体" w:eastAsia="宋体" w:hint="default"/>
                            <w:sz w:val="18"/>
                            <w:szCs w:val="18"/>
                          </w:rPr>
                          <w:t>上市扶持资金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4" w:type="dxa"/>
                        <w:gridSpan w:val="3"/>
                        <w:tcBorders>
                          <w:top w:val="nil" w:sz="6" w:space="0" w:color="auto"/>
                          <w:left w:val="nil" w:sz="6" w:space="0" w:color="auto"/>
                          <w:bottom w:val="nil" w:sz="6" w:space="0" w:color="auto"/>
                          <w:right w:val="nil" w:sz="6" w:space="0" w:color="auto"/>
                        </w:tcBorders>
                      </w:tcPr>
                      <w:p>
                        <w:pPr>
                          <w:pStyle w:val="TableParagraph"/>
                          <w:tabs>
                            <w:tab w:pos="2234" w:val="left" w:leader="none"/>
                          </w:tabs>
                          <w:spacing w:line="240" w:lineRule="auto" w:before="71"/>
                          <w:ind w:left="789" w:right="0"/>
                          <w:jc w:val="left"/>
                          <w:rPr>
                            <w:rFonts w:ascii="宋体" w:hAnsi="宋体" w:cs="宋体" w:eastAsia="宋体" w:hint="default"/>
                            <w:sz w:val="15"/>
                            <w:szCs w:val="15"/>
                          </w:rPr>
                        </w:pPr>
                        <w:r>
                          <w:rPr>
                            <w:rFonts w:ascii="Times New Roman" w:hAnsi="Times New Roman" w:cs="Times New Roman" w:eastAsia="Times New Roman" w:hint="default"/>
                            <w:spacing w:val="-1"/>
                            <w:position w:val="-9"/>
                            <w:sz w:val="18"/>
                            <w:szCs w:val="18"/>
                          </w:rPr>
                          <w:t>1,500,000.00</w:t>
                          <w:tab/>
                        </w:r>
                        <w:r>
                          <w:rPr>
                            <w:rFonts w:ascii="宋体" w:hAnsi="宋体" w:cs="宋体" w:eastAsia="宋体" w:hint="default"/>
                            <w:spacing w:val="1"/>
                            <w:sz w:val="15"/>
                            <w:szCs w:val="15"/>
                          </w:rPr>
                          <w:t>系根据徐汇区发展和改革委员会书面通知</w:t>
                        </w:r>
                      </w:p>
                    </w:tc>
                  </w:tr>
                  <w:tr>
                    <w:trPr>
                      <w:trHeight w:val="486"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Times New Roman" w:hAnsi="Times New Roman" w:cs="Times New Roman" w:eastAsia="Times New Roman" w:hint="default"/>
                            <w:sz w:val="18"/>
                            <w:szCs w:val="18"/>
                          </w:rPr>
                        </w:pPr>
                        <w:r>
                          <w:rPr>
                            <w:rFonts w:ascii="Times New Roman"/>
                            <w:spacing w:val="-1"/>
                            <w:sz w:val="18"/>
                          </w:rPr>
                          <w:t>618,200.00</w:t>
                        </w:r>
                      </w:p>
                    </w:tc>
                    <w:tc>
                      <w:tcPr>
                        <w:tcW w:w="5114" w:type="dxa"/>
                        <w:gridSpan w:val="3"/>
                        <w:tcBorders>
                          <w:top w:val="nil" w:sz="6" w:space="0" w:color="auto"/>
                          <w:left w:val="nil" w:sz="6" w:space="0" w:color="auto"/>
                          <w:bottom w:val="nil" w:sz="6" w:space="0" w:color="auto"/>
                          <w:right w:val="nil" w:sz="6" w:space="0" w:color="auto"/>
                        </w:tcBorders>
                      </w:tcPr>
                      <w:p>
                        <w:pPr>
                          <w:pStyle w:val="TableParagraph"/>
                          <w:tabs>
                            <w:tab w:pos="2234" w:val="left" w:leader="none"/>
                          </w:tabs>
                          <w:spacing w:line="289" w:lineRule="exact"/>
                          <w:ind w:left="789" w:right="0"/>
                          <w:jc w:val="left"/>
                          <w:rPr>
                            <w:rFonts w:ascii="宋体" w:hAnsi="宋体" w:cs="宋体" w:eastAsia="宋体" w:hint="default"/>
                            <w:sz w:val="15"/>
                            <w:szCs w:val="15"/>
                          </w:rPr>
                        </w:pPr>
                        <w:r>
                          <w:rPr>
                            <w:rFonts w:ascii="Times New Roman" w:hAnsi="Times New Roman" w:cs="Times New Roman" w:eastAsia="Times New Roman" w:hint="default"/>
                            <w:spacing w:val="-1"/>
                            <w:position w:val="-9"/>
                            <w:sz w:val="18"/>
                            <w:szCs w:val="18"/>
                          </w:rPr>
                          <w:t>1,059,400.00</w:t>
                          <w:tab/>
                        </w:r>
                        <w:r>
                          <w:rPr>
                            <w:rFonts w:ascii="宋体" w:hAnsi="宋体" w:cs="宋体" w:eastAsia="宋体" w:hint="default"/>
                            <w:sz w:val="15"/>
                            <w:szCs w:val="15"/>
                          </w:rPr>
                          <w:t>系徐汇区财政部门拨付的财政贴息、产业扶</w:t>
                        </w:r>
                      </w:p>
                    </w:tc>
                  </w:tr>
                  <w:tr>
                    <w:trPr>
                      <w:trHeight w:val="64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18"/>
                            <w:szCs w:val="18"/>
                          </w:rPr>
                        </w:pPr>
                        <w:r>
                          <w:rPr>
                            <w:rFonts w:ascii="宋体" w:hAnsi="宋体" w:cs="宋体" w:eastAsia="宋体" w:hint="default"/>
                            <w:sz w:val="18"/>
                            <w:szCs w:val="18"/>
                          </w:rPr>
                          <w:t>服务外包补贴</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114" w:type="dxa"/>
                        <w:gridSpan w:val="3"/>
                        <w:tcBorders>
                          <w:top w:val="nil" w:sz="6" w:space="0" w:color="auto"/>
                          <w:left w:val="nil" w:sz="6" w:space="0" w:color="auto"/>
                          <w:bottom w:val="nil" w:sz="6" w:space="0" w:color="auto"/>
                          <w:right w:val="nil" w:sz="6" w:space="0" w:color="auto"/>
                        </w:tcBorders>
                      </w:tcPr>
                      <w:p>
                        <w:pPr>
                          <w:pStyle w:val="TableParagraph"/>
                          <w:tabs>
                            <w:tab w:pos="2234" w:val="left" w:leader="none"/>
                          </w:tabs>
                          <w:spacing w:line="240" w:lineRule="auto" w:before="71"/>
                          <w:ind w:left="923" w:right="0"/>
                          <w:jc w:val="left"/>
                          <w:rPr>
                            <w:rFonts w:ascii="宋体" w:hAnsi="宋体" w:cs="宋体" w:eastAsia="宋体" w:hint="default"/>
                            <w:sz w:val="15"/>
                            <w:szCs w:val="15"/>
                          </w:rPr>
                        </w:pPr>
                        <w:r>
                          <w:rPr>
                            <w:rFonts w:ascii="Times New Roman" w:hAnsi="Times New Roman" w:cs="Times New Roman" w:eastAsia="Times New Roman" w:hint="default"/>
                            <w:spacing w:val="-1"/>
                            <w:position w:val="-9"/>
                            <w:sz w:val="18"/>
                            <w:szCs w:val="18"/>
                          </w:rPr>
                          <w:t>344,000.00</w:t>
                          <w:tab/>
                        </w:r>
                        <w:r>
                          <w:rPr>
                            <w:rFonts w:ascii="宋体" w:hAnsi="宋体" w:cs="宋体" w:eastAsia="宋体" w:hint="default"/>
                            <w:spacing w:val="-2"/>
                            <w:sz w:val="15"/>
                            <w:szCs w:val="15"/>
                          </w:rPr>
                          <w:t>部关于做好</w:t>
                        </w:r>
                        <w:r>
                          <w:rPr>
                            <w:rFonts w:ascii="宋体" w:hAnsi="宋体" w:cs="宋体" w:eastAsia="宋体" w:hint="default"/>
                            <w:sz w:val="15"/>
                            <w:szCs w:val="15"/>
                          </w:rPr>
                          <w:t> </w:t>
                        </w:r>
                        <w:r>
                          <w:rPr>
                            <w:rFonts w:ascii="Times New Roman" w:hAnsi="Times New Roman" w:cs="Times New Roman" w:eastAsia="Times New Roman" w:hint="default"/>
                            <w:spacing w:val="-1"/>
                            <w:sz w:val="15"/>
                            <w:szCs w:val="15"/>
                          </w:rPr>
                          <w:t>2008</w:t>
                        </w:r>
                        <w:r>
                          <w:rPr>
                            <w:rFonts w:ascii="Times New Roman" w:hAnsi="Times New Roman" w:cs="Times New Roman" w:eastAsia="Times New Roman" w:hint="default"/>
                            <w:spacing w:val="-21"/>
                            <w:sz w:val="15"/>
                            <w:szCs w:val="15"/>
                          </w:rPr>
                          <w:t> </w:t>
                        </w:r>
                        <w:r>
                          <w:rPr>
                            <w:rFonts w:ascii="宋体" w:hAnsi="宋体" w:cs="宋体" w:eastAsia="宋体" w:hint="default"/>
                            <w:spacing w:val="-2"/>
                            <w:sz w:val="15"/>
                            <w:szCs w:val="15"/>
                          </w:rPr>
                          <w:t>年度支持承接国际服务外</w:t>
                        </w:r>
                      </w:p>
                      <w:p>
                        <w:pPr>
                          <w:pStyle w:val="TableParagraph"/>
                          <w:spacing w:line="240" w:lineRule="auto" w:before="74"/>
                          <w:ind w:left="256" w:right="0"/>
                          <w:jc w:val="center"/>
                          <w:rPr>
                            <w:rFonts w:ascii="宋体" w:hAnsi="宋体" w:cs="宋体" w:eastAsia="宋体" w:hint="default"/>
                            <w:sz w:val="15"/>
                            <w:szCs w:val="15"/>
                          </w:rPr>
                        </w:pPr>
                        <w:r>
                          <w:rPr>
                            <w:rFonts w:ascii="宋体" w:hAnsi="宋体" w:cs="宋体" w:eastAsia="宋体" w:hint="default"/>
                            <w:sz w:val="15"/>
                            <w:szCs w:val="15"/>
                          </w:rPr>
                          <w:t>服务外包补贴</w:t>
                        </w:r>
                      </w:p>
                    </w:tc>
                  </w:tr>
                  <w:tr>
                    <w:trPr>
                      <w:trHeight w:val="427"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著名商标企业奖励</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4"/>
                          <w:jc w:val="right"/>
                          <w:rPr>
                            <w:rFonts w:ascii="Times New Roman" w:hAnsi="Times New Roman" w:cs="Times New Roman" w:eastAsia="Times New Roman" w:hint="default"/>
                            <w:sz w:val="18"/>
                            <w:szCs w:val="18"/>
                          </w:rPr>
                        </w:pPr>
                        <w:r>
                          <w:rPr>
                            <w:rFonts w:ascii="Times New Roman"/>
                            <w:spacing w:val="-1"/>
                            <w:sz w:val="18"/>
                          </w:rPr>
                          <w:t>200,000.00</w:t>
                        </w:r>
                      </w:p>
                    </w:tc>
                    <w:tc>
                      <w:tcPr>
                        <w:tcW w:w="327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115"/>
                          <w:jc w:val="left"/>
                          <w:rPr>
                            <w:rFonts w:ascii="宋体" w:hAnsi="宋体" w:cs="宋体" w:eastAsia="宋体" w:hint="default"/>
                            <w:sz w:val="15"/>
                            <w:szCs w:val="15"/>
                          </w:rPr>
                        </w:pPr>
                        <w:r>
                          <w:rPr>
                            <w:rFonts w:ascii="宋体" w:hAnsi="宋体" w:cs="宋体" w:eastAsia="宋体" w:hint="default"/>
                            <w:sz w:val="15"/>
                            <w:szCs w:val="15"/>
                          </w:rPr>
                          <w:t>系根据徐汇区“二十三条”实施意见收到</w:t>
                        </w:r>
                        <w:r>
                          <w:rPr>
                            <w:rFonts w:ascii="宋体" w:hAnsi="宋体" w:cs="宋体" w:eastAsia="宋体" w:hint="default"/>
                            <w:spacing w:val="-24"/>
                            <w:sz w:val="15"/>
                            <w:szCs w:val="15"/>
                          </w:rPr>
                          <w:t> </w:t>
                        </w:r>
                        <w:r>
                          <w:rPr>
                            <w:rFonts w:ascii="宋体" w:hAnsi="宋体" w:cs="宋体" w:eastAsia="宋体" w:hint="default"/>
                            <w:spacing w:val="-24"/>
                            <w:sz w:val="15"/>
                            <w:szCs w:val="15"/>
                          </w:rPr>
                        </w:r>
                        <w:r>
                          <w:rPr>
                            <w:rFonts w:ascii="宋体" w:hAnsi="宋体" w:cs="宋体" w:eastAsia="宋体" w:hint="default"/>
                            <w:sz w:val="15"/>
                            <w:szCs w:val="15"/>
                          </w:rPr>
                          <w:t>对上海市著名商标企业一次性奖励款</w:t>
                        </w:r>
                      </w:p>
                    </w:tc>
                  </w:tr>
                  <w:tr>
                    <w:trPr>
                      <w:trHeight w:val="196"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73" w:lineRule="exact"/>
                          <w:ind w:left="391" w:right="0"/>
                          <w:jc w:val="left"/>
                          <w:rPr>
                            <w:rFonts w:ascii="宋体" w:hAnsi="宋体" w:cs="宋体" w:eastAsia="宋体" w:hint="default"/>
                            <w:sz w:val="15"/>
                            <w:szCs w:val="15"/>
                          </w:rPr>
                        </w:pPr>
                        <w:r>
                          <w:rPr>
                            <w:rFonts w:ascii="宋体" w:hAnsi="宋体" w:cs="宋体" w:eastAsia="宋体" w:hint="default"/>
                            <w:sz w:val="15"/>
                            <w:szCs w:val="15"/>
                          </w:rPr>
                          <w:t>系根据上海市商务委员会、上海市发展与</w:t>
                        </w:r>
                      </w:p>
                    </w:tc>
                  </w:tr>
                  <w:tr>
                    <w:trPr>
                      <w:trHeight w:val="39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5" w:right="0"/>
                          <w:jc w:val="left"/>
                          <w:rPr>
                            <w:rFonts w:ascii="宋体" w:hAnsi="宋体" w:cs="宋体" w:eastAsia="宋体" w:hint="default"/>
                            <w:sz w:val="18"/>
                            <w:szCs w:val="18"/>
                          </w:rPr>
                        </w:pPr>
                        <w:r>
                          <w:rPr>
                            <w:rFonts w:ascii="宋体" w:hAnsi="宋体" w:cs="宋体" w:eastAsia="宋体" w:hint="default"/>
                            <w:sz w:val="18"/>
                            <w:szCs w:val="18"/>
                          </w:rPr>
                          <w:t>服务外包发展资金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1,025,400.00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1" w:type="dxa"/>
                        <w:tcBorders>
                          <w:top w:val="nil" w:sz="6" w:space="0" w:color="auto"/>
                          <w:left w:val="nil" w:sz="6" w:space="0" w:color="auto"/>
                          <w:bottom w:val="nil" w:sz="6" w:space="0" w:color="auto"/>
                          <w:right w:val="nil" w:sz="6" w:space="0" w:color="auto"/>
                        </w:tcBorders>
                      </w:tcPr>
                      <w:p>
                        <w:pPr>
                          <w:pStyle w:val="TableParagraph"/>
                          <w:spacing w:line="178" w:lineRule="exact"/>
                          <w:ind w:left="391" w:right="0"/>
                          <w:jc w:val="left"/>
                          <w:rPr>
                            <w:rFonts w:ascii="Times New Roman" w:hAnsi="Times New Roman" w:cs="Times New Roman" w:eastAsia="Times New Roman" w:hint="default"/>
                            <w:sz w:val="15"/>
                            <w:szCs w:val="15"/>
                          </w:rPr>
                        </w:pPr>
                        <w:r>
                          <w:rPr>
                            <w:rFonts w:ascii="宋体" w:hAnsi="宋体" w:cs="宋体" w:eastAsia="宋体" w:hint="default"/>
                            <w:w w:val="100"/>
                            <w:sz w:val="15"/>
                            <w:szCs w:val="15"/>
                          </w:rPr>
                          <w:t>改革</w:t>
                        </w:r>
                        <w:r>
                          <w:rPr>
                            <w:rFonts w:ascii="宋体" w:hAnsi="宋体" w:cs="宋体" w:eastAsia="宋体" w:hint="default"/>
                            <w:spacing w:val="-3"/>
                            <w:w w:val="100"/>
                            <w:sz w:val="15"/>
                            <w:szCs w:val="15"/>
                          </w:rPr>
                          <w:t>委</w:t>
                        </w:r>
                        <w:r>
                          <w:rPr>
                            <w:rFonts w:ascii="宋体" w:hAnsi="宋体" w:cs="宋体" w:eastAsia="宋体" w:hint="default"/>
                            <w:w w:val="100"/>
                            <w:sz w:val="15"/>
                            <w:szCs w:val="15"/>
                          </w:rPr>
                          <w:t>员</w:t>
                        </w:r>
                        <w:r>
                          <w:rPr>
                            <w:rFonts w:ascii="宋体" w:hAnsi="宋体" w:cs="宋体" w:eastAsia="宋体" w:hint="default"/>
                            <w:spacing w:val="-3"/>
                            <w:w w:val="100"/>
                            <w:sz w:val="15"/>
                            <w:szCs w:val="15"/>
                          </w:rPr>
                          <w:t>会</w:t>
                        </w:r>
                        <w:r>
                          <w:rPr>
                            <w:rFonts w:ascii="宋体" w:hAnsi="宋体" w:cs="宋体" w:eastAsia="宋体" w:hint="default"/>
                            <w:spacing w:val="-65"/>
                            <w:w w:val="100"/>
                            <w:sz w:val="15"/>
                            <w:szCs w:val="15"/>
                          </w:rPr>
                          <w:t>、</w:t>
                        </w:r>
                        <w:r>
                          <w:rPr>
                            <w:rFonts w:ascii="宋体" w:hAnsi="宋体" w:cs="宋体" w:eastAsia="宋体" w:hint="default"/>
                            <w:w w:val="100"/>
                            <w:sz w:val="15"/>
                            <w:szCs w:val="15"/>
                          </w:rPr>
                          <w:t>上</w:t>
                        </w:r>
                        <w:r>
                          <w:rPr>
                            <w:rFonts w:ascii="宋体" w:hAnsi="宋体" w:cs="宋体" w:eastAsia="宋体" w:hint="default"/>
                            <w:spacing w:val="-3"/>
                            <w:w w:val="100"/>
                            <w:sz w:val="15"/>
                            <w:szCs w:val="15"/>
                          </w:rPr>
                          <w:t>海</w:t>
                        </w:r>
                        <w:r>
                          <w:rPr>
                            <w:rFonts w:ascii="宋体" w:hAnsi="宋体" w:cs="宋体" w:eastAsia="宋体" w:hint="default"/>
                            <w:w w:val="100"/>
                            <w:sz w:val="15"/>
                            <w:szCs w:val="15"/>
                          </w:rPr>
                          <w:t>市</w:t>
                        </w:r>
                        <w:r>
                          <w:rPr>
                            <w:rFonts w:ascii="宋体" w:hAnsi="宋体" w:cs="宋体" w:eastAsia="宋体" w:hint="default"/>
                            <w:spacing w:val="-3"/>
                            <w:w w:val="100"/>
                            <w:sz w:val="15"/>
                            <w:szCs w:val="15"/>
                          </w:rPr>
                          <w:t>财</w:t>
                        </w:r>
                        <w:r>
                          <w:rPr>
                            <w:rFonts w:ascii="宋体" w:hAnsi="宋体" w:cs="宋体" w:eastAsia="宋体" w:hint="default"/>
                            <w:w w:val="100"/>
                            <w:sz w:val="15"/>
                            <w:szCs w:val="15"/>
                          </w:rPr>
                          <w:t>政</w:t>
                        </w:r>
                        <w:r>
                          <w:rPr>
                            <w:rFonts w:ascii="宋体" w:hAnsi="宋体" w:cs="宋体" w:eastAsia="宋体" w:hint="default"/>
                            <w:spacing w:val="-65"/>
                            <w:w w:val="100"/>
                            <w:sz w:val="15"/>
                            <w:szCs w:val="15"/>
                          </w:rPr>
                          <w:t>局</w:t>
                        </w:r>
                        <w:r>
                          <w:rPr>
                            <w:rFonts w:ascii="宋体" w:hAnsi="宋体" w:cs="宋体" w:eastAsia="宋体" w:hint="default"/>
                            <w:spacing w:val="-3"/>
                            <w:w w:val="100"/>
                            <w:sz w:val="15"/>
                            <w:szCs w:val="15"/>
                          </w:rPr>
                          <w:t>《</w:t>
                        </w:r>
                        <w:r>
                          <w:rPr>
                            <w:rFonts w:ascii="宋体" w:hAnsi="宋体" w:cs="宋体" w:eastAsia="宋体" w:hint="default"/>
                            <w:w w:val="100"/>
                            <w:sz w:val="15"/>
                            <w:szCs w:val="15"/>
                          </w:rPr>
                          <w:t>关</w:t>
                        </w:r>
                        <w:r>
                          <w:rPr>
                            <w:rFonts w:ascii="宋体" w:hAnsi="宋体" w:cs="宋体" w:eastAsia="宋体" w:hint="default"/>
                            <w:spacing w:val="-3"/>
                            <w:w w:val="100"/>
                            <w:sz w:val="15"/>
                            <w:szCs w:val="15"/>
                          </w:rPr>
                          <w:t>于做</w:t>
                        </w:r>
                        <w:r>
                          <w:rPr>
                            <w:rFonts w:ascii="宋体" w:hAnsi="宋体" w:cs="宋体" w:eastAsia="宋体" w:hint="default"/>
                            <w:w w:val="100"/>
                            <w:sz w:val="15"/>
                            <w:szCs w:val="15"/>
                          </w:rPr>
                          <w:t>好</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0</w:t>
                        </w:r>
                      </w:p>
                      <w:p>
                        <w:pPr>
                          <w:pStyle w:val="TableParagraph"/>
                          <w:spacing w:line="190" w:lineRule="exact"/>
                          <w:ind w:left="391" w:right="0"/>
                          <w:jc w:val="left"/>
                          <w:rPr>
                            <w:rFonts w:ascii="宋体" w:hAnsi="宋体" w:cs="宋体" w:eastAsia="宋体" w:hint="default"/>
                            <w:sz w:val="15"/>
                            <w:szCs w:val="15"/>
                          </w:rPr>
                        </w:pPr>
                        <w:r>
                          <w:rPr>
                            <w:rFonts w:ascii="宋体" w:hAnsi="宋体" w:cs="宋体" w:eastAsia="宋体" w:hint="default"/>
                            <w:sz w:val="15"/>
                            <w:szCs w:val="15"/>
                          </w:rPr>
                          <w:t>年度促进服务外包发展专项资金申报工作</w:t>
                        </w:r>
                      </w:p>
                    </w:tc>
                  </w:tr>
                  <w:tr>
                    <w:trPr>
                      <w:trHeight w:val="189"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75" w:lineRule="exact"/>
                          <w:ind w:left="391" w:right="0"/>
                          <w:jc w:val="left"/>
                          <w:rPr>
                            <w:rFonts w:ascii="宋体" w:hAnsi="宋体" w:cs="宋体" w:eastAsia="宋体" w:hint="default"/>
                            <w:sz w:val="15"/>
                            <w:szCs w:val="15"/>
                          </w:rPr>
                        </w:pPr>
                        <w:r>
                          <w:rPr>
                            <w:rFonts w:ascii="宋体" w:hAnsi="宋体" w:cs="宋体" w:eastAsia="宋体" w:hint="default"/>
                            <w:spacing w:val="14"/>
                            <w:w w:val="100"/>
                            <w:sz w:val="15"/>
                            <w:szCs w:val="15"/>
                          </w:rPr>
                          <w:t>的</w:t>
                        </w:r>
                        <w:r>
                          <w:rPr>
                            <w:rFonts w:ascii="宋体" w:hAnsi="宋体" w:cs="宋体" w:eastAsia="宋体" w:hint="default"/>
                            <w:spacing w:val="12"/>
                            <w:w w:val="100"/>
                            <w:sz w:val="15"/>
                            <w:szCs w:val="15"/>
                          </w:rPr>
                          <w:t>通</w:t>
                        </w:r>
                        <w:r>
                          <w:rPr>
                            <w:rFonts w:ascii="宋体" w:hAnsi="宋体" w:cs="宋体" w:eastAsia="宋体" w:hint="default"/>
                            <w:w w:val="100"/>
                            <w:sz w:val="15"/>
                            <w:szCs w:val="15"/>
                          </w:rPr>
                          <w:t>知</w:t>
                        </w:r>
                        <w:r>
                          <w:rPr>
                            <w:rFonts w:ascii="宋体" w:hAnsi="宋体" w:cs="宋体" w:eastAsia="宋体" w:hint="default"/>
                            <w:spacing w:val="-61"/>
                            <w:sz w:val="15"/>
                            <w:szCs w:val="15"/>
                          </w:rPr>
                          <w:t> </w:t>
                        </w:r>
                        <w:r>
                          <w:rPr>
                            <w:rFonts w:ascii="宋体" w:hAnsi="宋体" w:cs="宋体" w:eastAsia="宋体" w:hint="default"/>
                            <w:spacing w:val="-63"/>
                            <w:w w:val="100"/>
                            <w:sz w:val="15"/>
                            <w:szCs w:val="15"/>
                          </w:rPr>
                          <w:t>》</w:t>
                        </w:r>
                        <w:r>
                          <w:rPr>
                            <w:rFonts w:ascii="宋体" w:hAnsi="宋体" w:cs="宋体" w:eastAsia="宋体" w:hint="default"/>
                            <w:w w:val="100"/>
                            <w:sz w:val="15"/>
                            <w:szCs w:val="15"/>
                          </w:rPr>
                          <w:t>（</w:t>
                        </w:r>
                        <w:r>
                          <w:rPr>
                            <w:rFonts w:ascii="宋体" w:hAnsi="宋体" w:cs="宋体" w:eastAsia="宋体" w:hint="default"/>
                            <w:spacing w:val="-61"/>
                            <w:sz w:val="15"/>
                            <w:szCs w:val="15"/>
                          </w:rPr>
                          <w:t> </w:t>
                        </w:r>
                        <w:r>
                          <w:rPr>
                            <w:rFonts w:ascii="宋体" w:hAnsi="宋体" w:cs="宋体" w:eastAsia="宋体" w:hint="default"/>
                            <w:spacing w:val="12"/>
                            <w:w w:val="100"/>
                            <w:sz w:val="15"/>
                            <w:szCs w:val="15"/>
                          </w:rPr>
                          <w:t>沪</w:t>
                        </w:r>
                        <w:r>
                          <w:rPr>
                            <w:rFonts w:ascii="宋体" w:hAnsi="宋体" w:cs="宋体" w:eastAsia="宋体" w:hint="default"/>
                            <w:spacing w:val="14"/>
                            <w:w w:val="100"/>
                            <w:sz w:val="15"/>
                            <w:szCs w:val="15"/>
                          </w:rPr>
                          <w:t>商</w:t>
                        </w:r>
                        <w:r>
                          <w:rPr>
                            <w:rFonts w:ascii="宋体" w:hAnsi="宋体" w:cs="宋体" w:eastAsia="宋体" w:hint="default"/>
                            <w:spacing w:val="12"/>
                            <w:w w:val="100"/>
                            <w:sz w:val="15"/>
                            <w:szCs w:val="15"/>
                          </w:rPr>
                          <w:t>服</w:t>
                        </w:r>
                        <w:r>
                          <w:rPr>
                            <w:rFonts w:ascii="宋体" w:hAnsi="宋体" w:cs="宋体" w:eastAsia="宋体" w:hint="default"/>
                            <w:spacing w:val="14"/>
                            <w:w w:val="100"/>
                            <w:sz w:val="15"/>
                            <w:szCs w:val="15"/>
                          </w:rPr>
                          <w:t>贸</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6</w:t>
                        </w:r>
                        <w:r>
                          <w:rPr>
                            <w:rFonts w:ascii="Times New Roman" w:hAnsi="Times New Roman" w:cs="Times New Roman" w:eastAsia="Times New Roman" w:hint="default"/>
                            <w:spacing w:val="1"/>
                            <w:w w:val="100"/>
                            <w:sz w:val="15"/>
                            <w:szCs w:val="15"/>
                          </w:rPr>
                          <w:t>4</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z w:val="15"/>
                            <w:szCs w:val="15"/>
                          </w:rPr>
                          <w:t> </w:t>
                        </w:r>
                        <w:r>
                          <w:rPr>
                            <w:rFonts w:ascii="Times New Roman" w:hAnsi="Times New Roman" w:cs="Times New Roman" w:eastAsia="Times New Roman" w:hint="default"/>
                            <w:spacing w:val="13"/>
                            <w:sz w:val="15"/>
                            <w:szCs w:val="15"/>
                          </w:rPr>
                          <w:t> </w:t>
                        </w:r>
                        <w:r>
                          <w:rPr>
                            <w:rFonts w:ascii="宋体" w:hAnsi="宋体" w:cs="宋体" w:eastAsia="宋体" w:hint="default"/>
                            <w:spacing w:val="14"/>
                            <w:w w:val="100"/>
                            <w:sz w:val="15"/>
                            <w:szCs w:val="15"/>
                          </w:rPr>
                          <w:t>号</w:t>
                        </w:r>
                        <w:r>
                          <w:rPr>
                            <w:rFonts w:ascii="宋体" w:hAnsi="宋体" w:cs="宋体" w:eastAsia="宋体" w:hint="default"/>
                            <w:spacing w:val="12"/>
                            <w:w w:val="100"/>
                            <w:sz w:val="15"/>
                            <w:szCs w:val="15"/>
                          </w:rPr>
                          <w:t>收</w:t>
                        </w:r>
                        <w:r>
                          <w:rPr>
                            <w:rFonts w:ascii="宋体" w:hAnsi="宋体" w:cs="宋体" w:eastAsia="宋体" w:hint="default"/>
                            <w:spacing w:val="14"/>
                            <w:w w:val="100"/>
                            <w:sz w:val="15"/>
                            <w:szCs w:val="15"/>
                          </w:rPr>
                          <w:t>到</w:t>
                        </w:r>
                        <w:r>
                          <w:rPr>
                            <w:rFonts w:ascii="宋体" w:hAnsi="宋体" w:cs="宋体" w:eastAsia="宋体" w:hint="default"/>
                            <w:w w:val="100"/>
                            <w:sz w:val="15"/>
                            <w:szCs w:val="15"/>
                          </w:rPr>
                          <w:t>的</w:t>
                        </w:r>
                      </w:p>
                    </w:tc>
                  </w:tr>
                  <w:tr>
                    <w:trPr>
                      <w:trHeight w:val="194"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80" w:lineRule="exact"/>
                          <w:ind w:left="39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年度服务外包专项资金</w:t>
                        </w:r>
                      </w:p>
                    </w:tc>
                  </w:tr>
                  <w:tr>
                    <w:trPr>
                      <w:trHeight w:val="194"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80" w:lineRule="exact"/>
                          <w:ind w:left="391" w:right="0"/>
                          <w:jc w:val="left"/>
                          <w:rPr>
                            <w:rFonts w:ascii="宋体" w:hAnsi="宋体" w:cs="宋体" w:eastAsia="宋体" w:hint="default"/>
                            <w:sz w:val="15"/>
                            <w:szCs w:val="15"/>
                          </w:rPr>
                        </w:pPr>
                        <w:r>
                          <w:rPr>
                            <w:rFonts w:ascii="宋体" w:hAnsi="宋体" w:cs="宋体" w:eastAsia="宋体" w:hint="default"/>
                            <w:spacing w:val="-3"/>
                            <w:sz w:val="15"/>
                            <w:szCs w:val="15"/>
                          </w:rPr>
                          <w:t>根据《上海市徐汇区人民政府印发</w:t>
                        </w:r>
                        <w:r>
                          <w:rPr>
                            <w:rFonts w:ascii="Times New Roman" w:hAnsi="Times New Roman" w:cs="Times New Roman" w:eastAsia="Times New Roman" w:hint="default"/>
                            <w:spacing w:val="-3"/>
                            <w:sz w:val="15"/>
                            <w:szCs w:val="15"/>
                          </w:rPr>
                          <w:t>&lt;</w:t>
                        </w:r>
                        <w:r>
                          <w:rPr>
                            <w:rFonts w:ascii="宋体" w:hAnsi="宋体" w:cs="宋体" w:eastAsia="宋体" w:hint="default"/>
                            <w:spacing w:val="-3"/>
                            <w:sz w:val="15"/>
                            <w:szCs w:val="15"/>
                          </w:rPr>
                          <w:t>关于加</w:t>
                        </w:r>
                      </w:p>
                    </w:tc>
                  </w:tr>
                  <w:tr>
                    <w:trPr>
                      <w:trHeight w:val="183"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68" w:lineRule="exact"/>
                          <w:ind w:left="391" w:right="0"/>
                          <w:jc w:val="left"/>
                          <w:rPr>
                            <w:rFonts w:ascii="宋体" w:hAnsi="宋体" w:cs="宋体" w:eastAsia="宋体" w:hint="default"/>
                            <w:sz w:val="15"/>
                            <w:szCs w:val="15"/>
                          </w:rPr>
                        </w:pPr>
                        <w:r>
                          <w:rPr>
                            <w:rFonts w:ascii="宋体" w:hAnsi="宋体" w:cs="宋体" w:eastAsia="宋体" w:hint="default"/>
                            <w:sz w:val="15"/>
                            <w:szCs w:val="15"/>
                          </w:rPr>
                          <w:t>快推进徐汇区高新技术产业化的实施意见</w:t>
                        </w:r>
                      </w:p>
                    </w:tc>
                  </w:tr>
                  <w:tr>
                    <w:trPr>
                      <w:trHeight w:val="401"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宋体" w:hAnsi="宋体" w:cs="宋体" w:eastAsia="宋体" w:hint="default"/>
                            <w:sz w:val="18"/>
                            <w:szCs w:val="18"/>
                          </w:rPr>
                          <w:t>科技发展配套专项资金</w:t>
                        </w:r>
                      </w:p>
                    </w:tc>
                    <w:tc>
                      <w:tcPr>
                        <w:tcW w:w="1416" w:type="dxa"/>
                        <w:tcBorders>
                          <w:top w:val="nil" w:sz="6" w:space="0" w:color="auto"/>
                          <w:left w:val="nil" w:sz="6" w:space="0" w:color="auto"/>
                          <w:bottom w:val="nil" w:sz="6" w:space="0" w:color="auto"/>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1"/>
                            <w:sz w:val="18"/>
                          </w:rPr>
                          <w:t>1,000,000.00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1" w:type="dxa"/>
                        <w:tcBorders>
                          <w:top w:val="nil" w:sz="6" w:space="0" w:color="auto"/>
                          <w:left w:val="nil" w:sz="6" w:space="0" w:color="auto"/>
                          <w:bottom w:val="nil" w:sz="6" w:space="0" w:color="auto"/>
                          <w:right w:val="nil" w:sz="6" w:space="0" w:color="auto"/>
                        </w:tcBorders>
                      </w:tcPr>
                      <w:p>
                        <w:pPr>
                          <w:pStyle w:val="TableParagraph"/>
                          <w:spacing w:line="194" w:lineRule="exact" w:before="4"/>
                          <w:ind w:left="391" w:right="113"/>
                          <w:jc w:val="left"/>
                          <w:rPr>
                            <w:rFonts w:ascii="宋体" w:hAnsi="宋体" w:cs="宋体" w:eastAsia="宋体" w:hint="default"/>
                            <w:sz w:val="15"/>
                            <w:szCs w:val="15"/>
                          </w:rPr>
                        </w:pPr>
                        <w:r>
                          <w:rPr>
                            <w:rFonts w:ascii="宋体" w:hAnsi="宋体" w:cs="宋体" w:eastAsia="宋体" w:hint="default"/>
                            <w:spacing w:val="-2"/>
                            <w:w w:val="100"/>
                            <w:sz w:val="15"/>
                            <w:szCs w:val="15"/>
                          </w:rPr>
                          <w:t>（</w:t>
                        </w:r>
                        <w:r>
                          <w:rPr>
                            <w:rFonts w:ascii="Times New Roman" w:hAnsi="Times New Roman" w:cs="Times New Roman" w:eastAsia="Times New Roman" w:hint="default"/>
                            <w:spacing w:val="-2"/>
                            <w:w w:val="100"/>
                            <w:sz w:val="15"/>
                            <w:szCs w:val="15"/>
                          </w:rPr>
                          <w:t>2009-2012</w:t>
                        </w:r>
                        <w:r>
                          <w:rPr>
                            <w:rFonts w:ascii="宋体" w:hAnsi="宋体" w:cs="宋体" w:eastAsia="宋体" w:hint="default"/>
                            <w:spacing w:val="-2"/>
                            <w:w w:val="100"/>
                            <w:sz w:val="15"/>
                            <w:szCs w:val="15"/>
                          </w:rPr>
                          <w:t>）</w:t>
                        </w:r>
                        <w:r>
                          <w:rPr>
                            <w:rFonts w:ascii="Times New Roman" w:hAnsi="Times New Roman" w:cs="Times New Roman" w:eastAsia="Times New Roman" w:hint="default"/>
                            <w:spacing w:val="-2"/>
                            <w:w w:val="100"/>
                            <w:sz w:val="15"/>
                            <w:szCs w:val="15"/>
                          </w:rPr>
                          <w:t>&gt;</w:t>
                        </w:r>
                        <w:r>
                          <w:rPr>
                            <w:rFonts w:ascii="宋体" w:hAnsi="宋体" w:cs="宋体" w:eastAsia="宋体" w:hint="default"/>
                            <w:spacing w:val="-2"/>
                            <w:w w:val="100"/>
                            <w:sz w:val="15"/>
                            <w:szCs w:val="15"/>
                          </w:rPr>
                          <w:t>的通知》（徐府发</w:t>
                        </w:r>
                        <w:r>
                          <w:rPr>
                            <w:rFonts w:ascii="Times New Roman" w:hAnsi="Times New Roman" w:cs="Times New Roman" w:eastAsia="Times New Roman" w:hint="default"/>
                            <w:spacing w:val="-2"/>
                            <w:w w:val="100"/>
                            <w:sz w:val="15"/>
                            <w:szCs w:val="15"/>
                          </w:rPr>
                          <w:t>[2009]12</w:t>
                        </w:r>
                        <w:r>
                          <w:rPr>
                            <w:rFonts w:ascii="Times New Roman" w:hAnsi="Times New Roman" w:cs="Times New Roman" w:eastAsia="Times New Roman" w:hint="default"/>
                            <w:spacing w:val="-35"/>
                            <w:w w:val="100"/>
                            <w:sz w:val="15"/>
                            <w:szCs w:val="15"/>
                          </w:rPr>
                          <w:t> </w:t>
                        </w:r>
                        <w:r>
                          <w:rPr>
                            <w:rFonts w:ascii="Times New Roman" w:hAnsi="Times New Roman" w:cs="Times New Roman" w:eastAsia="Times New Roman" w:hint="default"/>
                            <w:spacing w:val="-35"/>
                            <w:w w:val="100"/>
                            <w:sz w:val="15"/>
                            <w:szCs w:val="15"/>
                          </w:rPr>
                        </w:r>
                        <w:r>
                          <w:rPr>
                            <w:rFonts w:ascii="宋体" w:hAnsi="宋体" w:cs="宋体" w:eastAsia="宋体" w:hint="default"/>
                            <w:spacing w:val="-5"/>
                            <w:sz w:val="15"/>
                            <w:szCs w:val="15"/>
                          </w:rPr>
                          <w:t>号）收到的</w:t>
                        </w:r>
                        <w:r>
                          <w:rPr>
                            <w:rFonts w:ascii="宋体" w:hAnsi="宋体" w:cs="宋体" w:eastAsia="宋体" w:hint="default"/>
                            <w:spacing w:val="-35"/>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年度徐汇区高新技术产业</w:t>
                        </w:r>
                      </w:p>
                    </w:tc>
                  </w:tr>
                  <w:tr>
                    <w:trPr>
                      <w:trHeight w:val="190"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68" w:lineRule="exact"/>
                          <w:ind w:left="391" w:right="0"/>
                          <w:jc w:val="left"/>
                          <w:rPr>
                            <w:rFonts w:ascii="宋体" w:hAnsi="宋体" w:cs="宋体" w:eastAsia="宋体" w:hint="default"/>
                            <w:sz w:val="15"/>
                            <w:szCs w:val="15"/>
                          </w:rPr>
                        </w:pPr>
                        <w:r>
                          <w:rPr>
                            <w:rFonts w:ascii="宋体" w:hAnsi="宋体" w:cs="宋体" w:eastAsia="宋体" w:hint="default"/>
                            <w:sz w:val="15"/>
                            <w:szCs w:val="15"/>
                          </w:rPr>
                          <w:t>化政策资金</w:t>
                        </w:r>
                      </w:p>
                    </w:tc>
                  </w:tr>
                  <w:tr>
                    <w:trPr>
                      <w:trHeight w:val="194"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73" w:lineRule="exact"/>
                          <w:ind w:left="391" w:right="0"/>
                          <w:jc w:val="left"/>
                          <w:rPr>
                            <w:rFonts w:ascii="宋体" w:hAnsi="宋体" w:cs="宋体" w:eastAsia="宋体" w:hint="default"/>
                            <w:sz w:val="15"/>
                            <w:szCs w:val="15"/>
                          </w:rPr>
                        </w:pPr>
                        <w:r>
                          <w:rPr>
                            <w:rFonts w:ascii="宋体" w:hAnsi="宋体" w:cs="宋体" w:eastAsia="宋体" w:hint="default"/>
                            <w:sz w:val="15"/>
                            <w:szCs w:val="15"/>
                          </w:rPr>
                          <w:t>系根据上海市商务委员会、上海市发展与</w:t>
                        </w:r>
                      </w:p>
                    </w:tc>
                  </w:tr>
                  <w:tr>
                    <w:trPr>
                      <w:trHeight w:val="39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服务贸易专项资金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514,500.00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1" w:type="dxa"/>
                        <w:tcBorders>
                          <w:top w:val="nil" w:sz="6" w:space="0" w:color="auto"/>
                          <w:left w:val="nil" w:sz="6" w:space="0" w:color="auto"/>
                          <w:bottom w:val="nil" w:sz="6" w:space="0" w:color="auto"/>
                          <w:right w:val="nil" w:sz="6" w:space="0" w:color="auto"/>
                        </w:tcBorders>
                      </w:tcPr>
                      <w:p>
                        <w:pPr>
                          <w:pStyle w:val="TableParagraph"/>
                          <w:spacing w:line="177" w:lineRule="exact"/>
                          <w:ind w:left="391" w:right="0"/>
                          <w:jc w:val="left"/>
                          <w:rPr>
                            <w:rFonts w:ascii="Times New Roman" w:hAnsi="Times New Roman" w:cs="Times New Roman" w:eastAsia="Times New Roman" w:hint="default"/>
                            <w:sz w:val="15"/>
                            <w:szCs w:val="15"/>
                          </w:rPr>
                        </w:pPr>
                        <w:r>
                          <w:rPr>
                            <w:rFonts w:ascii="宋体" w:hAnsi="宋体" w:cs="宋体" w:eastAsia="宋体" w:hint="default"/>
                            <w:w w:val="100"/>
                            <w:sz w:val="15"/>
                            <w:szCs w:val="15"/>
                          </w:rPr>
                          <w:t>改革</w:t>
                        </w:r>
                        <w:r>
                          <w:rPr>
                            <w:rFonts w:ascii="宋体" w:hAnsi="宋体" w:cs="宋体" w:eastAsia="宋体" w:hint="default"/>
                            <w:spacing w:val="-3"/>
                            <w:w w:val="100"/>
                            <w:sz w:val="15"/>
                            <w:szCs w:val="15"/>
                          </w:rPr>
                          <w:t>委</w:t>
                        </w:r>
                        <w:r>
                          <w:rPr>
                            <w:rFonts w:ascii="宋体" w:hAnsi="宋体" w:cs="宋体" w:eastAsia="宋体" w:hint="default"/>
                            <w:w w:val="100"/>
                            <w:sz w:val="15"/>
                            <w:szCs w:val="15"/>
                          </w:rPr>
                          <w:t>员</w:t>
                        </w:r>
                        <w:r>
                          <w:rPr>
                            <w:rFonts w:ascii="宋体" w:hAnsi="宋体" w:cs="宋体" w:eastAsia="宋体" w:hint="default"/>
                            <w:spacing w:val="-3"/>
                            <w:w w:val="100"/>
                            <w:sz w:val="15"/>
                            <w:szCs w:val="15"/>
                          </w:rPr>
                          <w:t>会</w:t>
                        </w:r>
                        <w:r>
                          <w:rPr>
                            <w:rFonts w:ascii="宋体" w:hAnsi="宋体" w:cs="宋体" w:eastAsia="宋体" w:hint="default"/>
                            <w:spacing w:val="-65"/>
                            <w:w w:val="100"/>
                            <w:sz w:val="15"/>
                            <w:szCs w:val="15"/>
                          </w:rPr>
                          <w:t>、</w:t>
                        </w:r>
                        <w:r>
                          <w:rPr>
                            <w:rFonts w:ascii="宋体" w:hAnsi="宋体" w:cs="宋体" w:eastAsia="宋体" w:hint="default"/>
                            <w:w w:val="100"/>
                            <w:sz w:val="15"/>
                            <w:szCs w:val="15"/>
                          </w:rPr>
                          <w:t>上</w:t>
                        </w:r>
                        <w:r>
                          <w:rPr>
                            <w:rFonts w:ascii="宋体" w:hAnsi="宋体" w:cs="宋体" w:eastAsia="宋体" w:hint="default"/>
                            <w:spacing w:val="-3"/>
                            <w:w w:val="100"/>
                            <w:sz w:val="15"/>
                            <w:szCs w:val="15"/>
                          </w:rPr>
                          <w:t>海</w:t>
                        </w:r>
                        <w:r>
                          <w:rPr>
                            <w:rFonts w:ascii="宋体" w:hAnsi="宋体" w:cs="宋体" w:eastAsia="宋体" w:hint="default"/>
                            <w:w w:val="100"/>
                            <w:sz w:val="15"/>
                            <w:szCs w:val="15"/>
                          </w:rPr>
                          <w:t>市</w:t>
                        </w:r>
                        <w:r>
                          <w:rPr>
                            <w:rFonts w:ascii="宋体" w:hAnsi="宋体" w:cs="宋体" w:eastAsia="宋体" w:hint="default"/>
                            <w:spacing w:val="-3"/>
                            <w:w w:val="100"/>
                            <w:sz w:val="15"/>
                            <w:szCs w:val="15"/>
                          </w:rPr>
                          <w:t>财</w:t>
                        </w:r>
                        <w:r>
                          <w:rPr>
                            <w:rFonts w:ascii="宋体" w:hAnsi="宋体" w:cs="宋体" w:eastAsia="宋体" w:hint="default"/>
                            <w:w w:val="100"/>
                            <w:sz w:val="15"/>
                            <w:szCs w:val="15"/>
                          </w:rPr>
                          <w:t>政</w:t>
                        </w:r>
                        <w:r>
                          <w:rPr>
                            <w:rFonts w:ascii="宋体" w:hAnsi="宋体" w:cs="宋体" w:eastAsia="宋体" w:hint="default"/>
                            <w:spacing w:val="-65"/>
                            <w:w w:val="100"/>
                            <w:sz w:val="15"/>
                            <w:szCs w:val="15"/>
                          </w:rPr>
                          <w:t>局</w:t>
                        </w:r>
                        <w:r>
                          <w:rPr>
                            <w:rFonts w:ascii="宋体" w:hAnsi="宋体" w:cs="宋体" w:eastAsia="宋体" w:hint="default"/>
                            <w:spacing w:val="-3"/>
                            <w:w w:val="100"/>
                            <w:sz w:val="15"/>
                            <w:szCs w:val="15"/>
                          </w:rPr>
                          <w:t>《</w:t>
                        </w:r>
                        <w:r>
                          <w:rPr>
                            <w:rFonts w:ascii="宋体" w:hAnsi="宋体" w:cs="宋体" w:eastAsia="宋体" w:hint="default"/>
                            <w:w w:val="100"/>
                            <w:sz w:val="15"/>
                            <w:szCs w:val="15"/>
                          </w:rPr>
                          <w:t>关</w:t>
                        </w:r>
                        <w:r>
                          <w:rPr>
                            <w:rFonts w:ascii="宋体" w:hAnsi="宋体" w:cs="宋体" w:eastAsia="宋体" w:hint="default"/>
                            <w:spacing w:val="-3"/>
                            <w:w w:val="100"/>
                            <w:sz w:val="15"/>
                            <w:szCs w:val="15"/>
                          </w:rPr>
                          <w:t>于做</w:t>
                        </w:r>
                        <w:r>
                          <w:rPr>
                            <w:rFonts w:ascii="宋体" w:hAnsi="宋体" w:cs="宋体" w:eastAsia="宋体" w:hint="default"/>
                            <w:w w:val="100"/>
                            <w:sz w:val="15"/>
                            <w:szCs w:val="15"/>
                          </w:rPr>
                          <w:t>好</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0</w:t>
                        </w:r>
                      </w:p>
                      <w:p>
                        <w:pPr>
                          <w:pStyle w:val="TableParagraph"/>
                          <w:spacing w:line="190" w:lineRule="exact"/>
                          <w:ind w:left="391" w:right="0"/>
                          <w:jc w:val="left"/>
                          <w:rPr>
                            <w:rFonts w:ascii="宋体" w:hAnsi="宋体" w:cs="宋体" w:eastAsia="宋体" w:hint="default"/>
                            <w:sz w:val="15"/>
                            <w:szCs w:val="15"/>
                          </w:rPr>
                        </w:pPr>
                        <w:r>
                          <w:rPr>
                            <w:rFonts w:ascii="宋体" w:hAnsi="宋体" w:cs="宋体" w:eastAsia="宋体" w:hint="default"/>
                            <w:spacing w:val="10"/>
                            <w:sz w:val="15"/>
                            <w:szCs w:val="15"/>
                          </w:rPr>
                          <w:t>年度服务贸易发展专项资金申报工作通</w:t>
                        </w:r>
                      </w:p>
                    </w:tc>
                  </w:tr>
                  <w:tr>
                    <w:trPr>
                      <w:trHeight w:val="188"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73" w:lineRule="exact"/>
                          <w:ind w:left="391" w:right="0"/>
                          <w:jc w:val="left"/>
                          <w:rPr>
                            <w:rFonts w:ascii="宋体" w:hAnsi="宋体" w:cs="宋体" w:eastAsia="宋体" w:hint="default"/>
                            <w:sz w:val="15"/>
                            <w:szCs w:val="15"/>
                          </w:rPr>
                        </w:pPr>
                        <w:r>
                          <w:rPr>
                            <w:rFonts w:ascii="宋体" w:hAnsi="宋体" w:cs="宋体" w:eastAsia="宋体" w:hint="default"/>
                            <w:w w:val="100"/>
                            <w:sz w:val="15"/>
                            <w:szCs w:val="15"/>
                          </w:rPr>
                          <w:t>知</w:t>
                        </w:r>
                        <w:r>
                          <w:rPr>
                            <w:rFonts w:ascii="宋体" w:hAnsi="宋体" w:cs="宋体" w:eastAsia="宋体" w:hint="default"/>
                            <w:spacing w:val="-77"/>
                            <w:w w:val="100"/>
                            <w:sz w:val="15"/>
                            <w:szCs w:val="15"/>
                          </w:rPr>
                          <w:t>》</w:t>
                        </w:r>
                        <w:r>
                          <w:rPr>
                            <w:rFonts w:ascii="宋体" w:hAnsi="宋体" w:cs="宋体" w:eastAsia="宋体" w:hint="default"/>
                            <w:spacing w:val="-3"/>
                            <w:w w:val="100"/>
                            <w:sz w:val="15"/>
                            <w:szCs w:val="15"/>
                          </w:rPr>
                          <w:t>（</w:t>
                        </w:r>
                        <w:r>
                          <w:rPr>
                            <w:rFonts w:ascii="宋体" w:hAnsi="宋体" w:cs="宋体" w:eastAsia="宋体" w:hint="default"/>
                            <w:w w:val="100"/>
                            <w:sz w:val="15"/>
                            <w:szCs w:val="15"/>
                          </w:rPr>
                          <w:t>沪</w:t>
                        </w:r>
                        <w:r>
                          <w:rPr>
                            <w:rFonts w:ascii="宋体" w:hAnsi="宋体" w:cs="宋体" w:eastAsia="宋体" w:hint="default"/>
                            <w:spacing w:val="-3"/>
                            <w:w w:val="100"/>
                            <w:sz w:val="15"/>
                            <w:szCs w:val="15"/>
                          </w:rPr>
                          <w:t>商</w:t>
                        </w:r>
                        <w:r>
                          <w:rPr>
                            <w:rFonts w:ascii="宋体" w:hAnsi="宋体" w:cs="宋体" w:eastAsia="宋体" w:hint="default"/>
                            <w:w w:val="100"/>
                            <w:sz w:val="15"/>
                            <w:szCs w:val="15"/>
                          </w:rPr>
                          <w:t>服</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64</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pacing w:val="2"/>
                            <w:sz w:val="15"/>
                            <w:szCs w:val="15"/>
                          </w:rPr>
                          <w:t> </w:t>
                        </w:r>
                        <w:r>
                          <w:rPr>
                            <w:rFonts w:ascii="宋体" w:hAnsi="宋体" w:cs="宋体" w:eastAsia="宋体" w:hint="default"/>
                            <w:spacing w:val="-3"/>
                            <w:w w:val="100"/>
                            <w:sz w:val="15"/>
                            <w:szCs w:val="15"/>
                          </w:rPr>
                          <w:t>号</w:t>
                        </w:r>
                        <w:r>
                          <w:rPr>
                            <w:rFonts w:ascii="宋体" w:hAnsi="宋体" w:cs="宋体" w:eastAsia="宋体" w:hint="default"/>
                            <w:w w:val="100"/>
                            <w:sz w:val="15"/>
                            <w:szCs w:val="15"/>
                          </w:rPr>
                          <w:t>收</w:t>
                        </w:r>
                        <w:r>
                          <w:rPr>
                            <w:rFonts w:ascii="宋体" w:hAnsi="宋体" w:cs="宋体" w:eastAsia="宋体" w:hint="default"/>
                            <w:spacing w:val="-3"/>
                            <w:w w:val="100"/>
                            <w:sz w:val="15"/>
                            <w:szCs w:val="15"/>
                          </w:rPr>
                          <w:t>到</w:t>
                        </w:r>
                        <w:r>
                          <w:rPr>
                            <w:rFonts w:ascii="宋体" w:hAnsi="宋体" w:cs="宋体" w:eastAsia="宋体" w:hint="default"/>
                            <w:w w:val="100"/>
                            <w:sz w:val="15"/>
                            <w:szCs w:val="15"/>
                          </w:rPr>
                          <w:t>的</w:t>
                        </w:r>
                        <w:r>
                          <w:rPr>
                            <w:rFonts w:ascii="宋体" w:hAnsi="宋体" w:cs="宋体" w:eastAsia="宋体" w:hint="default"/>
                            <w:spacing w:val="-39"/>
                            <w:sz w:val="15"/>
                            <w:szCs w:val="15"/>
                          </w:rPr>
                          <w:t> </w:t>
                        </w:r>
                        <w:r>
                          <w:rPr>
                            <w:rFonts w:ascii="Times New Roman" w:hAnsi="Times New Roman" w:cs="Times New Roman" w:eastAsia="Times New Roman" w:hint="default"/>
                            <w:spacing w:val="-2"/>
                            <w:w w:val="100"/>
                            <w:sz w:val="15"/>
                            <w:szCs w:val="15"/>
                          </w:rPr>
                          <w:t>2</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spacing w:val="-2"/>
                            <w:w w:val="100"/>
                            <w:sz w:val="15"/>
                            <w:szCs w:val="15"/>
                          </w:rPr>
                          <w:t>1</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z w:val="15"/>
                            <w:szCs w:val="15"/>
                          </w:rPr>
                          <w:t> </w:t>
                        </w:r>
                        <w:r>
                          <w:rPr>
                            <w:rFonts w:ascii="宋体" w:hAnsi="宋体" w:cs="宋体" w:eastAsia="宋体" w:hint="default"/>
                            <w:w w:val="100"/>
                            <w:sz w:val="15"/>
                            <w:szCs w:val="15"/>
                          </w:rPr>
                          <w:t>年度</w:t>
                        </w:r>
                      </w:p>
                    </w:tc>
                  </w:tr>
                  <w:tr>
                    <w:trPr>
                      <w:trHeight w:val="190"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68" w:lineRule="exact"/>
                          <w:ind w:left="391" w:right="0"/>
                          <w:jc w:val="left"/>
                          <w:rPr>
                            <w:rFonts w:ascii="宋体" w:hAnsi="宋体" w:cs="宋体" w:eastAsia="宋体" w:hint="default"/>
                            <w:sz w:val="15"/>
                            <w:szCs w:val="15"/>
                          </w:rPr>
                        </w:pPr>
                        <w:r>
                          <w:rPr>
                            <w:rFonts w:ascii="宋体" w:hAnsi="宋体" w:cs="宋体" w:eastAsia="宋体" w:hint="default"/>
                            <w:sz w:val="15"/>
                            <w:szCs w:val="15"/>
                          </w:rPr>
                          <w:t>市服务贸易发展专项资金</w:t>
                        </w:r>
                      </w:p>
                    </w:tc>
                  </w:tr>
                  <w:tr>
                    <w:trPr>
                      <w:trHeight w:val="39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技术出口贴息</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1,023,500.00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1" w:type="dxa"/>
                        <w:tcBorders>
                          <w:top w:val="nil" w:sz="6" w:space="0" w:color="auto"/>
                          <w:left w:val="nil" w:sz="6" w:space="0" w:color="auto"/>
                          <w:bottom w:val="nil" w:sz="6" w:space="0" w:color="auto"/>
                          <w:right w:val="nil" w:sz="6" w:space="0" w:color="auto"/>
                        </w:tcBorders>
                      </w:tcPr>
                      <w:p>
                        <w:pPr>
                          <w:pStyle w:val="TableParagraph"/>
                          <w:spacing w:line="177" w:lineRule="exact"/>
                          <w:ind w:left="391" w:right="0"/>
                          <w:jc w:val="left"/>
                          <w:rPr>
                            <w:rFonts w:ascii="宋体" w:hAnsi="宋体" w:cs="宋体" w:eastAsia="宋体" w:hint="default"/>
                            <w:sz w:val="15"/>
                            <w:szCs w:val="15"/>
                          </w:rPr>
                        </w:pPr>
                        <w:r>
                          <w:rPr>
                            <w:rFonts w:ascii="宋体" w:hAnsi="宋体" w:cs="宋体" w:eastAsia="宋体" w:hint="default"/>
                            <w:w w:val="100"/>
                            <w:sz w:val="15"/>
                            <w:szCs w:val="15"/>
                          </w:rPr>
                          <w:t>系根</w:t>
                        </w:r>
                        <w:r>
                          <w:rPr>
                            <w:rFonts w:ascii="宋体" w:hAnsi="宋体" w:cs="宋体" w:eastAsia="宋体" w:hint="default"/>
                            <w:spacing w:val="-3"/>
                            <w:w w:val="100"/>
                            <w:sz w:val="15"/>
                            <w:szCs w:val="15"/>
                          </w:rPr>
                          <w:t>据</w:t>
                        </w:r>
                        <w:r>
                          <w:rPr>
                            <w:rFonts w:ascii="宋体" w:hAnsi="宋体" w:cs="宋体" w:eastAsia="宋体" w:hint="default"/>
                            <w:w w:val="100"/>
                            <w:sz w:val="15"/>
                            <w:szCs w:val="15"/>
                          </w:rPr>
                          <w:t>财</w:t>
                        </w:r>
                        <w:r>
                          <w:rPr>
                            <w:rFonts w:ascii="宋体" w:hAnsi="宋体" w:cs="宋体" w:eastAsia="宋体" w:hint="default"/>
                            <w:spacing w:val="-3"/>
                            <w:w w:val="100"/>
                            <w:sz w:val="15"/>
                            <w:szCs w:val="15"/>
                          </w:rPr>
                          <w:t>政</w:t>
                        </w:r>
                        <w:r>
                          <w:rPr>
                            <w:rFonts w:ascii="宋体" w:hAnsi="宋体" w:cs="宋体" w:eastAsia="宋体" w:hint="default"/>
                            <w:w w:val="100"/>
                            <w:sz w:val="15"/>
                            <w:szCs w:val="15"/>
                          </w:rPr>
                          <w:t>部</w:t>
                        </w:r>
                        <w:r>
                          <w:rPr>
                            <w:rFonts w:ascii="宋体" w:hAnsi="宋体" w:cs="宋体" w:eastAsia="宋体" w:hint="default"/>
                            <w:spacing w:val="-3"/>
                            <w:w w:val="100"/>
                            <w:sz w:val="15"/>
                            <w:szCs w:val="15"/>
                          </w:rPr>
                          <w:t>文</w:t>
                        </w:r>
                        <w:r>
                          <w:rPr>
                            <w:rFonts w:ascii="宋体" w:hAnsi="宋体" w:cs="宋体" w:eastAsia="宋体" w:hint="default"/>
                            <w:spacing w:val="-39"/>
                            <w:w w:val="100"/>
                            <w:sz w:val="15"/>
                            <w:szCs w:val="15"/>
                          </w:rPr>
                          <w:t>件</w:t>
                        </w:r>
                        <w:r>
                          <w:rPr>
                            <w:rFonts w:ascii="宋体" w:hAnsi="宋体" w:cs="宋体" w:eastAsia="宋体" w:hint="default"/>
                            <w:spacing w:val="-3"/>
                            <w:w w:val="100"/>
                            <w:sz w:val="15"/>
                            <w:szCs w:val="15"/>
                          </w:rPr>
                          <w:t>（</w:t>
                        </w:r>
                        <w:r>
                          <w:rPr>
                            <w:rFonts w:ascii="宋体" w:hAnsi="宋体" w:cs="宋体" w:eastAsia="宋体" w:hint="default"/>
                            <w:w w:val="100"/>
                            <w:sz w:val="15"/>
                            <w:szCs w:val="15"/>
                          </w:rPr>
                          <w:t>财</w:t>
                        </w:r>
                        <w:r>
                          <w:rPr>
                            <w:rFonts w:ascii="宋体" w:hAnsi="宋体" w:cs="宋体" w:eastAsia="宋体" w:hint="default"/>
                            <w:spacing w:val="-3"/>
                            <w:w w:val="100"/>
                            <w:sz w:val="15"/>
                            <w:szCs w:val="15"/>
                          </w:rPr>
                          <w:t>企</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201</w:t>
                        </w:r>
                        <w:r>
                          <w:rPr>
                            <w:rFonts w:ascii="Times New Roman" w:hAnsi="Times New Roman" w:cs="Times New Roman" w:eastAsia="Times New Roman" w:hint="default"/>
                            <w:spacing w:val="1"/>
                            <w:w w:val="100"/>
                            <w:sz w:val="15"/>
                            <w:szCs w:val="15"/>
                          </w:rPr>
                          <w:t>0</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24</w:t>
                        </w:r>
                        <w:r>
                          <w:rPr>
                            <w:rFonts w:ascii="Times New Roman" w:hAnsi="Times New Roman" w:cs="Times New Roman" w:eastAsia="Times New Roman" w:hint="default"/>
                            <w:w w:val="100"/>
                            <w:sz w:val="15"/>
                            <w:szCs w:val="15"/>
                          </w:rPr>
                          <w:t>6</w:t>
                        </w:r>
                        <w:r>
                          <w:rPr>
                            <w:rFonts w:ascii="Times New Roman" w:hAnsi="Times New Roman" w:cs="Times New Roman" w:eastAsia="Times New Roman" w:hint="default"/>
                            <w:sz w:val="15"/>
                            <w:szCs w:val="15"/>
                          </w:rPr>
                          <w:t> </w:t>
                        </w:r>
                        <w:r>
                          <w:rPr>
                            <w:rFonts w:ascii="宋体" w:hAnsi="宋体" w:cs="宋体" w:eastAsia="宋体" w:hint="default"/>
                            <w:spacing w:val="-3"/>
                            <w:w w:val="100"/>
                            <w:sz w:val="15"/>
                            <w:szCs w:val="15"/>
                          </w:rPr>
                          <w:t>号</w:t>
                        </w:r>
                        <w:r>
                          <w:rPr>
                            <w:rFonts w:ascii="宋体" w:hAnsi="宋体" w:cs="宋体" w:eastAsia="宋体" w:hint="default"/>
                            <w:spacing w:val="-113"/>
                            <w:w w:val="100"/>
                            <w:sz w:val="15"/>
                            <w:szCs w:val="15"/>
                          </w:rPr>
                          <w:t>）</w:t>
                        </w:r>
                        <w:r>
                          <w:rPr>
                            <w:rFonts w:ascii="宋体" w:hAnsi="宋体" w:cs="宋体" w:eastAsia="宋体" w:hint="default"/>
                            <w:spacing w:val="-3"/>
                            <w:w w:val="100"/>
                            <w:sz w:val="15"/>
                            <w:szCs w:val="15"/>
                          </w:rPr>
                          <w:t>“</w:t>
                        </w:r>
                        <w:r>
                          <w:rPr>
                            <w:rFonts w:ascii="宋体" w:hAnsi="宋体" w:cs="宋体" w:eastAsia="宋体" w:hint="default"/>
                            <w:w w:val="100"/>
                            <w:sz w:val="15"/>
                            <w:szCs w:val="15"/>
                          </w:rPr>
                          <w:t>财</w:t>
                        </w:r>
                      </w:p>
                      <w:p>
                        <w:pPr>
                          <w:pStyle w:val="TableParagraph"/>
                          <w:spacing w:line="201" w:lineRule="exact"/>
                          <w:ind w:left="391" w:right="0"/>
                          <w:jc w:val="left"/>
                          <w:rPr>
                            <w:rFonts w:ascii="宋体" w:hAnsi="宋体" w:cs="宋体" w:eastAsia="宋体" w:hint="default"/>
                            <w:sz w:val="15"/>
                            <w:szCs w:val="15"/>
                          </w:rPr>
                        </w:pPr>
                        <w:r>
                          <w:rPr>
                            <w:rFonts w:ascii="宋体" w:hAnsi="宋体" w:cs="宋体" w:eastAsia="宋体" w:hint="default"/>
                            <w:sz w:val="15"/>
                            <w:szCs w:val="15"/>
                          </w:rPr>
                          <w:t>政部关于拨付</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年度技术出口贴息资金</w:t>
                        </w:r>
                      </w:p>
                    </w:tc>
                  </w:tr>
                  <w:tr>
                    <w:trPr>
                      <w:trHeight w:val="188"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73" w:lineRule="exact"/>
                          <w:ind w:left="391" w:right="0"/>
                          <w:jc w:val="left"/>
                          <w:rPr>
                            <w:rFonts w:ascii="宋体" w:hAnsi="宋体" w:cs="宋体" w:eastAsia="宋体" w:hint="default"/>
                            <w:sz w:val="15"/>
                            <w:szCs w:val="15"/>
                          </w:rPr>
                        </w:pPr>
                        <w:r>
                          <w:rPr>
                            <w:rFonts w:ascii="宋体" w:hAnsi="宋体" w:cs="宋体" w:eastAsia="宋体" w:hint="default"/>
                            <w:sz w:val="15"/>
                            <w:szCs w:val="15"/>
                          </w:rPr>
                          <w:t>的通知”收到的</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年度技术出口贴息</w:t>
                        </w:r>
                      </w:p>
                    </w:tc>
                  </w:tr>
                  <w:tr>
                    <w:trPr>
                      <w:trHeight w:val="190"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68" w:lineRule="exact"/>
                          <w:ind w:left="391" w:right="0"/>
                          <w:jc w:val="left"/>
                          <w:rPr>
                            <w:rFonts w:ascii="宋体" w:hAnsi="宋体" w:cs="宋体" w:eastAsia="宋体" w:hint="default"/>
                            <w:sz w:val="15"/>
                            <w:szCs w:val="15"/>
                          </w:rPr>
                        </w:pPr>
                        <w:r>
                          <w:rPr>
                            <w:rFonts w:ascii="宋体" w:hAnsi="宋体" w:cs="宋体" w:eastAsia="宋体" w:hint="default"/>
                            <w:sz w:val="15"/>
                            <w:szCs w:val="15"/>
                          </w:rPr>
                          <w:t>系根据上海市商务委员会、上海市发展与</w:t>
                        </w:r>
                      </w:p>
                    </w:tc>
                  </w:tr>
                  <w:tr>
                    <w:trPr>
                      <w:trHeight w:val="401"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服务外包专项资金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495,000.00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1" w:type="dxa"/>
                        <w:tcBorders>
                          <w:top w:val="nil" w:sz="6" w:space="0" w:color="auto"/>
                          <w:left w:val="nil" w:sz="6" w:space="0" w:color="auto"/>
                          <w:bottom w:val="nil" w:sz="6" w:space="0" w:color="auto"/>
                          <w:right w:val="nil" w:sz="6" w:space="0" w:color="auto"/>
                        </w:tcBorders>
                      </w:tcPr>
                      <w:p>
                        <w:pPr>
                          <w:pStyle w:val="TableParagraph"/>
                          <w:spacing w:line="178" w:lineRule="exact"/>
                          <w:ind w:left="391" w:right="0"/>
                          <w:jc w:val="left"/>
                          <w:rPr>
                            <w:rFonts w:ascii="Times New Roman" w:hAnsi="Times New Roman" w:cs="Times New Roman" w:eastAsia="Times New Roman" w:hint="default"/>
                            <w:sz w:val="15"/>
                            <w:szCs w:val="15"/>
                          </w:rPr>
                        </w:pPr>
                        <w:r>
                          <w:rPr>
                            <w:rFonts w:ascii="宋体" w:hAnsi="宋体" w:cs="宋体" w:eastAsia="宋体" w:hint="default"/>
                            <w:w w:val="100"/>
                            <w:sz w:val="15"/>
                            <w:szCs w:val="15"/>
                          </w:rPr>
                          <w:t>改革</w:t>
                        </w:r>
                        <w:r>
                          <w:rPr>
                            <w:rFonts w:ascii="宋体" w:hAnsi="宋体" w:cs="宋体" w:eastAsia="宋体" w:hint="default"/>
                            <w:spacing w:val="-3"/>
                            <w:w w:val="100"/>
                            <w:sz w:val="15"/>
                            <w:szCs w:val="15"/>
                          </w:rPr>
                          <w:t>委</w:t>
                        </w:r>
                        <w:r>
                          <w:rPr>
                            <w:rFonts w:ascii="宋体" w:hAnsi="宋体" w:cs="宋体" w:eastAsia="宋体" w:hint="default"/>
                            <w:w w:val="100"/>
                            <w:sz w:val="15"/>
                            <w:szCs w:val="15"/>
                          </w:rPr>
                          <w:t>员</w:t>
                        </w:r>
                        <w:r>
                          <w:rPr>
                            <w:rFonts w:ascii="宋体" w:hAnsi="宋体" w:cs="宋体" w:eastAsia="宋体" w:hint="default"/>
                            <w:spacing w:val="-3"/>
                            <w:w w:val="100"/>
                            <w:sz w:val="15"/>
                            <w:szCs w:val="15"/>
                          </w:rPr>
                          <w:t>会</w:t>
                        </w:r>
                        <w:r>
                          <w:rPr>
                            <w:rFonts w:ascii="宋体" w:hAnsi="宋体" w:cs="宋体" w:eastAsia="宋体" w:hint="default"/>
                            <w:spacing w:val="-65"/>
                            <w:w w:val="100"/>
                            <w:sz w:val="15"/>
                            <w:szCs w:val="15"/>
                          </w:rPr>
                          <w:t>、</w:t>
                        </w:r>
                        <w:r>
                          <w:rPr>
                            <w:rFonts w:ascii="宋体" w:hAnsi="宋体" w:cs="宋体" w:eastAsia="宋体" w:hint="default"/>
                            <w:w w:val="100"/>
                            <w:sz w:val="15"/>
                            <w:szCs w:val="15"/>
                          </w:rPr>
                          <w:t>上</w:t>
                        </w:r>
                        <w:r>
                          <w:rPr>
                            <w:rFonts w:ascii="宋体" w:hAnsi="宋体" w:cs="宋体" w:eastAsia="宋体" w:hint="default"/>
                            <w:spacing w:val="-3"/>
                            <w:w w:val="100"/>
                            <w:sz w:val="15"/>
                            <w:szCs w:val="15"/>
                          </w:rPr>
                          <w:t>海</w:t>
                        </w:r>
                        <w:r>
                          <w:rPr>
                            <w:rFonts w:ascii="宋体" w:hAnsi="宋体" w:cs="宋体" w:eastAsia="宋体" w:hint="default"/>
                            <w:w w:val="100"/>
                            <w:sz w:val="15"/>
                            <w:szCs w:val="15"/>
                          </w:rPr>
                          <w:t>市</w:t>
                        </w:r>
                        <w:r>
                          <w:rPr>
                            <w:rFonts w:ascii="宋体" w:hAnsi="宋体" w:cs="宋体" w:eastAsia="宋体" w:hint="default"/>
                            <w:spacing w:val="-3"/>
                            <w:w w:val="100"/>
                            <w:sz w:val="15"/>
                            <w:szCs w:val="15"/>
                          </w:rPr>
                          <w:t>财</w:t>
                        </w:r>
                        <w:r>
                          <w:rPr>
                            <w:rFonts w:ascii="宋体" w:hAnsi="宋体" w:cs="宋体" w:eastAsia="宋体" w:hint="default"/>
                            <w:w w:val="100"/>
                            <w:sz w:val="15"/>
                            <w:szCs w:val="15"/>
                          </w:rPr>
                          <w:t>政</w:t>
                        </w:r>
                        <w:r>
                          <w:rPr>
                            <w:rFonts w:ascii="宋体" w:hAnsi="宋体" w:cs="宋体" w:eastAsia="宋体" w:hint="default"/>
                            <w:spacing w:val="-65"/>
                            <w:w w:val="100"/>
                            <w:sz w:val="15"/>
                            <w:szCs w:val="15"/>
                          </w:rPr>
                          <w:t>局</w:t>
                        </w:r>
                        <w:r>
                          <w:rPr>
                            <w:rFonts w:ascii="宋体" w:hAnsi="宋体" w:cs="宋体" w:eastAsia="宋体" w:hint="default"/>
                            <w:spacing w:val="-3"/>
                            <w:w w:val="100"/>
                            <w:sz w:val="15"/>
                            <w:szCs w:val="15"/>
                          </w:rPr>
                          <w:t>《</w:t>
                        </w:r>
                        <w:r>
                          <w:rPr>
                            <w:rFonts w:ascii="宋体" w:hAnsi="宋体" w:cs="宋体" w:eastAsia="宋体" w:hint="default"/>
                            <w:w w:val="100"/>
                            <w:sz w:val="15"/>
                            <w:szCs w:val="15"/>
                          </w:rPr>
                          <w:t>关</w:t>
                        </w:r>
                        <w:r>
                          <w:rPr>
                            <w:rFonts w:ascii="宋体" w:hAnsi="宋体" w:cs="宋体" w:eastAsia="宋体" w:hint="default"/>
                            <w:spacing w:val="-3"/>
                            <w:w w:val="100"/>
                            <w:sz w:val="15"/>
                            <w:szCs w:val="15"/>
                          </w:rPr>
                          <w:t>于做</w:t>
                        </w:r>
                        <w:r>
                          <w:rPr>
                            <w:rFonts w:ascii="宋体" w:hAnsi="宋体" w:cs="宋体" w:eastAsia="宋体" w:hint="default"/>
                            <w:w w:val="100"/>
                            <w:sz w:val="15"/>
                            <w:szCs w:val="15"/>
                          </w:rPr>
                          <w:t>好</w:t>
                        </w:r>
                        <w:r>
                          <w:rPr>
                            <w:rFonts w:ascii="宋体" w:hAnsi="宋体" w:cs="宋体" w:eastAsia="宋体" w:hint="default"/>
                            <w:spacing w:val="-39"/>
                            <w:sz w:val="15"/>
                            <w:szCs w:val="15"/>
                          </w:rPr>
                          <w:t> </w:t>
                        </w:r>
                        <w:r>
                          <w:rPr>
                            <w:rFonts w:ascii="Times New Roman" w:hAnsi="Times New Roman" w:cs="Times New Roman" w:eastAsia="Times New Roman" w:hint="default"/>
                            <w:spacing w:val="1"/>
                            <w:w w:val="100"/>
                            <w:sz w:val="15"/>
                            <w:szCs w:val="15"/>
                          </w:rPr>
                          <w:t>2</w:t>
                        </w:r>
                        <w:r>
                          <w:rPr>
                            <w:rFonts w:ascii="Times New Roman" w:hAnsi="Times New Roman" w:cs="Times New Roman" w:eastAsia="Times New Roman" w:hint="default"/>
                            <w:spacing w:val="-2"/>
                            <w:w w:val="100"/>
                            <w:sz w:val="15"/>
                            <w:szCs w:val="15"/>
                          </w:rPr>
                          <w:t>01</w:t>
                        </w:r>
                        <w:r>
                          <w:rPr>
                            <w:rFonts w:ascii="Times New Roman" w:hAnsi="Times New Roman" w:cs="Times New Roman" w:eastAsia="Times New Roman" w:hint="default"/>
                            <w:w w:val="100"/>
                            <w:sz w:val="15"/>
                            <w:szCs w:val="15"/>
                          </w:rPr>
                          <w:t>0</w:t>
                        </w:r>
                      </w:p>
                      <w:p>
                        <w:pPr>
                          <w:pStyle w:val="TableParagraph"/>
                          <w:spacing w:line="191" w:lineRule="exact"/>
                          <w:ind w:left="391" w:right="0"/>
                          <w:jc w:val="left"/>
                          <w:rPr>
                            <w:rFonts w:ascii="宋体" w:hAnsi="宋体" w:cs="宋体" w:eastAsia="宋体" w:hint="default"/>
                            <w:sz w:val="15"/>
                            <w:szCs w:val="15"/>
                          </w:rPr>
                        </w:pPr>
                        <w:r>
                          <w:rPr>
                            <w:rFonts w:ascii="宋体" w:hAnsi="宋体" w:cs="宋体" w:eastAsia="宋体" w:hint="default"/>
                            <w:sz w:val="15"/>
                            <w:szCs w:val="15"/>
                          </w:rPr>
                          <w:t>年度促进服务外包发展专项资金申报工作</w:t>
                        </w:r>
                      </w:p>
                    </w:tc>
                  </w:tr>
                  <w:tr>
                    <w:trPr>
                      <w:trHeight w:val="189"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75" w:lineRule="exact"/>
                          <w:ind w:left="391" w:right="0"/>
                          <w:jc w:val="left"/>
                          <w:rPr>
                            <w:rFonts w:ascii="宋体" w:hAnsi="宋体" w:cs="宋体" w:eastAsia="宋体" w:hint="default"/>
                            <w:sz w:val="15"/>
                            <w:szCs w:val="15"/>
                          </w:rPr>
                        </w:pPr>
                        <w:r>
                          <w:rPr>
                            <w:rFonts w:ascii="宋体" w:hAnsi="宋体" w:cs="宋体" w:eastAsia="宋体" w:hint="default"/>
                            <w:w w:val="100"/>
                            <w:sz w:val="15"/>
                            <w:szCs w:val="15"/>
                          </w:rPr>
                          <w:t>通</w:t>
                        </w:r>
                        <w:r>
                          <w:rPr>
                            <w:rFonts w:ascii="宋体" w:hAnsi="宋体" w:cs="宋体" w:eastAsia="宋体" w:hint="default"/>
                            <w:spacing w:val="-3"/>
                            <w:w w:val="100"/>
                            <w:sz w:val="15"/>
                            <w:szCs w:val="15"/>
                          </w:rPr>
                          <w:t>知</w:t>
                        </w:r>
                        <w:r>
                          <w:rPr>
                            <w:rFonts w:ascii="宋体" w:hAnsi="宋体" w:cs="宋体" w:eastAsia="宋体" w:hint="default"/>
                            <w:spacing w:val="-77"/>
                            <w:w w:val="100"/>
                            <w:sz w:val="15"/>
                            <w:szCs w:val="15"/>
                          </w:rPr>
                          <w:t>》</w:t>
                        </w:r>
                        <w:r>
                          <w:rPr>
                            <w:rFonts w:ascii="宋体" w:hAnsi="宋体" w:cs="宋体" w:eastAsia="宋体" w:hint="default"/>
                            <w:w w:val="100"/>
                            <w:sz w:val="15"/>
                            <w:szCs w:val="15"/>
                          </w:rPr>
                          <w:t>（</w:t>
                        </w:r>
                        <w:r>
                          <w:rPr>
                            <w:rFonts w:ascii="宋体" w:hAnsi="宋体" w:cs="宋体" w:eastAsia="宋体" w:hint="default"/>
                            <w:spacing w:val="-3"/>
                            <w:w w:val="100"/>
                            <w:sz w:val="15"/>
                            <w:szCs w:val="15"/>
                          </w:rPr>
                          <w:t>沪</w:t>
                        </w:r>
                        <w:r>
                          <w:rPr>
                            <w:rFonts w:ascii="宋体" w:hAnsi="宋体" w:cs="宋体" w:eastAsia="宋体" w:hint="default"/>
                            <w:w w:val="100"/>
                            <w:sz w:val="15"/>
                            <w:szCs w:val="15"/>
                          </w:rPr>
                          <w:t>商服</w:t>
                        </w:r>
                        <w:r>
                          <w:rPr>
                            <w:rFonts w:ascii="Times New Roman" w:hAnsi="Times New Roman" w:cs="Times New Roman" w:eastAsia="Times New Roman" w:hint="default"/>
                            <w:spacing w:val="-3"/>
                            <w:w w:val="100"/>
                            <w:sz w:val="15"/>
                            <w:szCs w:val="15"/>
                          </w:rPr>
                          <w:t>[</w:t>
                        </w:r>
                        <w:r>
                          <w:rPr>
                            <w:rFonts w:ascii="Times New Roman" w:hAnsi="Times New Roman" w:cs="Times New Roman" w:eastAsia="Times New Roman" w:hint="default"/>
                            <w:spacing w:val="-2"/>
                            <w:w w:val="100"/>
                            <w:sz w:val="15"/>
                            <w:szCs w:val="15"/>
                          </w:rPr>
                          <w:t>20</w:t>
                        </w:r>
                        <w:r>
                          <w:rPr>
                            <w:rFonts w:ascii="Times New Roman" w:hAnsi="Times New Roman" w:cs="Times New Roman" w:eastAsia="Times New Roman" w:hint="default"/>
                            <w:spacing w:val="1"/>
                            <w:w w:val="100"/>
                            <w:sz w:val="15"/>
                            <w:szCs w:val="15"/>
                          </w:rPr>
                          <w:t>1</w:t>
                        </w:r>
                        <w:r>
                          <w:rPr>
                            <w:rFonts w:ascii="Times New Roman" w:hAnsi="Times New Roman" w:cs="Times New Roman" w:eastAsia="Times New Roman" w:hint="default"/>
                            <w:spacing w:val="-2"/>
                            <w:w w:val="100"/>
                            <w:sz w:val="15"/>
                            <w:szCs w:val="15"/>
                          </w:rPr>
                          <w:t>0</w:t>
                        </w:r>
                        <w:r>
                          <w:rPr>
                            <w:rFonts w:ascii="Times New Roman" w:hAnsi="Times New Roman" w:cs="Times New Roman" w:eastAsia="Times New Roman" w:hint="default"/>
                            <w:w w:val="100"/>
                            <w:sz w:val="15"/>
                            <w:szCs w:val="15"/>
                          </w:rPr>
                          <w:t>]</w:t>
                        </w:r>
                        <w:r>
                          <w:rPr>
                            <w:rFonts w:ascii="Times New Roman" w:hAnsi="Times New Roman" w:cs="Times New Roman" w:eastAsia="Times New Roman" w:hint="default"/>
                            <w:spacing w:val="-2"/>
                            <w:w w:val="100"/>
                            <w:sz w:val="15"/>
                            <w:szCs w:val="15"/>
                          </w:rPr>
                          <w:t>64</w:t>
                        </w:r>
                        <w:r>
                          <w:rPr>
                            <w:rFonts w:ascii="Times New Roman" w:hAnsi="Times New Roman" w:cs="Times New Roman" w:eastAsia="Times New Roman" w:hint="default"/>
                            <w:w w:val="100"/>
                            <w:sz w:val="15"/>
                            <w:szCs w:val="15"/>
                          </w:rPr>
                          <w:t>7</w:t>
                        </w:r>
                        <w:r>
                          <w:rPr>
                            <w:rFonts w:ascii="Times New Roman" w:hAnsi="Times New Roman" w:cs="Times New Roman" w:eastAsia="Times New Roman" w:hint="default"/>
                            <w:sz w:val="15"/>
                            <w:szCs w:val="15"/>
                          </w:rPr>
                          <w:t> </w:t>
                        </w:r>
                        <w:r>
                          <w:rPr>
                            <w:rFonts w:ascii="宋体" w:hAnsi="宋体" w:cs="宋体" w:eastAsia="宋体" w:hint="default"/>
                            <w:w w:val="100"/>
                            <w:sz w:val="15"/>
                            <w:szCs w:val="15"/>
                          </w:rPr>
                          <w:t>号</w:t>
                        </w:r>
                        <w:r>
                          <w:rPr>
                            <w:rFonts w:ascii="宋体" w:hAnsi="宋体" w:cs="宋体" w:eastAsia="宋体" w:hint="default"/>
                            <w:spacing w:val="-3"/>
                            <w:w w:val="100"/>
                            <w:sz w:val="15"/>
                            <w:szCs w:val="15"/>
                          </w:rPr>
                          <w:t>收到</w:t>
                        </w:r>
                        <w:r>
                          <w:rPr>
                            <w:rFonts w:ascii="宋体" w:hAnsi="宋体" w:cs="宋体" w:eastAsia="宋体" w:hint="default"/>
                            <w:w w:val="100"/>
                            <w:sz w:val="15"/>
                            <w:szCs w:val="15"/>
                          </w:rPr>
                          <w:t>的</w:t>
                        </w:r>
                        <w:r>
                          <w:rPr>
                            <w:rFonts w:ascii="宋体" w:hAnsi="宋体" w:cs="宋体" w:eastAsia="宋体" w:hint="default"/>
                            <w:spacing w:val="-37"/>
                            <w:sz w:val="15"/>
                            <w:szCs w:val="15"/>
                          </w:rPr>
                          <w:t> </w:t>
                        </w:r>
                        <w:r>
                          <w:rPr>
                            <w:rFonts w:ascii="Times New Roman" w:hAnsi="Times New Roman" w:cs="Times New Roman" w:eastAsia="Times New Roman" w:hint="default"/>
                            <w:spacing w:val="-2"/>
                            <w:w w:val="100"/>
                            <w:sz w:val="15"/>
                            <w:szCs w:val="15"/>
                          </w:rPr>
                          <w:t>201</w:t>
                        </w:r>
                        <w:r>
                          <w:rPr>
                            <w:rFonts w:ascii="Times New Roman" w:hAnsi="Times New Roman" w:cs="Times New Roman" w:eastAsia="Times New Roman" w:hint="default"/>
                            <w:w w:val="100"/>
                            <w:sz w:val="15"/>
                            <w:szCs w:val="15"/>
                          </w:rPr>
                          <w:t>0</w:t>
                        </w:r>
                        <w:r>
                          <w:rPr>
                            <w:rFonts w:ascii="Times New Roman" w:hAnsi="Times New Roman" w:cs="Times New Roman" w:eastAsia="Times New Roman" w:hint="default"/>
                            <w:spacing w:val="2"/>
                            <w:sz w:val="15"/>
                            <w:szCs w:val="15"/>
                          </w:rPr>
                          <w:t> </w:t>
                        </w:r>
                        <w:r>
                          <w:rPr>
                            <w:rFonts w:ascii="宋体" w:hAnsi="宋体" w:cs="宋体" w:eastAsia="宋体" w:hint="default"/>
                            <w:w w:val="100"/>
                            <w:sz w:val="15"/>
                            <w:szCs w:val="15"/>
                          </w:rPr>
                          <w:t>年</w:t>
                        </w:r>
                      </w:p>
                    </w:tc>
                  </w:tr>
                  <w:tr>
                    <w:trPr>
                      <w:trHeight w:val="190"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68" w:lineRule="exact"/>
                          <w:ind w:left="391" w:right="0"/>
                          <w:jc w:val="left"/>
                          <w:rPr>
                            <w:rFonts w:ascii="宋体" w:hAnsi="宋体" w:cs="宋体" w:eastAsia="宋体" w:hint="default"/>
                            <w:sz w:val="15"/>
                            <w:szCs w:val="15"/>
                          </w:rPr>
                        </w:pPr>
                        <w:r>
                          <w:rPr>
                            <w:rFonts w:ascii="宋体" w:hAnsi="宋体" w:cs="宋体" w:eastAsia="宋体" w:hint="default"/>
                            <w:sz w:val="15"/>
                            <w:szCs w:val="15"/>
                          </w:rPr>
                          <w:t>度促进市服务外包发展专项资金</w:t>
                        </w:r>
                      </w:p>
                    </w:tc>
                  </w:tr>
                  <w:tr>
                    <w:trPr>
                      <w:trHeight w:val="187" w:hRule="exact"/>
                    </w:trPr>
                    <w:tc>
                      <w:tcPr>
                        <w:tcW w:w="276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271" w:type="dxa"/>
                        <w:tcBorders>
                          <w:top w:val="nil" w:sz="6" w:space="0" w:color="auto"/>
                          <w:left w:val="nil" w:sz="6" w:space="0" w:color="auto"/>
                          <w:bottom w:val="nil" w:sz="6" w:space="0" w:color="auto"/>
                          <w:right w:val="nil" w:sz="6" w:space="0" w:color="auto"/>
                        </w:tcBorders>
                      </w:tcPr>
                      <w:p>
                        <w:pPr>
                          <w:pStyle w:val="TableParagraph"/>
                          <w:spacing w:line="173" w:lineRule="exact"/>
                          <w:ind w:left="391" w:right="0"/>
                          <w:jc w:val="left"/>
                          <w:rPr>
                            <w:rFonts w:ascii="宋体" w:hAnsi="宋体" w:cs="宋体" w:eastAsia="宋体" w:hint="default"/>
                            <w:sz w:val="15"/>
                            <w:szCs w:val="15"/>
                          </w:rPr>
                        </w:pPr>
                        <w:r>
                          <w:rPr>
                            <w:rFonts w:ascii="宋体" w:hAnsi="宋体" w:cs="宋体" w:eastAsia="宋体" w:hint="default"/>
                            <w:sz w:val="15"/>
                            <w:szCs w:val="15"/>
                          </w:rPr>
                          <w:t>系根据商务部、财政部中小企业国际市场</w:t>
                        </w:r>
                      </w:p>
                    </w:tc>
                  </w:tr>
                  <w:tr>
                    <w:trPr>
                      <w:trHeight w:val="401"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194" w:lineRule="exact"/>
                          <w:ind w:left="35" w:right="0"/>
                          <w:jc w:val="left"/>
                          <w:rPr>
                            <w:rFonts w:ascii="宋体" w:hAnsi="宋体" w:cs="宋体" w:eastAsia="宋体" w:hint="default"/>
                            <w:sz w:val="18"/>
                            <w:szCs w:val="18"/>
                          </w:rPr>
                        </w:pPr>
                        <w:r>
                          <w:rPr>
                            <w:rFonts w:ascii="宋体" w:hAnsi="宋体" w:cs="宋体" w:eastAsia="宋体" w:hint="default"/>
                            <w:sz w:val="18"/>
                            <w:szCs w:val="18"/>
                          </w:rPr>
                          <w:t>中小企业开拓资金</w:t>
                        </w:r>
                      </w:p>
                    </w:tc>
                    <w:tc>
                      <w:tcPr>
                        <w:tcW w:w="1416" w:type="dxa"/>
                        <w:tcBorders>
                          <w:top w:val="nil" w:sz="6" w:space="0" w:color="auto"/>
                          <w:left w:val="nil" w:sz="6" w:space="0" w:color="auto"/>
                          <w:bottom w:val="nil" w:sz="6" w:space="0" w:color="auto"/>
                          <w:right w:val="nil" w:sz="6" w:space="0" w:color="auto"/>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spacing w:val="-1"/>
                            <w:sz w:val="18"/>
                          </w:rPr>
                          <w:t>25,000.00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1" w:type="dxa"/>
                        <w:tcBorders>
                          <w:top w:val="nil" w:sz="6" w:space="0" w:color="auto"/>
                          <w:left w:val="nil" w:sz="6" w:space="0" w:color="auto"/>
                          <w:bottom w:val="nil" w:sz="6" w:space="0" w:color="auto"/>
                          <w:right w:val="nil" w:sz="6" w:space="0" w:color="auto"/>
                        </w:tcBorders>
                      </w:tcPr>
                      <w:p>
                        <w:pPr>
                          <w:pStyle w:val="TableParagraph"/>
                          <w:spacing w:line="194" w:lineRule="exact" w:before="4"/>
                          <w:ind w:left="391" w:right="115"/>
                          <w:jc w:val="left"/>
                          <w:rPr>
                            <w:rFonts w:ascii="宋体" w:hAnsi="宋体" w:cs="宋体" w:eastAsia="宋体" w:hint="default"/>
                            <w:sz w:val="15"/>
                            <w:szCs w:val="15"/>
                          </w:rPr>
                        </w:pPr>
                        <w:r>
                          <w:rPr>
                            <w:rFonts w:ascii="宋体" w:hAnsi="宋体" w:cs="宋体" w:eastAsia="宋体" w:hint="default"/>
                            <w:sz w:val="15"/>
                            <w:szCs w:val="15"/>
                          </w:rPr>
                          <w:t>开拓资金相关文件的要求收到的对中小企</w:t>
                        </w:r>
                        <w:r>
                          <w:rPr>
                            <w:rFonts w:ascii="宋体" w:hAnsi="宋体" w:cs="宋体" w:eastAsia="宋体" w:hint="default"/>
                            <w:spacing w:val="-24"/>
                            <w:sz w:val="15"/>
                            <w:szCs w:val="15"/>
                          </w:rPr>
                          <w:t> </w:t>
                        </w:r>
                        <w:r>
                          <w:rPr>
                            <w:rFonts w:ascii="宋体" w:hAnsi="宋体" w:cs="宋体" w:eastAsia="宋体" w:hint="default"/>
                            <w:spacing w:val="-24"/>
                            <w:sz w:val="15"/>
                            <w:szCs w:val="15"/>
                          </w:rPr>
                        </w:r>
                        <w:r>
                          <w:rPr>
                            <w:rFonts w:ascii="宋体" w:hAnsi="宋体" w:cs="宋体" w:eastAsia="宋体" w:hint="default"/>
                            <w:sz w:val="15"/>
                            <w:szCs w:val="15"/>
                          </w:rPr>
                          <w:t>业国际市场开拓资金</w:t>
                        </w:r>
                      </w:p>
                    </w:tc>
                  </w:tr>
                  <w:tr>
                    <w:trPr>
                      <w:trHeight w:val="241"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递延转入</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4,684,579.00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18"/>
                            <w:szCs w:val="18"/>
                          </w:rPr>
                        </w:pPr>
                        <w:r>
                          <w:rPr>
                            <w:rFonts w:ascii="Times New Roman"/>
                            <w:spacing w:val="-1"/>
                            <w:sz w:val="18"/>
                          </w:rPr>
                          <w:t>2,239,490.20</w:t>
                        </w:r>
                      </w:p>
                    </w:tc>
                    <w:tc>
                      <w:tcPr>
                        <w:tcW w:w="3271" w:type="dxa"/>
                        <w:tcBorders>
                          <w:top w:val="nil" w:sz="6" w:space="0" w:color="auto"/>
                          <w:left w:val="nil" w:sz="6" w:space="0" w:color="auto"/>
                          <w:bottom w:val="nil" w:sz="6" w:space="0" w:color="auto"/>
                          <w:right w:val="nil" w:sz="6" w:space="0" w:color="auto"/>
                        </w:tcBorders>
                      </w:tcPr>
                      <w:p>
                        <w:pPr/>
                      </w:p>
                    </w:tc>
                  </w:tr>
                  <w:tr>
                    <w:trPr>
                      <w:trHeight w:val="293"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pacing w:val="-1"/>
                            <w:sz w:val="18"/>
                          </w:rPr>
                          <w:t>9,386,179.00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6,850,420.20</w:t>
                        </w:r>
                      </w:p>
                    </w:tc>
                    <w:tc>
                      <w:tcPr>
                        <w:tcW w:w="327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5"/>
          <w:szCs w:val="15"/>
        </w:rPr>
        <w:t>务外包贸易发展、中小企业发展及人才项</w:t>
      </w:r>
      <w:r>
        <w:rPr>
          <w:rFonts w:ascii="宋体" w:hAnsi="宋体" w:cs="宋体" w:eastAsia="宋体" w:hint="default"/>
          <w:spacing w:val="-24"/>
          <w:sz w:val="15"/>
          <w:szCs w:val="15"/>
        </w:rPr>
        <w:t> </w:t>
      </w:r>
      <w:r>
        <w:rPr>
          <w:rFonts w:ascii="宋体" w:hAnsi="宋体" w:cs="宋体" w:eastAsia="宋体" w:hint="default"/>
          <w:spacing w:val="-24"/>
          <w:sz w:val="15"/>
          <w:szCs w:val="15"/>
        </w:rPr>
      </w:r>
      <w:r>
        <w:rPr>
          <w:rFonts w:ascii="宋体" w:hAnsi="宋体" w:cs="宋体" w:eastAsia="宋体" w:hint="default"/>
          <w:sz w:val="15"/>
          <w:szCs w:val="15"/>
        </w:rPr>
        <w:t>目资助等相关资金</w:t>
      </w:r>
    </w:p>
    <w:p>
      <w:pPr>
        <w:spacing w:line="240" w:lineRule="auto" w:before="7"/>
        <w:rPr>
          <w:rFonts w:ascii="宋体" w:hAnsi="宋体" w:cs="宋体" w:eastAsia="宋体" w:hint="default"/>
          <w:sz w:val="10"/>
          <w:szCs w:val="10"/>
        </w:rPr>
      </w:pPr>
    </w:p>
    <w:p>
      <w:pPr>
        <w:spacing w:before="54"/>
        <w:ind w:left="0" w:right="1640" w:firstLine="0"/>
        <w:jc w:val="right"/>
        <w:rPr>
          <w:rFonts w:ascii="宋体" w:hAnsi="宋体" w:cs="宋体" w:eastAsia="宋体" w:hint="default"/>
          <w:sz w:val="15"/>
          <w:szCs w:val="15"/>
        </w:rPr>
      </w:pPr>
      <w:r>
        <w:rPr>
          <w:rFonts w:ascii="宋体" w:hAnsi="宋体" w:cs="宋体" w:eastAsia="宋体" w:hint="default"/>
          <w:spacing w:val="-1"/>
          <w:sz w:val="15"/>
          <w:szCs w:val="15"/>
        </w:rPr>
        <w:t>收到的上市扶持资金</w:t>
      </w:r>
    </w:p>
    <w:p>
      <w:pPr>
        <w:spacing w:line="240" w:lineRule="auto" w:before="7"/>
        <w:rPr>
          <w:rFonts w:ascii="宋体" w:hAnsi="宋体" w:cs="宋体" w:eastAsia="宋体" w:hint="default"/>
          <w:sz w:val="10"/>
          <w:szCs w:val="10"/>
        </w:rPr>
      </w:pPr>
    </w:p>
    <w:p>
      <w:pPr>
        <w:spacing w:line="195" w:lineRule="exact" w:before="54"/>
        <w:ind w:left="0" w:right="2390" w:firstLine="0"/>
        <w:jc w:val="right"/>
        <w:rPr>
          <w:rFonts w:ascii="宋体" w:hAnsi="宋体" w:cs="宋体" w:eastAsia="宋体" w:hint="default"/>
          <w:sz w:val="15"/>
          <w:szCs w:val="15"/>
        </w:rPr>
      </w:pPr>
      <w:r>
        <w:rPr>
          <w:rFonts w:ascii="宋体" w:hAnsi="宋体" w:cs="宋体" w:eastAsia="宋体" w:hint="default"/>
          <w:spacing w:val="-1"/>
          <w:sz w:val="15"/>
          <w:szCs w:val="15"/>
        </w:rPr>
        <w:t>持等资金</w:t>
      </w:r>
    </w:p>
    <w:p>
      <w:pPr>
        <w:spacing w:line="207" w:lineRule="exact" w:before="0"/>
        <w:ind w:left="0" w:right="227" w:firstLine="0"/>
        <w:jc w:val="right"/>
        <w:rPr>
          <w:rFonts w:ascii="宋体" w:hAnsi="宋体" w:cs="宋体" w:eastAsia="宋体" w:hint="default"/>
          <w:sz w:val="15"/>
          <w:szCs w:val="15"/>
        </w:rPr>
      </w:pPr>
      <w:r>
        <w:rPr>
          <w:rFonts w:ascii="宋体" w:hAnsi="宋体" w:cs="宋体" w:eastAsia="宋体" w:hint="default"/>
          <w:spacing w:val="-2"/>
          <w:sz w:val="15"/>
          <w:szCs w:val="15"/>
        </w:rPr>
        <w:t>系根据“</w:t>
      </w:r>
      <w:r>
        <w:rPr>
          <w:rFonts w:ascii="Times New Roman" w:hAnsi="Times New Roman" w:cs="Times New Roman" w:eastAsia="Times New Roman" w:hint="default"/>
          <w:spacing w:val="-2"/>
          <w:sz w:val="15"/>
          <w:szCs w:val="15"/>
        </w:rPr>
        <w:t>[</w:t>
      </w:r>
      <w:r>
        <w:rPr>
          <w:rFonts w:ascii="宋体" w:hAnsi="宋体" w:cs="宋体" w:eastAsia="宋体" w:hint="default"/>
          <w:spacing w:val="-2"/>
          <w:sz w:val="15"/>
          <w:szCs w:val="15"/>
        </w:rPr>
        <w:t>财企（</w:t>
      </w:r>
      <w:r>
        <w:rPr>
          <w:rFonts w:ascii="Times New Roman" w:hAnsi="Times New Roman" w:cs="Times New Roman" w:eastAsia="Times New Roman" w:hint="default"/>
          <w:spacing w:val="-2"/>
          <w:sz w:val="15"/>
          <w:szCs w:val="15"/>
        </w:rPr>
        <w:t>2008</w:t>
      </w: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140</w:t>
      </w:r>
      <w:r>
        <w:rPr>
          <w:rFonts w:ascii="Times New Roman" w:hAnsi="Times New Roman" w:cs="Times New Roman" w:eastAsia="Times New Roman" w:hint="default"/>
          <w:spacing w:val="30"/>
          <w:sz w:val="15"/>
          <w:szCs w:val="15"/>
        </w:rPr>
        <w:t> </w:t>
      </w:r>
      <w:r>
        <w:rPr>
          <w:rFonts w:ascii="宋体" w:hAnsi="宋体" w:cs="宋体" w:eastAsia="宋体" w:hint="default"/>
          <w:spacing w:val="-1"/>
          <w:sz w:val="15"/>
          <w:szCs w:val="15"/>
        </w:rPr>
        <w:t>号</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财政部商务</w:t>
      </w:r>
    </w:p>
    <w:p>
      <w:pPr>
        <w:spacing w:line="240" w:lineRule="auto" w:before="9"/>
        <w:rPr>
          <w:rFonts w:ascii="宋体" w:hAnsi="宋体" w:cs="宋体" w:eastAsia="宋体" w:hint="default"/>
          <w:sz w:val="9"/>
          <w:szCs w:val="9"/>
        </w:rPr>
      </w:pPr>
    </w:p>
    <w:p>
      <w:pPr>
        <w:spacing w:before="54"/>
        <w:ind w:left="0" w:right="230" w:firstLine="0"/>
        <w:jc w:val="right"/>
        <w:rPr>
          <w:rFonts w:ascii="宋体" w:hAnsi="宋体" w:cs="宋体" w:eastAsia="宋体" w:hint="default"/>
          <w:sz w:val="15"/>
          <w:szCs w:val="15"/>
        </w:rPr>
      </w:pPr>
      <w:r>
        <w:rPr>
          <w:rFonts w:ascii="宋体" w:hAnsi="宋体" w:cs="宋体" w:eastAsia="宋体" w:hint="default"/>
          <w:sz w:val="15"/>
          <w:szCs w:val="15"/>
        </w:rPr>
        <w:t>包业务发展资金管理工作的通知”收到的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line="274" w:lineRule="exact" w:before="62"/>
        <w:ind w:left="666" w:right="0" w:firstLine="0"/>
        <w:jc w:val="left"/>
        <w:rPr>
          <w:rFonts w:ascii="宋体" w:hAnsi="宋体" w:cs="宋体" w:eastAsia="宋体" w:hint="default"/>
          <w:sz w:val="21"/>
          <w:szCs w:val="21"/>
        </w:rPr>
      </w:pPr>
      <w:r>
        <w:rPr>
          <w:rFonts w:ascii="宋体" w:hAnsi="宋体" w:cs="宋体" w:eastAsia="宋体" w:hint="default"/>
          <w:sz w:val="21"/>
          <w:szCs w:val="21"/>
        </w:rPr>
        <w:t>营业外收入本年发生数比上年发生数增加 </w:t>
      </w:r>
      <w:r>
        <w:rPr>
          <w:rFonts w:ascii="Times New Roman" w:hAnsi="Times New Roman" w:cs="Times New Roman" w:eastAsia="Times New Roman" w:hint="default"/>
          <w:sz w:val="21"/>
          <w:szCs w:val="21"/>
        </w:rPr>
        <w:t>2,535,758.80 </w:t>
      </w:r>
      <w:r>
        <w:rPr>
          <w:rFonts w:ascii="宋体" w:hAnsi="宋体" w:cs="宋体" w:eastAsia="宋体" w:hint="default"/>
          <w:sz w:val="21"/>
          <w:szCs w:val="21"/>
        </w:rPr>
        <w:t>元，增加比例为</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37.02%</w:t>
      </w:r>
      <w:r>
        <w:rPr>
          <w:rFonts w:ascii="宋体" w:hAnsi="宋体" w:cs="宋体" w:eastAsia="宋体" w:hint="default"/>
          <w:sz w:val="21"/>
          <w:szCs w:val="21"/>
        </w:rPr>
        <w:t>，主要原因为：政府</w:t>
      </w:r>
      <w:r>
        <w:rPr>
          <w:rFonts w:ascii="宋体" w:hAnsi="宋体" w:cs="宋体" w:eastAsia="宋体" w:hint="default"/>
          <w:w w:val="100"/>
          <w:sz w:val="21"/>
          <w:szCs w:val="21"/>
        </w:rPr>
        <w:t> </w:t>
      </w:r>
      <w:r>
        <w:rPr>
          <w:rFonts w:ascii="宋体" w:hAnsi="宋体" w:cs="宋体" w:eastAsia="宋体" w:hint="default"/>
          <w:sz w:val="21"/>
          <w:szCs w:val="21"/>
        </w:rPr>
        <w:t>补助增加。</w:t>
      </w:r>
    </w:p>
    <w:p>
      <w:pPr>
        <w:spacing w:after="0" w:line="274" w:lineRule="exact"/>
        <w:jc w:val="left"/>
        <w:rPr>
          <w:rFonts w:ascii="宋体" w:hAnsi="宋体" w:cs="宋体" w:eastAsia="宋体" w:hint="default"/>
          <w:sz w:val="21"/>
          <w:szCs w:val="21"/>
        </w:rPr>
        <w:sectPr>
          <w:pgSz w:w="11900" w:h="16840"/>
          <w:pgMar w:header="886" w:footer="983" w:top="1800" w:bottom="1180" w:left="1100" w:right="760"/>
        </w:sectPr>
      </w:pPr>
    </w:p>
    <w:p>
      <w:pPr>
        <w:spacing w:line="240" w:lineRule="auto" w:before="10"/>
        <w:rPr>
          <w:rFonts w:ascii="宋体" w:hAnsi="宋体" w:cs="宋体" w:eastAsia="宋体" w:hint="default"/>
          <w:sz w:val="12"/>
          <w:szCs w:val="12"/>
        </w:rPr>
      </w:pPr>
    </w:p>
    <w:p>
      <w:pPr>
        <w:tabs>
          <w:tab w:pos="669" w:val="left" w:leader="none"/>
        </w:tabs>
        <w:spacing w:before="41"/>
        <w:ind w:left="117"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21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6.32</w:t>
      </w:r>
      <w:r>
        <w:rPr>
          <w:rFonts w:ascii="Times New Roman" w:hAnsi="Times New Roman" w:cs="Times New Roman" w:eastAsia="Times New Roman" w:hint="default"/>
          <w:spacing w:val="52"/>
          <w:position w:val="2"/>
          <w:sz w:val="21"/>
          <w:szCs w:val="21"/>
        </w:rPr>
        <w:t> </w:t>
      </w:r>
      <w:r>
        <w:rPr>
          <w:rFonts w:ascii="宋体" w:hAnsi="宋体" w:cs="宋体" w:eastAsia="宋体" w:hint="default"/>
          <w:sz w:val="21"/>
          <w:szCs w:val="21"/>
        </w:rPr>
        <w:t>营业外支出</w:t>
      </w:r>
    </w:p>
    <w:p>
      <w:pPr>
        <w:spacing w:line="240" w:lineRule="auto" w:before="6"/>
        <w:rPr>
          <w:rFonts w:ascii="宋体" w:hAnsi="宋体" w:cs="宋体" w:eastAsia="宋体" w:hint="default"/>
          <w:sz w:val="15"/>
          <w:szCs w:val="15"/>
        </w:rPr>
      </w:pPr>
    </w:p>
    <w:tbl>
      <w:tblPr>
        <w:tblW w:w="0" w:type="auto"/>
        <w:jc w:val="left"/>
        <w:tblInd w:w="578" w:type="dxa"/>
        <w:tblLayout w:type="fixed"/>
        <w:tblCellMar>
          <w:top w:w="0" w:type="dxa"/>
          <w:left w:w="0" w:type="dxa"/>
          <w:bottom w:w="0" w:type="dxa"/>
          <w:right w:w="0" w:type="dxa"/>
        </w:tblCellMar>
        <w:tblLook w:val="01E0"/>
      </w:tblPr>
      <w:tblGrid>
        <w:gridCol w:w="3117"/>
        <w:gridCol w:w="286"/>
        <w:gridCol w:w="1701"/>
        <w:gridCol w:w="281"/>
        <w:gridCol w:w="1560"/>
        <w:gridCol w:w="283"/>
        <w:gridCol w:w="2126"/>
      </w:tblGrid>
      <w:tr>
        <w:trPr>
          <w:trHeight w:val="620" w:hRule="exact"/>
        </w:trPr>
        <w:tc>
          <w:tcPr>
            <w:tcW w:w="3117" w:type="dxa"/>
            <w:tcBorders>
              <w:top w:val="nil" w:sz="6" w:space="0" w:color="auto"/>
              <w:left w:val="nil" w:sz="6" w:space="0" w:color="auto"/>
              <w:bottom w:val="single" w:sz="4" w:space="0" w:color="000000"/>
              <w:right w:val="nil" w:sz="6" w:space="0" w:color="auto"/>
            </w:tcBorders>
          </w:tcPr>
          <w:p>
            <w:pPr>
              <w:pStyle w:val="TableParagraph"/>
              <w:tabs>
                <w:tab w:pos="424" w:val="left" w:leader="none"/>
              </w:tabs>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6"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32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8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54"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72" w:lineRule="exact" w:before="63"/>
              <w:ind w:left="643" w:right="113" w:hanging="526"/>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益的金额</w:t>
            </w:r>
          </w:p>
        </w:tc>
      </w:tr>
      <w:tr>
        <w:trPr>
          <w:trHeight w:val="272" w:hRule="exact"/>
        </w:trPr>
        <w:tc>
          <w:tcPr>
            <w:tcW w:w="3117"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86" w:type="dxa"/>
            <w:tcBorders>
              <w:top w:val="nil" w:sz="6" w:space="0" w:color="auto"/>
              <w:left w:val="nil" w:sz="6" w:space="0" w:color="auto"/>
              <w:bottom w:val="nil" w:sz="6" w:space="0" w:color="auto"/>
              <w:right w:val="nil" w:sz="6" w:space="0" w:color="auto"/>
            </w:tcBorders>
          </w:tcPr>
          <w:p>
            <w:pPr/>
          </w:p>
        </w:tc>
        <w:tc>
          <w:tcPr>
            <w:tcW w:w="1701"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2"/>
                <w:sz w:val="21"/>
              </w:rPr>
              <w:t>126,801.11</w:t>
            </w:r>
          </w:p>
        </w:tc>
        <w:tc>
          <w:tcPr>
            <w:tcW w:w="281"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130,004.38</w:t>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2"/>
                <w:sz w:val="21"/>
              </w:rPr>
              <w:t>126,801.11</w:t>
            </w:r>
          </w:p>
        </w:tc>
      </w:tr>
      <w:tr>
        <w:trPr>
          <w:trHeight w:val="272"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86"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126,801.11</w:t>
            </w:r>
          </w:p>
        </w:tc>
        <w:tc>
          <w:tcPr>
            <w:tcW w:w="28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130,004.38</w:t>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2"/>
                <w:sz w:val="21"/>
              </w:rPr>
              <w:t>126,801.11</w:t>
            </w:r>
          </w:p>
        </w:tc>
      </w:tr>
      <w:tr>
        <w:trPr>
          <w:trHeight w:val="547"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罚款滞纳金支出</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86"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Style w:val="TableParagraph"/>
              <w:spacing w:line="268" w:lineRule="auto"/>
              <w:ind w:left="648" w:right="104" w:firstLine="876"/>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359,325.00</w:t>
            </w:r>
          </w:p>
        </w:tc>
        <w:tc>
          <w:tcPr>
            <w:tcW w:w="28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Times New Roman" w:hAnsi="Times New Roman" w:cs="Times New Roman" w:eastAsia="Times New Roman" w:hint="default"/>
                <w:sz w:val="21"/>
                <w:szCs w:val="21"/>
              </w:rPr>
            </w:pPr>
            <w:r>
              <w:rPr>
                <w:rFonts w:ascii="Times New Roman"/>
                <w:sz w:val="21"/>
              </w:rPr>
              <w:t>422.31</w:t>
            </w:r>
          </w:p>
          <w:p>
            <w:pPr>
              <w:pStyle w:val="TableParagraph"/>
              <w:spacing w:line="240" w:lineRule="auto" w:before="32"/>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68" w:lineRule="auto"/>
              <w:ind w:left="1072" w:right="104" w:firstLine="876"/>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359,325.00</w:t>
            </w:r>
          </w:p>
        </w:tc>
      </w:tr>
      <w:tr>
        <w:trPr>
          <w:trHeight w:val="279"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single" w:sz="4" w:space="0" w:color="000000"/>
              <w:right w:val="nil" w:sz="6" w:space="0" w:color="auto"/>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spacing w:val="-1"/>
                <w:sz w:val="21"/>
              </w:rPr>
              <w:t>20,000.00</w:t>
            </w:r>
          </w:p>
        </w:tc>
        <w:tc>
          <w:tcPr>
            <w:tcW w:w="281"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293" w:hRule="exact"/>
        </w:trPr>
        <w:tc>
          <w:tcPr>
            <w:tcW w:w="3117"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6" w:type="dxa"/>
            <w:tcBorders>
              <w:top w:val="nil" w:sz="6" w:space="0" w:color="auto"/>
              <w:left w:val="nil" w:sz="6" w:space="0" w:color="auto"/>
              <w:bottom w:val="nil" w:sz="6" w:space="0" w:color="auto"/>
              <w:right w:val="nil" w:sz="6" w:space="0" w:color="auto"/>
            </w:tcBorders>
          </w:tcPr>
          <w:p>
            <w:pPr/>
          </w:p>
        </w:tc>
        <w:tc>
          <w:tcPr>
            <w:tcW w:w="1701"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2"/>
                <w:sz w:val="21"/>
              </w:rPr>
              <w:t>506,126.11</w:t>
            </w:r>
          </w:p>
        </w:tc>
        <w:tc>
          <w:tcPr>
            <w:tcW w:w="281"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130,426.69</w:t>
            </w:r>
          </w:p>
        </w:tc>
        <w:tc>
          <w:tcPr>
            <w:tcW w:w="283"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2"/>
                <w:sz w:val="21"/>
              </w:rPr>
              <w:t>506,126.11</w:t>
            </w:r>
          </w:p>
        </w:tc>
      </w:tr>
    </w:tbl>
    <w:p>
      <w:pPr>
        <w:spacing w:line="240" w:lineRule="auto" w:before="1"/>
        <w:rPr>
          <w:rFonts w:ascii="宋体" w:hAnsi="宋体" w:cs="宋体" w:eastAsia="宋体" w:hint="default"/>
          <w:sz w:val="12"/>
          <w:szCs w:val="12"/>
        </w:rPr>
      </w:pPr>
    </w:p>
    <w:p>
      <w:pPr>
        <w:spacing w:line="274" w:lineRule="exact" w:before="62"/>
        <w:ind w:left="686" w:right="0" w:firstLine="0"/>
        <w:jc w:val="left"/>
        <w:rPr>
          <w:rFonts w:ascii="宋体" w:hAnsi="宋体" w:cs="宋体" w:eastAsia="宋体" w:hint="default"/>
          <w:sz w:val="21"/>
          <w:szCs w:val="21"/>
        </w:rPr>
      </w:pPr>
      <w:r>
        <w:rPr>
          <w:rFonts w:ascii="宋体" w:hAnsi="宋体" w:cs="宋体" w:eastAsia="宋体" w:hint="default"/>
          <w:sz w:val="21"/>
          <w:szCs w:val="21"/>
        </w:rPr>
        <w:t>营业外支出本年数比上年数增加</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375,699.42</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元，增加比例为</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288.05%</w:t>
      </w:r>
      <w:r>
        <w:rPr>
          <w:rFonts w:ascii="宋体" w:hAnsi="宋体" w:cs="宋体" w:eastAsia="宋体" w:hint="default"/>
          <w:spacing w:val="-4"/>
          <w:sz w:val="21"/>
          <w:szCs w:val="21"/>
        </w:rPr>
        <w:t>，增加原因为：本年增加退房违</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约金所致。</w:t>
      </w:r>
    </w:p>
    <w:p>
      <w:pPr>
        <w:spacing w:line="240" w:lineRule="auto" w:before="4"/>
        <w:rPr>
          <w:rFonts w:ascii="宋体" w:hAnsi="宋体" w:cs="宋体" w:eastAsia="宋体" w:hint="default"/>
          <w:sz w:val="16"/>
          <w:szCs w:val="16"/>
        </w:rPr>
      </w:pPr>
    </w:p>
    <w:p>
      <w:pPr>
        <w:spacing w:before="0"/>
        <w:ind w:left="215"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6.33</w:t>
      </w:r>
      <w:r>
        <w:rPr>
          <w:rFonts w:ascii="Times New Roman" w:hAnsi="Times New Roman" w:cs="Times New Roman" w:eastAsia="Times New Roman" w:hint="default"/>
          <w:spacing w:val="51"/>
          <w:position w:val="2"/>
          <w:sz w:val="21"/>
          <w:szCs w:val="21"/>
        </w:rPr>
        <w:t> </w:t>
      </w:r>
      <w:r>
        <w:rPr>
          <w:rFonts w:ascii="宋体" w:hAnsi="宋体" w:cs="宋体" w:eastAsia="宋体" w:hint="default"/>
          <w:sz w:val="21"/>
          <w:szCs w:val="21"/>
        </w:rPr>
        <w:t>所得税费用</w:t>
      </w:r>
    </w:p>
    <w:p>
      <w:pPr>
        <w:spacing w:line="240" w:lineRule="auto" w:before="3"/>
        <w:rPr>
          <w:rFonts w:ascii="宋体" w:hAnsi="宋体" w:cs="宋体" w:eastAsia="宋体" w:hint="default"/>
          <w:sz w:val="18"/>
          <w:szCs w:val="18"/>
        </w:rPr>
      </w:pPr>
    </w:p>
    <w:p>
      <w:pPr>
        <w:tabs>
          <w:tab w:pos="2606" w:val="left" w:leader="none"/>
          <w:tab w:pos="6239" w:val="left" w:leader="none"/>
          <w:tab w:pos="8932" w:val="left" w:leader="none"/>
        </w:tabs>
        <w:spacing w:before="0"/>
        <w:ind w:left="2183"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bl>
      <w:tblPr>
        <w:tblW w:w="0" w:type="auto"/>
        <w:jc w:val="left"/>
        <w:tblInd w:w="578" w:type="dxa"/>
        <w:tblLayout w:type="fixed"/>
        <w:tblCellMar>
          <w:top w:w="0" w:type="dxa"/>
          <w:left w:w="0" w:type="dxa"/>
          <w:bottom w:w="0" w:type="dxa"/>
          <w:right w:w="0" w:type="dxa"/>
        </w:tblCellMar>
        <w:tblLook w:val="01E0"/>
      </w:tblPr>
      <w:tblGrid>
        <w:gridCol w:w="3842"/>
        <w:gridCol w:w="235"/>
        <w:gridCol w:w="2585"/>
        <w:gridCol w:w="283"/>
        <w:gridCol w:w="2410"/>
      </w:tblGrid>
      <w:tr>
        <w:trPr>
          <w:trHeight w:val="273" w:hRule="exact"/>
        </w:trPr>
        <w:tc>
          <w:tcPr>
            <w:tcW w:w="3842"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35" w:type="dxa"/>
            <w:tcBorders>
              <w:top w:val="nil" w:sz="6" w:space="0" w:color="auto"/>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nil" w:sz="6" w:space="0" w:color="auto"/>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6,556,476.51</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2,334,031.49</w:t>
            </w:r>
          </w:p>
        </w:tc>
      </w:tr>
      <w:tr>
        <w:trPr>
          <w:trHeight w:val="281" w:hRule="exact"/>
        </w:trPr>
        <w:tc>
          <w:tcPr>
            <w:tcW w:w="3842"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35" w:type="dxa"/>
            <w:tcBorders>
              <w:top w:val="nil" w:sz="6" w:space="0" w:color="auto"/>
              <w:left w:val="nil" w:sz="6" w:space="0" w:color="auto"/>
              <w:bottom w:val="nil" w:sz="6" w:space="0" w:color="auto"/>
              <w:right w:val="nil" w:sz="6" w:space="0" w:color="auto"/>
            </w:tcBorders>
          </w:tcPr>
          <w:p>
            <w:pPr/>
          </w:p>
        </w:tc>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24,067.50</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121,476.71</w:t>
            </w:r>
          </w:p>
        </w:tc>
      </w:tr>
      <w:tr>
        <w:trPr>
          <w:trHeight w:val="293" w:hRule="exact"/>
        </w:trPr>
        <w:tc>
          <w:tcPr>
            <w:tcW w:w="3842" w:type="dxa"/>
            <w:tcBorders>
              <w:top w:val="nil" w:sz="6" w:space="0" w:color="auto"/>
              <w:left w:val="nil" w:sz="6" w:space="0" w:color="auto"/>
              <w:bottom w:val="nil" w:sz="6" w:space="0" w:color="auto"/>
              <w:right w:val="nil" w:sz="6" w:space="0" w:color="auto"/>
            </w:tcBorders>
          </w:tcPr>
          <w:p>
            <w:pPr>
              <w:pStyle w:val="TableParagraph"/>
              <w:tabs>
                <w:tab w:pos="424" w:val="left" w:leader="none"/>
              </w:tabs>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5" w:type="dxa"/>
            <w:tcBorders>
              <w:top w:val="nil" w:sz="6" w:space="0" w:color="auto"/>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6,580,544.01</w:t>
            </w:r>
          </w:p>
        </w:tc>
        <w:tc>
          <w:tcPr>
            <w:tcW w:w="283"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2,455,508.20</w:t>
            </w:r>
          </w:p>
        </w:tc>
      </w:tr>
    </w:tbl>
    <w:p>
      <w:pPr>
        <w:spacing w:after="0" w:line="237" w:lineRule="exact"/>
        <w:jc w:val="right"/>
        <w:rPr>
          <w:rFonts w:ascii="Times New Roman" w:hAnsi="Times New Roman" w:cs="Times New Roman" w:eastAsia="Times New Roman" w:hint="default"/>
          <w:sz w:val="21"/>
          <w:szCs w:val="21"/>
        </w:rPr>
        <w:sectPr>
          <w:pgSz w:w="11900" w:h="16840"/>
          <w:pgMar w:header="886" w:footer="983" w:top="1800" w:bottom="1180" w:left="1080" w:right="780"/>
        </w:sectPr>
      </w:pPr>
    </w:p>
    <w:p>
      <w:pPr>
        <w:spacing w:line="240" w:lineRule="auto" w:before="10"/>
        <w:rPr>
          <w:rFonts w:ascii="宋体" w:hAnsi="宋体" w:cs="宋体" w:eastAsia="宋体" w:hint="default"/>
          <w:sz w:val="12"/>
          <w:szCs w:val="12"/>
        </w:rPr>
      </w:pPr>
    </w:p>
    <w:p>
      <w:pPr>
        <w:tabs>
          <w:tab w:pos="666" w:val="left" w:leader="none"/>
        </w:tabs>
        <w:spacing w:before="41"/>
        <w:ind w:left="100" w:right="44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195" w:right="442"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6.34</w:t>
      </w:r>
      <w:r>
        <w:rPr>
          <w:rFonts w:ascii="Times New Roman" w:hAnsi="Times New Roman" w:cs="Times New Roman" w:eastAsia="Times New Roman" w:hint="default"/>
          <w:spacing w:val="47"/>
          <w:position w:val="2"/>
          <w:sz w:val="21"/>
          <w:szCs w:val="21"/>
        </w:rPr>
        <w:t> </w:t>
      </w:r>
      <w:r>
        <w:rPr>
          <w:rFonts w:ascii="宋体" w:hAnsi="宋体" w:cs="宋体" w:eastAsia="宋体" w:hint="default"/>
          <w:sz w:val="21"/>
          <w:szCs w:val="21"/>
        </w:rPr>
        <w:t>基本每股收益和稀释每股收益的计算过程</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40"/>
          <w:pgMar w:header="886" w:footer="983" w:top="1800" w:bottom="1180" w:left="1100" w:right="780"/>
        </w:sectPr>
      </w:pPr>
    </w:p>
    <w:p>
      <w:pPr>
        <w:tabs>
          <w:tab w:pos="1402" w:val="left" w:leader="none"/>
        </w:tabs>
        <w:spacing w:before="36"/>
        <w:ind w:left="666"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6.34.1</w:t>
        <w:tab/>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年度每股收益</w:t>
      </w:r>
    </w:p>
    <w:p>
      <w:pPr>
        <w:spacing w:line="240" w:lineRule="auto" w:before="10"/>
        <w:rPr>
          <w:rFonts w:ascii="宋体" w:hAnsi="宋体" w:cs="宋体" w:eastAsia="宋体" w:hint="default"/>
          <w:sz w:val="23"/>
          <w:szCs w:val="23"/>
        </w:rPr>
      </w:pPr>
      <w:r>
        <w:rPr/>
        <w:br w:type="column"/>
      </w:r>
      <w:r>
        <w:rPr>
          <w:rFonts w:ascii="宋体"/>
          <w:sz w:val="23"/>
        </w:rPr>
      </w:r>
    </w:p>
    <w:p>
      <w:pPr>
        <w:spacing w:before="0"/>
        <w:ind w:left="666" w:right="0" w:firstLine="0"/>
        <w:jc w:val="left"/>
        <w:rPr>
          <w:rFonts w:ascii="宋体" w:hAnsi="宋体" w:cs="宋体" w:eastAsia="宋体" w:hint="default"/>
          <w:sz w:val="18"/>
          <w:szCs w:val="18"/>
        </w:rPr>
      </w:pPr>
      <w:r>
        <w:rPr/>
        <w:pict>
          <v:group style="position:absolute;margin-left:261.605011pt;margin-top:13.281709pt;width:289.350pt;height:.5pt;mso-position-horizontal-relative:page;mso-position-vertical-relative:paragraph;z-index:-548488" coordorigin="5232,266" coordsize="5787,10">
            <v:group style="position:absolute;left:5237;top:270;width:2801;height:2" coordorigin="5237,270" coordsize="2801,2">
              <v:shape style="position:absolute;left:5237;top:270;width:2801;height:2" coordorigin="5237,270" coordsize="2801,0" path="m5237,270l8037,270e" filled="false" stroked="true" strokeweight=".47pt" strokecolor="#000000">
                <v:path arrowok="t"/>
              </v:shape>
            </v:group>
            <v:group style="position:absolute;left:8038;top:270;width:10;height:2" coordorigin="8038,270" coordsize="10,2">
              <v:shape style="position:absolute;left:8038;top:270;width:10;height:2" coordorigin="8038,270" coordsize="10,0" path="m8038,270l8047,270e" filled="false" stroked="true" strokeweight=".47pt" strokecolor="#000000">
                <v:path arrowok="t"/>
              </v:shape>
            </v:group>
            <v:group style="position:absolute;left:8047;top:270;width:274;height:2" coordorigin="8047,270" coordsize="274,2">
              <v:shape style="position:absolute;left:8047;top:270;width:274;height:2" coordorigin="8047,270" coordsize="274,0" path="m8047,270l8321,270e" filled="false" stroked="true" strokeweight=".47pt" strokecolor="#000000">
                <v:path arrowok="t"/>
              </v:shape>
            </v:group>
            <v:group style="position:absolute;left:8321;top:270;width:10;height:2" coordorigin="8321,270" coordsize="10,2">
              <v:shape style="position:absolute;left:8321;top:270;width:10;height:2" coordorigin="8321,270" coordsize="10,0" path="m8321,270l8330,270e" filled="false" stroked="true" strokeweight=".47pt" strokecolor="#000000">
                <v:path arrowok="t"/>
              </v:shape>
            </v:group>
            <v:group style="position:absolute;left:8330;top:270;width:2684;height:2" coordorigin="8330,270" coordsize="2684,2">
              <v:shape style="position:absolute;left:8330;top:270;width:2684;height:2" coordorigin="8330,270" coordsize="2684,0" path="m8330,270l11014,270e" filled="false" stroked="true" strokeweight=".47pt" strokecolor="#000000">
                <v:path arrowok="t"/>
              </v:shape>
            </v:group>
            <w10:wrap type="none"/>
          </v:group>
        </w:pict>
      </w:r>
      <w:r>
        <w:rPr>
          <w:rFonts w:ascii="宋体" w:hAnsi="宋体" w:cs="宋体" w:eastAsia="宋体" w:hint="default"/>
          <w:sz w:val="18"/>
          <w:szCs w:val="18"/>
        </w:rPr>
        <w:t>每股收益</w:t>
      </w:r>
    </w:p>
    <w:p>
      <w:pPr>
        <w:spacing w:after="0"/>
        <w:jc w:val="left"/>
        <w:rPr>
          <w:rFonts w:ascii="宋体" w:hAnsi="宋体" w:cs="宋体" w:eastAsia="宋体" w:hint="default"/>
          <w:sz w:val="18"/>
          <w:szCs w:val="18"/>
        </w:rPr>
        <w:sectPr>
          <w:type w:val="continuous"/>
          <w:pgSz w:w="11900" w:h="16840"/>
          <w:pgMar w:top="1040" w:bottom="1180" w:left="1100" w:right="780"/>
          <w:cols w:num="2" w:equalWidth="0">
            <w:col w:w="3136" w:space="2864"/>
            <w:col w:w="4020"/>
          </w:cols>
        </w:sectPr>
      </w:pPr>
    </w:p>
    <w:p>
      <w:pPr>
        <w:tabs>
          <w:tab w:pos="4995" w:val="left" w:leader="none"/>
          <w:tab w:pos="6515" w:val="left" w:leader="none"/>
          <w:tab w:pos="8027" w:val="left" w:leader="none"/>
          <w:tab w:pos="9789" w:val="right" w:leader="none"/>
        </w:tabs>
        <w:spacing w:line="247" w:lineRule="auto" w:before="9"/>
        <w:ind w:left="666" w:right="211" w:firstLine="1113"/>
        <w:jc w:val="left"/>
        <w:rPr>
          <w:rFonts w:ascii="Times New Roman" w:hAnsi="Times New Roman" w:cs="Times New Roman" w:eastAsia="Times New Roman" w:hint="default"/>
          <w:sz w:val="18"/>
          <w:szCs w:val="18"/>
        </w:rPr>
      </w:pPr>
      <w:r>
        <w:rPr/>
        <w:pict>
          <v:group style="position:absolute;margin-left:82.919998pt;margin-top:13.851719pt;width:167.05pt;height:.1pt;mso-position-horizontal-relative:page;mso-position-vertical-relative:paragraph;z-index:-548464" coordorigin="1658,277" coordsize="3341,2">
            <v:shape style="position:absolute;left:1658;top:277;width:3341;height:2" coordorigin="1658,277" coordsize="3341,0" path="m1658,277l4999,277e" filled="false" stroked="true" strokeweight=".48pt" strokecolor="#000000">
              <v:path arrowok="t"/>
            </v:shape>
            <w10:wrap type="none"/>
          </v:group>
        </w:pict>
      </w:r>
      <w:r>
        <w:rPr/>
        <w:pict>
          <v:group style="position:absolute;margin-left:261.839996pt;margin-top:13.851719pt;width:140.050pt;height:.1pt;mso-position-horizontal-relative:page;mso-position-vertical-relative:paragraph;z-index:-548440" coordorigin="5237,277" coordsize="2801,2">
            <v:shape style="position:absolute;left:5237;top:277;width:2801;height:2" coordorigin="5237,277" coordsize="2801,0" path="m5237,277l8037,277e" filled="false" stroked="true" strokeweight=".48pt" strokecolor="#000000">
              <v:path arrowok="t"/>
            </v:shape>
            <w10:wrap type="none"/>
          </v:group>
        </w:pict>
      </w:r>
      <w:r>
        <w:rPr/>
        <w:pict>
          <v:group style="position:absolute;margin-left:416.040009pt;margin-top:13.851719pt;width:134.65pt;height:.1pt;mso-position-horizontal-relative:page;mso-position-vertical-relative:paragraph;z-index:-548416" coordorigin="8321,277" coordsize="2693,2">
            <v:shape style="position:absolute;left:8321;top:277;width:2693;height:2" coordorigin="8321,277" coordsize="2693,0" path="m8321,277l11014,277e" filled="false" stroked="true" strokeweight=".48pt" strokecolor="#000000">
              <v:path arrowok="t"/>
            </v:shape>
            <w10:wrap type="none"/>
          </v:group>
        </w:pict>
      </w:r>
      <w:r>
        <w:rPr>
          <w:rFonts w:ascii="宋体" w:hAnsi="宋体" w:cs="宋体" w:eastAsia="宋体" w:hint="default"/>
          <w:sz w:val="18"/>
          <w:szCs w:val="18"/>
        </w:rPr>
        <w:t>报告期利润</w:t>
        <w:tab/>
        <w:t>基本每股收益</w:t>
        <w:tab/>
        <w:tab/>
        <w:t>稀释每股收益 归属于公司普通股股东的净利润</w:t>
        <w:tab/>
        <w:tab/>
      </w:r>
      <w:r>
        <w:rPr>
          <w:rFonts w:ascii="Times New Roman" w:hAnsi="Times New Roman" w:cs="Times New Roman" w:eastAsia="Times New Roman" w:hint="default"/>
          <w:sz w:val="18"/>
          <w:szCs w:val="18"/>
        </w:rPr>
        <w:t>0.61 </w:t>
        <w:tab/>
        <w:tab/>
      </w:r>
      <w:r>
        <w:rPr>
          <w:rFonts w:ascii="Times New Roman" w:hAnsi="Times New Roman" w:cs="Times New Roman" w:eastAsia="Times New Roman" w:hint="default"/>
          <w:w w:val="37"/>
          <w:sz w:val="18"/>
          <w:szCs w:val="18"/>
        </w:rPr>
        <w:t> </w:t>
      </w:r>
      <w:r>
        <w:rPr>
          <w:rFonts w:ascii="Times New Roman" w:hAnsi="Times New Roman" w:cs="Times New Roman" w:eastAsia="Times New Roman" w:hint="default"/>
          <w:sz w:val="18"/>
          <w:szCs w:val="18"/>
        </w:rPr>
        <w:t>0.61</w:t>
      </w:r>
    </w:p>
    <w:p>
      <w:pPr>
        <w:spacing w:line="175" w:lineRule="exact" w:before="0"/>
        <w:ind w:left="666" w:right="442" w:firstLine="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w:t>
      </w:r>
    </w:p>
    <w:p>
      <w:pPr>
        <w:tabs>
          <w:tab w:pos="6515" w:val="left" w:leader="none"/>
          <w:tab w:pos="9806" w:val="right" w:leader="none"/>
        </w:tabs>
        <w:spacing w:line="273" w:lineRule="exact" w:before="0"/>
        <w:ind w:left="666"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股东的净利润</w:t>
        <w:tab/>
      </w:r>
      <w:r>
        <w:rPr>
          <w:rFonts w:ascii="Times New Roman" w:hAnsi="Times New Roman" w:cs="Times New Roman" w:eastAsia="Times New Roman" w:hint="default"/>
          <w:sz w:val="18"/>
          <w:szCs w:val="18"/>
        </w:rPr>
        <w:t>0.50</w:t>
        <w:tab/>
        <w:t>0.50</w:t>
      </w:r>
    </w:p>
    <w:p>
      <w:pPr>
        <w:spacing w:after="0" w:line="273" w:lineRule="exact"/>
        <w:jc w:val="left"/>
        <w:rPr>
          <w:rFonts w:ascii="Times New Roman" w:hAnsi="Times New Roman" w:cs="Times New Roman" w:eastAsia="Times New Roman" w:hint="default"/>
          <w:sz w:val="18"/>
          <w:szCs w:val="18"/>
        </w:rPr>
        <w:sectPr>
          <w:type w:val="continuous"/>
          <w:pgSz w:w="11900" w:h="16840"/>
          <w:pgMar w:top="1040" w:bottom="1180" w:left="1100" w:right="780"/>
        </w:sectPr>
      </w:pPr>
    </w:p>
    <w:p>
      <w:pPr>
        <w:tabs>
          <w:tab w:pos="1402" w:val="left" w:leader="none"/>
        </w:tabs>
        <w:spacing w:before="236"/>
        <w:ind w:left="666"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6.34.2</w:t>
        <w:tab/>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年度每股收益</w:t>
      </w:r>
    </w:p>
    <w:p>
      <w:pPr>
        <w:spacing w:before="511"/>
        <w:ind w:left="66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每股收益</w:t>
      </w:r>
    </w:p>
    <w:p>
      <w:pPr>
        <w:spacing w:after="0"/>
        <w:jc w:val="left"/>
        <w:rPr>
          <w:rFonts w:ascii="宋体" w:hAnsi="宋体" w:cs="宋体" w:eastAsia="宋体" w:hint="default"/>
          <w:sz w:val="18"/>
          <w:szCs w:val="18"/>
        </w:rPr>
        <w:sectPr>
          <w:type w:val="continuous"/>
          <w:pgSz w:w="11900" w:h="16840"/>
          <w:pgMar w:top="1040" w:bottom="1180" w:left="1100" w:right="780"/>
          <w:cols w:num="2" w:equalWidth="0">
            <w:col w:w="3136" w:space="2864"/>
            <w:col w:w="4020"/>
          </w:cols>
        </w:sectPr>
      </w:pPr>
    </w:p>
    <w:p>
      <w:pPr>
        <w:tabs>
          <w:tab w:pos="4995" w:val="left" w:leader="none"/>
          <w:tab w:pos="6515" w:val="left" w:leader="none"/>
          <w:tab w:pos="8027" w:val="left" w:leader="none"/>
          <w:tab w:pos="9491" w:val="left" w:leader="none"/>
        </w:tabs>
        <w:spacing w:line="247" w:lineRule="auto" w:before="9"/>
        <w:ind w:left="666" w:right="211" w:firstLine="1113"/>
        <w:jc w:val="left"/>
        <w:rPr>
          <w:rFonts w:ascii="Times New Roman" w:hAnsi="Times New Roman" w:cs="Times New Roman" w:eastAsia="Times New Roman" w:hint="default"/>
          <w:sz w:val="18"/>
          <w:szCs w:val="18"/>
        </w:rPr>
      </w:pPr>
      <w:r>
        <w:rPr/>
        <w:pict>
          <v:group style="position:absolute;margin-left:261.600006pt;margin-top:1.371702pt;width:289.350pt;height:.5pt;mso-position-horizontal-relative:page;mso-position-vertical-relative:paragraph;z-index:-548392" coordorigin="5232,27" coordsize="5787,10">
            <v:group style="position:absolute;left:5237;top:32;width:2801;height:2" coordorigin="5237,32" coordsize="2801,2">
              <v:shape style="position:absolute;left:5237;top:32;width:2801;height:2" coordorigin="5237,32" coordsize="2801,0" path="m5237,32l8037,32e" filled="false" stroked="true" strokeweight=".48pt" strokecolor="#000000">
                <v:path arrowok="t"/>
              </v:shape>
            </v:group>
            <v:group style="position:absolute;left:8038;top:32;width:10;height:2" coordorigin="8038,32" coordsize="10,2">
              <v:shape style="position:absolute;left:8038;top:32;width:10;height:2" coordorigin="8038,32" coordsize="10,0" path="m8038,32l8047,32e" filled="false" stroked="true" strokeweight=".48pt" strokecolor="#000000">
                <v:path arrowok="t"/>
              </v:shape>
            </v:group>
            <v:group style="position:absolute;left:8047;top:32;width:274;height:2" coordorigin="8047,32" coordsize="274,2">
              <v:shape style="position:absolute;left:8047;top:32;width:274;height:2" coordorigin="8047,32" coordsize="274,0" path="m8047,32l8321,32e" filled="false" stroked="true" strokeweight=".48pt" strokecolor="#000000">
                <v:path arrowok="t"/>
              </v:shape>
            </v:group>
            <v:group style="position:absolute;left:8321;top:32;width:10;height:2" coordorigin="8321,32" coordsize="10,2">
              <v:shape style="position:absolute;left:8321;top:32;width:10;height:2" coordorigin="8321,32" coordsize="10,0" path="m8321,32l8330,32e" filled="false" stroked="true" strokeweight=".48pt" strokecolor="#000000">
                <v:path arrowok="t"/>
              </v:shape>
            </v:group>
            <v:group style="position:absolute;left:8330;top:32;width:2684;height:2" coordorigin="8330,32" coordsize="2684,2">
              <v:shape style="position:absolute;left:8330;top:32;width:2684;height:2" coordorigin="8330,32" coordsize="2684,0" path="m8330,32l11014,32e" filled="false" stroked="true" strokeweight=".48pt" strokecolor="#000000">
                <v:path arrowok="t"/>
              </v:shape>
            </v:group>
            <w10:wrap type="none"/>
          </v:group>
        </w:pict>
      </w:r>
      <w:r>
        <w:rPr/>
        <w:pict>
          <v:group style="position:absolute;margin-left:82.919998pt;margin-top:13.851702pt;width:167.05pt;height:.1pt;mso-position-horizontal-relative:page;mso-position-vertical-relative:paragraph;z-index:-548368" coordorigin="1658,277" coordsize="3341,2">
            <v:shape style="position:absolute;left:1658;top:277;width:3341;height:2" coordorigin="1658,277" coordsize="3341,0" path="m1658,277l4999,277e" filled="false" stroked="true" strokeweight=".48pt" strokecolor="#000000">
              <v:path arrowok="t"/>
            </v:shape>
            <w10:wrap type="none"/>
          </v:group>
        </w:pict>
      </w:r>
      <w:r>
        <w:rPr/>
        <w:pict>
          <v:group style="position:absolute;margin-left:261.839996pt;margin-top:13.851702pt;width:140.050pt;height:.1pt;mso-position-horizontal-relative:page;mso-position-vertical-relative:paragraph;z-index:-548344" coordorigin="5237,277" coordsize="2801,2">
            <v:shape style="position:absolute;left:5237;top:277;width:2801;height:2" coordorigin="5237,277" coordsize="2801,0" path="m5237,277l8037,277e" filled="false" stroked="true" strokeweight=".48pt" strokecolor="#000000">
              <v:path arrowok="t"/>
            </v:shape>
            <w10:wrap type="none"/>
          </v:group>
        </w:pict>
      </w:r>
      <w:r>
        <w:rPr/>
        <w:pict>
          <v:group style="position:absolute;margin-left:416.040009pt;margin-top:13.851702pt;width:134.65pt;height:.1pt;mso-position-horizontal-relative:page;mso-position-vertical-relative:paragraph;z-index:-548320" coordorigin="8321,277" coordsize="2693,2">
            <v:shape style="position:absolute;left:8321;top:277;width:2693;height:2" coordorigin="8321,277" coordsize="2693,0" path="m8321,277l11014,277e" filled="false" stroked="true" strokeweight=".48pt" strokecolor="#000000">
              <v:path arrowok="t"/>
            </v:shape>
            <w10:wrap type="none"/>
          </v:group>
        </w:pict>
      </w:r>
      <w:r>
        <w:rPr>
          <w:rFonts w:ascii="宋体" w:hAnsi="宋体" w:cs="宋体" w:eastAsia="宋体" w:hint="default"/>
          <w:sz w:val="18"/>
          <w:szCs w:val="18"/>
        </w:rPr>
        <w:t>报告期利润</w:t>
        <w:tab/>
        <w:t>基本每股收益</w:t>
        <w:tab/>
        <w:tab/>
        <w:t>稀释每股收益 归属于公司普通股股东的净利润</w:t>
        <w:tab/>
        <w:tab/>
      </w:r>
      <w:r>
        <w:rPr>
          <w:rFonts w:ascii="Times New Roman" w:hAnsi="Times New Roman" w:cs="Times New Roman" w:eastAsia="Times New Roman" w:hint="default"/>
          <w:spacing w:val="-1"/>
          <w:sz w:val="18"/>
          <w:szCs w:val="18"/>
        </w:rPr>
        <w:t>0.27</w:t>
        <w:tab/>
        <w:tab/>
        <w:t>0.27</w:t>
      </w:r>
    </w:p>
    <w:p>
      <w:pPr>
        <w:spacing w:line="173" w:lineRule="exact" w:before="0"/>
        <w:ind w:left="666" w:right="442" w:firstLine="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扣除非经常性损益后归属于公司普通股</w:t>
      </w:r>
    </w:p>
    <w:p>
      <w:pPr>
        <w:tabs>
          <w:tab w:pos="6515" w:val="left" w:leader="none"/>
          <w:tab w:pos="9491" w:val="left" w:leader="none"/>
        </w:tabs>
        <w:spacing w:line="273" w:lineRule="exact" w:before="0"/>
        <w:ind w:left="666"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股东的净利润</w:t>
        <w:tab/>
      </w:r>
      <w:r>
        <w:rPr>
          <w:rFonts w:ascii="Times New Roman" w:hAnsi="Times New Roman" w:cs="Times New Roman" w:eastAsia="Times New Roman" w:hint="default"/>
          <w:spacing w:val="-1"/>
          <w:sz w:val="18"/>
          <w:szCs w:val="18"/>
        </w:rPr>
        <w:t>0.19</w:t>
        <w:tab/>
        <w:t>0.19</w:t>
      </w:r>
    </w:p>
    <w:p>
      <w:pPr>
        <w:spacing w:line="538" w:lineRule="exact" w:before="50"/>
        <w:ind w:left="666" w:right="3948" w:firstLine="0"/>
        <w:jc w:val="left"/>
        <w:rPr>
          <w:rFonts w:ascii="宋体" w:hAnsi="宋体" w:cs="宋体" w:eastAsia="宋体" w:hint="default"/>
          <w:sz w:val="21"/>
          <w:szCs w:val="21"/>
        </w:rPr>
      </w:pPr>
      <w:r>
        <w:rPr>
          <w:rFonts w:ascii="宋体" w:hAnsi="宋体" w:cs="宋体" w:eastAsia="宋体" w:hint="default"/>
          <w:spacing w:val="-2"/>
          <w:sz w:val="21"/>
          <w:szCs w:val="21"/>
        </w:rPr>
        <w:t>上述数据采用以下计算公式计算而得：</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基本每股收益=P0÷S</w:t>
      </w:r>
    </w:p>
    <w:p>
      <w:pPr>
        <w:spacing w:line="234" w:lineRule="exact" w:before="0"/>
        <w:ind w:left="1088" w:right="442" w:firstLine="0"/>
        <w:jc w:val="left"/>
        <w:rPr>
          <w:rFonts w:ascii="宋体" w:hAnsi="宋体" w:cs="宋体" w:eastAsia="宋体" w:hint="default"/>
          <w:sz w:val="21"/>
          <w:szCs w:val="21"/>
        </w:rPr>
      </w:pPr>
      <w:r>
        <w:rPr>
          <w:rFonts w:ascii="宋体" w:hAnsi="宋体" w:cs="宋体" w:eastAsia="宋体" w:hint="default"/>
          <w:sz w:val="21"/>
          <w:szCs w:val="21"/>
        </w:rPr>
        <w:t>S= S0＋S1＋Si×Mi÷M0–</w:t>
      </w:r>
      <w:r>
        <w:rPr>
          <w:rFonts w:ascii="宋体" w:hAnsi="宋体" w:cs="宋体" w:eastAsia="宋体" w:hint="default"/>
          <w:spacing w:val="-8"/>
          <w:sz w:val="21"/>
          <w:szCs w:val="21"/>
        </w:rPr>
        <w:t> </w:t>
      </w:r>
      <w:r>
        <w:rPr>
          <w:rFonts w:ascii="宋体" w:hAnsi="宋体" w:cs="宋体" w:eastAsia="宋体" w:hint="default"/>
          <w:sz w:val="21"/>
          <w:szCs w:val="21"/>
        </w:rPr>
        <w:t>Sj×Mj÷M0-Sk</w:t>
      </w:r>
    </w:p>
    <w:p>
      <w:pPr>
        <w:spacing w:line="273" w:lineRule="auto" w:before="37"/>
        <w:ind w:left="666" w:right="59" w:firstLine="422"/>
        <w:jc w:val="left"/>
        <w:rPr>
          <w:rFonts w:ascii="宋体" w:hAnsi="宋体" w:cs="宋体" w:eastAsia="宋体" w:hint="default"/>
          <w:sz w:val="21"/>
          <w:szCs w:val="21"/>
        </w:rPr>
      </w:pPr>
      <w:r>
        <w:rPr>
          <w:rFonts w:ascii="宋体" w:hAnsi="宋体" w:cs="宋体" w:eastAsia="宋体" w:hint="default"/>
          <w:spacing w:val="-11"/>
          <w:sz w:val="21"/>
          <w:szCs w:val="21"/>
        </w:rPr>
        <w:t>其中：P0</w:t>
      </w:r>
      <w:r>
        <w:rPr>
          <w:rFonts w:ascii="宋体" w:hAnsi="宋体" w:cs="宋体" w:eastAsia="宋体" w:hint="default"/>
          <w:spacing w:val="-6"/>
          <w:sz w:val="21"/>
          <w:szCs w:val="21"/>
        </w:rPr>
        <w:t> </w:t>
      </w:r>
      <w:r>
        <w:rPr>
          <w:rFonts w:ascii="宋体" w:hAnsi="宋体" w:cs="宋体" w:eastAsia="宋体" w:hint="default"/>
          <w:spacing w:val="-2"/>
          <w:sz w:val="21"/>
          <w:szCs w:val="21"/>
        </w:rPr>
        <w:t>为归属于公司普通股股东的净利润或扣除非经常性损益后归属于普通股股东的净利润；</w:t>
      </w:r>
      <w:r>
        <w:rPr>
          <w:rFonts w:ascii="宋体" w:hAnsi="宋体" w:cs="宋体" w:eastAsia="宋体" w:hint="default"/>
          <w:w w:val="100"/>
          <w:sz w:val="21"/>
          <w:szCs w:val="21"/>
        </w:rPr>
        <w:t> </w:t>
      </w:r>
      <w:r>
        <w:rPr>
          <w:rFonts w:ascii="宋体" w:hAnsi="宋体" w:cs="宋体" w:eastAsia="宋体" w:hint="default"/>
          <w:sz w:val="21"/>
          <w:szCs w:val="21"/>
        </w:rPr>
        <w:t>S</w:t>
      </w:r>
      <w:r>
        <w:rPr>
          <w:rFonts w:ascii="宋体" w:hAnsi="宋体" w:cs="宋体" w:eastAsia="宋体" w:hint="default"/>
          <w:spacing w:val="-35"/>
          <w:sz w:val="21"/>
          <w:szCs w:val="21"/>
        </w:rPr>
        <w:t> </w:t>
      </w:r>
      <w:r>
        <w:rPr>
          <w:rFonts w:ascii="宋体" w:hAnsi="宋体" w:cs="宋体" w:eastAsia="宋体" w:hint="default"/>
          <w:sz w:val="21"/>
          <w:szCs w:val="21"/>
        </w:rPr>
        <w:t>为发行在外的普通股加权平均数；S0</w:t>
      </w:r>
      <w:r>
        <w:rPr>
          <w:rFonts w:ascii="宋体" w:hAnsi="宋体" w:cs="宋体" w:eastAsia="宋体" w:hint="default"/>
          <w:spacing w:val="-38"/>
          <w:sz w:val="21"/>
          <w:szCs w:val="21"/>
        </w:rPr>
        <w:t> </w:t>
      </w:r>
      <w:r>
        <w:rPr>
          <w:rFonts w:ascii="宋体" w:hAnsi="宋体" w:cs="宋体" w:eastAsia="宋体" w:hint="default"/>
          <w:sz w:val="21"/>
          <w:szCs w:val="21"/>
        </w:rPr>
        <w:t>为年初股份总数；S1</w:t>
      </w:r>
      <w:r>
        <w:rPr>
          <w:rFonts w:ascii="宋体" w:hAnsi="宋体" w:cs="宋体" w:eastAsia="宋体" w:hint="default"/>
          <w:spacing w:val="-38"/>
          <w:sz w:val="21"/>
          <w:szCs w:val="21"/>
        </w:rPr>
        <w:t> </w:t>
      </w:r>
      <w:r>
        <w:rPr>
          <w:rFonts w:ascii="宋体" w:hAnsi="宋体" w:cs="宋体" w:eastAsia="宋体" w:hint="default"/>
          <w:sz w:val="21"/>
          <w:szCs w:val="21"/>
        </w:rPr>
        <w:t>为报告期因公积金转增股本或股票股利</w:t>
      </w:r>
      <w:r>
        <w:rPr>
          <w:rFonts w:ascii="宋体" w:hAnsi="宋体" w:cs="宋体" w:eastAsia="宋体" w:hint="default"/>
          <w:w w:val="100"/>
          <w:sz w:val="21"/>
          <w:szCs w:val="21"/>
        </w:rPr>
        <w:t> </w:t>
      </w:r>
      <w:r>
        <w:rPr>
          <w:rFonts w:ascii="宋体" w:hAnsi="宋体" w:cs="宋体" w:eastAsia="宋体" w:hint="default"/>
          <w:sz w:val="21"/>
          <w:szCs w:val="21"/>
        </w:rPr>
        <w:t>分配等增加股份数；Si</w:t>
      </w:r>
      <w:r>
        <w:rPr>
          <w:rFonts w:ascii="宋体" w:hAnsi="宋体" w:cs="宋体" w:eastAsia="宋体" w:hint="default"/>
          <w:spacing w:val="-56"/>
          <w:sz w:val="21"/>
          <w:szCs w:val="21"/>
        </w:rPr>
        <w:t> </w:t>
      </w:r>
      <w:r>
        <w:rPr>
          <w:rFonts w:ascii="宋体" w:hAnsi="宋体" w:cs="宋体" w:eastAsia="宋体" w:hint="default"/>
          <w:sz w:val="21"/>
          <w:szCs w:val="21"/>
        </w:rPr>
        <w:t>为报告期因发行新股或债转股等增加股份数；Sj</w:t>
      </w:r>
      <w:r>
        <w:rPr>
          <w:rFonts w:ascii="宋体" w:hAnsi="宋体" w:cs="宋体" w:eastAsia="宋体" w:hint="default"/>
          <w:spacing w:val="-54"/>
          <w:sz w:val="21"/>
          <w:szCs w:val="21"/>
        </w:rPr>
        <w:t> </w:t>
      </w:r>
      <w:r>
        <w:rPr>
          <w:rFonts w:ascii="宋体" w:hAnsi="宋体" w:cs="宋体" w:eastAsia="宋体" w:hint="default"/>
          <w:sz w:val="21"/>
          <w:szCs w:val="21"/>
        </w:rPr>
        <w:t>为报告期因回购等减少股份</w:t>
      </w:r>
      <w:r>
        <w:rPr>
          <w:rFonts w:ascii="宋体" w:hAnsi="宋体" w:cs="宋体" w:eastAsia="宋体" w:hint="default"/>
          <w:w w:val="100"/>
          <w:sz w:val="21"/>
          <w:szCs w:val="21"/>
        </w:rPr>
        <w:t> </w:t>
      </w:r>
      <w:r>
        <w:rPr>
          <w:rFonts w:ascii="宋体" w:hAnsi="宋体" w:cs="宋体" w:eastAsia="宋体" w:hint="default"/>
          <w:spacing w:val="-7"/>
          <w:sz w:val="21"/>
          <w:szCs w:val="21"/>
        </w:rPr>
        <w:t>数；Sk</w:t>
      </w:r>
      <w:r>
        <w:rPr>
          <w:rFonts w:ascii="宋体" w:hAnsi="宋体" w:cs="宋体" w:eastAsia="宋体" w:hint="default"/>
          <w:spacing w:val="-46"/>
          <w:sz w:val="21"/>
          <w:szCs w:val="21"/>
        </w:rPr>
        <w:t> </w:t>
      </w:r>
      <w:r>
        <w:rPr>
          <w:rFonts w:ascii="宋体" w:hAnsi="宋体" w:cs="宋体" w:eastAsia="宋体" w:hint="default"/>
          <w:spacing w:val="-4"/>
          <w:sz w:val="21"/>
          <w:szCs w:val="21"/>
        </w:rPr>
        <w:t>为报告期缩股数；M0</w:t>
      </w:r>
      <w:r>
        <w:rPr>
          <w:rFonts w:ascii="宋体" w:hAnsi="宋体" w:cs="宋体" w:eastAsia="宋体" w:hint="default"/>
          <w:spacing w:val="-44"/>
          <w:sz w:val="21"/>
          <w:szCs w:val="21"/>
        </w:rPr>
        <w:t> </w:t>
      </w:r>
      <w:r>
        <w:rPr>
          <w:rFonts w:ascii="宋体" w:hAnsi="宋体" w:cs="宋体" w:eastAsia="宋体" w:hint="default"/>
          <w:spacing w:val="-4"/>
          <w:sz w:val="21"/>
          <w:szCs w:val="21"/>
        </w:rPr>
        <w:t>报告期月份数；Mi</w:t>
      </w:r>
      <w:r>
        <w:rPr>
          <w:rFonts w:ascii="宋体" w:hAnsi="宋体" w:cs="宋体" w:eastAsia="宋体" w:hint="default"/>
          <w:spacing w:val="-44"/>
          <w:sz w:val="21"/>
          <w:szCs w:val="21"/>
        </w:rPr>
        <w:t> </w:t>
      </w:r>
      <w:r>
        <w:rPr>
          <w:rFonts w:ascii="宋体" w:hAnsi="宋体" w:cs="宋体" w:eastAsia="宋体" w:hint="default"/>
          <w:spacing w:val="-3"/>
          <w:sz w:val="21"/>
          <w:szCs w:val="21"/>
        </w:rPr>
        <w:t>为增加股份次月起至报告期期末的累计月数；Mj</w:t>
      </w:r>
      <w:r>
        <w:rPr>
          <w:rFonts w:ascii="宋体" w:hAnsi="宋体" w:cs="宋体" w:eastAsia="宋体" w:hint="default"/>
          <w:spacing w:val="-46"/>
          <w:sz w:val="21"/>
          <w:szCs w:val="21"/>
        </w:rPr>
        <w:t> </w:t>
      </w:r>
      <w:r>
        <w:rPr>
          <w:rFonts w:ascii="宋体" w:hAnsi="宋体" w:cs="宋体" w:eastAsia="宋体" w:hint="default"/>
          <w:sz w:val="21"/>
          <w:szCs w:val="21"/>
        </w:rPr>
        <w:t>为减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少股份次月起至报告期期末的累计月数。</w:t>
      </w:r>
    </w:p>
    <w:p>
      <w:pPr>
        <w:spacing w:line="240" w:lineRule="auto" w:before="12"/>
        <w:rPr>
          <w:rFonts w:ascii="宋体" w:hAnsi="宋体" w:cs="宋体" w:eastAsia="宋体" w:hint="default"/>
          <w:sz w:val="18"/>
          <w:szCs w:val="18"/>
        </w:rPr>
      </w:pPr>
    </w:p>
    <w:p>
      <w:pPr>
        <w:spacing w:line="273" w:lineRule="auto" w:before="0"/>
        <w:ind w:left="666" w:right="0" w:firstLine="0"/>
        <w:jc w:val="left"/>
        <w:rPr>
          <w:rFonts w:ascii="宋体" w:hAnsi="宋体" w:cs="宋体" w:eastAsia="宋体" w:hint="default"/>
          <w:sz w:val="21"/>
          <w:szCs w:val="21"/>
        </w:rPr>
      </w:pPr>
      <w:r>
        <w:rPr>
          <w:rFonts w:ascii="宋体" w:hAnsi="宋体" w:cs="宋体" w:eastAsia="宋体" w:hint="default"/>
          <w:spacing w:val="-4"/>
          <w:sz w:val="21"/>
          <w:szCs w:val="21"/>
        </w:rPr>
        <w:t>公司若存在发行可转换债券、股份期权、认股权证等稀释性潜在普通股情况下，稀释每股收益可参照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如下公式计算：</w:t>
      </w:r>
    </w:p>
    <w:p>
      <w:pPr>
        <w:spacing w:line="273" w:lineRule="auto" w:before="7"/>
        <w:ind w:left="666" w:right="0" w:firstLine="422"/>
        <w:jc w:val="left"/>
        <w:rPr>
          <w:rFonts w:ascii="宋体" w:hAnsi="宋体" w:cs="宋体" w:eastAsia="宋体" w:hint="default"/>
          <w:sz w:val="21"/>
          <w:szCs w:val="21"/>
        </w:rPr>
      </w:pPr>
      <w:r>
        <w:rPr>
          <w:rFonts w:ascii="宋体" w:hAnsi="宋体" w:cs="宋体" w:eastAsia="宋体" w:hint="default"/>
          <w:spacing w:val="-3"/>
          <w:sz w:val="21"/>
          <w:szCs w:val="21"/>
        </w:rPr>
        <w:t>稀释每股收益=P1/(S0＋S1＋Si×Mi÷M0–Sj×Mj÷M0–Sk+认股权证、股份期权、可转换债券等</w:t>
      </w:r>
      <w:r>
        <w:rPr>
          <w:rFonts w:ascii="宋体" w:hAnsi="宋体" w:cs="宋体" w:eastAsia="宋体" w:hint="default"/>
          <w:w w:val="100"/>
          <w:sz w:val="21"/>
          <w:szCs w:val="21"/>
        </w:rPr>
        <w:t> </w:t>
      </w:r>
      <w:r>
        <w:rPr>
          <w:rFonts w:ascii="宋体" w:hAnsi="宋体" w:cs="宋体" w:eastAsia="宋体" w:hint="default"/>
          <w:sz w:val="21"/>
          <w:szCs w:val="21"/>
        </w:rPr>
        <w:t>增加的普通股加权平均数)</w:t>
      </w:r>
    </w:p>
    <w:p>
      <w:pPr>
        <w:spacing w:line="273" w:lineRule="auto" w:before="7"/>
        <w:ind w:left="666" w:right="207" w:firstLine="422"/>
        <w:jc w:val="both"/>
        <w:rPr>
          <w:rFonts w:ascii="宋体" w:hAnsi="宋体" w:cs="宋体" w:eastAsia="宋体" w:hint="default"/>
          <w:sz w:val="21"/>
          <w:szCs w:val="21"/>
        </w:rPr>
      </w:pPr>
      <w:r>
        <w:rPr>
          <w:rFonts w:ascii="宋体" w:hAnsi="宋体" w:cs="宋体" w:eastAsia="宋体" w:hint="default"/>
          <w:sz w:val="21"/>
          <w:szCs w:val="21"/>
        </w:rPr>
        <w:t>其中，P1</w:t>
      </w:r>
      <w:r>
        <w:rPr>
          <w:rFonts w:ascii="宋体" w:hAnsi="宋体" w:cs="宋体" w:eastAsia="宋体" w:hint="default"/>
          <w:spacing w:val="-11"/>
          <w:sz w:val="21"/>
          <w:szCs w:val="21"/>
        </w:rPr>
        <w:t> </w:t>
      </w:r>
      <w:r>
        <w:rPr>
          <w:rFonts w:ascii="宋体" w:hAnsi="宋体" w:cs="宋体" w:eastAsia="宋体" w:hint="default"/>
          <w:sz w:val="21"/>
          <w:szCs w:val="21"/>
        </w:rPr>
        <w:t>为归属于公司普通股股东的净利润或扣除非经常性损益后归属于公司普通股股东的净</w:t>
      </w:r>
      <w:r>
        <w:rPr>
          <w:rFonts w:ascii="宋体" w:hAnsi="宋体" w:cs="宋体" w:eastAsia="宋体" w:hint="default"/>
          <w:w w:val="100"/>
          <w:sz w:val="21"/>
          <w:szCs w:val="21"/>
        </w:rPr>
        <w:t> </w:t>
      </w:r>
      <w:r>
        <w:rPr>
          <w:rFonts w:ascii="宋体" w:hAnsi="宋体" w:cs="宋体" w:eastAsia="宋体" w:hint="default"/>
          <w:spacing w:val="-4"/>
          <w:sz w:val="21"/>
          <w:szCs w:val="21"/>
        </w:rPr>
        <w:t>利润，并考虑稀释性潜在普通股对其影响，按《企业会计准则》及有关规定进行调整。公司在计算稀</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w w:val="100"/>
          <w:sz w:val="21"/>
          <w:szCs w:val="21"/>
        </w:rPr>
        <w:t>释每股收益时，应考虑所有稀释性潜在普通股对归属于公司普通股股东的净利润或扣除非经常性损益</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4"/>
          <w:w w:val="100"/>
          <w:sz w:val="21"/>
          <w:szCs w:val="21"/>
        </w:rPr>
        <w:t>后归属于公司普通股股东的净利润和加权平均股数的影响，按照其稀释程度从大到小的顺序计入稀释</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每股收益，直至稀释每股收益达到最小值。</w:t>
      </w:r>
    </w:p>
    <w:p>
      <w:pPr>
        <w:spacing w:after="0" w:line="273" w:lineRule="auto"/>
        <w:jc w:val="both"/>
        <w:rPr>
          <w:rFonts w:ascii="宋体" w:hAnsi="宋体" w:cs="宋体" w:eastAsia="宋体" w:hint="default"/>
          <w:sz w:val="21"/>
          <w:szCs w:val="21"/>
        </w:rPr>
        <w:sectPr>
          <w:type w:val="continuous"/>
          <w:pgSz w:w="11900" w:h="16840"/>
          <w:pgMar w:top="1040" w:bottom="1180" w:left="1100" w:right="780"/>
        </w:sectPr>
      </w:pPr>
    </w:p>
    <w:p>
      <w:pPr>
        <w:spacing w:line="240" w:lineRule="auto" w:before="10"/>
        <w:rPr>
          <w:rFonts w:ascii="宋体" w:hAnsi="宋体" w:cs="宋体" w:eastAsia="宋体" w:hint="default"/>
          <w:sz w:val="12"/>
          <w:szCs w:val="12"/>
        </w:rPr>
      </w:pPr>
    </w:p>
    <w:p>
      <w:pPr>
        <w:tabs>
          <w:tab w:pos="666" w:val="left" w:leader="none"/>
        </w:tabs>
        <w:spacing w:before="41"/>
        <w:ind w:left="100" w:right="442"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195" w:right="442"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6.35</w:t>
      </w:r>
      <w:r>
        <w:rPr>
          <w:rFonts w:ascii="Times New Roman" w:hAnsi="Times New Roman" w:cs="Times New Roman" w:eastAsia="Times New Roman" w:hint="default"/>
          <w:spacing w:val="50"/>
          <w:position w:val="2"/>
          <w:sz w:val="21"/>
          <w:szCs w:val="21"/>
        </w:rPr>
        <w:t> </w:t>
      </w:r>
      <w:r>
        <w:rPr>
          <w:rFonts w:ascii="宋体" w:hAnsi="宋体" w:cs="宋体" w:eastAsia="宋体" w:hint="default"/>
          <w:sz w:val="21"/>
          <w:szCs w:val="21"/>
        </w:rPr>
        <w:t>其他综合收益</w:t>
      </w:r>
    </w:p>
    <w:p>
      <w:pPr>
        <w:spacing w:line="240" w:lineRule="auto" w:before="9"/>
        <w:rPr>
          <w:rFonts w:ascii="宋体" w:hAnsi="宋体" w:cs="宋体" w:eastAsia="宋体" w:hint="default"/>
          <w:sz w:val="15"/>
          <w:szCs w:val="15"/>
        </w:rPr>
      </w:pPr>
    </w:p>
    <w:p>
      <w:pPr>
        <w:tabs>
          <w:tab w:pos="6061" w:val="left" w:leader="none"/>
          <w:tab w:pos="8399" w:val="left" w:leader="none"/>
        </w:tabs>
        <w:spacing w:line="286" w:lineRule="exact" w:before="0"/>
        <w:ind w:left="2687" w:right="442" w:firstLine="0"/>
        <w:jc w:val="left"/>
        <w:rPr>
          <w:rFonts w:ascii="宋体" w:hAnsi="宋体" w:cs="宋体" w:eastAsia="宋体" w:hint="default"/>
          <w:sz w:val="21"/>
          <w:szCs w:val="21"/>
        </w:rPr>
      </w:pPr>
      <w:r>
        <w:rPr>
          <w:rFonts w:ascii="宋体" w:hAnsi="宋体" w:cs="宋体" w:eastAsia="宋体" w:hint="default"/>
          <w:sz w:val="21"/>
          <w:szCs w:val="21"/>
        </w:rPr>
        <w:t>项目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7321" w:val="left" w:leader="none"/>
          <w:tab w:pos="9735" w:val="left" w:leader="none"/>
        </w:tabs>
        <w:spacing w:line="277" w:lineRule="exact" w:before="0"/>
        <w:ind w:left="666" w:right="0" w:firstLine="0"/>
        <w:jc w:val="left"/>
        <w:rPr>
          <w:rFonts w:ascii="Times New Roman" w:hAnsi="Times New Roman" w:cs="Times New Roman" w:eastAsia="Times New Roman" w:hint="default"/>
          <w:sz w:val="21"/>
          <w:szCs w:val="21"/>
        </w:rPr>
      </w:pPr>
      <w:r>
        <w:rPr/>
        <w:pict>
          <v:group style="position:absolute;margin-left:82.919998pt;margin-top:1.22621pt;width:233.9pt;height:.1pt;mso-position-horizontal-relative:page;mso-position-vertical-relative:paragraph;z-index:-548200" coordorigin="1658,25" coordsize="4678,2">
            <v:shape style="position:absolute;left:1658;top:25;width:4678;height:2" coordorigin="1658,25" coordsize="4678,0" path="m1658,25l6336,25e" filled="false" stroked="true" strokeweight=".48pt" strokecolor="#000000">
              <v:path arrowok="t"/>
            </v:shape>
            <w10:wrap type="none"/>
          </v:group>
        </w:pict>
      </w:r>
      <w:r>
        <w:rPr/>
        <w:pict>
          <v:group style="position:absolute;margin-left:330.959991pt;margin-top:1.22621pt;width:99pt;height:.1pt;mso-position-horizontal-relative:page;mso-position-vertical-relative:paragraph;z-index:-548176" coordorigin="6619,25" coordsize="1980,2">
            <v:shape style="position:absolute;left:6619;top:25;width:1980;height:2" coordorigin="6619,25" coordsize="1980,0" path="m6619,25l8599,25e" filled="false" stroked="true" strokeweight=".48pt" strokecolor="#000000">
              <v:path arrowok="t"/>
            </v:shape>
            <w10:wrap type="none"/>
          </v:group>
        </w:pict>
      </w:r>
      <w:r>
        <w:rPr/>
        <w:pict>
          <v:group style="position:absolute;margin-left:443.880005pt;margin-top:1.22621pt;width:106.8pt;height:.1pt;mso-position-horizontal-relative:page;mso-position-vertical-relative:paragraph;z-index:-548152" coordorigin="8878,25" coordsize="2136,2">
            <v:shape style="position:absolute;left:8878;top:25;width:2136;height:2" coordorigin="8878,25" coordsize="2136,0" path="m8878,25l11014,25e" filled="false" stroked="true" strokeweight=".48pt" strokecolor="#000000">
              <v:path arrowok="t"/>
            </v:shape>
            <w10:wrap type="none"/>
          </v:group>
        </w:pic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．可供出售金融资产产生的利得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金额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64" w:lineRule="exact" w:before="0"/>
        <w:ind w:left="719"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减：可供出售金融资产产生的所得税影响</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73" w:lineRule="exact" w:before="0"/>
        <w:ind w:left="666"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前期计入其他综合收益当期转入损益的净额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1088" w:val="left" w:leader="none"/>
          <w:tab w:pos="7321" w:val="left" w:leader="none"/>
          <w:tab w:pos="9735" w:val="left" w:leader="none"/>
        </w:tabs>
        <w:spacing w:before="6"/>
        <w:ind w:left="666" w:right="0" w:firstLine="0"/>
        <w:jc w:val="left"/>
        <w:rPr>
          <w:rFonts w:ascii="Times New Roman" w:hAnsi="Times New Roman" w:cs="Times New Roman" w:eastAsia="Times New Roman" w:hint="default"/>
          <w:sz w:val="21"/>
          <w:szCs w:val="21"/>
        </w:rPr>
      </w:pPr>
      <w:r>
        <w:rPr/>
        <w:pict>
          <v:group style="position:absolute;margin-left:330.959991pt;margin-top:1.853669pt;width:99pt;height:.1pt;mso-position-horizontal-relative:page;mso-position-vertical-relative:paragraph;z-index:-548128" coordorigin="6619,37" coordsize="1980,2">
            <v:shape style="position:absolute;left:6619;top:37;width:1980;height:2" coordorigin="6619,37" coordsize="1980,0" path="m6619,37l8599,37e" filled="false" stroked="true" strokeweight=".48pt" strokecolor="#000000">
              <v:path arrowok="t"/>
            </v:shape>
            <w10:wrap type="none"/>
          </v:group>
        </w:pict>
      </w:r>
      <w:r>
        <w:rPr/>
        <w:pict>
          <v:group style="position:absolute;margin-left:443.880005pt;margin-top:1.853669pt;width:106.8pt;height:.1pt;mso-position-horizontal-relative:page;mso-position-vertical-relative:paragraph;z-index:-548104" coordorigin="8878,37" coordsize="2136,2">
            <v:shape style="position:absolute;left:8878;top:37;width:2136;height:2" coordorigin="8878,37" coordsize="2136,0" path="m8878,37l11014,37e" filled="false" stroked="true" strokeweight=".48pt" strokecolor="#000000">
              <v:path arrowok="t"/>
            </v:shape>
            <w10:wrap type="none"/>
          </v:group>
        </w:pict>
      </w:r>
      <w:r>
        <w:rPr>
          <w:rFonts w:ascii="宋体" w:hAnsi="宋体" w:cs="宋体" w:eastAsia="宋体" w:hint="default"/>
          <w:position w:val="-1"/>
          <w:sz w:val="21"/>
          <w:szCs w:val="21"/>
        </w:rPr>
        <w:t>小</w:t>
        <w:tab/>
        <w:t>计</w:t>
        <w:tab/>
      </w:r>
      <w:r>
        <w:rPr>
          <w:rFonts w:ascii="Times New Roman" w:hAnsi="Times New Roman" w:cs="Times New Roman" w:eastAsia="Times New Roman" w:hint="default"/>
          <w:sz w:val="21"/>
          <w:szCs w:val="21"/>
        </w:rPr>
        <w:t>-</w:t>
        <w:tab/>
        <w:t>-</w:t>
      </w:r>
    </w:p>
    <w:p>
      <w:pPr>
        <w:tabs>
          <w:tab w:pos="7321" w:val="left" w:leader="none"/>
          <w:tab w:pos="9735" w:val="left" w:leader="none"/>
        </w:tabs>
        <w:spacing w:line="280" w:lineRule="exact" w:before="0"/>
        <w:ind w:left="666"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．按照权益法核算的在被投资单位其他综合收益</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spacing w:line="264" w:lineRule="exact" w:before="0"/>
        <w:ind w:left="666" w:right="442" w:firstLine="0"/>
        <w:jc w:val="left"/>
        <w:rPr>
          <w:rFonts w:ascii="宋体" w:hAnsi="宋体" w:cs="宋体" w:eastAsia="宋体" w:hint="default"/>
          <w:sz w:val="21"/>
          <w:szCs w:val="21"/>
        </w:rPr>
      </w:pPr>
      <w:r>
        <w:rPr>
          <w:rFonts w:ascii="宋体" w:hAnsi="宋体" w:cs="宋体" w:eastAsia="宋体" w:hint="default"/>
          <w:sz w:val="21"/>
          <w:szCs w:val="21"/>
        </w:rPr>
        <w:t>中所享有的份额</w:t>
      </w:r>
    </w:p>
    <w:p>
      <w:pPr>
        <w:tabs>
          <w:tab w:pos="7321" w:val="left" w:leader="none"/>
          <w:tab w:pos="9735" w:val="left" w:leader="none"/>
        </w:tabs>
        <w:spacing w:line="272" w:lineRule="exact" w:before="0"/>
        <w:ind w:left="666"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减：按照权益法核算的在被投资单位其他综合收</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spacing w:line="274" w:lineRule="exact" w:before="0"/>
        <w:ind w:left="666" w:right="442" w:firstLine="0"/>
        <w:jc w:val="left"/>
        <w:rPr>
          <w:rFonts w:ascii="宋体" w:hAnsi="宋体" w:cs="宋体" w:eastAsia="宋体" w:hint="default"/>
          <w:sz w:val="21"/>
          <w:szCs w:val="21"/>
        </w:rPr>
      </w:pPr>
      <w:r>
        <w:rPr>
          <w:rFonts w:ascii="宋体" w:hAnsi="宋体" w:cs="宋体" w:eastAsia="宋体" w:hint="default"/>
          <w:sz w:val="21"/>
          <w:szCs w:val="21"/>
        </w:rPr>
        <w:t>益中所享有的份额产生的所得税影响</w:t>
      </w:r>
    </w:p>
    <w:p>
      <w:pPr>
        <w:tabs>
          <w:tab w:pos="7321" w:val="left" w:leader="none"/>
          <w:tab w:pos="9735" w:val="left" w:leader="none"/>
        </w:tabs>
        <w:spacing w:line="271" w:lineRule="exact" w:before="0"/>
        <w:ind w:left="666" w:right="0"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前期计入其他综合收益当期转入损益的净额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spacing w:line="240" w:lineRule="auto" w:before="10"/>
        <w:rPr>
          <w:rFonts w:ascii="Times New Roman" w:hAnsi="Times New Roman" w:cs="Times New Roman" w:eastAsia="Times New Roman" w:hint="default"/>
          <w:sz w:val="2"/>
          <w:szCs w:val="2"/>
        </w:rPr>
      </w:pPr>
    </w:p>
    <w:p>
      <w:pPr>
        <w:tabs>
          <w:tab w:pos="7772" w:val="left" w:leader="none"/>
        </w:tabs>
        <w:spacing w:line="20" w:lineRule="exact"/>
        <w:ind w:left="5514" w:right="0" w:firstLine="0"/>
        <w:rPr>
          <w:rFonts w:ascii="Times New Roman" w:hAnsi="Times New Roman" w:cs="Times New Roman" w:eastAsia="Times New Roman" w:hint="default"/>
          <w:sz w:val="2"/>
          <w:szCs w:val="2"/>
        </w:rPr>
      </w:pPr>
      <w:r>
        <w:rPr>
          <w:rFonts w:ascii="Times New Roman"/>
          <w:sz w:val="2"/>
        </w:rPr>
        <w:pict>
          <v:group style="width:99.5pt;height:.5pt;mso-position-horizontal-relative:char;mso-position-vertical-relative:line" coordorigin="0,0" coordsize="1990,10">
            <v:group style="position:absolute;left:5;top:5;width:1980;height:2" coordorigin="5,5" coordsize="1980,2">
              <v:shape style="position:absolute;left:5;top:5;width:1980;height:2" coordorigin="5,5" coordsize="1980,0" path="m5,5l1985,5e" filled="false" stroked="true" strokeweight=".47pt" strokecolor="#000000">
                <v:path arrowok="t"/>
              </v:shape>
            </v:group>
          </v:group>
        </w:pict>
      </w:r>
      <w:r>
        <w:rPr>
          <w:rFonts w:ascii="Times New Roman"/>
          <w:sz w:val="2"/>
        </w:rPr>
      </w:r>
      <w:r>
        <w:rPr>
          <w:rFonts w:ascii="Times New Roman"/>
          <w:sz w:val="2"/>
        </w:rPr>
        <w:tab/>
      </w:r>
      <w:r>
        <w:rPr>
          <w:rFonts w:ascii="Times New Roman"/>
          <w:sz w:val="2"/>
        </w:rPr>
        <w:pict>
          <v:group style="width:107.3pt;height:.5pt;mso-position-horizontal-relative:char;mso-position-vertical-relative:line" coordorigin="0,0" coordsize="2146,10">
            <v:group style="position:absolute;left:5;top:5;width:2136;height:2" coordorigin="5,5" coordsize="2136,2">
              <v:shape style="position:absolute;left:5;top:5;width:2136;height:2" coordorigin="5,5" coordsize="2136,0" path="m5,5l2141,5e" filled="false" stroked="true" strokeweight=".47pt" strokecolor="#000000">
                <v:path arrowok="t"/>
              </v:shape>
            </v:group>
          </v:group>
        </w:pict>
      </w:r>
      <w:r>
        <w:rPr>
          <w:rFonts w:ascii="Times New Roman"/>
          <w:sz w:val="2"/>
        </w:rPr>
      </w:r>
    </w:p>
    <w:p>
      <w:pPr>
        <w:tabs>
          <w:tab w:pos="7321" w:val="left" w:leader="none"/>
          <w:tab w:pos="9735" w:val="left" w:leader="none"/>
        </w:tabs>
        <w:spacing w:line="227" w:lineRule="exact" w:before="0"/>
        <w:ind w:left="666" w:right="0" w:firstLine="0"/>
        <w:jc w:val="both"/>
        <w:rPr>
          <w:rFonts w:ascii="Times New Roman" w:hAnsi="Times New Roman" w:cs="Times New Roman" w:eastAsia="Times New Roman" w:hint="default"/>
          <w:sz w:val="21"/>
          <w:szCs w:val="21"/>
        </w:rPr>
      </w:pPr>
      <w:r>
        <w:rPr>
          <w:rFonts w:ascii="宋体" w:hAnsi="宋体" w:cs="宋体" w:eastAsia="宋体" w:hint="default"/>
          <w:position w:val="-1"/>
          <w:sz w:val="21"/>
          <w:szCs w:val="21"/>
        </w:rPr>
        <w:t>小 </w:t>
      </w:r>
      <w:r>
        <w:rPr>
          <w:rFonts w:ascii="宋体" w:hAnsi="宋体" w:cs="宋体" w:eastAsia="宋体" w:hint="default"/>
          <w:spacing w:val="3"/>
          <w:position w:val="-1"/>
          <w:sz w:val="21"/>
          <w:szCs w:val="21"/>
        </w:rPr>
        <w:t> </w:t>
      </w:r>
      <w:r>
        <w:rPr>
          <w:rFonts w:ascii="宋体" w:hAnsi="宋体" w:cs="宋体" w:eastAsia="宋体" w:hint="default"/>
          <w:position w:val="-1"/>
          <w:sz w:val="21"/>
          <w:szCs w:val="21"/>
        </w:rPr>
        <w:t>计</w:t>
        <w:tab/>
      </w:r>
      <w:r>
        <w:rPr>
          <w:rFonts w:ascii="Times New Roman" w:hAnsi="Times New Roman" w:cs="Times New Roman" w:eastAsia="Times New Roman" w:hint="default"/>
          <w:sz w:val="21"/>
          <w:szCs w:val="21"/>
        </w:rPr>
        <w:t>-</w:t>
        <w:tab/>
        <w:t>-</w:t>
      </w:r>
    </w:p>
    <w:p>
      <w:pPr>
        <w:tabs>
          <w:tab w:pos="7321" w:val="left" w:leader="none"/>
          <w:tab w:pos="9735" w:val="left" w:leader="none"/>
        </w:tabs>
        <w:spacing w:line="281" w:lineRule="exact" w:before="0"/>
        <w:ind w:left="666"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．现金流量套期工具产生的利得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金额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64" w:lineRule="exact" w:before="0"/>
        <w:ind w:left="666" w:right="0"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减：现金流量套期工具产生的所得税影响</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72" w:lineRule="exact" w:before="0"/>
        <w:ind w:left="666" w:right="0"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前期计入其他综合收益当期转入损益的净额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74" w:lineRule="exact" w:before="0"/>
        <w:ind w:left="666" w:right="0" w:firstLine="0"/>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转为被套期项目初始确认金额的调整额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before="4"/>
        <w:ind w:left="666" w:right="0" w:firstLine="0"/>
        <w:jc w:val="both"/>
        <w:rPr>
          <w:rFonts w:ascii="Times New Roman" w:hAnsi="Times New Roman" w:cs="Times New Roman" w:eastAsia="Times New Roman" w:hint="default"/>
          <w:sz w:val="21"/>
          <w:szCs w:val="21"/>
        </w:rPr>
      </w:pPr>
      <w:r>
        <w:rPr/>
        <w:pict>
          <v:group style="position:absolute;margin-left:330.959991pt;margin-top:1.753668pt;width:99pt;height:.1pt;mso-position-horizontal-relative:page;mso-position-vertical-relative:paragraph;z-index:-548080" coordorigin="6619,35" coordsize="1980,2">
            <v:shape style="position:absolute;left:6619;top:35;width:1980;height:2" coordorigin="6619,35" coordsize="1980,0" path="m6619,35l8599,35e" filled="false" stroked="true" strokeweight=".48pt" strokecolor="#000000">
              <v:path arrowok="t"/>
            </v:shape>
            <w10:wrap type="none"/>
          </v:group>
        </w:pict>
      </w:r>
      <w:r>
        <w:rPr/>
        <w:pict>
          <v:group style="position:absolute;margin-left:443.880005pt;margin-top:1.753668pt;width:106.8pt;height:.1pt;mso-position-horizontal-relative:page;mso-position-vertical-relative:paragraph;z-index:-548056" coordorigin="8878,35" coordsize="2136,2">
            <v:shape style="position:absolute;left:8878;top:35;width:2136;height:2" coordorigin="8878,35" coordsize="2136,0" path="m8878,35l11014,35e" filled="false" stroked="true" strokeweight=".48pt" strokecolor="#000000">
              <v:path arrowok="t"/>
            </v:shape>
            <w10:wrap type="none"/>
          </v:group>
        </w:pict>
      </w:r>
      <w:r>
        <w:rPr>
          <w:rFonts w:ascii="宋体" w:hAnsi="宋体" w:cs="宋体" w:eastAsia="宋体" w:hint="default"/>
          <w:position w:val="-1"/>
          <w:sz w:val="21"/>
          <w:szCs w:val="21"/>
        </w:rPr>
        <w:t>小   </w:t>
      </w:r>
      <w:r>
        <w:rPr>
          <w:rFonts w:ascii="宋体" w:hAnsi="宋体" w:cs="宋体" w:eastAsia="宋体" w:hint="default"/>
          <w:spacing w:val="2"/>
          <w:position w:val="-1"/>
          <w:sz w:val="21"/>
          <w:szCs w:val="21"/>
        </w:rPr>
        <w:t> </w:t>
      </w:r>
      <w:r>
        <w:rPr>
          <w:rFonts w:ascii="宋体" w:hAnsi="宋体" w:cs="宋体" w:eastAsia="宋体" w:hint="default"/>
          <w:position w:val="-1"/>
          <w:sz w:val="21"/>
          <w:szCs w:val="21"/>
        </w:rPr>
        <w:t>计</w:t>
        <w:tab/>
      </w:r>
      <w:r>
        <w:rPr>
          <w:rFonts w:ascii="Times New Roman" w:hAnsi="Times New Roman" w:cs="Times New Roman" w:eastAsia="Times New Roman" w:hint="default"/>
          <w:sz w:val="21"/>
          <w:szCs w:val="21"/>
        </w:rPr>
        <w:t>-</w:t>
        <w:tab/>
        <w:t>-</w:t>
      </w:r>
    </w:p>
    <w:p>
      <w:pPr>
        <w:tabs>
          <w:tab w:pos="6445" w:val="left" w:leader="none"/>
          <w:tab w:pos="7321" w:val="left" w:leader="none"/>
          <w:tab w:pos="8895" w:val="left" w:leader="none"/>
          <w:tab w:pos="9735" w:val="left" w:leader="none"/>
        </w:tabs>
        <w:spacing w:line="235" w:lineRule="auto" w:before="5"/>
        <w:ind w:left="666" w:right="210" w:firstLine="0"/>
        <w:jc w:val="both"/>
        <w:rPr>
          <w:rFonts w:ascii="Times New Roman" w:hAnsi="Times New Roman" w:cs="Times New Roman" w:eastAsia="Times New Roman" w:hint="default"/>
          <w:sz w:val="21"/>
          <w:szCs w:val="21"/>
        </w:rPr>
      </w:pPr>
      <w:r>
        <w:rPr/>
        <w:pict>
          <v:group style="position:absolute;margin-left:330.959991pt;margin-top:29.198385pt;width:99pt;height:.1pt;mso-position-horizontal-relative:page;mso-position-vertical-relative:paragraph;z-index:-548032" coordorigin="6619,584" coordsize="1980,2">
            <v:shape style="position:absolute;left:6619;top:584;width:1980;height:2" coordorigin="6619,584" coordsize="1980,0" path="m6619,584l8599,584e" filled="false" stroked="true" strokeweight=".48pt" strokecolor="#000000">
              <v:path arrowok="t"/>
            </v:shape>
            <w10:wrap type="none"/>
          </v:group>
        </w:pict>
      </w:r>
      <w:r>
        <w:rPr/>
        <w:pict>
          <v:group style="position:absolute;margin-left:443.880005pt;margin-top:29.198385pt;width:106.8pt;height:.1pt;mso-position-horizontal-relative:page;mso-position-vertical-relative:paragraph;z-index:-548008" coordorigin="8878,584" coordsize="2136,2">
            <v:shape style="position:absolute;left:8878;top:584;width:2136;height:2" coordorigin="8878,584" coordsize="2136,0" path="m8878,584l11014,584e" filled="false" stroked="true" strokeweight=".48pt" strokecolor="#000000">
              <v:path arrowok="t"/>
            </v:shape>
            <w10:wrap type="none"/>
          </v:group>
        </w:pic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．外币财务报表折算差额</w:t>
        <w:tab/>
      </w:r>
      <w:r>
        <w:rPr>
          <w:rFonts w:ascii="Times New Roman" w:hAnsi="Times New Roman" w:cs="Times New Roman" w:eastAsia="Times New Roman" w:hint="default"/>
          <w:spacing w:val="-1"/>
          <w:position w:val="1"/>
          <w:sz w:val="21"/>
          <w:szCs w:val="21"/>
        </w:rPr>
        <w:t>338,671.19</w:t>
        <w:tab/>
        <w:t>-72,864.50</w:t>
      </w:r>
      <w:r>
        <w:rPr>
          <w:rFonts w:ascii="Times New Roman" w:hAnsi="Times New Roman" w:cs="Times New Roman" w:eastAsia="Times New Roman" w:hint="default"/>
          <w:spacing w:val="-43"/>
          <w:position w:val="1"/>
          <w:sz w:val="21"/>
          <w:szCs w:val="21"/>
        </w:rPr>
        <w:t> </w:t>
      </w:r>
      <w:r>
        <w:rPr>
          <w:rFonts w:ascii="Times New Roman" w:hAnsi="Times New Roman" w:cs="Times New Roman" w:eastAsia="Times New Roman" w:hint="default"/>
          <w:spacing w:val="-43"/>
          <w:position w:val="1"/>
          <w:sz w:val="21"/>
          <w:szCs w:val="21"/>
        </w:rPr>
      </w:r>
      <w:r>
        <w:rPr>
          <w:rFonts w:ascii="宋体" w:hAnsi="宋体" w:cs="宋体" w:eastAsia="宋体" w:hint="default"/>
          <w:spacing w:val="-2"/>
          <w:sz w:val="21"/>
          <w:szCs w:val="21"/>
        </w:rPr>
        <w:t>减：处置境外经营当期转入损益的净额</w:t>
        <w:tab/>
        <w:tab/>
      </w:r>
      <w:r>
        <w:rPr>
          <w:rFonts w:ascii="Times New Roman" w:hAnsi="Times New Roman" w:cs="Times New Roman" w:eastAsia="Times New Roman" w:hint="default"/>
          <w:position w:val="2"/>
          <w:sz w:val="21"/>
          <w:szCs w:val="21"/>
        </w:rPr>
        <w:t>-</w:t>
        <w:tab/>
        <w:tab/>
        <w:t>-</w:t>
      </w:r>
      <w:r>
        <w:rPr>
          <w:rFonts w:ascii="Times New Roman" w:hAnsi="Times New Roman" w:cs="Times New Roman" w:eastAsia="Times New Roman" w:hint="default"/>
          <w:w w:val="100"/>
          <w:position w:val="2"/>
          <w:sz w:val="21"/>
          <w:szCs w:val="21"/>
        </w:rPr>
        <w:t> </w:t>
      </w: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z w:val="21"/>
          <w:szCs w:val="21"/>
        </w:rPr>
        <w:t>计</w:t>
        <w:tab/>
      </w:r>
      <w:r>
        <w:rPr>
          <w:rFonts w:ascii="Times New Roman" w:hAnsi="Times New Roman" w:cs="Times New Roman" w:eastAsia="Times New Roman" w:hint="default"/>
          <w:spacing w:val="-1"/>
          <w:position w:val="1"/>
          <w:sz w:val="21"/>
          <w:szCs w:val="21"/>
        </w:rPr>
        <w:t>338,671.19</w:t>
        <w:tab/>
        <w:t>-72,864.50</w:t>
      </w:r>
      <w:r>
        <w:rPr>
          <w:rFonts w:ascii="Times New Roman" w:hAnsi="Times New Roman" w:cs="Times New Roman" w:eastAsia="Times New Roman" w:hint="default"/>
          <w:spacing w:val="-1"/>
          <w:sz w:val="21"/>
          <w:szCs w:val="21"/>
        </w:rPr>
      </w:r>
    </w:p>
    <w:p>
      <w:pPr>
        <w:tabs>
          <w:tab w:pos="7321" w:val="left" w:leader="none"/>
          <w:tab w:pos="9735" w:val="left" w:leader="none"/>
        </w:tabs>
        <w:spacing w:line="273" w:lineRule="exact" w:before="0"/>
        <w:ind w:left="666"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．其他</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64" w:lineRule="exact" w:before="0"/>
        <w:ind w:left="877" w:right="0" w:firstLine="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减：由其他计入其他综合收益产生的所得税影响</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72" w:lineRule="exact" w:before="0"/>
        <w:ind w:left="666" w:right="0" w:firstLine="0"/>
        <w:jc w:val="both"/>
        <w:rPr>
          <w:rFonts w:ascii="Times New Roman" w:hAnsi="Times New Roman" w:cs="Times New Roman" w:eastAsia="Times New Roman" w:hint="default"/>
          <w:sz w:val="21"/>
          <w:szCs w:val="21"/>
        </w:rPr>
      </w:pPr>
      <w:r>
        <w:rPr>
          <w:rFonts w:ascii="宋体" w:hAnsi="宋体" w:cs="宋体" w:eastAsia="宋体" w:hint="default"/>
          <w:spacing w:val="-10"/>
          <w:sz w:val="21"/>
          <w:szCs w:val="21"/>
        </w:rPr>
        <w:t>前期其他计入其他综合收益当期转入损益的净额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7321" w:val="left" w:leader="none"/>
          <w:tab w:pos="9735" w:val="left" w:leader="none"/>
        </w:tabs>
        <w:spacing w:line="273" w:lineRule="exact" w:before="0"/>
        <w:ind w:left="666" w:right="0" w:firstLine="0"/>
        <w:jc w:val="both"/>
        <w:rPr>
          <w:rFonts w:ascii="Times New Roman" w:hAnsi="Times New Roman" w:cs="Times New Roman" w:eastAsia="Times New Roman" w:hint="default"/>
          <w:sz w:val="21"/>
          <w:szCs w:val="21"/>
        </w:rPr>
      </w:pPr>
      <w:r>
        <w:rPr>
          <w:rFonts w:ascii="宋体" w:hAnsi="宋体" w:cs="宋体" w:eastAsia="宋体" w:hint="default"/>
          <w:position w:val="-1"/>
          <w:sz w:val="21"/>
          <w:szCs w:val="21"/>
        </w:rPr>
        <w:t>小 </w:t>
      </w:r>
      <w:r>
        <w:rPr>
          <w:rFonts w:ascii="宋体" w:hAnsi="宋体" w:cs="宋体" w:eastAsia="宋体" w:hint="default"/>
          <w:spacing w:val="3"/>
          <w:position w:val="-1"/>
          <w:sz w:val="21"/>
          <w:szCs w:val="21"/>
        </w:rPr>
        <w:t> </w:t>
      </w:r>
      <w:r>
        <w:rPr>
          <w:rFonts w:ascii="宋体" w:hAnsi="宋体" w:cs="宋体" w:eastAsia="宋体" w:hint="default"/>
          <w:position w:val="-1"/>
          <w:sz w:val="21"/>
          <w:szCs w:val="21"/>
        </w:rPr>
        <w:t>计</w:t>
        <w:tab/>
      </w:r>
      <w:r>
        <w:rPr>
          <w:rFonts w:ascii="Times New Roman" w:hAnsi="Times New Roman" w:cs="Times New Roman" w:eastAsia="Times New Roman" w:hint="default"/>
          <w:sz w:val="21"/>
          <w:szCs w:val="21"/>
        </w:rPr>
        <w:t>-</w:t>
        <w:tab/>
        <w:t>-</w:t>
      </w:r>
    </w:p>
    <w:p>
      <w:pPr>
        <w:tabs>
          <w:tab w:pos="6445" w:val="left" w:leader="none"/>
          <w:tab w:pos="8895" w:val="left" w:leader="none"/>
        </w:tabs>
        <w:spacing w:before="10"/>
        <w:ind w:left="666" w:right="0" w:firstLine="0"/>
        <w:jc w:val="both"/>
        <w:rPr>
          <w:rFonts w:ascii="Times New Roman" w:hAnsi="Times New Roman" w:cs="Times New Roman" w:eastAsia="Times New Roman" w:hint="default"/>
          <w:sz w:val="21"/>
          <w:szCs w:val="21"/>
        </w:rPr>
      </w:pPr>
      <w:r>
        <w:rPr/>
        <w:pict>
          <v:group style="position:absolute;margin-left:330.959991pt;margin-top:1.853673pt;width:99pt;height:.1pt;mso-position-horizontal-relative:page;mso-position-vertical-relative:paragraph;z-index:-547984" coordorigin="6619,37" coordsize="1980,2">
            <v:shape style="position:absolute;left:6619;top:37;width:1980;height:2" coordorigin="6619,37" coordsize="1980,0" path="m6619,37l8599,37e" filled="false" stroked="true" strokeweight=".48pt" strokecolor="#000000">
              <v:path arrowok="t"/>
            </v:shape>
            <w10:wrap type="none"/>
          </v:group>
        </w:pict>
      </w:r>
      <w:r>
        <w:rPr/>
        <w:pict>
          <v:group style="position:absolute;margin-left:443.880005pt;margin-top:1.853673pt;width:106.8pt;height:.1pt;mso-position-horizontal-relative:page;mso-position-vertical-relative:paragraph;z-index:-547960" coordorigin="8878,37" coordsize="2136,2">
            <v:shape style="position:absolute;left:8878;top:37;width:2136;height:2" coordorigin="8878,37" coordsize="2136,0" path="m8878,37l11014,37e" filled="false" stroked="true" strokeweight=".48pt" strokecolor="#000000">
              <v:path arrowok="t"/>
            </v:shape>
            <w10:wrap type="none"/>
          </v:group>
        </w:pict>
      </w:r>
      <w:r>
        <w:rPr>
          <w:rFonts w:ascii="宋体" w:hAnsi="宋体" w:cs="宋体" w:eastAsia="宋体" w:hint="default"/>
          <w:sz w:val="21"/>
          <w:szCs w:val="21"/>
        </w:rPr>
        <w:t>合计</w:t>
        <w:tab/>
      </w:r>
      <w:r>
        <w:rPr>
          <w:rFonts w:ascii="Times New Roman" w:hAnsi="Times New Roman" w:cs="Times New Roman" w:eastAsia="Times New Roman" w:hint="default"/>
          <w:spacing w:val="-1"/>
          <w:position w:val="1"/>
          <w:sz w:val="21"/>
          <w:szCs w:val="21"/>
        </w:rPr>
        <w:t>338,671.19</w:t>
        <w:tab/>
        <w:t>-72,864.50</w:t>
      </w:r>
      <w:r>
        <w:rPr>
          <w:rFonts w:ascii="Times New Roman" w:hAnsi="Times New Roman" w:cs="Times New Roman" w:eastAsia="Times New Roman" w:hint="default"/>
          <w:spacing w:val="-1"/>
          <w:sz w:val="21"/>
          <w:szCs w:val="21"/>
        </w:rPr>
      </w:r>
    </w:p>
    <w:p>
      <w:pPr>
        <w:spacing w:line="240" w:lineRule="auto" w:before="4"/>
        <w:rPr>
          <w:rFonts w:ascii="Times New Roman" w:hAnsi="Times New Roman" w:cs="Times New Roman" w:eastAsia="Times New Roman" w:hint="default"/>
          <w:sz w:val="2"/>
          <w:szCs w:val="2"/>
        </w:rPr>
      </w:pPr>
    </w:p>
    <w:p>
      <w:pPr>
        <w:tabs>
          <w:tab w:pos="7758" w:val="left" w:leader="none"/>
        </w:tabs>
        <w:spacing w:line="28" w:lineRule="exact"/>
        <w:ind w:left="5500" w:right="0" w:firstLine="0"/>
        <w:rPr>
          <w:rFonts w:ascii="Times New Roman" w:hAnsi="Times New Roman" w:cs="Times New Roman" w:eastAsia="Times New Roman" w:hint="default"/>
          <w:sz w:val="2"/>
          <w:szCs w:val="2"/>
        </w:rPr>
      </w:pPr>
      <w:r>
        <w:rPr>
          <w:rFonts w:ascii="Times New Roman"/>
          <w:position w:val="0"/>
          <w:sz w:val="2"/>
        </w:rPr>
        <w:pict>
          <v:group style="width:100.2pt;height:1.45pt;mso-position-horizontal-relative:char;mso-position-vertical-relative:line" coordorigin="0,0" coordsize="2004,29">
            <v:group style="position:absolute;left:5;top:24;width:1995;height:2" coordorigin="5,24" coordsize="1995,2">
              <v:shape style="position:absolute;left:5;top:24;width:1995;height:2" coordorigin="5,24" coordsize="1995,0" path="m5,24l1999,24e" filled="false" stroked="true" strokeweight=".48pt" strokecolor="#000000">
                <v:path arrowok="t"/>
              </v:shape>
            </v:group>
            <v:group style="position:absolute;left:5;top:5;width:1995;height:2" coordorigin="5,5" coordsize="1995,2">
              <v:shape style="position:absolute;left:5;top:5;width:1995;height:2" coordorigin="5,5" coordsize="1995,0" path="m5,5l1999,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08pt;height:1.45pt;mso-position-horizontal-relative:char;mso-position-vertical-relative:line" coordorigin="0,0" coordsize="2160,29">
            <v:group style="position:absolute;left:5;top:24;width:2151;height:2" coordorigin="5,24" coordsize="2151,2">
              <v:shape style="position:absolute;left:5;top:24;width:2151;height:2" coordorigin="5,24" coordsize="2151,0" path="m5,24l2155,24e" filled="false" stroked="true" strokeweight=".48pt" strokecolor="#000000">
                <v:path arrowok="t"/>
              </v:shape>
            </v:group>
            <v:group style="position:absolute;left:5;top:5;width:2151;height:2" coordorigin="5,5" coordsize="2151,2">
              <v:shape style="position:absolute;left:5;top:5;width:2151;height:2" coordorigin="5,5" coordsize="2151,0" path="m5,5l2155,5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pgSz w:w="11900" w:h="16840"/>
          <w:pgMar w:header="886" w:footer="983" w:top="1800" w:bottom="1180" w:left="1100" w:right="780"/>
        </w:sectPr>
      </w:pPr>
    </w:p>
    <w:p>
      <w:pPr>
        <w:spacing w:line="240" w:lineRule="auto" w:before="6"/>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42"/>
        <w:gridCol w:w="413"/>
        <w:gridCol w:w="3872"/>
        <w:gridCol w:w="190"/>
        <w:gridCol w:w="2393"/>
        <w:gridCol w:w="605"/>
        <w:gridCol w:w="2246"/>
      </w:tblGrid>
      <w:tr>
        <w:trPr>
          <w:trHeight w:val="981" w:hRule="exact"/>
        </w:trPr>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1" w:right="0"/>
              <w:jc w:val="left"/>
              <w:rPr>
                <w:rFonts w:ascii="Times New Roman" w:hAnsi="Times New Roman" w:cs="Times New Roman" w:eastAsia="Times New Roman" w:hint="default"/>
                <w:sz w:val="21"/>
                <w:szCs w:val="21"/>
              </w:rPr>
            </w:pPr>
            <w:r>
              <w:rPr>
                <w:rFonts w:ascii="Times New Roman"/>
                <w:sz w:val="21"/>
              </w:rPr>
              <w:t>6.36</w:t>
            </w:r>
          </w:p>
        </w:tc>
        <w:tc>
          <w:tcPr>
            <w:tcW w:w="3872" w:type="dxa"/>
            <w:tcBorders>
              <w:top w:val="nil" w:sz="6" w:space="0" w:color="auto"/>
              <w:left w:val="nil" w:sz="6" w:space="0" w:color="auto"/>
              <w:bottom w:val="nil" w:sz="6" w:space="0" w:color="auto"/>
              <w:right w:val="nil" w:sz="6" w:space="0" w:color="auto"/>
            </w:tcBorders>
          </w:tcPr>
          <w:p>
            <w:pPr>
              <w:pStyle w:val="TableParagraph"/>
              <w:spacing w:line="424" w:lineRule="auto" w:before="41"/>
              <w:ind w:left="58" w:right="1369" w:hanging="17"/>
              <w:jc w:val="left"/>
              <w:rPr>
                <w:rFonts w:ascii="宋体" w:hAnsi="宋体" w:cs="宋体" w:eastAsia="宋体" w:hint="default"/>
                <w:sz w:val="21"/>
                <w:szCs w:val="21"/>
              </w:rPr>
            </w:pPr>
            <w:r>
              <w:rPr>
                <w:rFonts w:ascii="宋体" w:hAnsi="宋体" w:cs="宋体" w:eastAsia="宋体" w:hint="default"/>
                <w:b/>
                <w:bCs/>
                <w:spacing w:val="-1"/>
                <w:sz w:val="21"/>
                <w:szCs w:val="21"/>
              </w:rPr>
              <w:t>合并财务报表项目附注</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续</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sz w:val="21"/>
                <w:szCs w:val="21"/>
              </w:rPr>
              <w:t>现金流量表项目注释</w:t>
            </w:r>
          </w:p>
        </w:tc>
        <w:tc>
          <w:tcPr>
            <w:tcW w:w="5434" w:type="dxa"/>
            <w:gridSpan w:val="4"/>
            <w:vMerge w:val="restart"/>
            <w:tcBorders>
              <w:top w:val="nil" w:sz="6" w:space="0" w:color="auto"/>
              <w:left w:val="nil" w:sz="6" w:space="0" w:color="auto"/>
              <w:right w:val="nil" w:sz="6" w:space="0" w:color="auto"/>
            </w:tcBorders>
          </w:tcPr>
          <w:p>
            <w:pPr/>
          </w:p>
        </w:tc>
      </w:tr>
      <w:tr>
        <w:trPr>
          <w:trHeight w:val="519"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收到的其他与经营活动有关的现金</w:t>
            </w:r>
          </w:p>
        </w:tc>
        <w:tc>
          <w:tcPr>
            <w:tcW w:w="5434" w:type="dxa"/>
            <w:gridSpan w:val="4"/>
            <w:vMerge/>
            <w:tcBorders>
              <w:left w:val="nil" w:sz="6" w:space="0" w:color="auto"/>
              <w:bottom w:val="nil" w:sz="6" w:space="0" w:color="auto"/>
              <w:right w:val="nil" w:sz="6" w:space="0" w:color="auto"/>
            </w:tcBorders>
          </w:tcPr>
          <w:p>
            <w:pPr/>
          </w:p>
        </w:tc>
      </w:tr>
      <w:tr>
        <w:trPr>
          <w:trHeight w:val="394"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373"/>
              <w:jc w:val="center"/>
              <w:rPr>
                <w:rFonts w:ascii="宋体" w:hAnsi="宋体" w:cs="宋体" w:eastAsia="宋体" w:hint="default"/>
                <w:sz w:val="21"/>
                <w:szCs w:val="21"/>
              </w:rPr>
            </w:pPr>
            <w:r>
              <w:rPr>
                <w:rFonts w:ascii="宋体" w:hAnsi="宋体" w:cs="宋体" w:eastAsia="宋体" w:hint="default"/>
                <w:sz w:val="21"/>
                <w:szCs w:val="21"/>
              </w:rPr>
              <w:t>项目</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06"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single" w:sz="4" w:space="0" w:color="000000"/>
              <w:left w:val="nil" w:sz="6" w:space="0" w:color="auto"/>
              <w:bottom w:val="nil" w:sz="6" w:space="0" w:color="auto"/>
              <w:right w:val="nil" w:sz="6" w:space="0" w:color="auto"/>
            </w:tcBorders>
          </w:tcPr>
          <w:p>
            <w:pPr>
              <w:pStyle w:val="TableParagraph"/>
              <w:spacing w:line="262" w:lineRule="exact"/>
              <w:ind w:left="58" w:right="0"/>
              <w:jc w:val="left"/>
              <w:rPr>
                <w:rFonts w:ascii="宋体" w:hAnsi="宋体" w:cs="宋体" w:eastAsia="宋体" w:hint="default"/>
                <w:sz w:val="21"/>
                <w:szCs w:val="21"/>
              </w:rPr>
            </w:pPr>
            <w:r>
              <w:rPr>
                <w:rFonts w:ascii="宋体" w:hAnsi="宋体" w:cs="宋体" w:eastAsia="宋体" w:hint="default"/>
                <w:sz w:val="21"/>
                <w:szCs w:val="21"/>
              </w:rPr>
              <w:t>政府补贴及专项拨款</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9,652,600.00</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pacing w:val="-1"/>
                <w:sz w:val="21"/>
              </w:rPr>
              <w:t>5,900,930.00</w:t>
            </w:r>
          </w:p>
        </w:tc>
      </w:tr>
      <w:tr>
        <w:trPr>
          <w:trHeight w:val="308"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73" w:lineRule="exact"/>
              <w:ind w:left="5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21"/>
                <w:szCs w:val="21"/>
              </w:rPr>
            </w:pPr>
            <w:r>
              <w:rPr>
                <w:rFonts w:ascii="Times New Roman"/>
                <w:spacing w:val="-1"/>
                <w:sz w:val="21"/>
              </w:rPr>
              <w:t>2,348,226.83</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4"/>
              <w:jc w:val="right"/>
              <w:rPr>
                <w:rFonts w:ascii="Times New Roman" w:hAnsi="Times New Roman" w:cs="Times New Roman" w:eastAsia="Times New Roman" w:hint="default"/>
                <w:sz w:val="21"/>
                <w:szCs w:val="21"/>
              </w:rPr>
            </w:pPr>
            <w:r>
              <w:rPr>
                <w:rFonts w:ascii="Times New Roman"/>
                <w:spacing w:val="-1"/>
                <w:sz w:val="21"/>
              </w:rPr>
              <w:t>6,175,869.24</w:t>
            </w:r>
          </w:p>
        </w:tc>
      </w:tr>
      <w:tr>
        <w:trPr>
          <w:trHeight w:val="312"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1"/>
              <w:ind w:left="58"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153,453.16</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21"/>
                <w:szCs w:val="21"/>
              </w:rPr>
            </w:pPr>
            <w:r>
              <w:rPr>
                <w:rFonts w:ascii="Times New Roman"/>
                <w:spacing w:val="-1"/>
                <w:sz w:val="21"/>
              </w:rPr>
              <w:t>58,273.88</w:t>
            </w:r>
          </w:p>
        </w:tc>
      </w:tr>
      <w:tr>
        <w:trPr>
          <w:trHeight w:val="331"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1"/>
              <w:ind w:left="58" w:right="0"/>
              <w:jc w:val="left"/>
              <w:rPr>
                <w:rFonts w:ascii="宋体" w:hAnsi="宋体" w:cs="宋体" w:eastAsia="宋体" w:hint="default"/>
                <w:sz w:val="21"/>
                <w:szCs w:val="21"/>
              </w:rPr>
            </w:pPr>
            <w:r>
              <w:rPr>
                <w:rFonts w:ascii="宋体" w:hAnsi="宋体" w:cs="宋体" w:eastAsia="宋体" w:hint="default"/>
                <w:sz w:val="21"/>
                <w:szCs w:val="21"/>
              </w:rPr>
              <w:t>其他经营性往来收入</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632,925.88</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4"/>
              <w:jc w:val="right"/>
              <w:rPr>
                <w:rFonts w:ascii="Times New Roman" w:hAnsi="Times New Roman" w:cs="Times New Roman" w:eastAsia="Times New Roman" w:hint="default"/>
                <w:sz w:val="21"/>
                <w:szCs w:val="21"/>
              </w:rPr>
            </w:pPr>
            <w:r>
              <w:rPr>
                <w:rFonts w:ascii="Times New Roman"/>
                <w:spacing w:val="-1"/>
                <w:sz w:val="21"/>
              </w:rPr>
              <w:t>337,030.31</w:t>
            </w:r>
          </w:p>
        </w:tc>
      </w:tr>
      <w:tr>
        <w:trPr>
          <w:trHeight w:val="290"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5" w:lineRule="exact"/>
              <w:ind w:left="5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12,787,205.87</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12,472,103.43</w:t>
            </w:r>
          </w:p>
        </w:tc>
      </w:tr>
      <w:tr>
        <w:trPr>
          <w:trHeight w:val="656"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支付的其他与经营活动有关的现金</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single" w:sz="12" w:space="0" w:color="000000"/>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single" w:sz="12" w:space="0" w:color="000000"/>
              <w:left w:val="nil" w:sz="6" w:space="0" w:color="auto"/>
              <w:bottom w:val="nil" w:sz="6" w:space="0" w:color="auto"/>
              <w:right w:val="nil" w:sz="6" w:space="0" w:color="auto"/>
            </w:tcBorders>
          </w:tcPr>
          <w:p>
            <w:pPr/>
          </w:p>
        </w:tc>
      </w:tr>
      <w:tr>
        <w:trPr>
          <w:trHeight w:val="393"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42"/>
              <w:jc w:val="center"/>
              <w:rPr>
                <w:rFonts w:ascii="宋体" w:hAnsi="宋体" w:cs="宋体" w:eastAsia="宋体" w:hint="default"/>
                <w:sz w:val="21"/>
                <w:szCs w:val="21"/>
              </w:rPr>
            </w:pPr>
            <w:r>
              <w:rPr>
                <w:rFonts w:ascii="宋体" w:hAnsi="宋体" w:cs="宋体" w:eastAsia="宋体" w:hint="default"/>
                <w:sz w:val="21"/>
                <w:szCs w:val="21"/>
              </w:rPr>
              <w:t>项目</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605" w:type="dxa"/>
            <w:tcBorders>
              <w:top w:val="nil" w:sz="6" w:space="0" w:color="auto"/>
              <w:left w:val="nil" w:sz="6" w:space="0" w:color="auto"/>
              <w:bottom w:val="single" w:sz="4" w:space="0" w:color="000000"/>
              <w:right w:val="nil" w:sz="6" w:space="0" w:color="auto"/>
            </w:tcBorders>
          </w:tcPr>
          <w:p>
            <w:pP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302"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single" w:sz="4" w:space="0" w:color="000000"/>
              <w:left w:val="nil" w:sz="6" w:space="0" w:color="auto"/>
              <w:bottom w:val="nil" w:sz="6" w:space="0" w:color="auto"/>
              <w:right w:val="nil" w:sz="6" w:space="0" w:color="auto"/>
            </w:tcBorders>
          </w:tcPr>
          <w:p>
            <w:pPr>
              <w:pStyle w:val="TableParagraph"/>
              <w:spacing w:line="262" w:lineRule="exact"/>
              <w:ind w:left="58" w:right="0"/>
              <w:jc w:val="left"/>
              <w:rPr>
                <w:rFonts w:ascii="宋体" w:hAnsi="宋体" w:cs="宋体" w:eastAsia="宋体" w:hint="default"/>
                <w:sz w:val="21"/>
                <w:szCs w:val="21"/>
              </w:rPr>
            </w:pPr>
            <w:r>
              <w:rPr>
                <w:rFonts w:ascii="宋体" w:hAnsi="宋体" w:cs="宋体" w:eastAsia="宋体" w:hint="default"/>
                <w:sz w:val="21"/>
                <w:szCs w:val="21"/>
              </w:rPr>
              <w:t>销售费用支出</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nil" w:sz="6" w:space="0" w:color="auto"/>
              <w:right w:val="nil" w:sz="6" w:space="0" w:color="auto"/>
            </w:tcBorders>
          </w:tcPr>
          <w:p>
            <w:pPr>
              <w:pStyle w:val="TableParagraph"/>
              <w:spacing w:line="235" w:lineRule="exact"/>
              <w:ind w:right="46"/>
              <w:jc w:val="right"/>
              <w:rPr>
                <w:rFonts w:ascii="Times New Roman" w:hAnsi="Times New Roman" w:cs="Times New Roman" w:eastAsia="Times New Roman" w:hint="default"/>
                <w:sz w:val="21"/>
                <w:szCs w:val="21"/>
              </w:rPr>
            </w:pPr>
            <w:r>
              <w:rPr>
                <w:rFonts w:ascii="Times New Roman"/>
                <w:spacing w:val="-1"/>
                <w:sz w:val="21"/>
              </w:rPr>
              <w:t>2,809,541.74</w:t>
            </w:r>
          </w:p>
        </w:tc>
        <w:tc>
          <w:tcPr>
            <w:tcW w:w="605" w:type="dxa"/>
            <w:tcBorders>
              <w:top w:val="single" w:sz="4" w:space="0" w:color="000000"/>
              <w:left w:val="nil" w:sz="6" w:space="0" w:color="auto"/>
              <w:bottom w:val="nil" w:sz="6" w:space="0" w:color="auto"/>
              <w:right w:val="nil" w:sz="6" w:space="0" w:color="auto"/>
            </w:tcBorders>
          </w:tcPr>
          <w:p>
            <w:pPr/>
          </w:p>
        </w:tc>
        <w:tc>
          <w:tcPr>
            <w:tcW w:w="2246"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2,035,283.28</w:t>
            </w:r>
          </w:p>
        </w:tc>
      </w:tr>
      <w:tr>
        <w:trPr>
          <w:trHeight w:val="312"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2"/>
              <w:ind w:left="58" w:right="0"/>
              <w:jc w:val="left"/>
              <w:rPr>
                <w:rFonts w:ascii="宋体" w:hAnsi="宋体" w:cs="宋体" w:eastAsia="宋体" w:hint="default"/>
                <w:sz w:val="21"/>
                <w:szCs w:val="21"/>
              </w:rPr>
            </w:pPr>
            <w:r>
              <w:rPr>
                <w:rFonts w:ascii="宋体" w:hAnsi="宋体" w:cs="宋体" w:eastAsia="宋体" w:hint="default"/>
                <w:sz w:val="21"/>
                <w:szCs w:val="21"/>
              </w:rPr>
              <w:t>管理费用支出</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Times New Roman" w:hAnsi="Times New Roman" w:cs="Times New Roman" w:eastAsia="Times New Roman" w:hint="default"/>
                <w:sz w:val="21"/>
                <w:szCs w:val="21"/>
              </w:rPr>
            </w:pPr>
            <w:r>
              <w:rPr>
                <w:rFonts w:ascii="Times New Roman"/>
                <w:spacing w:val="-1"/>
                <w:sz w:val="21"/>
              </w:rPr>
              <w:t>20,698,639.46</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13,022,718.74</w:t>
            </w:r>
          </w:p>
        </w:tc>
      </w:tr>
      <w:tr>
        <w:trPr>
          <w:trHeight w:val="312"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2"/>
              <w:ind w:left="58" w:right="0"/>
              <w:jc w:val="left"/>
              <w:rPr>
                <w:rFonts w:ascii="宋体" w:hAnsi="宋体" w:cs="宋体" w:eastAsia="宋体" w:hint="default"/>
                <w:sz w:val="21"/>
                <w:szCs w:val="21"/>
              </w:rPr>
            </w:pPr>
            <w:r>
              <w:rPr>
                <w:rFonts w:ascii="宋体" w:hAnsi="宋体" w:cs="宋体" w:eastAsia="宋体" w:hint="default"/>
                <w:sz w:val="21"/>
                <w:szCs w:val="21"/>
              </w:rPr>
              <w:t>其他营业外支出</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Times New Roman" w:hAnsi="Times New Roman" w:cs="Times New Roman" w:eastAsia="Times New Roman" w:hint="default"/>
                <w:sz w:val="21"/>
                <w:szCs w:val="21"/>
              </w:rPr>
            </w:pPr>
            <w:r>
              <w:rPr>
                <w:rFonts w:ascii="Times New Roman"/>
                <w:spacing w:val="-1"/>
                <w:sz w:val="21"/>
              </w:rPr>
              <w:t>20,000.00</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z w:val="21"/>
              </w:rPr>
              <w:t>422.31</w:t>
            </w:r>
          </w:p>
        </w:tc>
      </w:tr>
      <w:tr>
        <w:trPr>
          <w:trHeight w:val="312"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2"/>
              <w:ind w:left="58" w:right="0"/>
              <w:jc w:val="left"/>
              <w:rPr>
                <w:rFonts w:ascii="宋体" w:hAnsi="宋体" w:cs="宋体" w:eastAsia="宋体" w:hint="default"/>
                <w:sz w:val="21"/>
                <w:szCs w:val="21"/>
              </w:rPr>
            </w:pPr>
            <w:r>
              <w:rPr>
                <w:rFonts w:ascii="宋体" w:hAnsi="宋体" w:cs="宋体" w:eastAsia="宋体" w:hint="default"/>
                <w:sz w:val="21"/>
                <w:szCs w:val="21"/>
              </w:rPr>
              <w:t>财务费用手续费</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6"/>
              <w:jc w:val="right"/>
              <w:rPr>
                <w:rFonts w:ascii="Times New Roman" w:hAnsi="Times New Roman" w:cs="Times New Roman" w:eastAsia="Times New Roman" w:hint="default"/>
                <w:sz w:val="21"/>
                <w:szCs w:val="21"/>
              </w:rPr>
            </w:pPr>
            <w:r>
              <w:rPr>
                <w:rFonts w:ascii="Times New Roman"/>
                <w:spacing w:val="-1"/>
                <w:sz w:val="21"/>
              </w:rPr>
              <w:t>104,453.17</w:t>
            </w:r>
          </w:p>
        </w:tc>
        <w:tc>
          <w:tcPr>
            <w:tcW w:w="605"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86,942.95</w:t>
            </w:r>
          </w:p>
        </w:tc>
      </w:tr>
      <w:tr>
        <w:trPr>
          <w:trHeight w:val="332"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2"/>
              <w:ind w:left="58" w:right="0"/>
              <w:jc w:val="left"/>
              <w:rPr>
                <w:rFonts w:ascii="宋体" w:hAnsi="宋体" w:cs="宋体" w:eastAsia="宋体" w:hint="default"/>
                <w:sz w:val="21"/>
                <w:szCs w:val="21"/>
              </w:rPr>
            </w:pPr>
            <w:r>
              <w:rPr>
                <w:rFonts w:ascii="宋体" w:hAnsi="宋体" w:cs="宋体" w:eastAsia="宋体" w:hint="default"/>
                <w:sz w:val="21"/>
                <w:szCs w:val="21"/>
              </w:rPr>
              <w:t>其他经营性往来支出</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46"/>
              <w:jc w:val="right"/>
              <w:rPr>
                <w:rFonts w:ascii="Times New Roman" w:hAnsi="Times New Roman" w:cs="Times New Roman" w:eastAsia="Times New Roman" w:hint="default"/>
                <w:sz w:val="21"/>
                <w:szCs w:val="21"/>
              </w:rPr>
            </w:pPr>
            <w:r>
              <w:rPr>
                <w:rFonts w:ascii="Times New Roman"/>
                <w:spacing w:val="-1"/>
                <w:sz w:val="21"/>
              </w:rPr>
              <w:t>8,378,159.84</w:t>
            </w:r>
          </w:p>
        </w:tc>
        <w:tc>
          <w:tcPr>
            <w:tcW w:w="605" w:type="dxa"/>
            <w:tcBorders>
              <w:top w:val="nil" w:sz="6" w:space="0" w:color="auto"/>
              <w:left w:val="nil" w:sz="6" w:space="0" w:color="auto"/>
              <w:bottom w:val="single" w:sz="4" w:space="0" w:color="000000"/>
              <w:right w:val="nil" w:sz="6" w:space="0" w:color="auto"/>
            </w:tcBorders>
          </w:tcPr>
          <w:p>
            <w:pP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1,040,730.67</w:t>
            </w:r>
          </w:p>
        </w:tc>
      </w:tr>
      <w:tr>
        <w:trPr>
          <w:trHeight w:val="293"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5" w:lineRule="exact"/>
              <w:ind w:left="5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single" w:sz="11" w:space="0" w:color="000000"/>
              <w:right w:val="nil" w:sz="6" w:space="0" w:color="auto"/>
            </w:tcBorders>
          </w:tcPr>
          <w:p>
            <w:pPr>
              <w:pStyle w:val="TableParagraph"/>
              <w:spacing w:line="235" w:lineRule="exact"/>
              <w:ind w:right="48"/>
              <w:jc w:val="right"/>
              <w:rPr>
                <w:rFonts w:ascii="Times New Roman" w:hAnsi="Times New Roman" w:cs="Times New Roman" w:eastAsia="Times New Roman" w:hint="default"/>
                <w:sz w:val="21"/>
                <w:szCs w:val="21"/>
              </w:rPr>
            </w:pPr>
            <w:r>
              <w:rPr>
                <w:rFonts w:ascii="Times New Roman"/>
                <w:spacing w:val="-1"/>
                <w:sz w:val="21"/>
              </w:rPr>
              <w:t>32,010,794.21</w:t>
            </w:r>
          </w:p>
        </w:tc>
        <w:tc>
          <w:tcPr>
            <w:tcW w:w="605" w:type="dxa"/>
            <w:tcBorders>
              <w:top w:val="single" w:sz="4" w:space="0" w:color="000000"/>
              <w:left w:val="nil" w:sz="6" w:space="0" w:color="auto"/>
              <w:bottom w:val="single" w:sz="11" w:space="0" w:color="000000"/>
              <w:right w:val="nil" w:sz="6" w:space="0" w:color="auto"/>
            </w:tcBorders>
          </w:tcPr>
          <w:p>
            <w:pPr/>
          </w:p>
        </w:tc>
        <w:tc>
          <w:tcPr>
            <w:tcW w:w="2246" w:type="dxa"/>
            <w:tcBorders>
              <w:top w:val="single" w:sz="4" w:space="0" w:color="000000"/>
              <w:left w:val="nil" w:sz="6" w:space="0" w:color="auto"/>
              <w:bottom w:val="single" w:sz="11"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16,186,097.95</w:t>
            </w:r>
          </w:p>
        </w:tc>
      </w:tr>
      <w:tr>
        <w:trPr>
          <w:trHeight w:val="655"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6.36.3</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收到的其他与投资活动有关的现金</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single" w:sz="11" w:space="0" w:color="000000"/>
              <w:left w:val="nil" w:sz="6" w:space="0" w:color="auto"/>
              <w:bottom w:val="nil" w:sz="6" w:space="0" w:color="auto"/>
              <w:right w:val="nil" w:sz="6" w:space="0" w:color="auto"/>
            </w:tcBorders>
          </w:tcPr>
          <w:p>
            <w:pPr/>
          </w:p>
        </w:tc>
        <w:tc>
          <w:tcPr>
            <w:tcW w:w="605" w:type="dxa"/>
            <w:tcBorders>
              <w:top w:val="single" w:sz="11" w:space="0" w:color="000000"/>
              <w:left w:val="nil" w:sz="6" w:space="0" w:color="auto"/>
              <w:bottom w:val="nil" w:sz="6" w:space="0" w:color="auto"/>
              <w:right w:val="nil" w:sz="6" w:space="0" w:color="auto"/>
            </w:tcBorders>
          </w:tcPr>
          <w:p>
            <w:pPr/>
          </w:p>
        </w:tc>
        <w:tc>
          <w:tcPr>
            <w:tcW w:w="2246" w:type="dxa"/>
            <w:tcBorders>
              <w:top w:val="single" w:sz="11" w:space="0" w:color="000000"/>
              <w:left w:val="nil" w:sz="6" w:space="0" w:color="auto"/>
              <w:bottom w:val="nil" w:sz="6" w:space="0" w:color="auto"/>
              <w:right w:val="nil" w:sz="6" w:space="0" w:color="auto"/>
            </w:tcBorders>
          </w:tcPr>
          <w:p>
            <w:pPr/>
          </w:p>
        </w:tc>
      </w:tr>
      <w:tr>
        <w:trPr>
          <w:trHeight w:val="392"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42"/>
              <w:jc w:val="center"/>
              <w:rPr>
                <w:rFonts w:ascii="宋体" w:hAnsi="宋体" w:cs="宋体" w:eastAsia="宋体" w:hint="default"/>
                <w:sz w:val="21"/>
                <w:szCs w:val="21"/>
              </w:rPr>
            </w:pPr>
            <w:r>
              <w:rPr>
                <w:rFonts w:ascii="宋体" w:hAnsi="宋体" w:cs="宋体" w:eastAsia="宋体" w:hint="default"/>
                <w:sz w:val="21"/>
                <w:szCs w:val="21"/>
              </w:rPr>
              <w:t>项目</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4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605" w:type="dxa"/>
            <w:tcBorders>
              <w:top w:val="nil" w:sz="6" w:space="0" w:color="auto"/>
              <w:left w:val="nil" w:sz="6" w:space="0" w:color="auto"/>
              <w:bottom w:val="single" w:sz="4" w:space="0" w:color="000000"/>
              <w:right w:val="nil" w:sz="6" w:space="0" w:color="auto"/>
            </w:tcBorders>
          </w:tcPr>
          <w:p>
            <w:pP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93" w:hRule="exact"/>
        </w:trPr>
        <w:tc>
          <w:tcPr>
            <w:tcW w:w="142"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3872" w:type="dxa"/>
            <w:tcBorders>
              <w:top w:val="single" w:sz="4" w:space="0" w:color="000000"/>
              <w:left w:val="nil" w:sz="6" w:space="0" w:color="auto"/>
              <w:bottom w:val="nil" w:sz="6" w:space="0" w:color="auto"/>
              <w:right w:val="nil" w:sz="6" w:space="0" w:color="auto"/>
            </w:tcBorders>
          </w:tcPr>
          <w:p>
            <w:pPr>
              <w:pStyle w:val="TableParagraph"/>
              <w:spacing w:line="243" w:lineRule="exact"/>
              <w:ind w:left="58" w:right="0"/>
              <w:jc w:val="left"/>
              <w:rPr>
                <w:rFonts w:ascii="宋体" w:hAnsi="宋体" w:cs="宋体" w:eastAsia="宋体" w:hint="default"/>
                <w:sz w:val="21"/>
                <w:szCs w:val="21"/>
              </w:rPr>
            </w:pPr>
            <w:r>
              <w:rPr>
                <w:rFonts w:ascii="宋体" w:hAnsi="宋体" w:cs="宋体" w:eastAsia="宋体" w:hint="default"/>
                <w:sz w:val="21"/>
                <w:szCs w:val="21"/>
              </w:rPr>
              <w:t>合并子公司持有的现金和现金等价物</w:t>
            </w:r>
          </w:p>
        </w:tc>
        <w:tc>
          <w:tcPr>
            <w:tcW w:w="190"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47"/>
              <w:jc w:val="right"/>
              <w:rPr>
                <w:rFonts w:ascii="Times New Roman" w:hAnsi="Times New Roman" w:cs="Times New Roman" w:eastAsia="Times New Roman" w:hint="default"/>
                <w:sz w:val="21"/>
                <w:szCs w:val="21"/>
              </w:rPr>
            </w:pPr>
            <w:r>
              <w:rPr>
                <w:rFonts w:ascii="Times New Roman"/>
                <w:w w:val="100"/>
                <w:sz w:val="21"/>
              </w:rPr>
              <w:t>-</w:t>
            </w:r>
          </w:p>
        </w:tc>
        <w:tc>
          <w:tcPr>
            <w:tcW w:w="605" w:type="dxa"/>
            <w:tcBorders>
              <w:top w:val="single" w:sz="4" w:space="0" w:color="000000"/>
              <w:left w:val="nil" w:sz="6" w:space="0" w:color="auto"/>
              <w:bottom w:val="single" w:sz="12" w:space="0" w:color="000000"/>
              <w:right w:val="nil" w:sz="6" w:space="0" w:color="auto"/>
            </w:tcBorders>
          </w:tcPr>
          <w:p>
            <w:pPr/>
          </w:p>
        </w:tc>
        <w:tc>
          <w:tcPr>
            <w:tcW w:w="2246"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17,695,409.90</w:t>
            </w:r>
          </w:p>
        </w:tc>
      </w:tr>
    </w:tbl>
    <w:p>
      <w:pPr>
        <w:spacing w:after="0" w:line="237" w:lineRule="exact"/>
        <w:jc w:val="right"/>
        <w:rPr>
          <w:rFonts w:ascii="Times New Roman" w:hAnsi="Times New Roman" w:cs="Times New Roman" w:eastAsia="Times New Roman" w:hint="default"/>
          <w:sz w:val="21"/>
          <w:szCs w:val="21"/>
        </w:rPr>
        <w:sectPr>
          <w:pgSz w:w="11900" w:h="16840"/>
          <w:pgMar w:header="886" w:footer="983" w:top="1800" w:bottom="1180" w:left="104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spacing w:before="0"/>
        <w:ind w:left="1168" w:right="0" w:firstLine="0"/>
        <w:jc w:val="left"/>
        <w:rPr>
          <w:rFonts w:ascii="宋体" w:hAnsi="宋体" w:cs="宋体" w:eastAsia="宋体" w:hint="default"/>
          <w:sz w:val="21"/>
          <w:szCs w:val="21"/>
        </w:rPr>
      </w:pPr>
      <w:r>
        <w:rPr/>
        <w:pict>
          <v:shape style="position:absolute;margin-left:57.650002pt;margin-top:-173.425644pt;width:493.05pt;height:354.8pt;mso-position-horizontal-relative:page;mso-position-vertical-relative:paragraph;z-index:7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
                    <w:gridCol w:w="421"/>
                    <w:gridCol w:w="5328"/>
                    <w:gridCol w:w="286"/>
                    <w:gridCol w:w="1466"/>
                    <w:gridCol w:w="283"/>
                    <w:gridCol w:w="1934"/>
                  </w:tblGrid>
                  <w:tr>
                    <w:trPr>
                      <w:trHeight w:val="981" w:hRule="exact"/>
                    </w:trPr>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w w:val="100"/>
                            <w:sz w:val="21"/>
                          </w:rPr>
                          <w:t>6</w:t>
                        </w:r>
                        <w:r>
                          <w:rPr>
                            <w:rFonts w:ascii="Times New Roman"/>
                            <w:w w:val="100"/>
                            <w:sz w:val="21"/>
                          </w:rPr>
                        </w:r>
                      </w:p>
                    </w:tc>
                    <w:tc>
                      <w:tcPr>
                        <w:tcW w:w="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left"/>
                          <w:rPr>
                            <w:rFonts w:ascii="Times New Roman" w:hAnsi="Times New Roman" w:cs="Times New Roman" w:eastAsia="Times New Roman" w:hint="default"/>
                            <w:sz w:val="21"/>
                            <w:szCs w:val="21"/>
                          </w:rPr>
                        </w:pPr>
                        <w:r>
                          <w:rPr>
                            <w:rFonts w:ascii="Times New Roman"/>
                            <w:sz w:val="21"/>
                          </w:rPr>
                          <w:t>6.36</w:t>
                        </w:r>
                      </w:p>
                    </w:tc>
                    <w:tc>
                      <w:tcPr>
                        <w:tcW w:w="5328" w:type="dxa"/>
                        <w:tcBorders>
                          <w:top w:val="nil" w:sz="6" w:space="0" w:color="auto"/>
                          <w:left w:val="nil" w:sz="6" w:space="0" w:color="auto"/>
                          <w:bottom w:val="nil" w:sz="6" w:space="0" w:color="auto"/>
                          <w:right w:val="nil" w:sz="6" w:space="0" w:color="auto"/>
                        </w:tcBorders>
                      </w:tcPr>
                      <w:p>
                        <w:pPr>
                          <w:pStyle w:val="TableParagraph"/>
                          <w:spacing w:line="424" w:lineRule="auto" w:before="41"/>
                          <w:ind w:left="50" w:right="2817"/>
                          <w:jc w:val="left"/>
                          <w:rPr>
                            <w:rFonts w:ascii="宋体" w:hAnsi="宋体" w:cs="宋体" w:eastAsia="宋体" w:hint="default"/>
                            <w:sz w:val="21"/>
                            <w:szCs w:val="21"/>
                          </w:rPr>
                        </w:pPr>
                        <w:r>
                          <w:rPr>
                            <w:rFonts w:ascii="宋体" w:hAnsi="宋体" w:cs="宋体" w:eastAsia="宋体" w:hint="default"/>
                            <w:b/>
                            <w:bCs/>
                            <w:spacing w:val="-1"/>
                            <w:sz w:val="21"/>
                            <w:szCs w:val="21"/>
                          </w:rPr>
                          <w:t>合并财务报表项目附注</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续</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b/>
                            <w:bCs/>
                            <w:spacing w:val="-45"/>
                            <w:sz w:val="21"/>
                            <w:szCs w:val="21"/>
                          </w:rPr>
                          <w:t> </w:t>
                        </w:r>
                        <w:r>
                          <w:rPr>
                            <w:rFonts w:ascii="宋体" w:hAnsi="宋体" w:cs="宋体" w:eastAsia="宋体" w:hint="default"/>
                            <w:sz w:val="21"/>
                            <w:szCs w:val="21"/>
                          </w:rPr>
                          <w:t>现金流量表补充资料</w:t>
                        </w:r>
                      </w:p>
                    </w:tc>
                    <w:tc>
                      <w:tcPr>
                        <w:tcW w:w="3970" w:type="dxa"/>
                        <w:gridSpan w:val="4"/>
                        <w:vMerge w:val="restart"/>
                        <w:tcBorders>
                          <w:top w:val="nil" w:sz="6" w:space="0" w:color="auto"/>
                          <w:left w:val="nil" w:sz="6" w:space="0" w:color="auto"/>
                          <w:right w:val="nil" w:sz="6" w:space="0" w:color="auto"/>
                        </w:tcBorders>
                      </w:tcPr>
                      <w:p>
                        <w:pPr/>
                      </w:p>
                    </w:tc>
                  </w:tr>
                  <w:tr>
                    <w:trPr>
                      <w:trHeight w:val="517" w:hRule="exact"/>
                    </w:trPr>
                    <w:tc>
                      <w:tcPr>
                        <w:tcW w:w="14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现金流量表补充资料</w:t>
                        </w:r>
                      </w:p>
                    </w:tc>
                    <w:tc>
                      <w:tcPr>
                        <w:tcW w:w="3970" w:type="dxa"/>
                        <w:gridSpan w:val="4"/>
                        <w:vMerge/>
                        <w:tcBorders>
                          <w:left w:val="nil" w:sz="6" w:space="0" w:color="auto"/>
                          <w:bottom w:val="nil" w:sz="6" w:space="0" w:color="auto"/>
                          <w:right w:val="nil" w:sz="6" w:space="0" w:color="auto"/>
                        </w:tcBorders>
                      </w:tcPr>
                      <w:p>
                        <w:pPr/>
                      </w:p>
                    </w:tc>
                  </w:tr>
                  <w:tr>
                    <w:trPr>
                      <w:trHeight w:val="365" w:hRule="exact"/>
                    </w:trPr>
                    <w:tc>
                      <w:tcPr>
                        <w:tcW w:w="14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single" w:sz="4" w:space="0" w:color="000000"/>
                          <w:right w:val="nil" w:sz="6" w:space="0" w:color="auto"/>
                        </w:tcBorders>
                      </w:tcPr>
                      <w:p>
                        <w:pPr/>
                      </w:p>
                    </w:tc>
                    <w:tc>
                      <w:tcPr>
                        <w:tcW w:w="532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55"/>
                          <w:jc w:val="center"/>
                          <w:rPr>
                            <w:rFonts w:ascii="宋体" w:hAnsi="宋体" w:cs="宋体" w:eastAsia="宋体" w:hint="default"/>
                            <w:sz w:val="18"/>
                            <w:szCs w:val="18"/>
                          </w:rPr>
                        </w:pPr>
                        <w:r>
                          <w:rPr>
                            <w:rFonts w:ascii="宋体" w:hAnsi="宋体" w:cs="宋体" w:eastAsia="宋体" w:hint="default"/>
                            <w:sz w:val="18"/>
                            <w:szCs w:val="18"/>
                          </w:rPr>
                          <w:t>项目</w:t>
                        </w:r>
                      </w:p>
                    </w:tc>
                    <w:tc>
                      <w:tcPr>
                        <w:tcW w:w="28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543" w:hRule="exact"/>
                    </w:trPr>
                    <w:tc>
                      <w:tcPr>
                        <w:tcW w:w="142" w:type="dxa"/>
                        <w:tcBorders>
                          <w:top w:val="nil" w:sz="6" w:space="0" w:color="auto"/>
                          <w:left w:val="nil" w:sz="6" w:space="0" w:color="auto"/>
                          <w:bottom w:val="nil" w:sz="6" w:space="0" w:color="auto"/>
                          <w:right w:val="nil" w:sz="6" w:space="0" w:color="auto"/>
                        </w:tcBorders>
                      </w:tcPr>
                      <w:p>
                        <w:pPr/>
                      </w:p>
                    </w:tc>
                    <w:tc>
                      <w:tcPr>
                        <w:tcW w:w="421" w:type="dxa"/>
                        <w:tcBorders>
                          <w:top w:val="single" w:sz="4" w:space="0" w:color="000000"/>
                          <w:left w:val="nil" w:sz="6" w:space="0" w:color="auto"/>
                          <w:bottom w:val="nil" w:sz="6" w:space="0" w:color="auto"/>
                          <w:right w:val="nil" w:sz="6" w:space="0" w:color="auto"/>
                        </w:tcBorders>
                      </w:tcPr>
                      <w:p>
                        <w:pPr/>
                      </w:p>
                    </w:tc>
                    <w:tc>
                      <w:tcPr>
                        <w:tcW w:w="5328" w:type="dxa"/>
                        <w:tcBorders>
                          <w:top w:val="single" w:sz="4" w:space="0" w:color="000000"/>
                          <w:left w:val="nil" w:sz="6" w:space="0" w:color="auto"/>
                          <w:bottom w:val="nil" w:sz="6" w:space="0" w:color="auto"/>
                          <w:right w:val="nil" w:sz="6" w:space="0" w:color="auto"/>
                        </w:tcBorders>
                      </w:tcPr>
                      <w:p>
                        <w:pPr>
                          <w:pStyle w:val="TableParagraph"/>
                          <w:spacing w:line="247" w:lineRule="exact"/>
                          <w:ind w:left="5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p>
                        <w:pPr>
                          <w:pStyle w:val="TableParagraph"/>
                          <w:spacing w:line="265" w:lineRule="exact"/>
                          <w:ind w:left="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6"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Times New Roman"/>
                            <w:sz w:val="21"/>
                          </w:rPr>
                          <w:t>47,345,959.79</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20,981,556.53</w:t>
                        </w:r>
                      </w:p>
                    </w:tc>
                  </w:tr>
                  <w:tr>
                    <w:trPr>
                      <w:trHeight w:val="278" w:hRule="exact"/>
                    </w:trPr>
                    <w:tc>
                      <w:tcPr>
                        <w:tcW w:w="14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8"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63" w:lineRule="exact"/>
                          <w:ind w:left="50" w:right="0"/>
                          <w:jc w:val="left"/>
                          <w:rPr>
                            <w:rFonts w:ascii="宋体" w:hAnsi="宋体" w:cs="宋体" w:eastAsia="宋体" w:hint="default"/>
                            <w:sz w:val="21"/>
                            <w:szCs w:val="21"/>
                          </w:rPr>
                        </w:pPr>
                        <w:r>
                          <w:rPr>
                            <w:rFonts w:ascii="宋体" w:hAnsi="宋体" w:cs="宋体" w:eastAsia="宋体" w:hint="default"/>
                            <w:sz w:val="21"/>
                            <w:szCs w:val="21"/>
                          </w:rPr>
                          <w:t>加</w:t>
                        </w:r>
                        <w:r>
                          <w:rPr>
                            <w:rFonts w:ascii="Times New Roman" w:hAnsi="Times New Roman" w:cs="Times New Roman" w:eastAsia="Times New Roman" w:hint="default"/>
                            <w:sz w:val="21"/>
                            <w:szCs w:val="21"/>
                          </w:rPr>
                          <w:t>:</w:t>
                          <w:tab/>
                        </w:r>
                        <w:r>
                          <w:rPr>
                            <w:rFonts w:ascii="宋体" w:hAnsi="宋体" w:cs="宋体" w:eastAsia="宋体" w:hint="default"/>
                            <w:sz w:val="21"/>
                            <w:szCs w:val="21"/>
                          </w:rPr>
                          <w:t>资产减值准备</w:t>
                        </w:r>
                      </w:p>
                    </w:tc>
                    <w:tc>
                      <w:tcPr>
                        <w:tcW w:w="28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-59,348.24</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485,798.82</w:t>
                        </w:r>
                      </w:p>
                    </w:tc>
                  </w:tr>
                  <w:tr>
                    <w:trPr>
                      <w:trHeight w:val="267" w:hRule="exact"/>
                    </w:trPr>
                    <w:tc>
                      <w:tcPr>
                        <w:tcW w:w="14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8" w:type="dxa"/>
                        <w:tcBorders>
                          <w:top w:val="nil" w:sz="6" w:space="0" w:color="auto"/>
                          <w:left w:val="nil" w:sz="6" w:space="0" w:color="auto"/>
                          <w:bottom w:val="nil" w:sz="6" w:space="0" w:color="auto"/>
                          <w:right w:val="nil" w:sz="6" w:space="0" w:color="auto"/>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固定资产折旧、油气资产折耗、生产性生物资产折旧</w:t>
                        </w:r>
                      </w:p>
                    </w:tc>
                    <w:tc>
                      <w:tcPr>
                        <w:tcW w:w="28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35" w:lineRule="exact"/>
                          <w:ind w:left="256" w:right="0"/>
                          <w:jc w:val="left"/>
                          <w:rPr>
                            <w:rFonts w:ascii="Times New Roman" w:hAnsi="Times New Roman" w:cs="Times New Roman" w:eastAsia="Times New Roman" w:hint="default"/>
                            <w:sz w:val="21"/>
                            <w:szCs w:val="21"/>
                          </w:rPr>
                        </w:pPr>
                        <w:r>
                          <w:rPr>
                            <w:rFonts w:ascii="Times New Roman"/>
                            <w:sz w:val="21"/>
                          </w:rPr>
                          <w:t>3,423,588.95</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3,612,268.18</w:t>
                        </w:r>
                      </w:p>
                    </w:tc>
                  </w:tr>
                  <w:tr>
                    <w:trPr>
                      <w:trHeight w:val="272" w:hRule="exact"/>
                    </w:trPr>
                    <w:tc>
                      <w:tcPr>
                        <w:tcW w:w="14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8" w:type="dxa"/>
                        <w:tcBorders>
                          <w:top w:val="nil" w:sz="6" w:space="0" w:color="auto"/>
                          <w:left w:val="nil" w:sz="6" w:space="0" w:color="auto"/>
                          <w:bottom w:val="nil" w:sz="6" w:space="0" w:color="auto"/>
                          <w:right w:val="nil" w:sz="6" w:space="0" w:color="auto"/>
                        </w:tcBorders>
                      </w:tcPr>
                      <w:p>
                        <w:pPr>
                          <w:pStyle w:val="TableParagraph"/>
                          <w:spacing w:line="247" w:lineRule="exact"/>
                          <w:ind w:left="47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1,232,837.82</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883,150.64</w:t>
                        </w:r>
                      </w:p>
                    </w:tc>
                  </w:tr>
                  <w:tr>
                    <w:trPr>
                      <w:trHeight w:val="413" w:hRule="exact"/>
                    </w:trPr>
                    <w:tc>
                      <w:tcPr>
                        <w:tcW w:w="142" w:type="dxa"/>
                        <w:tcBorders>
                          <w:top w:val="nil" w:sz="6" w:space="0" w:color="auto"/>
                          <w:left w:val="nil" w:sz="6" w:space="0" w:color="auto"/>
                          <w:bottom w:val="nil" w:sz="6" w:space="0" w:color="auto"/>
                          <w:right w:val="nil" w:sz="6" w:space="0" w:color="auto"/>
                        </w:tcBorders>
                      </w:tcPr>
                      <w:p>
                        <w:pPr/>
                      </w:p>
                    </w:tc>
                    <w:tc>
                      <w:tcPr>
                        <w:tcW w:w="421" w:type="dxa"/>
                        <w:tcBorders>
                          <w:top w:val="nil" w:sz="6" w:space="0" w:color="auto"/>
                          <w:left w:val="nil" w:sz="6" w:space="0" w:color="auto"/>
                          <w:bottom w:val="nil" w:sz="6" w:space="0" w:color="auto"/>
                          <w:right w:val="nil" w:sz="6" w:space="0" w:color="auto"/>
                        </w:tcBorders>
                      </w:tcPr>
                      <w:p>
                        <w:pPr/>
                      </w:p>
                    </w:tc>
                    <w:tc>
                      <w:tcPr>
                        <w:tcW w:w="5328" w:type="dxa"/>
                        <w:tcBorders>
                          <w:top w:val="nil" w:sz="6" w:space="0" w:color="auto"/>
                          <w:left w:val="nil" w:sz="6" w:space="0" w:color="auto"/>
                          <w:bottom w:val="nil" w:sz="6" w:space="0" w:color="auto"/>
                          <w:right w:val="nil" w:sz="6" w:space="0" w:color="auto"/>
                        </w:tcBorders>
                      </w:tcPr>
                      <w:p>
                        <w:pPr>
                          <w:pStyle w:val="TableParagraph"/>
                          <w:spacing w:line="246" w:lineRule="exact"/>
                          <w:ind w:left="47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6"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exact"/>
                          <w:ind w:left="256" w:right="0"/>
                          <w:jc w:val="left"/>
                          <w:rPr>
                            <w:rFonts w:ascii="Times New Roman" w:hAnsi="Times New Roman" w:cs="Times New Roman" w:eastAsia="Times New Roman" w:hint="default"/>
                            <w:sz w:val="21"/>
                            <w:szCs w:val="21"/>
                          </w:rPr>
                        </w:pPr>
                        <w:r>
                          <w:rPr>
                            <w:rFonts w:ascii="Times New Roman"/>
                            <w:sz w:val="21"/>
                          </w:rPr>
                          <w:t>1,509,730.84</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710,099.91</w:t>
                        </w:r>
                      </w:p>
                    </w:tc>
                  </w:tr>
                  <w:tr>
                    <w:trPr>
                      <w:trHeight w:val="682" w:hRule="exact"/>
                    </w:trPr>
                    <w:tc>
                      <w:tcPr>
                        <w:tcW w:w="6177" w:type="dxa"/>
                        <w:gridSpan w:val="4"/>
                        <w:tcBorders>
                          <w:top w:val="nil" w:sz="6" w:space="0" w:color="auto"/>
                          <w:left w:val="nil" w:sz="6" w:space="0" w:color="auto"/>
                          <w:bottom w:val="nil" w:sz="6" w:space="0" w:color="auto"/>
                          <w:right w:val="nil" w:sz="6" w:space="0" w:color="auto"/>
                        </w:tcBorders>
                      </w:tcPr>
                      <w:p>
                        <w:pPr>
                          <w:pStyle w:val="TableParagraph"/>
                          <w:spacing w:line="274" w:lineRule="exact" w:before="129"/>
                          <w:ind w:left="1033" w:right="1288" w:firstLine="21"/>
                          <w:jc w:val="left"/>
                          <w:rPr>
                            <w:rFonts w:ascii="宋体" w:hAnsi="宋体" w:cs="宋体" w:eastAsia="宋体" w:hint="default"/>
                            <w:sz w:val="21"/>
                            <w:szCs w:val="21"/>
                          </w:rPr>
                        </w:pP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宋体" w:hAnsi="宋体" w:cs="宋体" w:eastAsia="宋体" w:hint="default"/>
                            <w:w w:val="100"/>
                            <w:sz w:val="21"/>
                            <w:szCs w:val="21"/>
                          </w:rPr>
                          <w:t> </w:t>
                        </w:r>
                        <w:r>
                          <w:rPr>
                            <w:rFonts w:ascii="宋体" w:hAnsi="宋体" w:cs="宋体" w:eastAsia="宋体" w:hint="default"/>
                            <w:spacing w:val="-2"/>
                            <w:sz w:val="21"/>
                            <w:szCs w:val="21"/>
                          </w:rPr>
                          <w:t>固定资产报废损失（收益以“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47,352.73</w:t>
                        </w:r>
                      </w:p>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130,004.38</w:t>
                        </w:r>
                      </w:p>
                      <w:p>
                        <w:pPr>
                          <w:pStyle w:val="TableParagraph"/>
                          <w:spacing w:line="240" w:lineRule="auto" w:before="152"/>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545" w:hRule="exact"/>
                    </w:trPr>
                    <w:tc>
                      <w:tcPr>
                        <w:tcW w:w="6177"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103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p>
                        <w:pPr>
                          <w:pStyle w:val="TableParagraph"/>
                          <w:spacing w:line="282" w:lineRule="exact"/>
                          <w:ind w:left="103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66" w:type="dxa"/>
                        <w:tcBorders>
                          <w:top w:val="nil" w:sz="6" w:space="0" w:color="auto"/>
                          <w:left w:val="nil" w:sz="6" w:space="0" w:color="auto"/>
                          <w:bottom w:val="nil" w:sz="6" w:space="0" w:color="auto"/>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04"/>
                          <w:jc w:val="right"/>
                          <w:rPr>
                            <w:rFonts w:ascii="Times New Roman" w:hAnsi="Times New Roman" w:cs="Times New Roman" w:eastAsia="Times New Roman" w:hint="default"/>
                            <w:sz w:val="21"/>
                            <w:szCs w:val="21"/>
                          </w:rPr>
                        </w:pPr>
                        <w:r>
                          <w:rPr>
                            <w:rFonts w:ascii="Times New Roman"/>
                            <w:spacing w:val="-1"/>
                            <w:sz w:val="21"/>
                          </w:rPr>
                          <w:t>-934,453.93</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71" w:lineRule="auto"/>
                          <w:ind w:left="724" w:right="104" w:firstLine="1032"/>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4,725,405.76</w:t>
                        </w:r>
                      </w:p>
                    </w:tc>
                  </w:tr>
                  <w:tr>
                    <w:trPr>
                      <w:trHeight w:val="272" w:hRule="exact"/>
                    </w:trPr>
                    <w:tc>
                      <w:tcPr>
                        <w:tcW w:w="6177" w:type="dxa"/>
                        <w:gridSpan w:val="4"/>
                        <w:tcBorders>
                          <w:top w:val="nil" w:sz="6" w:space="0" w:color="auto"/>
                          <w:left w:val="nil" w:sz="6" w:space="0" w:color="auto"/>
                          <w:bottom w:val="nil" w:sz="6" w:space="0" w:color="auto"/>
                          <w:right w:val="nil" w:sz="6" w:space="0" w:color="auto"/>
                        </w:tcBorders>
                      </w:tcPr>
                      <w:p>
                        <w:pPr>
                          <w:pStyle w:val="TableParagraph"/>
                          <w:spacing w:line="256" w:lineRule="exact"/>
                          <w:ind w:left="103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66"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-597,574.15</w:t>
                        </w:r>
                      </w:p>
                    </w:tc>
                  </w:tr>
                  <w:tr>
                    <w:trPr>
                      <w:trHeight w:val="816" w:hRule="exact"/>
                    </w:trPr>
                    <w:tc>
                      <w:tcPr>
                        <w:tcW w:w="6177"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103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p>
                        <w:pPr>
                          <w:pStyle w:val="TableParagraph"/>
                          <w:spacing w:line="272" w:lineRule="exact" w:before="18"/>
                          <w:ind w:left="1033" w:right="1078"/>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66" w:type="dxa"/>
                        <w:tcBorders>
                          <w:top w:val="nil" w:sz="6" w:space="0" w:color="auto"/>
                          <w:left w:val="nil" w:sz="6" w:space="0" w:color="auto"/>
                          <w:bottom w:val="nil" w:sz="6" w:space="0" w:color="auto"/>
                          <w:right w:val="nil" w:sz="6" w:space="0" w:color="auto"/>
                        </w:tcBorders>
                      </w:tcPr>
                      <w:p>
                        <w:pPr>
                          <w:pStyle w:val="TableParagraph"/>
                          <w:spacing w:line="236" w:lineRule="exact"/>
                          <w:ind w:left="518" w:right="0"/>
                          <w:jc w:val="left"/>
                          <w:rPr>
                            <w:rFonts w:ascii="Times New Roman" w:hAnsi="Times New Roman" w:cs="Times New Roman" w:eastAsia="Times New Roman" w:hint="default"/>
                            <w:sz w:val="21"/>
                            <w:szCs w:val="21"/>
                          </w:rPr>
                        </w:pPr>
                        <w:r>
                          <w:rPr>
                            <w:rFonts w:ascii="Times New Roman"/>
                            <w:sz w:val="21"/>
                          </w:rPr>
                          <w:t>24,067.50</w:t>
                        </w:r>
                      </w:p>
                      <w:p>
                        <w:pPr>
                          <w:pStyle w:val="TableParagraph"/>
                          <w:spacing w:line="268" w:lineRule="auto" w:before="29"/>
                          <w:ind w:left="412" w:right="104" w:firstLine="876"/>
                          <w:jc w:val="lef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295,734.23</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121,476.71</w:t>
                        </w:r>
                      </w:p>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62"/>
                          <w:ind w:right="104"/>
                          <w:jc w:val="right"/>
                          <w:rPr>
                            <w:rFonts w:ascii="Times New Roman" w:hAnsi="Times New Roman" w:cs="Times New Roman" w:eastAsia="Times New Roman" w:hint="default"/>
                            <w:sz w:val="21"/>
                            <w:szCs w:val="21"/>
                          </w:rPr>
                        </w:pPr>
                        <w:r>
                          <w:rPr>
                            <w:rFonts w:ascii="Times New Roman"/>
                            <w:spacing w:val="-1"/>
                            <w:sz w:val="21"/>
                          </w:rPr>
                          <w:t>-1,653,701.72</w:t>
                        </w:r>
                      </w:p>
                    </w:tc>
                  </w:tr>
                  <w:tr>
                    <w:trPr>
                      <w:trHeight w:val="272" w:hRule="exact"/>
                    </w:trPr>
                    <w:tc>
                      <w:tcPr>
                        <w:tcW w:w="6177" w:type="dxa"/>
                        <w:gridSpan w:val="4"/>
                        <w:tcBorders>
                          <w:top w:val="nil" w:sz="6" w:space="0" w:color="auto"/>
                          <w:left w:val="nil" w:sz="6" w:space="0" w:color="auto"/>
                          <w:bottom w:val="nil" w:sz="6" w:space="0" w:color="auto"/>
                          <w:right w:val="nil" w:sz="6" w:space="0" w:color="auto"/>
                        </w:tcBorders>
                      </w:tcPr>
                      <w:p>
                        <w:pPr>
                          <w:pStyle w:val="TableParagraph"/>
                          <w:spacing w:line="257" w:lineRule="exact"/>
                          <w:ind w:left="103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466" w:type="dxa"/>
                        <w:tcBorders>
                          <w:top w:val="nil" w:sz="6" w:space="0" w:color="auto"/>
                          <w:left w:val="nil" w:sz="6" w:space="0" w:color="auto"/>
                          <w:bottom w:val="nil" w:sz="6" w:space="0" w:color="auto"/>
                          <w:right w:val="nil" w:sz="6" w:space="0" w:color="auto"/>
                        </w:tcBorders>
                      </w:tcPr>
                      <w:p>
                        <w:pPr>
                          <w:pStyle w:val="TableParagraph"/>
                          <w:spacing w:line="236" w:lineRule="exact"/>
                          <w:ind w:right="8"/>
                          <w:jc w:val="right"/>
                          <w:rPr>
                            <w:rFonts w:ascii="Times New Roman" w:hAnsi="Times New Roman" w:cs="Times New Roman" w:eastAsia="Times New Roman" w:hint="default"/>
                            <w:sz w:val="21"/>
                            <w:szCs w:val="21"/>
                          </w:rPr>
                        </w:pPr>
                        <w:r>
                          <w:rPr>
                            <w:rFonts w:ascii="Times New Roman"/>
                            <w:spacing w:val="-1"/>
                            <w:sz w:val="21"/>
                          </w:rPr>
                          <w:t>-12,841,762.90</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pacing w:val="-1"/>
                            <w:sz w:val="21"/>
                          </w:rPr>
                          <w:t>-8,395,610.77</w:t>
                        </w:r>
                      </w:p>
                    </w:tc>
                  </w:tr>
                  <w:tr>
                    <w:trPr>
                      <w:trHeight w:val="549" w:hRule="exact"/>
                    </w:trPr>
                    <w:tc>
                      <w:tcPr>
                        <w:tcW w:w="6177"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103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p>
                        <w:pPr>
                          <w:pStyle w:val="TableParagraph"/>
                          <w:spacing w:line="266" w:lineRule="exact"/>
                          <w:ind w:left="10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2,847,038.99</w:t>
                        </w:r>
                      </w:p>
                      <w:p>
                        <w:pPr>
                          <w:pStyle w:val="TableParagraph"/>
                          <w:spacing w:line="240" w:lineRule="auto" w:before="32"/>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4,443,537.99</w:t>
                        </w:r>
                      </w:p>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3" w:hRule="exact"/>
                    </w:trPr>
                    <w:tc>
                      <w:tcPr>
                        <w:tcW w:w="6177"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103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466" w:type="dxa"/>
                        <w:tcBorders>
                          <w:top w:val="single" w:sz="4" w:space="0" w:color="000000"/>
                          <w:left w:val="nil" w:sz="6" w:space="0" w:color="auto"/>
                          <w:bottom w:val="single" w:sz="12" w:space="0" w:color="000000"/>
                          <w:right w:val="nil" w:sz="6" w:space="0" w:color="auto"/>
                        </w:tcBorders>
                      </w:tcPr>
                      <w:p>
                        <w:pPr>
                          <w:pStyle w:val="TableParagraph"/>
                          <w:spacing w:line="237" w:lineRule="exact"/>
                          <w:ind w:left="151" w:right="0"/>
                          <w:jc w:val="left"/>
                          <w:rPr>
                            <w:rFonts w:ascii="Times New Roman" w:hAnsi="Times New Roman" w:cs="Times New Roman" w:eastAsia="Times New Roman" w:hint="default"/>
                            <w:sz w:val="21"/>
                            <w:szCs w:val="21"/>
                          </w:rPr>
                        </w:pPr>
                        <w:r>
                          <w:rPr>
                            <w:rFonts w:ascii="Times New Roman"/>
                            <w:sz w:val="21"/>
                          </w:rPr>
                          <w:t>42,890,745.78</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25,446,412.28</w:t>
                        </w:r>
                      </w:p>
                    </w:tc>
                  </w:tr>
                </w:tbl>
                <w:p>
                  <w:pPr/>
                </w:p>
              </w:txbxContent>
            </v:textbox>
            <w10:wrap type="none"/>
          </v:shape>
        </w:pict>
      </w:r>
      <w:r>
        <w:rPr>
          <w:rFonts w:ascii="宋体" w:hAnsi="宋体" w:cs="宋体" w:eastAsia="宋体" w:hint="default"/>
          <w:spacing w:val="-6"/>
          <w:sz w:val="21"/>
          <w:szCs w:val="21"/>
        </w:rPr>
        <w:t>处置固定资产、无形资产和其他长期资产的损失（收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232" w:lineRule="auto" w:before="43"/>
        <w:ind w:left="1146" w:right="527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不涉及现金收支的重大投资和筹资活动：</w:t>
      </w:r>
      <w:r>
        <w:rPr>
          <w:rFonts w:ascii="宋体" w:hAnsi="宋体" w:cs="宋体" w:eastAsia="宋体" w:hint="default"/>
          <w:b/>
          <w:bCs/>
          <w:w w:val="100"/>
          <w:sz w:val="21"/>
          <w:szCs w:val="21"/>
        </w:rPr>
        <w:t> </w:t>
      </w:r>
      <w:r>
        <w:rPr>
          <w:rFonts w:ascii="宋体" w:hAnsi="宋体" w:cs="宋体" w:eastAsia="宋体" w:hint="default"/>
          <w:sz w:val="21"/>
          <w:szCs w:val="21"/>
        </w:rPr>
        <w:t>债务转为资本</w:t>
      </w:r>
      <w:r>
        <w:rPr>
          <w:rFonts w:ascii="宋体" w:hAnsi="宋体" w:cs="宋体" w:eastAsia="宋体" w:hint="default"/>
          <w:w w:val="100"/>
          <w:sz w:val="21"/>
          <w:szCs w:val="21"/>
        </w:rPr>
        <w:t> </w:t>
      </w:r>
      <w:r>
        <w:rPr>
          <w:rFonts w:ascii="宋体" w:hAnsi="宋体" w:cs="宋体" w:eastAsia="宋体" w:hint="default"/>
          <w:sz w:val="21"/>
          <w:szCs w:val="21"/>
        </w:rPr>
        <w:t>一年内到期的可转换公司债券</w:t>
      </w:r>
      <w:r>
        <w:rPr>
          <w:rFonts w:ascii="宋体" w:hAnsi="宋体" w:cs="宋体" w:eastAsia="宋体" w:hint="default"/>
          <w:w w:val="100"/>
          <w:sz w:val="21"/>
          <w:szCs w:val="21"/>
        </w:rPr>
        <w:t> </w:t>
      </w:r>
      <w:r>
        <w:rPr>
          <w:rFonts w:ascii="宋体" w:hAnsi="宋体" w:cs="宋体" w:eastAsia="宋体" w:hint="default"/>
          <w:sz w:val="21"/>
          <w:szCs w:val="21"/>
        </w:rPr>
        <w:t>融资租入固定资产</w:t>
      </w:r>
    </w:p>
    <w:p>
      <w:pPr>
        <w:spacing w:line="288" w:lineRule="exact" w:before="0"/>
        <w:ind w:left="72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111" w:type="dxa"/>
        <w:tblLayout w:type="fixed"/>
        <w:tblCellMar>
          <w:top w:w="0" w:type="dxa"/>
          <w:left w:w="0" w:type="dxa"/>
          <w:bottom w:w="0" w:type="dxa"/>
          <w:right w:w="0" w:type="dxa"/>
        </w:tblCellMar>
        <w:tblLook w:val="01E0"/>
      </w:tblPr>
      <w:tblGrid>
        <w:gridCol w:w="5178"/>
        <w:gridCol w:w="1466"/>
        <w:gridCol w:w="283"/>
        <w:gridCol w:w="1934"/>
      </w:tblGrid>
      <w:tr>
        <w:trPr>
          <w:trHeight w:val="247" w:hRule="exact"/>
        </w:trPr>
        <w:tc>
          <w:tcPr>
            <w:tcW w:w="5178"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466"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Times New Roman" w:hAnsi="Times New Roman" w:cs="Times New Roman" w:eastAsia="Times New Roman" w:hint="default"/>
                <w:sz w:val="21"/>
                <w:szCs w:val="21"/>
              </w:rPr>
            </w:pPr>
            <w:r>
              <w:rPr>
                <w:rFonts w:ascii="Times New Roman"/>
                <w:spacing w:val="-1"/>
                <w:sz w:val="21"/>
              </w:rPr>
              <w:t>296,183,647.67</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nil" w:sz="6" w:space="0" w:color="auto"/>
              <w:right w:val="nil" w:sz="6" w:space="0" w:color="auto"/>
            </w:tcBorders>
          </w:tcPr>
          <w:p>
            <w:pPr>
              <w:pStyle w:val="TableParagraph"/>
              <w:spacing w:line="216" w:lineRule="exact"/>
              <w:ind w:right="104"/>
              <w:jc w:val="right"/>
              <w:rPr>
                <w:rFonts w:ascii="Times New Roman" w:hAnsi="Times New Roman" w:cs="Times New Roman" w:eastAsia="Times New Roman" w:hint="default"/>
                <w:sz w:val="21"/>
                <w:szCs w:val="21"/>
              </w:rPr>
            </w:pPr>
            <w:r>
              <w:rPr>
                <w:rFonts w:ascii="Times New Roman"/>
                <w:spacing w:val="-1"/>
                <w:sz w:val="21"/>
              </w:rPr>
              <w:t>272,389,143.46</w:t>
            </w:r>
          </w:p>
        </w:tc>
      </w:tr>
      <w:tr>
        <w:trPr>
          <w:trHeight w:val="829" w:hRule="exact"/>
        </w:trPr>
        <w:tc>
          <w:tcPr>
            <w:tcW w:w="5178"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p>
            <w:pPr>
              <w:pStyle w:val="TableParagraph"/>
              <w:spacing w:line="272" w:lineRule="exact" w:before="27"/>
              <w:ind w:left="35" w:right="2620"/>
              <w:jc w:val="left"/>
              <w:rPr>
                <w:rFonts w:ascii="宋体" w:hAnsi="宋体" w:cs="宋体" w:eastAsia="宋体" w:hint="default"/>
                <w:sz w:val="21"/>
                <w:szCs w:val="21"/>
              </w:rPr>
            </w:pPr>
            <w:r>
              <w:rPr>
                <w:rFonts w:ascii="宋体" w:hAnsi="宋体" w:cs="宋体" w:eastAsia="宋体" w:hint="default"/>
                <w:spacing w:val="-2"/>
                <w:sz w:val="21"/>
                <w:szCs w:val="21"/>
              </w:rPr>
              <w:t>加：现金等价物的年末余额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减：现金等价物的年初余额</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272,389,143.46</w:t>
            </w:r>
          </w:p>
          <w:p>
            <w:pPr>
              <w:pStyle w:val="TableParagraph"/>
              <w:spacing w:line="240" w:lineRule="auto" w:before="32"/>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05"/>
              <w:jc w:val="right"/>
              <w:rPr>
                <w:rFonts w:ascii="Times New Roman" w:hAnsi="Times New Roman" w:cs="Times New Roman" w:eastAsia="Times New Roman" w:hint="default"/>
                <w:sz w:val="21"/>
                <w:szCs w:val="21"/>
              </w:rPr>
            </w:pPr>
            <w:r>
              <w:rPr>
                <w:rFonts w:ascii="Times New Roman"/>
                <w:w w:val="100"/>
                <w:sz w:val="21"/>
              </w:rPr>
              <w:t>-</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247.522,344.10</w:t>
            </w:r>
          </w:p>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6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5178"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466"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23,794,504.21</w:t>
            </w:r>
          </w:p>
        </w:tc>
        <w:tc>
          <w:tcPr>
            <w:tcW w:w="283" w:type="dxa"/>
            <w:tcBorders>
              <w:top w:val="nil" w:sz="6" w:space="0" w:color="auto"/>
              <w:left w:val="nil" w:sz="6" w:space="0" w:color="auto"/>
              <w:bottom w:val="nil" w:sz="6" w:space="0" w:color="auto"/>
              <w:right w:val="nil" w:sz="6" w:space="0" w:color="auto"/>
            </w:tcBorders>
          </w:tcPr>
          <w:p>
            <w:pPr/>
          </w:p>
        </w:tc>
        <w:tc>
          <w:tcPr>
            <w:tcW w:w="1934"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24,866,799.36</w:t>
            </w:r>
          </w:p>
        </w:tc>
      </w:tr>
    </w:tbl>
    <w:p>
      <w:pPr>
        <w:spacing w:after="0" w:line="235" w:lineRule="exact"/>
        <w:jc w:val="right"/>
        <w:rPr>
          <w:rFonts w:ascii="Times New Roman" w:hAnsi="Times New Roman" w:cs="Times New Roman" w:eastAsia="Times New Roman" w:hint="default"/>
          <w:sz w:val="21"/>
          <w:szCs w:val="21"/>
        </w:rPr>
        <w:sectPr>
          <w:pgSz w:w="11900" w:h="16840"/>
          <w:pgMar w:header="886" w:footer="983" w:top="1800" w:bottom="1180" w:left="1040" w:right="780"/>
        </w:sectPr>
      </w:pPr>
    </w:p>
    <w:p>
      <w:pPr>
        <w:spacing w:line="240" w:lineRule="auto" w:before="10"/>
        <w:rPr>
          <w:rFonts w:ascii="宋体" w:hAnsi="宋体" w:cs="宋体" w:eastAsia="宋体" w:hint="default"/>
          <w:b/>
          <w:bCs/>
          <w:sz w:val="12"/>
          <w:szCs w:val="12"/>
        </w:rPr>
      </w:pPr>
    </w:p>
    <w:p>
      <w:pPr>
        <w:tabs>
          <w:tab w:pos="700" w:val="left" w:leader="none"/>
        </w:tabs>
        <w:spacing w:before="41"/>
        <w:ind w:left="0" w:right="6714"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6</w:t>
        <w:tab/>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0" w:right="6682"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position w:val="2"/>
          <w:sz w:val="21"/>
          <w:szCs w:val="21"/>
        </w:rPr>
        <w:t>6.36</w:t>
      </w:r>
      <w:r>
        <w:rPr>
          <w:rFonts w:ascii="Times New Roman" w:hAnsi="Times New Roman" w:cs="Times New Roman" w:eastAsia="Times New Roman" w:hint="default"/>
          <w:spacing w:val="30"/>
          <w:position w:val="2"/>
          <w:sz w:val="21"/>
          <w:szCs w:val="21"/>
        </w:rPr>
        <w:t> </w:t>
      </w:r>
      <w:r>
        <w:rPr>
          <w:rFonts w:ascii="宋体" w:hAnsi="宋体" w:cs="宋体" w:eastAsia="宋体" w:hint="default"/>
          <w:sz w:val="21"/>
          <w:szCs w:val="21"/>
        </w:rPr>
        <w:t>现金流量表补充资料</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spacing w:line="240" w:lineRule="auto" w:before="4"/>
        <w:rPr>
          <w:rFonts w:ascii="Times New Roman" w:hAnsi="Times New Roman" w:cs="Times New Roman" w:eastAsia="Times New Roman" w:hint="default"/>
          <w:sz w:val="19"/>
          <w:szCs w:val="19"/>
        </w:rPr>
      </w:pPr>
    </w:p>
    <w:p>
      <w:pPr>
        <w:spacing w:line="281" w:lineRule="exact" w:before="0"/>
        <w:ind w:left="8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6.36.5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当期取得或处置子公司及其他营业单位的有关信息</w:t>
      </w:r>
    </w:p>
    <w:p>
      <w:pPr>
        <w:tabs>
          <w:tab w:pos="3639" w:val="left" w:leader="none"/>
          <w:tab w:pos="7179" w:val="left" w:leader="none"/>
          <w:tab w:pos="8972" w:val="left" w:leader="none"/>
        </w:tabs>
        <w:spacing w:line="277" w:lineRule="exact" w:before="0"/>
        <w:ind w:left="3217" w:right="0" w:firstLine="0"/>
        <w:jc w:val="left"/>
        <w:rPr>
          <w:rFonts w:ascii="宋体" w:hAnsi="宋体" w:cs="宋体" w:eastAsia="宋体" w:hint="default"/>
          <w:sz w:val="21"/>
          <w:szCs w:val="21"/>
        </w:rPr>
      </w:pPr>
      <w:r>
        <w:rPr>
          <w:rFonts w:ascii="宋体" w:hAnsi="宋体" w:cs="宋体" w:eastAsia="宋体" w:hint="default"/>
          <w:sz w:val="21"/>
          <w:szCs w:val="21"/>
        </w:rPr>
        <w:t>项</w:t>
        <w:tab/>
        <w:t>目</w:t>
        <w:tab/>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spacing w:line="270" w:lineRule="exact" w:before="0"/>
        <w:ind w:left="868" w:right="0" w:firstLine="0"/>
        <w:jc w:val="left"/>
        <w:rPr>
          <w:rFonts w:ascii="宋体" w:hAnsi="宋体" w:cs="宋体" w:eastAsia="宋体" w:hint="default"/>
          <w:sz w:val="21"/>
          <w:szCs w:val="21"/>
        </w:rPr>
      </w:pPr>
      <w:r>
        <w:rPr/>
        <w:pict>
          <v:group style="position:absolute;margin-left:90pt;margin-top:1.286222pt;width:277.45pt;height:.1pt;mso-position-horizontal-relative:page;mso-position-vertical-relative:paragraph;z-index:-547912" coordorigin="1800,26" coordsize="5549,2">
            <v:shape style="position:absolute;left:1800;top:26;width:5549;height:2" coordorigin="1800,26" coordsize="5549,0" path="m1800,26l7349,26e" filled="false" stroked="true" strokeweight=".48pt" strokecolor="#000000">
              <v:path arrowok="t"/>
            </v:shape>
            <w10:wrap type="none"/>
          </v:group>
        </w:pict>
      </w:r>
      <w:r>
        <w:rPr/>
        <w:pict>
          <v:group style="position:absolute;margin-left:388.679993pt;margin-top:1.286222pt;width:72.350pt;height:.1pt;mso-position-horizontal-relative:page;mso-position-vertical-relative:paragraph;z-index:7720" coordorigin="7774,26" coordsize="1447,2">
            <v:shape style="position:absolute;left:7774;top:26;width:1447;height:2" coordorigin="7774,26" coordsize="1447,0" path="m7774,26l9221,26e" filled="false" stroked="true" strokeweight=".48pt" strokecolor="#000000">
              <v:path arrowok="t"/>
            </v:shape>
            <w10:wrap type="none"/>
          </v:group>
        </w:pict>
      </w:r>
      <w:r>
        <w:rPr/>
        <w:pict>
          <v:group style="position:absolute;margin-left:472.799988pt;margin-top:1.286222pt;width:77.9pt;height:.1pt;mso-position-horizontal-relative:page;mso-position-vertical-relative:paragraph;z-index:7744" coordorigin="9456,26" coordsize="1558,2">
            <v:shape style="position:absolute;left:9456;top:26;width:1558;height:2" coordorigin="9456,26" coordsize="1558,0" path="m9456,26l11014,26e" filled="false" stroked="true" strokeweight=".48pt" strokecolor="#000000">
              <v:path arrowok="t"/>
            </v:shape>
            <w10:wrap type="none"/>
          </v:group>
        </w:pict>
      </w:r>
      <w:r>
        <w:rPr>
          <w:rFonts w:ascii="宋体" w:hAnsi="宋体" w:cs="宋体" w:eastAsia="宋体" w:hint="default"/>
          <w:sz w:val="21"/>
          <w:szCs w:val="21"/>
        </w:rPr>
        <w:t>一、取得子公司及其他营业单位的有关信息</w:t>
      </w:r>
    </w:p>
    <w:p>
      <w:pPr>
        <w:tabs>
          <w:tab w:pos="8003" w:val="left" w:leader="none"/>
          <w:tab w:pos="8919" w:val="left" w:leader="none"/>
        </w:tabs>
        <w:spacing w:line="290" w:lineRule="exact" w:before="0"/>
        <w:ind w:left="86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取得子公司及其他营业单位的价格</w:t>
        <w:tab/>
      </w:r>
      <w:r>
        <w:rPr>
          <w:rFonts w:ascii="Times New Roman" w:hAnsi="Times New Roman" w:cs="Times New Roman" w:eastAsia="Times New Roman" w:hint="default"/>
          <w:position w:val="2"/>
          <w:sz w:val="21"/>
          <w:szCs w:val="21"/>
        </w:rPr>
        <w:t>-</w:t>
        <w:tab/>
      </w:r>
      <w:r>
        <w:rPr>
          <w:rFonts w:ascii="Times New Roman" w:hAnsi="Times New Roman" w:cs="Times New Roman" w:eastAsia="Times New Roman" w:hint="default"/>
          <w:spacing w:val="-1"/>
          <w:position w:val="2"/>
          <w:sz w:val="21"/>
          <w:szCs w:val="21"/>
        </w:rPr>
        <w:t>331,400.00</w:t>
      </w:r>
      <w:r>
        <w:rPr>
          <w:rFonts w:ascii="Times New Roman" w:hAnsi="Times New Roman" w:cs="Times New Roman" w:eastAsia="Times New Roman" w:hint="default"/>
          <w:spacing w:val="-1"/>
          <w:sz w:val="21"/>
          <w:szCs w:val="21"/>
        </w:rPr>
      </w:r>
    </w:p>
    <w:p>
      <w:pPr>
        <w:spacing w:line="240" w:lineRule="auto" w:before="11"/>
        <w:rPr>
          <w:rFonts w:ascii="Times New Roman" w:hAnsi="Times New Roman" w:cs="Times New Roman" w:eastAsia="Times New Roman" w:hint="default"/>
          <w:sz w:val="2"/>
          <w:szCs w:val="2"/>
        </w:rPr>
      </w:pPr>
    </w:p>
    <w:tbl>
      <w:tblPr>
        <w:tblW w:w="0" w:type="auto"/>
        <w:jc w:val="left"/>
        <w:tblInd w:w="833" w:type="dxa"/>
        <w:tblLayout w:type="fixed"/>
        <w:tblCellMar>
          <w:top w:w="0" w:type="dxa"/>
          <w:left w:w="0" w:type="dxa"/>
          <w:bottom w:w="0" w:type="dxa"/>
          <w:right w:w="0" w:type="dxa"/>
        </w:tblCellMar>
        <w:tblLook w:val="01E0"/>
      </w:tblPr>
      <w:tblGrid>
        <w:gridCol w:w="6125"/>
        <w:gridCol w:w="2944"/>
      </w:tblGrid>
      <w:tr>
        <w:trPr>
          <w:trHeight w:val="519"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27" w:lineRule="exact"/>
              <w:ind w:left="246" w:right="0"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p>
            <w:pPr>
              <w:pStyle w:val="TableParagraph"/>
              <w:spacing w:line="265" w:lineRule="exact"/>
              <w:ind w:left="246"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944" w:type="dxa"/>
            <w:tcBorders>
              <w:top w:val="nil" w:sz="6" w:space="0" w:color="auto"/>
              <w:left w:val="nil" w:sz="6" w:space="0" w:color="auto"/>
              <w:bottom w:val="nil" w:sz="6" w:space="0" w:color="auto"/>
              <w:right w:val="nil" w:sz="6" w:space="0" w:color="auto"/>
            </w:tcBorders>
          </w:tcPr>
          <w:p>
            <w:pPr>
              <w:pStyle w:val="TableParagraph"/>
              <w:tabs>
                <w:tab w:pos="2838" w:val="left" w:leader="none"/>
              </w:tabs>
              <w:spacing w:line="215" w:lineRule="exact"/>
              <w:ind w:left="1045" w:right="0"/>
              <w:jc w:val="left"/>
              <w:rPr>
                <w:rFonts w:ascii="Times New Roman" w:hAnsi="Times New Roman" w:cs="Times New Roman" w:eastAsia="Times New Roman" w:hint="default"/>
                <w:sz w:val="21"/>
                <w:szCs w:val="21"/>
              </w:rPr>
            </w:pPr>
            <w:r>
              <w:rPr>
                <w:rFonts w:ascii="Times New Roman"/>
                <w:sz w:val="21"/>
              </w:rPr>
              <w:t>-</w:t>
              <w:tab/>
              <w:t>-</w:t>
            </w:r>
          </w:p>
          <w:p>
            <w:pPr>
              <w:pStyle w:val="TableParagraph"/>
              <w:tabs>
                <w:tab w:pos="1700" w:val="left" w:leader="none"/>
              </w:tabs>
              <w:spacing w:line="240" w:lineRule="auto" w:before="29"/>
              <w:ind w:left="1045" w:right="0"/>
              <w:jc w:val="left"/>
              <w:rPr>
                <w:rFonts w:ascii="Times New Roman" w:hAnsi="Times New Roman" w:cs="Times New Roman" w:eastAsia="Times New Roman" w:hint="default"/>
                <w:sz w:val="21"/>
                <w:szCs w:val="21"/>
              </w:rPr>
            </w:pPr>
            <w:r>
              <w:rPr>
                <w:rFonts w:ascii="Times New Roman"/>
                <w:sz w:val="21"/>
              </w:rPr>
              <w:t>-</w:t>
              <w:tab/>
              <w:t>17,695,409.90</w:t>
            </w:r>
          </w:p>
        </w:tc>
      </w:tr>
      <w:tr>
        <w:trPr>
          <w:trHeight w:val="278"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944"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17,695,409.90</w:t>
            </w:r>
          </w:p>
        </w:tc>
      </w:tr>
      <w:tr>
        <w:trPr>
          <w:trHeight w:val="272"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56"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2944"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35" w:lineRule="exact"/>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18,506,245.09</w:t>
            </w:r>
          </w:p>
        </w:tc>
      </w:tr>
      <w:tr>
        <w:trPr>
          <w:trHeight w:val="267"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41" w:lineRule="exact"/>
              <w:ind w:left="246"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944"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36" w:lineRule="exact"/>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29,536,418.66</w:t>
            </w:r>
          </w:p>
        </w:tc>
      </w:tr>
      <w:tr>
        <w:trPr>
          <w:trHeight w:val="272"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46" w:lineRule="exact"/>
              <w:ind w:left="246"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944" w:type="dxa"/>
            <w:tcBorders>
              <w:top w:val="nil" w:sz="6" w:space="0" w:color="auto"/>
              <w:left w:val="nil" w:sz="6" w:space="0" w:color="auto"/>
              <w:bottom w:val="nil" w:sz="6" w:space="0" w:color="auto"/>
              <w:right w:val="nil" w:sz="6" w:space="0" w:color="auto"/>
            </w:tcBorders>
          </w:tcPr>
          <w:p>
            <w:pPr>
              <w:pStyle w:val="TableParagraph"/>
              <w:tabs>
                <w:tab w:pos="760" w:val="left" w:leader="none"/>
              </w:tabs>
              <w:spacing w:line="240" w:lineRule="exact"/>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1,518,590.37</w:t>
            </w:r>
          </w:p>
        </w:tc>
      </w:tr>
      <w:tr>
        <w:trPr>
          <w:trHeight w:val="272"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47" w:lineRule="exact"/>
              <w:ind w:left="246"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944"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ind w:right="33"/>
              <w:jc w:val="right"/>
              <w:rPr>
                <w:rFonts w:ascii="Times New Roman" w:hAnsi="Times New Roman" w:cs="Times New Roman" w:eastAsia="Times New Roman" w:hint="default"/>
                <w:sz w:val="21"/>
                <w:szCs w:val="21"/>
              </w:rPr>
            </w:pPr>
            <w:r>
              <w:rPr>
                <w:rFonts w:ascii="Times New Roman"/>
                <w:sz w:val="21"/>
              </w:rPr>
              <w:t>-</w:t>
              <w:tab/>
            </w:r>
            <w:r>
              <w:rPr>
                <w:rFonts w:ascii="Times New Roman"/>
                <w:spacing w:val="-1"/>
                <w:sz w:val="21"/>
              </w:rPr>
              <w:t>12,548,763.94</w:t>
            </w:r>
          </w:p>
        </w:tc>
      </w:tr>
      <w:tr>
        <w:trPr>
          <w:trHeight w:val="277"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46" w:lineRule="exact"/>
              <w:ind w:left="246"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944" w:type="dxa"/>
            <w:tcBorders>
              <w:top w:val="nil" w:sz="6" w:space="0" w:color="auto"/>
              <w:left w:val="nil" w:sz="6" w:space="0" w:color="auto"/>
              <w:bottom w:val="nil" w:sz="6" w:space="0" w:color="auto"/>
              <w:right w:val="nil" w:sz="6" w:space="0" w:color="auto"/>
            </w:tcBorders>
          </w:tcPr>
          <w:p>
            <w:pPr>
              <w:pStyle w:val="TableParagraph"/>
              <w:tabs>
                <w:tab w:pos="1792" w:val="left" w:leader="none"/>
              </w:tabs>
              <w:spacing w:line="240" w:lineRule="exact"/>
              <w:ind w:right="33"/>
              <w:jc w:val="right"/>
              <w:rPr>
                <w:rFonts w:ascii="Times New Roman" w:hAnsi="Times New Roman" w:cs="Times New Roman" w:eastAsia="Times New Roman" w:hint="default"/>
                <w:sz w:val="21"/>
                <w:szCs w:val="21"/>
              </w:rPr>
            </w:pPr>
            <w:r>
              <w:rPr>
                <w:rFonts w:ascii="Times New Roman"/>
                <w:sz w:val="21"/>
              </w:rPr>
              <w:t>-</w:t>
              <w:tab/>
              <w:t>-</w:t>
            </w:r>
          </w:p>
        </w:tc>
      </w:tr>
      <w:tr>
        <w:trPr>
          <w:trHeight w:val="252" w:hRule="exact"/>
        </w:trPr>
        <w:tc>
          <w:tcPr>
            <w:tcW w:w="612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944" w:type="dxa"/>
            <w:tcBorders>
              <w:top w:val="nil" w:sz="6" w:space="0" w:color="auto"/>
              <w:left w:val="nil" w:sz="6" w:space="0" w:color="auto"/>
              <w:bottom w:val="nil" w:sz="6" w:space="0" w:color="auto"/>
              <w:right w:val="nil" w:sz="6" w:space="0" w:color="auto"/>
            </w:tcBorders>
          </w:tcPr>
          <w:p>
            <w:pPr/>
          </w:p>
        </w:tc>
      </w:tr>
    </w:tbl>
    <w:p>
      <w:pPr>
        <w:tabs>
          <w:tab w:pos="8003" w:val="left" w:leader="none"/>
          <w:tab w:pos="9795" w:val="left" w:leader="none"/>
        </w:tabs>
        <w:spacing w:line="268" w:lineRule="exact" w:before="0"/>
        <w:ind w:left="86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处置子公司及其他营业单位的价格</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95" w:val="left" w:leader="none"/>
        </w:tabs>
        <w:spacing w:line="272" w:lineRule="exact" w:before="0"/>
        <w:ind w:left="86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处置子公司及其他营业单位收到的现金和现金等价物</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95" w:val="left" w:leader="none"/>
        </w:tabs>
        <w:spacing w:line="274" w:lineRule="exact" w:before="16"/>
        <w:ind w:left="868" w:right="211" w:firstLine="211"/>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减：子公司及其他营业单位持有的现金和现金等价物</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w w:val="100"/>
          <w:position w:val="2"/>
          <w:sz w:val="21"/>
          <w:szCs w:val="21"/>
        </w:rPr>
        <w:t> </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处置子公司及其他营业单位收到的现金净额</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6971" w:val="left" w:leader="none"/>
          <w:tab w:pos="9795" w:val="left" w:leader="none"/>
        </w:tabs>
        <w:spacing w:line="252" w:lineRule="exact" w:before="0"/>
        <w:ind w:left="86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2"/>
          <w:position w:val="-1"/>
          <w:sz w:val="21"/>
          <w:szCs w:val="21"/>
        </w:rPr>
        <w:t>4.</w:t>
      </w:r>
      <w:r>
        <w:rPr>
          <w:rFonts w:ascii="宋体" w:hAnsi="宋体" w:cs="宋体" w:eastAsia="宋体" w:hint="default"/>
          <w:spacing w:val="-2"/>
          <w:position w:val="-1"/>
          <w:sz w:val="21"/>
          <w:szCs w:val="21"/>
        </w:rPr>
        <w:t>处置子公司的净资产</w:t>
        <w:tab/>
      </w:r>
      <w:r>
        <w:rPr>
          <w:rFonts w:ascii="Times New Roman" w:hAnsi="Times New Roman" w:cs="Times New Roman" w:eastAsia="Times New Roman" w:hint="default"/>
          <w:spacing w:val="-1"/>
          <w:sz w:val="21"/>
          <w:szCs w:val="21"/>
        </w:rPr>
        <w:t>3,595,604.27</w:t>
        <w:tab/>
      </w:r>
      <w:r>
        <w:rPr>
          <w:rFonts w:ascii="Times New Roman" w:hAnsi="Times New Roman" w:cs="Times New Roman" w:eastAsia="Times New Roman" w:hint="default"/>
          <w:sz w:val="21"/>
          <w:szCs w:val="21"/>
        </w:rPr>
        <w:t>-</w:t>
      </w:r>
    </w:p>
    <w:p>
      <w:pPr>
        <w:tabs>
          <w:tab w:pos="6971" w:val="left" w:leader="none"/>
          <w:tab w:pos="9795" w:val="left" w:leader="none"/>
        </w:tabs>
        <w:spacing w:line="265" w:lineRule="exact" w:before="0"/>
        <w:ind w:left="1079"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流动资产</w:t>
        <w:tab/>
      </w:r>
      <w:r>
        <w:rPr>
          <w:rFonts w:ascii="Times New Roman" w:hAnsi="Times New Roman" w:cs="Times New Roman" w:eastAsia="Times New Roman" w:hint="default"/>
          <w:spacing w:val="-1"/>
          <w:sz w:val="21"/>
          <w:szCs w:val="21"/>
        </w:rPr>
        <w:t>3,595,604.27</w:t>
        <w:tab/>
      </w:r>
      <w:r>
        <w:rPr>
          <w:rFonts w:ascii="Times New Roman" w:hAnsi="Times New Roman" w:cs="Times New Roman" w:eastAsia="Times New Roman" w:hint="default"/>
          <w:sz w:val="21"/>
          <w:szCs w:val="21"/>
        </w:rPr>
        <w:t>-</w:t>
      </w:r>
    </w:p>
    <w:p>
      <w:pPr>
        <w:tabs>
          <w:tab w:pos="8003" w:val="left" w:leader="none"/>
          <w:tab w:pos="9795" w:val="left" w:leader="none"/>
        </w:tabs>
        <w:spacing w:line="273" w:lineRule="exact" w:before="0"/>
        <w:ind w:left="1079"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非流动资产</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95" w:val="left" w:leader="none"/>
        </w:tabs>
        <w:spacing w:line="272" w:lineRule="exact" w:before="0"/>
        <w:ind w:left="1079"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流动负债</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tabs>
          <w:tab w:pos="8003" w:val="left" w:leader="none"/>
          <w:tab w:pos="9795" w:val="left" w:leader="none"/>
        </w:tabs>
        <w:spacing w:line="273" w:lineRule="exact" w:before="0"/>
        <w:ind w:left="1079"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非流动负债</w:t>
        <w:tab/>
      </w:r>
      <w:r>
        <w:rPr>
          <w:rFonts w:ascii="Times New Roman" w:hAnsi="Times New Roman" w:cs="Times New Roman" w:eastAsia="Times New Roman" w:hint="default"/>
          <w:position w:val="2"/>
          <w:sz w:val="21"/>
          <w:szCs w:val="21"/>
        </w:rPr>
        <w:t>-</w:t>
        <w:tab/>
        <w:t>-</w:t>
      </w:r>
      <w:r>
        <w:rPr>
          <w:rFonts w:ascii="Times New Roman" w:hAnsi="Times New Roman" w:cs="Times New Roman" w:eastAsia="Times New Roman" w:hint="default"/>
          <w:sz w:val="21"/>
          <w:szCs w:val="21"/>
        </w:rPr>
      </w:r>
    </w:p>
    <w:p>
      <w:pPr>
        <w:spacing w:line="240" w:lineRule="auto" w:before="9"/>
        <w:rPr>
          <w:rFonts w:ascii="Times New Roman" w:hAnsi="Times New Roman" w:cs="Times New Roman" w:eastAsia="Times New Roman" w:hint="default"/>
          <w:sz w:val="20"/>
          <w:szCs w:val="20"/>
        </w:rPr>
      </w:pPr>
    </w:p>
    <w:p>
      <w:pPr>
        <w:spacing w:before="0"/>
        <w:ind w:left="86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6.36.6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现金和现金等价物的构成</w:t>
      </w:r>
    </w:p>
    <w:p>
      <w:pPr>
        <w:spacing w:line="240" w:lineRule="auto" w:before="10"/>
        <w:rPr>
          <w:rFonts w:ascii="宋体" w:hAnsi="宋体" w:cs="宋体" w:eastAsia="宋体" w:hint="default"/>
          <w:sz w:val="2"/>
          <w:szCs w:val="2"/>
        </w:rPr>
      </w:pPr>
    </w:p>
    <w:tbl>
      <w:tblPr>
        <w:tblW w:w="0" w:type="auto"/>
        <w:jc w:val="left"/>
        <w:tblInd w:w="760" w:type="dxa"/>
        <w:tblLayout w:type="fixed"/>
        <w:tblCellMar>
          <w:top w:w="0" w:type="dxa"/>
          <w:left w:w="0" w:type="dxa"/>
          <w:bottom w:w="0" w:type="dxa"/>
          <w:right w:w="0" w:type="dxa"/>
        </w:tblCellMar>
        <w:tblLook w:val="01E0"/>
      </w:tblPr>
      <w:tblGrid>
        <w:gridCol w:w="3847"/>
        <w:gridCol w:w="283"/>
        <w:gridCol w:w="2409"/>
        <w:gridCol w:w="283"/>
        <w:gridCol w:w="2390"/>
      </w:tblGrid>
      <w:tr>
        <w:trPr>
          <w:trHeight w:val="257" w:hRule="exact"/>
        </w:trPr>
        <w:tc>
          <w:tcPr>
            <w:tcW w:w="3847" w:type="dxa"/>
            <w:tcBorders>
              <w:top w:val="nil" w:sz="6" w:space="0" w:color="auto"/>
              <w:left w:val="nil" w:sz="6" w:space="0" w:color="auto"/>
              <w:bottom w:val="single" w:sz="4" w:space="0" w:color="000000"/>
              <w:right w:val="nil" w:sz="6" w:space="0" w:color="auto"/>
            </w:tcBorders>
          </w:tcPr>
          <w:p>
            <w:pPr>
              <w:pStyle w:val="TableParagraph"/>
              <w:spacing w:line="22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single" w:sz="4" w:space="0" w:color="000000"/>
              <w:right w:val="nil" w:sz="6" w:space="0" w:color="auto"/>
            </w:tcBorders>
          </w:tcPr>
          <w:p>
            <w:pPr>
              <w:pStyle w:val="TableParagraph"/>
              <w:spacing w:line="238" w:lineRule="exact"/>
              <w:ind w:right="13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83"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single" w:sz="4" w:space="0" w:color="000000"/>
              <w:right w:val="nil" w:sz="6" w:space="0" w:color="auto"/>
            </w:tcBorders>
          </w:tcPr>
          <w:p>
            <w:pPr>
              <w:pStyle w:val="TableParagraph"/>
              <w:spacing w:line="238" w:lineRule="exact"/>
              <w:ind w:right="130"/>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11" w:hRule="exact"/>
        </w:trPr>
        <w:tc>
          <w:tcPr>
            <w:tcW w:w="3847"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3" w:type="dxa"/>
            <w:tcBorders>
              <w:top w:val="nil" w:sz="6" w:space="0" w:color="auto"/>
              <w:left w:val="nil" w:sz="6" w:space="0" w:color="auto"/>
              <w:bottom w:val="nil" w:sz="6" w:space="0" w:color="auto"/>
              <w:right w:val="nil" w:sz="6" w:space="0" w:color="auto"/>
            </w:tcBorders>
          </w:tcPr>
          <w:p>
            <w:pPr/>
          </w:p>
        </w:tc>
        <w:tc>
          <w:tcPr>
            <w:tcW w:w="240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30"/>
              <w:jc w:val="right"/>
              <w:rPr>
                <w:rFonts w:ascii="Times New Roman" w:hAnsi="Times New Roman" w:cs="Times New Roman" w:eastAsia="Times New Roman" w:hint="default"/>
                <w:sz w:val="21"/>
                <w:szCs w:val="21"/>
              </w:rPr>
            </w:pPr>
            <w:r>
              <w:rPr>
                <w:rFonts w:ascii="Times New Roman"/>
                <w:spacing w:val="-1"/>
                <w:sz w:val="21"/>
              </w:rPr>
              <w:t>296,183,647.67</w:t>
            </w:r>
          </w:p>
        </w:tc>
        <w:tc>
          <w:tcPr>
            <w:tcW w:w="283" w:type="dxa"/>
            <w:tcBorders>
              <w:top w:val="nil" w:sz="6" w:space="0" w:color="auto"/>
              <w:left w:val="nil" w:sz="6" w:space="0" w:color="auto"/>
              <w:bottom w:val="nil" w:sz="6" w:space="0" w:color="auto"/>
              <w:right w:val="nil" w:sz="6" w:space="0" w:color="auto"/>
            </w:tcBorders>
          </w:tcPr>
          <w:p>
            <w:pPr/>
          </w:p>
        </w:tc>
        <w:tc>
          <w:tcPr>
            <w:tcW w:w="239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40"/>
              <w:jc w:val="right"/>
              <w:rPr>
                <w:rFonts w:ascii="Times New Roman" w:hAnsi="Times New Roman" w:cs="Times New Roman" w:eastAsia="Times New Roman" w:hint="default"/>
                <w:sz w:val="21"/>
                <w:szCs w:val="21"/>
              </w:rPr>
            </w:pPr>
            <w:r>
              <w:rPr>
                <w:rFonts w:ascii="Times New Roman"/>
                <w:spacing w:val="-1"/>
                <w:sz w:val="21"/>
              </w:rPr>
              <w:t>272,389,143.46</w:t>
            </w:r>
          </w:p>
        </w:tc>
      </w:tr>
      <w:tr>
        <w:trPr>
          <w:trHeight w:val="312" w:hRule="exact"/>
        </w:trPr>
        <w:tc>
          <w:tcPr>
            <w:tcW w:w="3847"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3"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0"/>
              <w:jc w:val="right"/>
              <w:rPr>
                <w:rFonts w:ascii="Times New Roman" w:hAnsi="Times New Roman" w:cs="Times New Roman" w:eastAsia="Times New Roman" w:hint="default"/>
                <w:sz w:val="21"/>
                <w:szCs w:val="21"/>
              </w:rPr>
            </w:pPr>
            <w:r>
              <w:rPr>
                <w:rFonts w:ascii="Times New Roman"/>
                <w:spacing w:val="-1"/>
                <w:sz w:val="21"/>
              </w:rPr>
              <w:t>199,795.16</w:t>
            </w:r>
          </w:p>
        </w:tc>
        <w:tc>
          <w:tcPr>
            <w:tcW w:w="283"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right"/>
              <w:rPr>
                <w:rFonts w:ascii="Times New Roman" w:hAnsi="Times New Roman" w:cs="Times New Roman" w:eastAsia="Times New Roman" w:hint="default"/>
                <w:sz w:val="21"/>
                <w:szCs w:val="21"/>
              </w:rPr>
            </w:pPr>
            <w:r>
              <w:rPr>
                <w:rFonts w:ascii="Times New Roman"/>
                <w:spacing w:val="-1"/>
                <w:sz w:val="21"/>
              </w:rPr>
              <w:t>248,090.50</w:t>
            </w:r>
          </w:p>
        </w:tc>
      </w:tr>
      <w:tr>
        <w:trPr>
          <w:trHeight w:val="312" w:hRule="exact"/>
        </w:trPr>
        <w:tc>
          <w:tcPr>
            <w:tcW w:w="3847" w:type="dxa"/>
            <w:tcBorders>
              <w:top w:val="nil" w:sz="6" w:space="0" w:color="auto"/>
              <w:left w:val="nil" w:sz="6" w:space="0" w:color="auto"/>
              <w:bottom w:val="nil" w:sz="6" w:space="0" w:color="auto"/>
              <w:right w:val="nil" w:sz="6" w:space="0" w:color="auto"/>
            </w:tcBorders>
          </w:tcPr>
          <w:p>
            <w:pPr>
              <w:pStyle w:val="TableParagraph"/>
              <w:spacing w:line="246"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3"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0"/>
              <w:jc w:val="right"/>
              <w:rPr>
                <w:rFonts w:ascii="Times New Roman" w:hAnsi="Times New Roman" w:cs="Times New Roman" w:eastAsia="Times New Roman" w:hint="default"/>
                <w:sz w:val="21"/>
                <w:szCs w:val="21"/>
              </w:rPr>
            </w:pPr>
            <w:r>
              <w:rPr>
                <w:rFonts w:ascii="Times New Roman"/>
                <w:spacing w:val="-1"/>
                <w:sz w:val="21"/>
              </w:rPr>
              <w:t>295,983,852.51</w:t>
            </w:r>
          </w:p>
        </w:tc>
        <w:tc>
          <w:tcPr>
            <w:tcW w:w="283"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0"/>
              <w:jc w:val="right"/>
              <w:rPr>
                <w:rFonts w:ascii="Times New Roman" w:hAnsi="Times New Roman" w:cs="Times New Roman" w:eastAsia="Times New Roman" w:hint="default"/>
                <w:sz w:val="21"/>
                <w:szCs w:val="21"/>
              </w:rPr>
            </w:pPr>
            <w:r>
              <w:rPr>
                <w:rFonts w:ascii="Times New Roman"/>
                <w:spacing w:val="-1"/>
                <w:sz w:val="21"/>
              </w:rPr>
              <w:t>272,141,052.96</w:t>
            </w:r>
          </w:p>
        </w:tc>
      </w:tr>
      <w:tr>
        <w:trPr>
          <w:trHeight w:val="2011" w:hRule="exact"/>
        </w:trPr>
        <w:tc>
          <w:tcPr>
            <w:tcW w:w="3847" w:type="dxa"/>
            <w:tcBorders>
              <w:top w:val="nil" w:sz="6" w:space="0" w:color="auto"/>
              <w:left w:val="nil" w:sz="6" w:space="0" w:color="auto"/>
              <w:bottom w:val="nil" w:sz="6" w:space="0" w:color="auto"/>
              <w:right w:val="nil" w:sz="6" w:space="0" w:color="auto"/>
            </w:tcBorders>
          </w:tcPr>
          <w:p>
            <w:pPr>
              <w:pStyle w:val="TableParagraph"/>
              <w:spacing w:line="245"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p>
            <w:pPr>
              <w:pStyle w:val="TableParagraph"/>
              <w:spacing w:line="272" w:lineRule="exact" w:before="27"/>
              <w:ind w:left="410" w:right="490"/>
              <w:jc w:val="lef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存放同业款项</w:t>
            </w:r>
          </w:p>
          <w:p>
            <w:pPr>
              <w:pStyle w:val="TableParagraph"/>
              <w:spacing w:line="272" w:lineRule="exact" w:before="1"/>
              <w:ind w:left="124" w:right="775" w:firstLine="285"/>
              <w:jc w:val="left"/>
              <w:rPr>
                <w:rFonts w:ascii="宋体" w:hAnsi="宋体" w:cs="宋体" w:eastAsia="宋体" w:hint="default"/>
                <w:sz w:val="21"/>
                <w:szCs w:val="21"/>
              </w:rPr>
            </w:pPr>
            <w:r>
              <w:rPr>
                <w:rFonts w:ascii="宋体" w:hAnsi="宋体" w:cs="宋体" w:eastAsia="宋体" w:hint="default"/>
                <w:sz w:val="21"/>
                <w:szCs w:val="21"/>
              </w:rPr>
              <w:t>拆放同业款项</w:t>
            </w:r>
            <w:r>
              <w:rPr>
                <w:rFonts w:ascii="宋体" w:hAnsi="宋体" w:cs="宋体" w:eastAsia="宋体" w:hint="default"/>
                <w:w w:val="100"/>
                <w:sz w:val="21"/>
                <w:szCs w:val="21"/>
              </w:rPr>
              <w:t> </w:t>
            </w:r>
            <w:r>
              <w:rPr>
                <w:rFonts w:ascii="宋体" w:hAnsi="宋体" w:cs="宋体" w:eastAsia="宋体" w:hint="default"/>
                <w:sz w:val="21"/>
                <w:szCs w:val="21"/>
              </w:rPr>
              <w:t>二、现金等价物</w:t>
            </w:r>
          </w:p>
          <w:p>
            <w:pPr>
              <w:pStyle w:val="TableParagraph"/>
              <w:spacing w:line="272" w:lineRule="exact" w:before="1"/>
              <w:ind w:left="124" w:right="775"/>
              <w:jc w:val="left"/>
              <w:rPr>
                <w:rFonts w:ascii="宋体" w:hAnsi="宋体" w:cs="宋体" w:eastAsia="宋体" w:hint="default"/>
                <w:sz w:val="21"/>
                <w:szCs w:val="21"/>
              </w:rPr>
            </w:pPr>
            <w:r>
              <w:rPr>
                <w:rFonts w:ascii="宋体" w:hAnsi="宋体" w:cs="宋体" w:eastAsia="宋体" w:hint="default"/>
                <w:spacing w:val="-2"/>
                <w:sz w:val="21"/>
                <w:szCs w:val="21"/>
              </w:rPr>
              <w:t>其中：三个月内到期的债券投资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三、年末现金及现金等价物余额</w:t>
            </w:r>
          </w:p>
        </w:tc>
        <w:tc>
          <w:tcPr>
            <w:tcW w:w="283"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90" w:lineRule="auto" w:before="29"/>
              <w:ind w:left="962" w:right="130" w:firstLine="1243"/>
              <w:jc w:val="righ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296,183,647.67</w:t>
            </w:r>
          </w:p>
        </w:tc>
        <w:tc>
          <w:tcPr>
            <w:tcW w:w="283" w:type="dxa"/>
            <w:tcBorders>
              <w:top w:val="nil" w:sz="6" w:space="0" w:color="auto"/>
              <w:left w:val="nil" w:sz="6" w:space="0" w:color="auto"/>
              <w:bottom w:val="nil" w:sz="6" w:space="0" w:color="auto"/>
              <w:right w:val="nil" w:sz="6" w:space="0" w:color="auto"/>
            </w:tcBorders>
          </w:tcPr>
          <w:p>
            <w:pPr/>
          </w:p>
        </w:tc>
        <w:tc>
          <w:tcPr>
            <w:tcW w:w="23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29"/>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40" w:lineRule="auto" w:before="32"/>
              <w:ind w:right="131"/>
              <w:jc w:val="right"/>
              <w:rPr>
                <w:rFonts w:ascii="Times New Roman" w:hAnsi="Times New Roman" w:cs="Times New Roman" w:eastAsia="Times New Roman" w:hint="default"/>
                <w:sz w:val="21"/>
                <w:szCs w:val="21"/>
              </w:rPr>
            </w:pPr>
            <w:r>
              <w:rPr>
                <w:rFonts w:ascii="Times New Roman"/>
                <w:w w:val="100"/>
                <w:sz w:val="21"/>
              </w:rPr>
              <w:t>-</w:t>
            </w:r>
          </w:p>
          <w:p>
            <w:pPr>
              <w:pStyle w:val="TableParagraph"/>
              <w:spacing w:line="295" w:lineRule="auto" w:before="29"/>
              <w:ind w:left="935" w:right="131" w:firstLine="1250"/>
              <w:jc w:val="right"/>
              <w:rPr>
                <w:rFonts w:ascii="Times New Roman" w:hAnsi="Times New Roman" w:cs="Times New Roman" w:eastAsia="Times New Roman" w:hint="default"/>
                <w:sz w:val="21"/>
                <w:szCs w:val="21"/>
              </w:rPr>
            </w:pPr>
            <w:r>
              <w:rPr>
                <w:rFonts w:ascii="Times New Roman"/>
                <w:sz w:val="21"/>
              </w:rPr>
              <w:t>-</w:t>
            </w:r>
            <w:r>
              <w:rPr>
                <w:rFonts w:ascii="Times New Roman"/>
                <w:w w:val="100"/>
                <w:sz w:val="21"/>
              </w:rPr>
              <w:t> </w:t>
            </w:r>
            <w:r>
              <w:rPr>
                <w:rFonts w:ascii="Times New Roman"/>
                <w:spacing w:val="-1"/>
                <w:sz w:val="21"/>
              </w:rPr>
              <w:t>272,389,143.46</w:t>
            </w:r>
          </w:p>
        </w:tc>
      </w:tr>
    </w:tbl>
    <w:p>
      <w:pPr>
        <w:spacing w:after="0" w:line="295" w:lineRule="auto"/>
        <w:jc w:val="right"/>
        <w:rPr>
          <w:rFonts w:ascii="Times New Roman" w:hAnsi="Times New Roman" w:cs="Times New Roman" w:eastAsia="Times New Roman" w:hint="default"/>
          <w:sz w:val="21"/>
          <w:szCs w:val="21"/>
        </w:rPr>
        <w:sectPr>
          <w:footerReference w:type="default" r:id="rId36"/>
          <w:pgSz w:w="11900" w:h="16840"/>
          <w:pgMar w:footer="983" w:header="886" w:top="1800" w:bottom="1180" w:left="1040" w:right="780"/>
          <w:pgNumType w:start="120"/>
        </w:sectPr>
      </w:pPr>
    </w:p>
    <w:p>
      <w:pPr>
        <w:spacing w:line="240" w:lineRule="auto" w:before="10"/>
        <w:rPr>
          <w:rFonts w:ascii="宋体" w:hAnsi="宋体" w:cs="宋体" w:eastAsia="宋体" w:hint="default"/>
          <w:sz w:val="12"/>
          <w:szCs w:val="12"/>
        </w:rPr>
      </w:pPr>
    </w:p>
    <w:p>
      <w:pPr>
        <w:tabs>
          <w:tab w:pos="667" w:val="left" w:leader="none"/>
        </w:tabs>
        <w:spacing w:before="41"/>
        <w:ind w:left="101"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7</w:t>
        <w:tab/>
      </w:r>
      <w:r>
        <w:rPr>
          <w:rFonts w:ascii="宋体" w:hAnsi="宋体" w:cs="宋体" w:eastAsia="宋体" w:hint="default"/>
          <w:b/>
          <w:bCs/>
          <w:sz w:val="21"/>
          <w:szCs w:val="21"/>
        </w:rPr>
        <w:t>关联方及关联交易</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tabs>
          <w:tab w:pos="667" w:val="left" w:leader="none"/>
        </w:tabs>
        <w:spacing w:before="0"/>
        <w:ind w:left="19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7.1</w:t>
        <w:tab/>
      </w:r>
      <w:r>
        <w:rPr>
          <w:rFonts w:ascii="宋体" w:hAnsi="宋体" w:cs="宋体" w:eastAsia="宋体" w:hint="default"/>
          <w:sz w:val="21"/>
          <w:szCs w:val="21"/>
        </w:rPr>
        <w:t>本公司的母公司情况</w:t>
      </w:r>
    </w:p>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37"/>
          <w:footerReference w:type="default" r:id="rId38"/>
          <w:pgSz w:w="16840" w:h="11900" w:orient="landscape"/>
          <w:pgMar w:header="886" w:footer="975" w:top="1800" w:bottom="1160" w:left="880" w:right="380"/>
          <w:pgNumType w:start="121"/>
        </w:sectPr>
      </w:pPr>
    </w:p>
    <w:p>
      <w:pPr>
        <w:spacing w:line="240" w:lineRule="auto" w:before="3"/>
        <w:rPr>
          <w:rFonts w:ascii="宋体" w:hAnsi="宋体" w:cs="宋体" w:eastAsia="宋体" w:hint="default"/>
          <w:sz w:val="14"/>
          <w:szCs w:val="14"/>
        </w:rPr>
      </w:pPr>
    </w:p>
    <w:p>
      <w:pPr>
        <w:spacing w:line="232" w:lineRule="exact" w:before="0"/>
        <w:ind w:left="9651" w:right="0" w:hanging="15"/>
        <w:jc w:val="right"/>
        <w:rPr>
          <w:rFonts w:ascii="宋体" w:hAnsi="宋体" w:cs="宋体" w:eastAsia="宋体" w:hint="default"/>
          <w:sz w:val="18"/>
          <w:szCs w:val="18"/>
        </w:rPr>
      </w:pPr>
      <w:r>
        <w:rPr/>
        <w:pict>
          <v:shape style="position:absolute;margin-left:72pt;margin-top:7.305635pt;width:435.4pt;height:44.35pt;mso-position-horizontal-relative:page;mso-position-vertical-relative:paragraph;z-index:7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0"/>
                    <w:gridCol w:w="238"/>
                    <w:gridCol w:w="948"/>
                    <w:gridCol w:w="240"/>
                    <w:gridCol w:w="1025"/>
                    <w:gridCol w:w="252"/>
                    <w:gridCol w:w="900"/>
                    <w:gridCol w:w="271"/>
                    <w:gridCol w:w="993"/>
                    <w:gridCol w:w="291"/>
                    <w:gridCol w:w="974"/>
                    <w:gridCol w:w="238"/>
                    <w:gridCol w:w="1027"/>
                  </w:tblGrid>
                  <w:tr>
                    <w:trPr>
                      <w:trHeight w:val="551" w:hRule="exact"/>
                    </w:trPr>
                    <w:tc>
                      <w:tcPr>
                        <w:tcW w:w="131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240"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25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71"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291"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38"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r>
                  <w:tr>
                    <w:trPr>
                      <w:trHeight w:val="335" w:hRule="exact"/>
                    </w:trPr>
                    <w:tc>
                      <w:tcPr>
                        <w:tcW w:w="1310"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240"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252"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271"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91" w:type="dxa"/>
                        <w:tcBorders>
                          <w:top w:val="nil" w:sz="6" w:space="0" w:color="auto"/>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38"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
              </w:txbxContent>
            </v:textbox>
            <w10:wrap type="none"/>
          </v:shape>
        </w:pict>
      </w:r>
      <w:r>
        <w:rPr>
          <w:rFonts w:ascii="宋体" w:hAnsi="宋体" w:cs="宋体" w:eastAsia="宋体" w:hint="default"/>
          <w:sz w:val="18"/>
          <w:szCs w:val="18"/>
        </w:rPr>
        <w:t>公司对本企业的 </w:t>
      </w:r>
      <w:r>
        <w:rPr>
          <w:rFonts w:ascii="宋体" w:hAnsi="宋体" w:cs="宋体" w:eastAsia="宋体" w:hint="default"/>
          <w:spacing w:val="-1"/>
          <w:sz w:val="18"/>
          <w:szCs w:val="18"/>
        </w:rPr>
        <w:t>持股比例（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p>
      <w:pPr>
        <w:spacing w:line="237" w:lineRule="auto" w:before="46"/>
        <w:ind w:left="502"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公司对本企 业的表决权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3"/>
        <w:rPr>
          <w:rFonts w:ascii="宋体" w:hAnsi="宋体" w:cs="宋体" w:eastAsia="宋体" w:hint="default"/>
          <w:sz w:val="14"/>
          <w:szCs w:val="14"/>
        </w:rPr>
      </w:pPr>
      <w:r>
        <w:rPr/>
        <w:br w:type="column"/>
      </w:r>
      <w:r>
        <w:rPr>
          <w:rFonts w:ascii="宋体"/>
          <w:sz w:val="14"/>
        </w:rPr>
      </w:r>
    </w:p>
    <w:p>
      <w:pPr>
        <w:spacing w:line="232" w:lineRule="exact" w:before="0"/>
        <w:ind w:left="533" w:right="-20" w:firstLine="0"/>
        <w:jc w:val="left"/>
        <w:rPr>
          <w:rFonts w:ascii="宋体" w:hAnsi="宋体" w:cs="宋体" w:eastAsia="宋体" w:hint="default"/>
          <w:sz w:val="18"/>
          <w:szCs w:val="18"/>
        </w:rPr>
      </w:pPr>
      <w:r>
        <w:rPr>
          <w:rFonts w:ascii="宋体" w:hAnsi="宋体" w:cs="宋体" w:eastAsia="宋体" w:hint="default"/>
          <w:sz w:val="18"/>
          <w:szCs w:val="18"/>
        </w:rPr>
        <w:t>本企业最 终控制方</w:t>
      </w:r>
    </w:p>
    <w:p>
      <w:pPr>
        <w:spacing w:line="240" w:lineRule="auto" w:before="2"/>
        <w:rPr>
          <w:rFonts w:ascii="宋体" w:hAnsi="宋体" w:cs="宋体" w:eastAsia="宋体" w:hint="default"/>
          <w:sz w:val="21"/>
          <w:szCs w:val="21"/>
        </w:rPr>
      </w:pPr>
      <w:r>
        <w:rPr/>
        <w:br w:type="column"/>
      </w:r>
      <w:r>
        <w:rPr>
          <w:rFonts w:ascii="宋体"/>
          <w:sz w:val="21"/>
        </w:rPr>
      </w:r>
    </w:p>
    <w:p>
      <w:pPr>
        <w:spacing w:before="0"/>
        <w:ind w:left="528" w:right="0" w:firstLine="0"/>
        <w:jc w:val="left"/>
        <w:rPr>
          <w:rFonts w:ascii="宋体" w:hAnsi="宋体" w:cs="宋体" w:eastAsia="宋体" w:hint="default"/>
          <w:sz w:val="18"/>
          <w:szCs w:val="18"/>
        </w:rPr>
      </w:pPr>
      <w:r>
        <w:rPr>
          <w:rFonts w:ascii="宋体" w:hAnsi="宋体" w:cs="宋体" w:eastAsia="宋体" w:hint="default"/>
          <w:sz w:val="18"/>
          <w:szCs w:val="18"/>
        </w:rPr>
        <w:t>组织机构代码</w:t>
      </w:r>
    </w:p>
    <w:p>
      <w:pPr>
        <w:spacing w:after="0"/>
        <w:jc w:val="left"/>
        <w:rPr>
          <w:rFonts w:ascii="宋体" w:hAnsi="宋体" w:cs="宋体" w:eastAsia="宋体" w:hint="default"/>
          <w:sz w:val="18"/>
          <w:szCs w:val="18"/>
        </w:rPr>
        <w:sectPr>
          <w:type w:val="continuous"/>
          <w:pgSz w:w="16840" w:h="11900" w:orient="landscape"/>
          <w:pgMar w:top="1040" w:bottom="1180" w:left="880" w:right="380"/>
          <w:cols w:num="4" w:equalWidth="0">
            <w:col w:w="10897" w:space="40"/>
            <w:col w:w="1403" w:space="40"/>
            <w:col w:w="1254" w:space="40"/>
            <w:col w:w="1906"/>
          </w:cols>
        </w:sectPr>
      </w:pPr>
    </w:p>
    <w:p>
      <w:pPr>
        <w:tabs>
          <w:tab w:pos="11854" w:val="left" w:leader="none"/>
          <w:tab w:pos="12761" w:val="left" w:leader="none"/>
          <w:tab w:pos="14707" w:val="left" w:leader="none"/>
        </w:tabs>
        <w:spacing w:before="106"/>
        <w:ind w:left="10232" w:right="0" w:firstLine="0"/>
        <w:jc w:val="left"/>
        <w:rPr>
          <w:rFonts w:ascii="Times New Roman" w:hAnsi="Times New Roman" w:cs="Times New Roman" w:eastAsia="Times New Roman" w:hint="default"/>
          <w:sz w:val="21"/>
          <w:szCs w:val="21"/>
        </w:rPr>
      </w:pPr>
      <w:r>
        <w:rPr/>
        <w:pict>
          <v:group style="position:absolute;margin-left:519.599976pt;margin-top:6.10173pt;width:75.5pt;height:.1pt;mso-position-horizontal-relative:page;mso-position-vertical-relative:paragraph;z-index:-547840" coordorigin="10392,122" coordsize="1510,2">
            <v:shape style="position:absolute;left:10392;top:122;width:1510;height:2" coordorigin="10392,122" coordsize="1510,0" path="m10392,122l11902,122e" filled="false" stroked="true" strokeweight=".48pt" strokecolor="#000000">
              <v:path arrowok="t"/>
            </v:shape>
            <w10:wrap type="none"/>
          </v:group>
        </w:pict>
      </w:r>
      <w:r>
        <w:rPr/>
        <w:pict>
          <v:group style="position:absolute;margin-left:606.960022pt;margin-top:6.10173pt;width:63.15pt;height:.1pt;mso-position-horizontal-relative:page;mso-position-vertical-relative:paragraph;z-index:-547816" coordorigin="12139,122" coordsize="1263,2">
            <v:shape style="position:absolute;left:12139;top:122;width:1263;height:2" coordorigin="12139,122" coordsize="1263,0" path="m12139,122l13402,122e" filled="false" stroked="true" strokeweight=".48pt" strokecolor="#000000">
              <v:path arrowok="t"/>
            </v:shape>
            <w10:wrap type="none"/>
          </v:group>
        </w:pict>
      </w:r>
      <w:r>
        <w:rPr/>
        <w:pict>
          <v:group style="position:absolute;margin-left:681.960022pt;margin-top:6.10173pt;width:51.5pt;height:.1pt;mso-position-horizontal-relative:page;mso-position-vertical-relative:paragraph;z-index:-547792" coordorigin="13639,122" coordsize="1030,2">
            <v:shape style="position:absolute;left:13639;top:122;width:1030;height:2" coordorigin="13639,122" coordsize="1030,0" path="m13639,122l14669,122e" filled="false" stroked="true" strokeweight=".48pt" strokecolor="#000000">
              <v:path arrowok="t"/>
            </v:shape>
            <w10:wrap type="none"/>
          </v:group>
        </w:pict>
      </w:r>
      <w:r>
        <w:rPr/>
        <w:pict>
          <v:group style="position:absolute;margin-left:745.320007pt;margin-top:6.10173pt;width:71.650pt;height:.1pt;mso-position-horizontal-relative:page;mso-position-vertical-relative:paragraph;z-index:-547768" coordorigin="14906,122" coordsize="1433,2">
            <v:shape style="position:absolute;left:14906;top:122;width:1433;height:2" coordorigin="14906,122" coordsize="1433,0" path="m14906,122l16339,122e" filled="false" stroked="true" strokeweight=".48pt" strokecolor="#000000">
              <v:path arrowok="t"/>
            </v:shape>
            <w10:wrap type="none"/>
          </v:group>
        </w:pict>
      </w:r>
      <w:r>
        <w:rPr>
          <w:rFonts w:ascii="Times New Roman" w:hAnsi="Times New Roman" w:cs="Times New Roman" w:eastAsia="Times New Roman" w:hint="default"/>
          <w:sz w:val="21"/>
          <w:szCs w:val="21"/>
        </w:rPr>
        <w:t>-</w:t>
        <w:tab/>
        <w:t>-</w:t>
        <w:tab/>
      </w:r>
      <w:r>
        <w:rPr>
          <w:rFonts w:ascii="宋体" w:hAnsi="宋体" w:cs="宋体" w:eastAsia="宋体" w:hint="default"/>
          <w:sz w:val="18"/>
          <w:szCs w:val="18"/>
        </w:rPr>
        <w:t>包叔平先生</w:t>
        <w:tab/>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272" w:lineRule="exact" w:before="63"/>
        <w:ind w:left="668" w:right="0" w:firstLine="0"/>
        <w:jc w:val="left"/>
        <w:rPr>
          <w:rFonts w:ascii="宋体" w:hAnsi="宋体" w:cs="宋体" w:eastAsia="宋体" w:hint="default"/>
          <w:sz w:val="21"/>
          <w:szCs w:val="21"/>
        </w:rPr>
      </w:pPr>
      <w:r>
        <w:rPr>
          <w:rFonts w:ascii="宋体" w:hAnsi="宋体" w:cs="宋体" w:eastAsia="宋体" w:hint="default"/>
          <w:sz w:val="21"/>
          <w:szCs w:val="21"/>
        </w:rPr>
        <w:t>本公司无控股公司，实际控制人为自然人包叔平先生，现任本公司董事长兼总经理，截止</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日，包叔平先生本人及其接受其他股东的授权委托实</w:t>
      </w:r>
      <w:r>
        <w:rPr>
          <w:rFonts w:ascii="宋体" w:hAnsi="宋体" w:cs="宋体" w:eastAsia="宋体" w:hint="default"/>
          <w:w w:val="100"/>
          <w:sz w:val="21"/>
          <w:szCs w:val="21"/>
        </w:rPr>
        <w:t> </w:t>
      </w:r>
      <w:r>
        <w:rPr>
          <w:rFonts w:ascii="宋体" w:hAnsi="宋体" w:cs="宋体" w:eastAsia="宋体" w:hint="default"/>
          <w:sz w:val="21"/>
          <w:szCs w:val="21"/>
        </w:rPr>
        <w:t>际拥有本公司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33.52%</w:t>
      </w:r>
      <w:r>
        <w:rPr>
          <w:rFonts w:ascii="宋体" w:hAnsi="宋体" w:cs="宋体" w:eastAsia="宋体" w:hint="default"/>
          <w:sz w:val="21"/>
          <w:szCs w:val="21"/>
        </w:rPr>
        <w:t>的表决权。</w:t>
      </w:r>
    </w:p>
    <w:p>
      <w:pPr>
        <w:spacing w:line="240" w:lineRule="auto" w:before="5"/>
        <w:rPr>
          <w:rFonts w:ascii="宋体" w:hAnsi="宋体" w:cs="宋体" w:eastAsia="宋体" w:hint="default"/>
          <w:sz w:val="16"/>
          <w:szCs w:val="16"/>
        </w:rPr>
      </w:pPr>
    </w:p>
    <w:p>
      <w:pPr>
        <w:tabs>
          <w:tab w:pos="667" w:val="left" w:leader="none"/>
        </w:tabs>
        <w:spacing w:before="0"/>
        <w:ind w:left="190"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7.2</w:t>
        <w:tab/>
      </w:r>
      <w:r>
        <w:rPr>
          <w:rFonts w:ascii="宋体" w:hAnsi="宋体" w:cs="宋体" w:eastAsia="宋体" w:hint="default"/>
          <w:sz w:val="21"/>
          <w:szCs w:val="21"/>
        </w:rPr>
        <w:t>本公司的子公司情况</w:t>
      </w:r>
    </w:p>
    <w:p>
      <w:pPr>
        <w:spacing w:line="240" w:lineRule="auto" w:before="8"/>
        <w:rPr>
          <w:rFonts w:ascii="宋体" w:hAnsi="宋体" w:cs="宋体" w:eastAsia="宋体" w:hint="default"/>
          <w:sz w:val="18"/>
          <w:szCs w:val="18"/>
        </w:rPr>
      </w:pPr>
    </w:p>
    <w:p>
      <w:pPr>
        <w:tabs>
          <w:tab w:pos="2794" w:val="left" w:leader="none"/>
          <w:tab w:pos="3015" w:val="left" w:leader="none"/>
          <w:tab w:pos="4212" w:val="left" w:leader="none"/>
        </w:tabs>
        <w:spacing w:line="340" w:lineRule="atLeast" w:before="0"/>
        <w:ind w:left="668" w:right="10280" w:firstLine="0"/>
        <w:jc w:val="left"/>
        <w:rPr>
          <w:rFonts w:ascii="宋体" w:hAnsi="宋体" w:cs="宋体" w:eastAsia="宋体" w:hint="default"/>
          <w:sz w:val="18"/>
          <w:szCs w:val="18"/>
        </w:rPr>
      </w:pPr>
      <w:r>
        <w:rPr/>
        <w:pict>
          <v:group style="position:absolute;margin-left:72pt;margin-top:23.784365pt;width:92.2pt;height:.1pt;mso-position-horizontal-relative:page;mso-position-vertical-relative:paragraph;z-index:-547744" coordorigin="1440,476" coordsize="1844,2">
            <v:shape style="position:absolute;left:1440;top:476;width:1844;height:2" coordorigin="1440,476" coordsize="1844,0" path="m1440,476l3283,476e" filled="false" stroked="true" strokeweight=".48pt" strokecolor="#000000">
              <v:path arrowok="t"/>
            </v:shape>
            <w10:wrap type="none"/>
          </v:group>
        </w:pict>
      </w:r>
      <w:r>
        <w:rPr/>
        <w:pict>
          <v:group style="position:absolute;margin-left:178.320007pt;margin-top:23.784365pt;width:56.8pt;height:.1pt;mso-position-horizontal-relative:page;mso-position-vertical-relative:paragraph;z-index:-547720" coordorigin="3566,476" coordsize="1136,2">
            <v:shape style="position:absolute;left:3566;top:476;width:1136;height:2" coordorigin="3566,476" coordsize="1136,0" path="m3566,476l4702,476e" filled="false" stroked="true" strokeweight=".48pt" strokecolor="#000000">
              <v:path arrowok="t"/>
            </v:shape>
            <w10:wrap type="none"/>
          </v:group>
        </w:pict>
      </w:r>
      <w:r>
        <w:rPr/>
        <w:pict>
          <v:group style="position:absolute;margin-left:249.240005pt;margin-top:23.784365pt;width:70.95pt;height:.1pt;mso-position-horizontal-relative:page;mso-position-vertical-relative:paragraph;z-index:-547696" coordorigin="4985,476" coordsize="1419,2">
            <v:shape style="position:absolute;left:4985;top:476;width:1419;height:2" coordorigin="4985,476" coordsize="1419,0" path="m4985,476l6403,476e" filled="false" stroked="true" strokeweight=".48pt" strokecolor="#000000">
              <v:path arrowok="t"/>
            </v:shape>
            <w10:wrap type="none"/>
          </v:group>
        </w:pict>
      </w:r>
      <w:r>
        <w:rPr/>
        <w:pict>
          <v:shape style="position:absolute;margin-left:334.200012pt;margin-top:2.999989pt;width:482.8pt;height:96pt;mso-position-horizontal-relative:page;mso-position-vertical-relative:paragraph;z-index:7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283"/>
                    <w:gridCol w:w="993"/>
                    <w:gridCol w:w="283"/>
                    <w:gridCol w:w="991"/>
                    <w:gridCol w:w="283"/>
                    <w:gridCol w:w="1277"/>
                    <w:gridCol w:w="283"/>
                    <w:gridCol w:w="993"/>
                    <w:gridCol w:w="281"/>
                    <w:gridCol w:w="1135"/>
                    <w:gridCol w:w="283"/>
                    <w:gridCol w:w="1433"/>
                  </w:tblGrid>
                  <w:tr>
                    <w:trPr>
                      <w:trHeight w:val="416" w:hRule="exact"/>
                    </w:trPr>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5"/>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9"/>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8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42"/>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00" w:hRule="exact"/>
                    </w:trPr>
                    <w:tc>
                      <w:tcPr>
                        <w:tcW w:w="1135" w:type="dxa"/>
                        <w:tcBorders>
                          <w:top w:val="single" w:sz="4" w:space="0" w:color="000000"/>
                          <w:left w:val="nil" w:sz="6" w:space="0" w:color="auto"/>
                          <w:bottom w:val="nil" w:sz="6" w:space="0" w:color="auto"/>
                          <w:right w:val="nil" w:sz="6" w:space="0" w:color="auto"/>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包叔平</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软件外包</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100%</w:t>
                        </w:r>
                      </w:p>
                    </w:tc>
                    <w:tc>
                      <w:tcPr>
                        <w:tcW w:w="281"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100%</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8"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8"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center"/>
                          <w:rPr>
                            <w:rFonts w:ascii="宋体" w:hAnsi="宋体" w:cs="宋体" w:eastAsia="宋体" w:hint="default"/>
                            <w:sz w:val="18"/>
                            <w:szCs w:val="18"/>
                          </w:rPr>
                        </w:pPr>
                        <w:r>
                          <w:rPr>
                            <w:rFonts w:ascii="宋体" w:hAnsi="宋体" w:cs="宋体" w:eastAsia="宋体" w:hint="default"/>
                            <w:sz w:val="18"/>
                            <w:szCs w:val="18"/>
                          </w:rPr>
                          <w:t>市川建志</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8"/>
                            <w:szCs w:val="18"/>
                          </w:rPr>
                        </w:pPr>
                        <w:r>
                          <w:rPr>
                            <w:rFonts w:ascii="宋体" w:hAnsi="宋体" w:cs="宋体" w:eastAsia="宋体" w:hint="default"/>
                            <w:sz w:val="18"/>
                            <w:szCs w:val="18"/>
                          </w:rPr>
                          <w:t>软件外包</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51%</w:t>
                        </w:r>
                      </w:p>
                    </w:tc>
                    <w:tc>
                      <w:tcPr>
                        <w:tcW w:w="28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51%</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7"/>
                          <w:jc w:val="right"/>
                          <w:rPr>
                            <w:rFonts w:ascii="Times New Roman" w:hAnsi="Times New Roman" w:cs="Times New Roman" w:eastAsia="Times New Roman" w:hint="default"/>
                            <w:sz w:val="18"/>
                            <w:szCs w:val="18"/>
                          </w:rPr>
                        </w:pPr>
                        <w:r>
                          <w:rPr>
                            <w:rFonts w:ascii="Times New Roman"/>
                            <w:spacing w:val="-1"/>
                            <w:sz w:val="18"/>
                          </w:rPr>
                          <w:t>60720052-7</w:t>
                        </w:r>
                      </w:p>
                    </w:tc>
                  </w:tr>
                  <w:tr>
                    <w:trPr>
                      <w:trHeight w:val="467"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48"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包叔平</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软件外包</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6"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100%</w:t>
                        </w:r>
                      </w:p>
                    </w:tc>
                    <w:tc>
                      <w:tcPr>
                        <w:tcW w:w="28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100%</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7"/>
                          <w:jc w:val="right"/>
                          <w:rPr>
                            <w:rFonts w:ascii="Times New Roman" w:hAnsi="Times New Roman" w:cs="Times New Roman" w:eastAsia="Times New Roman" w:hint="default"/>
                            <w:sz w:val="18"/>
                            <w:szCs w:val="18"/>
                          </w:rPr>
                        </w:pPr>
                        <w:r>
                          <w:rPr>
                            <w:rFonts w:ascii="Times New Roman"/>
                            <w:spacing w:val="-1"/>
                            <w:sz w:val="18"/>
                          </w:rPr>
                          <w:t>55554760-8</w:t>
                        </w:r>
                      </w:p>
                    </w:tc>
                  </w:tr>
                  <w:tr>
                    <w:trPr>
                      <w:trHeight w:val="329" w:hRule="exact"/>
                    </w:trPr>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48"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包叔平</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软件外包</w:t>
                        </w:r>
                      </w:p>
                    </w:tc>
                    <w:tc>
                      <w:tcPr>
                        <w:tcW w:w="2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 </w:t>
                        </w:r>
                        <w:r>
                          <w:rPr>
                            <w:rFonts w:ascii="宋体" w:hAnsi="宋体" w:cs="宋体" w:eastAsia="宋体" w:hint="default"/>
                            <w:sz w:val="18"/>
                            <w:szCs w:val="18"/>
                          </w:rPr>
                          <w:t>万</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 w:right="0"/>
                          <w:jc w:val="center"/>
                          <w:rPr>
                            <w:rFonts w:ascii="Times New Roman" w:hAnsi="Times New Roman" w:cs="Times New Roman" w:eastAsia="Times New Roman" w:hint="default"/>
                            <w:sz w:val="18"/>
                            <w:szCs w:val="18"/>
                          </w:rPr>
                        </w:pPr>
                        <w:r>
                          <w:rPr>
                            <w:rFonts w:ascii="Times New Roman"/>
                            <w:sz w:val="18"/>
                          </w:rPr>
                          <w:t>55%</w:t>
                        </w:r>
                      </w:p>
                    </w:tc>
                    <w:tc>
                      <w:tcPr>
                        <w:tcW w:w="28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
                          <w:jc w:val="center"/>
                          <w:rPr>
                            <w:rFonts w:ascii="Times New Roman" w:hAnsi="Times New Roman" w:cs="Times New Roman" w:eastAsia="Times New Roman" w:hint="default"/>
                            <w:sz w:val="18"/>
                            <w:szCs w:val="18"/>
                          </w:rPr>
                        </w:pPr>
                        <w:r>
                          <w:rPr>
                            <w:rFonts w:ascii="Times New Roman"/>
                            <w:sz w:val="18"/>
                          </w:rPr>
                          <w:t>55%</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77"/>
                          <w:jc w:val="right"/>
                          <w:rPr>
                            <w:rFonts w:ascii="Times New Roman" w:hAnsi="Times New Roman" w:cs="Times New Roman" w:eastAsia="Times New Roman" w:hint="default"/>
                            <w:sz w:val="18"/>
                            <w:szCs w:val="18"/>
                          </w:rPr>
                        </w:pPr>
                        <w:r>
                          <w:rPr>
                            <w:rFonts w:ascii="Times New Roman"/>
                            <w:spacing w:val="-1"/>
                            <w:sz w:val="18"/>
                          </w:rPr>
                          <w:t>55598323-1</w:t>
                        </w:r>
                      </w:p>
                    </w:tc>
                  </w:tr>
                </w:tbl>
                <w:p>
                  <w:pPr/>
                </w:p>
              </w:txbxContent>
            </v:textbox>
            <w10:wrap type="none"/>
          </v:shape>
        </w:pict>
      </w:r>
      <w:r>
        <w:rPr>
          <w:rFonts w:ascii="宋体" w:hAnsi="宋体" w:cs="宋体" w:eastAsia="宋体" w:hint="default"/>
          <w:sz w:val="18"/>
          <w:szCs w:val="18"/>
        </w:rPr>
        <w:t>子公司全称</w:t>
        <w:tab/>
        <w:t>子公司类型</w:t>
        <w:tab/>
        <w:t>企业类型 日本海隆株式会社</w:t>
        <w:tab/>
        <w:tab/>
        <w:t>全资</w:t>
        <w:tab/>
        <w:t>有限责任公司</w:t>
      </w:r>
    </w:p>
    <w:p>
      <w:pPr>
        <w:spacing w:after="0" w:line="340" w:lineRule="atLeast"/>
        <w:jc w:val="left"/>
        <w:rPr>
          <w:rFonts w:ascii="宋体" w:hAnsi="宋体" w:cs="宋体" w:eastAsia="宋体" w:hint="default"/>
          <w:sz w:val="18"/>
          <w:szCs w:val="18"/>
        </w:rPr>
        <w:sectPr>
          <w:type w:val="continuous"/>
          <w:pgSz w:w="16840" w:h="11900" w:orient="landscape"/>
          <w:pgMar w:top="1040" w:bottom="1180" w:left="880" w:right="380"/>
        </w:sectPr>
      </w:pPr>
    </w:p>
    <w:p>
      <w:pPr>
        <w:spacing w:line="173" w:lineRule="exact" w:before="0"/>
        <w:ind w:left="668" w:right="-20" w:firstLine="0"/>
        <w:jc w:val="left"/>
        <w:rPr>
          <w:rFonts w:ascii="宋体" w:hAnsi="宋体" w:cs="宋体" w:eastAsia="宋体" w:hint="default"/>
          <w:sz w:val="18"/>
          <w:szCs w:val="18"/>
        </w:rPr>
      </w:pPr>
      <w:r>
        <w:rPr>
          <w:rFonts w:ascii="宋体" w:hAnsi="宋体" w:cs="宋体" w:eastAsia="宋体" w:hint="default"/>
          <w:sz w:val="18"/>
          <w:szCs w:val="18"/>
        </w:rPr>
        <w:t>上海华钟计算机</w:t>
      </w:r>
    </w:p>
    <w:p>
      <w:pPr>
        <w:tabs>
          <w:tab w:pos="2926" w:val="left" w:leader="none"/>
        </w:tabs>
        <w:spacing w:line="294" w:lineRule="exact" w:before="0"/>
        <w:ind w:left="668" w:right="-20" w:firstLine="0"/>
        <w:jc w:val="left"/>
        <w:rPr>
          <w:rFonts w:ascii="宋体" w:hAnsi="宋体" w:cs="宋体" w:eastAsia="宋体" w:hint="default"/>
          <w:sz w:val="18"/>
          <w:szCs w:val="18"/>
        </w:rPr>
      </w:pPr>
      <w:r>
        <w:rPr>
          <w:rFonts w:ascii="宋体" w:hAnsi="宋体" w:cs="宋体" w:eastAsia="宋体" w:hint="default"/>
          <w:sz w:val="18"/>
          <w:szCs w:val="18"/>
        </w:rPr>
        <w:t>软件开发有限公司</w:t>
        <w:tab/>
      </w:r>
      <w:r>
        <w:rPr>
          <w:rFonts w:ascii="宋体" w:hAnsi="宋体" w:cs="宋体" w:eastAsia="宋体" w:hint="default"/>
          <w:position w:val="12"/>
          <w:sz w:val="18"/>
          <w:szCs w:val="18"/>
        </w:rPr>
        <w:t>非全资</w:t>
      </w:r>
      <w:r>
        <w:rPr>
          <w:rFonts w:ascii="宋体" w:hAnsi="宋体" w:cs="宋体" w:eastAsia="宋体" w:hint="default"/>
          <w:sz w:val="18"/>
          <w:szCs w:val="18"/>
        </w:rPr>
      </w:r>
    </w:p>
    <w:p>
      <w:pPr>
        <w:spacing w:line="169" w:lineRule="exact" w:before="0"/>
        <w:ind w:left="668" w:right="-20" w:firstLine="0"/>
        <w:jc w:val="left"/>
        <w:rPr>
          <w:rFonts w:ascii="宋体" w:hAnsi="宋体" w:cs="宋体" w:eastAsia="宋体" w:hint="default"/>
          <w:sz w:val="18"/>
          <w:szCs w:val="18"/>
        </w:rPr>
      </w:pPr>
      <w:r>
        <w:rPr>
          <w:rFonts w:ascii="宋体" w:hAnsi="宋体" w:cs="宋体" w:eastAsia="宋体" w:hint="default"/>
          <w:sz w:val="18"/>
          <w:szCs w:val="18"/>
        </w:rPr>
        <w:t>江苏海隆软件技术有</w:t>
      </w:r>
    </w:p>
    <w:p>
      <w:pPr>
        <w:spacing w:line="233" w:lineRule="exact" w:before="0"/>
        <w:ind w:left="66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有限责任公司</w:t>
      </w:r>
    </w:p>
    <w:p>
      <w:pPr>
        <w:spacing w:before="0"/>
        <w:ind w:left="668" w:right="0" w:firstLine="0"/>
        <w:jc w:val="left"/>
        <w:rPr>
          <w:rFonts w:ascii="宋体" w:hAnsi="宋体" w:cs="宋体" w:eastAsia="宋体" w:hint="default"/>
          <w:sz w:val="18"/>
          <w:szCs w:val="18"/>
        </w:rPr>
      </w:pPr>
      <w:r>
        <w:rPr>
          <w:rFonts w:ascii="宋体" w:hAnsi="宋体" w:cs="宋体" w:eastAsia="宋体" w:hint="default"/>
          <w:sz w:val="18"/>
          <w:szCs w:val="18"/>
        </w:rPr>
        <w:t>（中外合资）</w:t>
      </w:r>
    </w:p>
    <w:p>
      <w:pPr>
        <w:spacing w:after="0"/>
        <w:jc w:val="left"/>
        <w:rPr>
          <w:rFonts w:ascii="宋体" w:hAnsi="宋体" w:cs="宋体" w:eastAsia="宋体" w:hint="default"/>
          <w:sz w:val="18"/>
          <w:szCs w:val="18"/>
        </w:rPr>
        <w:sectPr>
          <w:type w:val="continuous"/>
          <w:pgSz w:w="16840" w:h="11900" w:orient="landscape"/>
          <w:pgMar w:top="1040" w:bottom="1180" w:left="880" w:right="380"/>
          <w:cols w:num="2" w:equalWidth="0">
            <w:col w:w="3467" w:space="83"/>
            <w:col w:w="12030"/>
          </w:cols>
        </w:sectPr>
      </w:pPr>
    </w:p>
    <w:p>
      <w:pPr>
        <w:tabs>
          <w:tab w:pos="3072" w:val="left" w:leader="none"/>
          <w:tab w:pos="4272" w:val="left" w:leader="none"/>
        </w:tabs>
        <w:spacing w:line="300" w:lineRule="exact" w:before="0"/>
        <w:ind w:left="668" w:right="0"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全资</w:t>
        <w:tab/>
        <w:t>有限责任公司</w:t>
      </w:r>
    </w:p>
    <w:p>
      <w:pPr>
        <w:spacing w:after="0" w:line="300" w:lineRule="exact"/>
        <w:jc w:val="left"/>
        <w:rPr>
          <w:rFonts w:ascii="宋体" w:hAnsi="宋体" w:cs="宋体" w:eastAsia="宋体" w:hint="default"/>
          <w:sz w:val="18"/>
          <w:szCs w:val="18"/>
        </w:rPr>
        <w:sectPr>
          <w:type w:val="continuous"/>
          <w:pgSz w:w="16840" w:h="11900" w:orient="landscape"/>
          <w:pgMar w:top="1040" w:bottom="1180" w:left="880" w:right="380"/>
        </w:sectPr>
      </w:pPr>
    </w:p>
    <w:p>
      <w:pPr>
        <w:spacing w:line="170" w:lineRule="exact" w:before="0"/>
        <w:ind w:left="668" w:right="-20" w:firstLine="0"/>
        <w:jc w:val="left"/>
        <w:rPr>
          <w:rFonts w:ascii="宋体" w:hAnsi="宋体" w:cs="宋体" w:eastAsia="宋体" w:hint="default"/>
          <w:sz w:val="18"/>
          <w:szCs w:val="18"/>
        </w:rPr>
      </w:pPr>
      <w:r>
        <w:rPr>
          <w:rFonts w:ascii="宋体" w:hAnsi="宋体" w:cs="宋体" w:eastAsia="宋体" w:hint="default"/>
          <w:sz w:val="18"/>
          <w:szCs w:val="18"/>
        </w:rPr>
        <w:t>上海海隆宜通信息技</w:t>
      </w:r>
    </w:p>
    <w:p>
      <w:pPr>
        <w:tabs>
          <w:tab w:pos="2926" w:val="left" w:leader="none"/>
        </w:tabs>
        <w:spacing w:line="295" w:lineRule="exact" w:before="0"/>
        <w:ind w:left="668" w:right="-20" w:firstLine="0"/>
        <w:jc w:val="left"/>
        <w:rPr>
          <w:rFonts w:ascii="宋体" w:hAnsi="宋体" w:cs="宋体" w:eastAsia="宋体" w:hint="default"/>
          <w:sz w:val="18"/>
          <w:szCs w:val="18"/>
        </w:rPr>
      </w:pPr>
      <w:r>
        <w:rPr>
          <w:rFonts w:ascii="宋体" w:hAnsi="宋体" w:cs="宋体" w:eastAsia="宋体" w:hint="default"/>
          <w:sz w:val="18"/>
          <w:szCs w:val="18"/>
        </w:rPr>
        <w:t>术有限公司</w:t>
        <w:tab/>
      </w:r>
      <w:r>
        <w:rPr>
          <w:rFonts w:ascii="宋体" w:hAnsi="宋体" w:cs="宋体" w:eastAsia="宋体" w:hint="default"/>
          <w:position w:val="12"/>
          <w:sz w:val="18"/>
          <w:szCs w:val="18"/>
        </w:rPr>
        <w:t>非全资</w:t>
      </w:r>
      <w:r>
        <w:rPr>
          <w:rFonts w:ascii="宋体" w:hAnsi="宋体" w:cs="宋体" w:eastAsia="宋体" w:hint="default"/>
          <w:sz w:val="18"/>
          <w:szCs w:val="18"/>
        </w:rPr>
      </w:r>
    </w:p>
    <w:p>
      <w:pPr>
        <w:spacing w:line="230" w:lineRule="exact" w:before="0"/>
        <w:ind w:left="66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有限责任公司</w:t>
      </w:r>
    </w:p>
    <w:p>
      <w:pPr>
        <w:spacing w:before="0"/>
        <w:ind w:left="668" w:right="0" w:firstLine="0"/>
        <w:jc w:val="left"/>
        <w:rPr>
          <w:rFonts w:ascii="宋体" w:hAnsi="宋体" w:cs="宋体" w:eastAsia="宋体" w:hint="default"/>
          <w:sz w:val="18"/>
          <w:szCs w:val="18"/>
        </w:rPr>
      </w:pPr>
      <w:r>
        <w:rPr>
          <w:rFonts w:ascii="宋体" w:hAnsi="宋体" w:cs="宋体" w:eastAsia="宋体" w:hint="default"/>
          <w:sz w:val="18"/>
          <w:szCs w:val="18"/>
        </w:rPr>
        <w:t>（中外合资）</w:t>
      </w:r>
    </w:p>
    <w:p>
      <w:pPr>
        <w:spacing w:after="0"/>
        <w:jc w:val="left"/>
        <w:rPr>
          <w:rFonts w:ascii="宋体" w:hAnsi="宋体" w:cs="宋体" w:eastAsia="宋体" w:hint="default"/>
          <w:sz w:val="18"/>
          <w:szCs w:val="18"/>
        </w:rPr>
        <w:sectPr>
          <w:type w:val="continuous"/>
          <w:pgSz w:w="16840" w:h="11900" w:orient="landscape"/>
          <w:pgMar w:top="1040" w:bottom="1180" w:left="880" w:right="380"/>
          <w:cols w:num="2" w:equalWidth="0">
            <w:col w:w="3467" w:space="83"/>
            <w:col w:w="12030"/>
          </w:cols>
        </w:sectPr>
      </w:pPr>
    </w:p>
    <w:p>
      <w:pPr>
        <w:spacing w:line="240" w:lineRule="auto" w:before="6"/>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87"/>
        <w:gridCol w:w="407"/>
        <w:gridCol w:w="4099"/>
        <w:gridCol w:w="262"/>
        <w:gridCol w:w="5239"/>
        <w:gridCol w:w="235"/>
        <w:gridCol w:w="4265"/>
      </w:tblGrid>
      <w:tr>
        <w:trPr>
          <w:trHeight w:val="1381" w:hRule="exact"/>
        </w:trPr>
        <w:tc>
          <w:tcPr>
            <w:tcW w:w="18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w w:val="100"/>
                <w:sz w:val="21"/>
              </w:rPr>
              <w:t>7</w:t>
            </w:r>
            <w:r>
              <w:rPr>
                <w:rFonts w:ascii="Times New Roman"/>
                <w:w w:val="100"/>
                <w:sz w:val="21"/>
              </w:rPr>
            </w: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47"/>
              <w:jc w:val="center"/>
              <w:rPr>
                <w:rFonts w:ascii="Times New Roman" w:hAnsi="Times New Roman" w:cs="Times New Roman" w:eastAsia="Times New Roman" w:hint="default"/>
                <w:sz w:val="21"/>
                <w:szCs w:val="21"/>
              </w:rPr>
            </w:pPr>
            <w:r>
              <w:rPr>
                <w:rFonts w:ascii="Times New Roman"/>
                <w:b/>
                <w:sz w:val="21"/>
              </w:rPr>
              <w:t>7.3</w:t>
            </w:r>
            <w:r>
              <w:rPr>
                <w:rFonts w:ascii="Times New Roman"/>
                <w:sz w:val="21"/>
              </w:rPr>
            </w:r>
          </w:p>
        </w:tc>
        <w:tc>
          <w:tcPr>
            <w:tcW w:w="4099" w:type="dxa"/>
            <w:tcBorders>
              <w:top w:val="nil" w:sz="6" w:space="0" w:color="auto"/>
              <w:left w:val="nil" w:sz="6" w:space="0" w:color="auto"/>
              <w:bottom w:val="single" w:sz="4" w:space="0" w:color="000000"/>
              <w:right w:val="nil" w:sz="6" w:space="0" w:color="auto"/>
            </w:tcBorders>
          </w:tcPr>
          <w:p>
            <w:pPr>
              <w:pStyle w:val="TableParagraph"/>
              <w:spacing w:line="448" w:lineRule="auto" w:before="41"/>
              <w:ind w:left="115" w:right="1661"/>
              <w:jc w:val="left"/>
              <w:rPr>
                <w:rFonts w:ascii="宋体" w:hAnsi="宋体" w:cs="宋体" w:eastAsia="宋体" w:hint="default"/>
                <w:sz w:val="21"/>
                <w:szCs w:val="21"/>
              </w:rPr>
            </w:pPr>
            <w:r>
              <w:rPr>
                <w:rFonts w:ascii="宋体" w:hAnsi="宋体" w:cs="宋体" w:eastAsia="宋体" w:hint="default"/>
                <w:b/>
                <w:bCs/>
                <w:sz w:val="21"/>
                <w:szCs w:val="21"/>
              </w:rPr>
              <w:t>关联方及关联交易（续）</w:t>
            </w:r>
            <w:r>
              <w:rPr>
                <w:rFonts w:ascii="宋体" w:hAnsi="宋体" w:cs="宋体" w:eastAsia="宋体" w:hint="default"/>
                <w:b/>
                <w:bCs/>
                <w:w w:val="100"/>
                <w:sz w:val="21"/>
                <w:szCs w:val="21"/>
              </w:rPr>
              <w:t> </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p>
            <w:pPr>
              <w:pStyle w:val="TableParagraph"/>
              <w:spacing w:line="240" w:lineRule="auto" w:before="56"/>
              <w:ind w:left="131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262" w:type="dxa"/>
            <w:tcBorders>
              <w:top w:val="nil" w:sz="6" w:space="0" w:color="auto"/>
              <w:left w:val="nil" w:sz="6" w:space="0" w:color="auto"/>
              <w:bottom w:val="nil" w:sz="6" w:space="0" w:color="auto"/>
              <w:right w:val="nil" w:sz="6" w:space="0" w:color="auto"/>
            </w:tcBorders>
          </w:tcPr>
          <w:p>
            <w:pPr/>
          </w:p>
        </w:tc>
        <w:tc>
          <w:tcPr>
            <w:tcW w:w="52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235"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98" w:hRule="exact"/>
        </w:trPr>
        <w:tc>
          <w:tcPr>
            <w:tcW w:w="187"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4099"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日本欧姆龙株式会社</w:t>
            </w:r>
          </w:p>
        </w:tc>
        <w:tc>
          <w:tcPr>
            <w:tcW w:w="262" w:type="dxa"/>
            <w:tcBorders>
              <w:top w:val="nil" w:sz="6" w:space="0" w:color="auto"/>
              <w:left w:val="nil" w:sz="6" w:space="0" w:color="auto"/>
              <w:bottom w:val="nil" w:sz="6" w:space="0" w:color="auto"/>
              <w:right w:val="nil" w:sz="6" w:space="0" w:color="auto"/>
            </w:tcBorders>
          </w:tcPr>
          <w:p>
            <w:pPr/>
          </w:p>
        </w:tc>
        <w:tc>
          <w:tcPr>
            <w:tcW w:w="5239" w:type="dxa"/>
            <w:tcBorders>
              <w:top w:val="single" w:sz="4" w:space="0" w:color="000000"/>
              <w:left w:val="nil" w:sz="6" w:space="0" w:color="auto"/>
              <w:bottom w:val="nil" w:sz="6" w:space="0" w:color="auto"/>
              <w:right w:val="nil" w:sz="6" w:space="0" w:color="auto"/>
            </w:tcBorders>
          </w:tcPr>
          <w:p>
            <w:pPr>
              <w:pStyle w:val="TableParagraph"/>
              <w:spacing w:line="256" w:lineRule="exact"/>
              <w:ind w:left="2" w:right="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17.94%</w:t>
            </w:r>
            <w:r>
              <w:rPr>
                <w:rFonts w:ascii="宋体" w:hAnsi="宋体" w:cs="宋体" w:eastAsia="宋体" w:hint="default"/>
                <w:sz w:val="21"/>
                <w:szCs w:val="21"/>
              </w:rPr>
              <w:t>的股东的实际控制人</w:t>
            </w:r>
          </w:p>
        </w:tc>
        <w:tc>
          <w:tcPr>
            <w:tcW w:w="235" w:type="dxa"/>
            <w:tcBorders>
              <w:top w:val="nil" w:sz="6" w:space="0" w:color="auto"/>
              <w:left w:val="nil" w:sz="6" w:space="0" w:color="auto"/>
              <w:bottom w:val="nil" w:sz="6" w:space="0" w:color="auto"/>
              <w:right w:val="nil" w:sz="6" w:space="0" w:color="auto"/>
            </w:tcBorders>
          </w:tcPr>
          <w:p>
            <w:pPr/>
          </w:p>
        </w:tc>
        <w:tc>
          <w:tcPr>
            <w:tcW w:w="426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13" w:hRule="exact"/>
        </w:trPr>
        <w:tc>
          <w:tcPr>
            <w:tcW w:w="187"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7"/>
              <w:jc w:val="center"/>
              <w:rPr>
                <w:rFonts w:ascii="Times New Roman" w:hAnsi="Times New Roman" w:cs="Times New Roman" w:eastAsia="Times New Roman" w:hint="default"/>
                <w:sz w:val="21"/>
                <w:szCs w:val="21"/>
              </w:rPr>
            </w:pPr>
            <w:r>
              <w:rPr>
                <w:rFonts w:ascii="Times New Roman"/>
                <w:sz w:val="21"/>
              </w:rPr>
              <w:t>7.4</w:t>
            </w:r>
          </w:p>
        </w:tc>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5" w:right="0"/>
              <w:jc w:val="left"/>
              <w:rPr>
                <w:rFonts w:ascii="宋体" w:hAnsi="宋体" w:cs="宋体" w:eastAsia="宋体" w:hint="default"/>
                <w:sz w:val="21"/>
                <w:szCs w:val="21"/>
              </w:rPr>
            </w:pPr>
            <w:r>
              <w:rPr>
                <w:rFonts w:ascii="宋体" w:hAnsi="宋体" w:cs="宋体" w:eastAsia="宋体" w:hint="default"/>
                <w:sz w:val="21"/>
                <w:szCs w:val="21"/>
              </w:rPr>
              <w:t>关联交易情况</w:t>
            </w:r>
          </w:p>
        </w:tc>
        <w:tc>
          <w:tcPr>
            <w:tcW w:w="262" w:type="dxa"/>
            <w:tcBorders>
              <w:top w:val="nil" w:sz="6" w:space="0" w:color="auto"/>
              <w:left w:val="nil" w:sz="6" w:space="0" w:color="auto"/>
              <w:bottom w:val="nil" w:sz="6" w:space="0" w:color="auto"/>
              <w:right w:val="nil" w:sz="6" w:space="0" w:color="auto"/>
            </w:tcBorders>
          </w:tcPr>
          <w:p>
            <w:pPr/>
          </w:p>
        </w:tc>
        <w:tc>
          <w:tcPr>
            <w:tcW w:w="523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
        </w:tc>
      </w:tr>
      <w:tr>
        <w:trPr>
          <w:trHeight w:val="374" w:hRule="exact"/>
        </w:trPr>
        <w:tc>
          <w:tcPr>
            <w:tcW w:w="187"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409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7.4.1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tc>
        <w:tc>
          <w:tcPr>
            <w:tcW w:w="262" w:type="dxa"/>
            <w:tcBorders>
              <w:top w:val="nil" w:sz="6" w:space="0" w:color="auto"/>
              <w:left w:val="nil" w:sz="6" w:space="0" w:color="auto"/>
              <w:bottom w:val="nil" w:sz="6" w:space="0" w:color="auto"/>
              <w:right w:val="nil" w:sz="6" w:space="0" w:color="auto"/>
            </w:tcBorders>
          </w:tcPr>
          <w:p>
            <w:pPr/>
          </w:p>
        </w:tc>
        <w:tc>
          <w:tcPr>
            <w:tcW w:w="523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4265" w:type="dxa"/>
            <w:tcBorders>
              <w:top w:val="nil" w:sz="6" w:space="0" w:color="auto"/>
              <w:left w:val="nil" w:sz="6" w:space="0" w:color="auto"/>
              <w:bottom w:val="nil" w:sz="6" w:space="0" w:color="auto"/>
              <w:right w:val="nil" w:sz="6" w:space="0" w:color="auto"/>
            </w:tcBorders>
          </w:tcPr>
          <w:p>
            <w:pPr/>
          </w:p>
        </w:tc>
      </w:tr>
      <w:tr>
        <w:trPr>
          <w:trHeight w:val="502" w:hRule="exact"/>
        </w:trPr>
        <w:tc>
          <w:tcPr>
            <w:tcW w:w="1469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12534" w:val="left" w:leader="none"/>
              </w:tabs>
              <w:spacing w:line="240" w:lineRule="auto"/>
              <w:ind w:left="9071" w:right="0"/>
              <w:jc w:val="left"/>
              <w:rPr>
                <w:rFonts w:ascii="宋体" w:hAnsi="宋体" w:cs="宋体" w:eastAsia="宋体" w:hint="default"/>
                <w:sz w:val="21"/>
                <w:szCs w:val="21"/>
              </w:rPr>
            </w:pPr>
            <w:r>
              <w:rPr>
                <w:rFonts w:ascii="宋体" w:hAnsi="宋体" w:cs="宋体" w:eastAsia="宋体" w:hint="default"/>
                <w:spacing w:val="-1"/>
                <w:sz w:val="21"/>
                <w:szCs w:val="21"/>
              </w:rPr>
              <w:t>本年发生额</w:t>
              <w:tab/>
              <w:t>上年发生额</w:t>
            </w:r>
          </w:p>
        </w:tc>
      </w:tr>
    </w:tbl>
    <w:p>
      <w:pPr>
        <w:spacing w:line="240" w:lineRule="auto" w:before="10"/>
        <w:rPr>
          <w:rFonts w:ascii="宋体" w:hAnsi="宋体" w:cs="宋体" w:eastAsia="宋体" w:hint="default"/>
          <w:sz w:val="7"/>
          <w:szCs w:val="7"/>
        </w:rPr>
      </w:pPr>
    </w:p>
    <w:p>
      <w:pPr>
        <w:spacing w:before="177"/>
        <w:ind w:left="0" w:right="155" w:firstLine="0"/>
        <w:jc w:val="right"/>
        <w:rPr>
          <w:rFonts w:ascii="宋体" w:hAnsi="宋体" w:cs="宋体" w:eastAsia="宋体" w:hint="default"/>
          <w:sz w:val="21"/>
          <w:szCs w:val="21"/>
        </w:rPr>
      </w:pPr>
      <w:r>
        <w:rPr/>
        <w:pict>
          <v:shape style="position:absolute;margin-left:77.040001pt;margin-top:-3.23634pt;width:705pt;height:45pt;mso-position-horizontal-relative:page;mso-position-vertical-relative:paragraph;z-index:7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2"/>
                    <w:gridCol w:w="2073"/>
                    <w:gridCol w:w="2036"/>
                    <w:gridCol w:w="1286"/>
                    <w:gridCol w:w="235"/>
                    <w:gridCol w:w="1666"/>
                    <w:gridCol w:w="235"/>
                    <w:gridCol w:w="1399"/>
                    <w:gridCol w:w="283"/>
                    <w:gridCol w:w="1584"/>
                  </w:tblGrid>
                  <w:tr>
                    <w:trPr>
                      <w:trHeight w:val="554" w:hRule="exact"/>
                    </w:trPr>
                    <w:tc>
                      <w:tcPr>
                        <w:tcW w:w="3302" w:type="dxa"/>
                        <w:tcBorders>
                          <w:top w:val="nil" w:sz="6" w:space="0" w:color="auto"/>
                          <w:left w:val="nil" w:sz="6" w:space="0" w:color="auto"/>
                          <w:bottom w:val="single" w:sz="4" w:space="0" w:color="000000"/>
                          <w:right w:val="nil" w:sz="6" w:space="0" w:color="auto"/>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关联方</w:t>
                        </w:r>
                      </w:p>
                    </w:tc>
                    <w:tc>
                      <w:tcPr>
                        <w:tcW w:w="2073"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center"/>
                          <w:rPr>
                            <w:rFonts w:ascii="宋体" w:hAnsi="宋体" w:cs="宋体" w:eastAsia="宋体" w:hint="default"/>
                            <w:sz w:val="21"/>
                            <w:szCs w:val="21"/>
                          </w:rPr>
                        </w:pPr>
                        <w:r>
                          <w:rPr>
                            <w:rFonts w:ascii="宋体" w:hAnsi="宋体" w:cs="宋体" w:eastAsia="宋体" w:hint="default"/>
                            <w:sz w:val="21"/>
                            <w:szCs w:val="21"/>
                          </w:rPr>
                          <w:t>关联交易内容</w:t>
                        </w:r>
                      </w:p>
                      <w:p>
                        <w:pPr>
                          <w:pStyle w:val="TableParagraph"/>
                          <w:tabs>
                            <w:tab w:pos="1704" w:val="left" w:leader="none"/>
                          </w:tabs>
                          <w:spacing w:line="196" w:lineRule="exact"/>
                          <w:ind w:left="99" w:right="0"/>
                          <w:jc w:val="center"/>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2036" w:type="dxa"/>
                        <w:tcBorders>
                          <w:top w:val="nil" w:sz="6" w:space="0" w:color="auto"/>
                          <w:left w:val="nil" w:sz="6" w:space="0" w:color="auto"/>
                          <w:bottom w:val="nil" w:sz="6" w:space="0" w:color="auto"/>
                          <w:right w:val="nil" w:sz="6" w:space="0" w:color="auto"/>
                        </w:tcBorders>
                      </w:tcPr>
                      <w:p>
                        <w:pPr>
                          <w:pStyle w:val="TableParagraph"/>
                          <w:spacing w:line="102" w:lineRule="exact"/>
                          <w:ind w:right="222"/>
                          <w:jc w:val="center"/>
                          <w:rPr>
                            <w:rFonts w:ascii="宋体" w:hAnsi="宋体" w:cs="宋体" w:eastAsia="宋体" w:hint="default"/>
                            <w:sz w:val="21"/>
                            <w:szCs w:val="21"/>
                          </w:rPr>
                        </w:pPr>
                        <w:r>
                          <w:rPr>
                            <w:rFonts w:ascii="宋体" w:hAnsi="宋体" w:cs="宋体" w:eastAsia="宋体" w:hint="default"/>
                            <w:sz w:val="21"/>
                            <w:szCs w:val="21"/>
                          </w:rPr>
                          <w:t>关联交易定价方</w:t>
                        </w:r>
                      </w:p>
                      <w:p>
                        <w:pPr>
                          <w:pStyle w:val="TableParagraph"/>
                          <w:tabs>
                            <w:tab w:pos="1701" w:val="left" w:leader="none"/>
                          </w:tabs>
                          <w:spacing w:line="273" w:lineRule="exact"/>
                          <w:ind w:right="224"/>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0"/>
                            <w:sz w:val="21"/>
                            <w:szCs w:val="21"/>
                            <w:u w:val="single" w:color="000000"/>
                          </w:rPr>
                          <w:t> </w:t>
                        </w:r>
                        <w:r>
                          <w:rPr>
                            <w:rFonts w:ascii="宋体" w:hAnsi="宋体" w:cs="宋体" w:eastAsia="宋体" w:hint="default"/>
                            <w:sz w:val="21"/>
                            <w:szCs w:val="21"/>
                            <w:u w:val="single" w:color="000000"/>
                          </w:rPr>
                          <w:t>式及决策程序</w:t>
                          <w:tab/>
                        </w:r>
                        <w:r>
                          <w:rPr>
                            <w:rFonts w:ascii="宋体" w:hAnsi="宋体" w:cs="宋体" w:eastAsia="宋体" w:hint="default"/>
                            <w:sz w:val="21"/>
                            <w:szCs w:val="21"/>
                          </w:rPr>
                        </w:r>
                      </w:p>
                    </w:tc>
                    <w:tc>
                      <w:tcPr>
                        <w:tcW w:w="12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single" w:sz="4" w:space="0" w:color="000000"/>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12" w:right="0" w:firstLine="88"/>
                          <w:jc w:val="left"/>
                          <w:rPr>
                            <w:rFonts w:ascii="宋体" w:hAnsi="宋体" w:cs="宋体" w:eastAsia="宋体" w:hint="default"/>
                            <w:sz w:val="21"/>
                            <w:szCs w:val="21"/>
                          </w:rPr>
                        </w:pPr>
                        <w:r>
                          <w:rPr>
                            <w:rFonts w:ascii="宋体" w:hAnsi="宋体" w:cs="宋体" w:eastAsia="宋体" w:hint="default"/>
                            <w:sz w:val="21"/>
                            <w:szCs w:val="21"/>
                          </w:rPr>
                          <w:t>占同类交易金</w:t>
                        </w:r>
                      </w:p>
                      <w:p>
                        <w:pPr>
                          <w:pStyle w:val="TableParagraph"/>
                          <w:spacing w:line="289" w:lineRule="exact"/>
                          <w:ind w:left="112"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5"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single" w:sz="4" w:space="0" w:color="000000"/>
                          <w:right w:val="nil" w:sz="6" w:space="0" w:color="auto"/>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16"/>
                            <w:sz w:val="21"/>
                            <w:szCs w:val="21"/>
                          </w:rPr>
                          <w:t>占同类交易金</w:t>
                        </w:r>
                      </w:p>
                    </w:tc>
                  </w:tr>
                  <w:tr>
                    <w:trPr>
                      <w:trHeight w:val="345" w:hRule="exact"/>
                    </w:trPr>
                    <w:tc>
                      <w:tcPr>
                        <w:tcW w:w="3302" w:type="dxa"/>
                        <w:tcBorders>
                          <w:top w:val="single" w:sz="4" w:space="0" w:color="000000"/>
                          <w:left w:val="nil" w:sz="6" w:space="0" w:color="auto"/>
                          <w:bottom w:val="nil" w:sz="6" w:space="0" w:color="auto"/>
                          <w:right w:val="nil" w:sz="6" w:space="0" w:color="auto"/>
                        </w:tcBorders>
                      </w:tcPr>
                      <w:p>
                        <w:pPr>
                          <w:pStyle w:val="TableParagraph"/>
                          <w:spacing w:line="241" w:lineRule="exact"/>
                          <w:ind w:right="1356"/>
                          <w:jc w:val="right"/>
                          <w:rPr>
                            <w:rFonts w:ascii="宋体" w:hAnsi="宋体" w:cs="宋体" w:eastAsia="宋体" w:hint="default"/>
                            <w:sz w:val="21"/>
                            <w:szCs w:val="21"/>
                          </w:rPr>
                        </w:pPr>
                        <w:r>
                          <w:rPr>
                            <w:rFonts w:ascii="宋体" w:hAnsi="宋体" w:cs="宋体" w:eastAsia="宋体" w:hint="default"/>
                            <w:spacing w:val="-1"/>
                            <w:sz w:val="21"/>
                            <w:szCs w:val="21"/>
                          </w:rPr>
                          <w:t>日本欧姆龙株式会社</w:t>
                        </w:r>
                      </w:p>
                    </w:tc>
                    <w:tc>
                      <w:tcPr>
                        <w:tcW w:w="2073" w:type="dxa"/>
                        <w:tcBorders>
                          <w:top w:val="nil" w:sz="6" w:space="0" w:color="auto"/>
                          <w:left w:val="nil" w:sz="6" w:space="0" w:color="auto"/>
                          <w:bottom w:val="nil" w:sz="6" w:space="0" w:color="auto"/>
                          <w:right w:val="nil" w:sz="6" w:space="0" w:color="auto"/>
                        </w:tcBorders>
                      </w:tcPr>
                      <w:p>
                        <w:pPr>
                          <w:pStyle w:val="TableParagraph"/>
                          <w:spacing w:line="245" w:lineRule="exact"/>
                          <w:ind w:left="391" w:right="0"/>
                          <w:jc w:val="left"/>
                          <w:rPr>
                            <w:rFonts w:ascii="宋体" w:hAnsi="宋体" w:cs="宋体" w:eastAsia="宋体" w:hint="default"/>
                            <w:sz w:val="21"/>
                            <w:szCs w:val="21"/>
                          </w:rPr>
                        </w:pPr>
                        <w:r>
                          <w:rPr>
                            <w:rFonts w:ascii="宋体" w:hAnsi="宋体" w:cs="宋体" w:eastAsia="宋体" w:hint="default"/>
                            <w:sz w:val="21"/>
                            <w:szCs w:val="21"/>
                          </w:rPr>
                          <w:t>销售软件</w:t>
                        </w:r>
                      </w:p>
                    </w:tc>
                    <w:tc>
                      <w:tcPr>
                        <w:tcW w:w="2036" w:type="dxa"/>
                        <w:tcBorders>
                          <w:top w:val="nil" w:sz="6" w:space="0" w:color="auto"/>
                          <w:left w:val="nil" w:sz="6" w:space="0" w:color="auto"/>
                          <w:bottom w:val="nil" w:sz="6" w:space="0" w:color="auto"/>
                          <w:right w:val="nil" w:sz="6" w:space="0" w:color="auto"/>
                        </w:tcBorders>
                      </w:tcPr>
                      <w:p>
                        <w:pPr>
                          <w:pStyle w:val="TableParagraph"/>
                          <w:spacing w:line="245" w:lineRule="exact"/>
                          <w:ind w:left="378" w:right="0"/>
                          <w:jc w:val="left"/>
                          <w:rPr>
                            <w:rFonts w:ascii="宋体" w:hAnsi="宋体" w:cs="宋体" w:eastAsia="宋体" w:hint="default"/>
                            <w:sz w:val="21"/>
                            <w:szCs w:val="21"/>
                          </w:rPr>
                        </w:pPr>
                        <w:r>
                          <w:rPr>
                            <w:rFonts w:ascii="宋体" w:hAnsi="宋体" w:cs="宋体" w:eastAsia="宋体" w:hint="default"/>
                            <w:sz w:val="21"/>
                            <w:szCs w:val="21"/>
                          </w:rPr>
                          <w:t>参照市场价</w:t>
                        </w:r>
                      </w:p>
                    </w:tc>
                    <w:tc>
                      <w:tcPr>
                        <w:tcW w:w="1286" w:type="dxa"/>
                        <w:tcBorders>
                          <w:top w:val="single" w:sz="4" w:space="0" w:color="000000"/>
                          <w:left w:val="nil" w:sz="6" w:space="0" w:color="auto"/>
                          <w:bottom w:val="nil" w:sz="6" w:space="0" w:color="auto"/>
                          <w:right w:val="nil" w:sz="6" w:space="0" w:color="auto"/>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622,933.85</w:t>
                        </w:r>
                      </w:p>
                    </w:tc>
                    <w:tc>
                      <w:tcPr>
                        <w:tcW w:w="235"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0.24</w:t>
                        </w:r>
                      </w:p>
                    </w:tc>
                    <w:tc>
                      <w:tcPr>
                        <w:tcW w:w="235"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35" w:lineRule="exact"/>
                          <w:ind w:left="240" w:right="0"/>
                          <w:jc w:val="left"/>
                          <w:rPr>
                            <w:rFonts w:ascii="Times New Roman" w:hAnsi="Times New Roman" w:cs="Times New Roman" w:eastAsia="Times New Roman" w:hint="default"/>
                            <w:sz w:val="21"/>
                            <w:szCs w:val="21"/>
                          </w:rPr>
                        </w:pPr>
                        <w:r>
                          <w:rPr>
                            <w:rFonts w:ascii="Times New Roman"/>
                            <w:sz w:val="21"/>
                          </w:rPr>
                          <w:t>5,576,650.92</w:t>
                        </w:r>
                      </w:p>
                    </w:tc>
                    <w:tc>
                      <w:tcPr>
                        <w:tcW w:w="283"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3.43</w:t>
                        </w:r>
                      </w:p>
                    </w:tc>
                  </w:tr>
                </w:tbl>
                <w:p>
                  <w:pPr/>
                </w:p>
              </w:txbxContent>
            </v:textbox>
            <w10:wrap type="none"/>
          </v:shape>
        </w:pict>
      </w:r>
      <w:r>
        <w:rPr>
          <w:rFonts w:ascii="宋体" w:hAnsi="宋体" w:cs="宋体" w:eastAsia="宋体" w:hint="default"/>
          <w:spacing w:val="-1"/>
          <w:sz w:val="21"/>
          <w:szCs w:val="21"/>
        </w:rPr>
        <w:t>额的比例（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p>
      <w:pPr>
        <w:spacing w:after="0"/>
        <w:jc w:val="right"/>
        <w:rPr>
          <w:rFonts w:ascii="宋体" w:hAnsi="宋体" w:cs="宋体" w:eastAsia="宋体" w:hint="default"/>
          <w:sz w:val="21"/>
          <w:szCs w:val="21"/>
        </w:rPr>
        <w:sectPr>
          <w:pgSz w:w="16840" w:h="11900" w:orient="landscape"/>
          <w:pgMar w:header="886" w:footer="975" w:top="1800" w:bottom="1160" w:left="840" w:right="1080"/>
        </w:sectPr>
      </w:pPr>
    </w:p>
    <w:p>
      <w:pPr>
        <w:spacing w:line="240" w:lineRule="auto" w:before="9"/>
        <w:rPr>
          <w:rFonts w:ascii="宋体" w:hAnsi="宋体" w:cs="宋体" w:eastAsia="宋体" w:hint="default"/>
          <w:sz w:val="17"/>
          <w:szCs w:val="17"/>
        </w:rPr>
      </w:pPr>
    </w:p>
    <w:p>
      <w:pPr>
        <w:tabs>
          <w:tab w:pos="679" w:val="left" w:leader="none"/>
        </w:tabs>
        <w:spacing w:before="41"/>
        <w:ind w:left="113" w:right="179"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7</w:t>
        <w:tab/>
      </w:r>
      <w:r>
        <w:rPr>
          <w:rFonts w:ascii="宋体" w:hAnsi="宋体" w:cs="宋体" w:eastAsia="宋体" w:hint="default"/>
          <w:b/>
          <w:bCs/>
          <w:sz w:val="21"/>
          <w:szCs w:val="21"/>
        </w:rPr>
        <w:t>关联方及关联交易（续）</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tabs>
          <w:tab w:pos="679" w:val="left" w:leader="none"/>
        </w:tabs>
        <w:spacing w:before="0"/>
        <w:ind w:left="200" w:right="17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7.4</w:t>
        <w:tab/>
      </w:r>
      <w:r>
        <w:rPr>
          <w:rFonts w:ascii="宋体" w:hAnsi="宋体" w:cs="宋体" w:eastAsia="宋体" w:hint="default"/>
          <w:sz w:val="21"/>
          <w:szCs w:val="21"/>
        </w:rPr>
        <w:t>关联交易情况（续）</w:t>
      </w:r>
    </w:p>
    <w:p>
      <w:pPr>
        <w:spacing w:line="240" w:lineRule="auto" w:before="3"/>
        <w:rPr>
          <w:rFonts w:ascii="宋体" w:hAnsi="宋体" w:cs="宋体" w:eastAsia="宋体" w:hint="default"/>
          <w:sz w:val="18"/>
          <w:szCs w:val="18"/>
        </w:rPr>
      </w:pPr>
    </w:p>
    <w:p>
      <w:pPr>
        <w:spacing w:before="0"/>
        <w:ind w:left="680" w:right="1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7.4.2  </w:t>
      </w:r>
      <w:r>
        <w:rPr>
          <w:rFonts w:ascii="宋体" w:hAnsi="宋体" w:cs="宋体" w:eastAsia="宋体" w:hint="default"/>
          <w:sz w:val="21"/>
          <w:szCs w:val="21"/>
        </w:rPr>
        <w:t>关联担保情况</w:t>
      </w:r>
    </w:p>
    <w:p>
      <w:pPr>
        <w:spacing w:line="240" w:lineRule="auto" w:before="10"/>
        <w:rPr>
          <w:rFonts w:ascii="宋体" w:hAnsi="宋体" w:cs="宋体" w:eastAsia="宋体" w:hint="default"/>
          <w:sz w:val="16"/>
          <w:szCs w:val="16"/>
        </w:rPr>
      </w:pPr>
    </w:p>
    <w:p>
      <w:pPr>
        <w:tabs>
          <w:tab w:pos="2842" w:val="left" w:leader="none"/>
          <w:tab w:pos="4735" w:val="left" w:leader="none"/>
          <w:tab w:pos="6168" w:val="left" w:leader="none"/>
          <w:tab w:pos="7697" w:val="left" w:leader="none"/>
          <w:tab w:pos="9187" w:val="left" w:leader="none"/>
        </w:tabs>
        <w:spacing w:line="346" w:lineRule="exact" w:before="0"/>
        <w:ind w:left="963" w:right="179" w:firstLine="0"/>
        <w:jc w:val="left"/>
        <w:rPr>
          <w:rFonts w:ascii="宋体" w:hAnsi="宋体" w:cs="宋体" w:eastAsia="宋体" w:hint="default"/>
          <w:sz w:val="21"/>
          <w:szCs w:val="21"/>
        </w:rPr>
      </w:pPr>
      <w:r>
        <w:rPr>
          <w:rFonts w:ascii="宋体" w:hAnsi="宋体" w:cs="宋体" w:eastAsia="宋体" w:hint="default"/>
          <w:sz w:val="21"/>
          <w:szCs w:val="21"/>
        </w:rPr>
        <w:t>担保方</w:t>
        <w:tab/>
      </w:r>
      <w:r>
        <w:rPr>
          <w:rFonts w:ascii="宋体" w:hAnsi="宋体" w:cs="宋体" w:eastAsia="宋体" w:hint="default"/>
          <w:spacing w:val="-1"/>
          <w:sz w:val="21"/>
          <w:szCs w:val="21"/>
        </w:rPr>
        <w:t>被担保方</w:t>
        <w:tab/>
        <w:t>担保金额</w:t>
        <w:tab/>
        <w:t>担保起始日</w:t>
        <w:tab/>
        <w:t>担保到期日</w:t>
        <w:tab/>
      </w:r>
      <w:r>
        <w:rPr>
          <w:rFonts w:ascii="宋体" w:hAnsi="宋体" w:cs="宋体" w:eastAsia="宋体" w:hint="default"/>
          <w:spacing w:val="-1"/>
          <w:position w:val="14"/>
          <w:sz w:val="21"/>
          <w:szCs w:val="21"/>
        </w:rPr>
        <w:t>担保是否已</w:t>
      </w:r>
      <w:r>
        <w:rPr>
          <w:rFonts w:ascii="宋体" w:hAnsi="宋体" w:cs="宋体" w:eastAsia="宋体" w:hint="default"/>
          <w:spacing w:val="-1"/>
          <w:sz w:val="21"/>
          <w:szCs w:val="21"/>
        </w:rPr>
      </w:r>
    </w:p>
    <w:p>
      <w:pPr>
        <w:spacing w:line="206" w:lineRule="exact" w:before="0"/>
        <w:ind w:left="9188" w:right="179" w:firstLine="0"/>
        <w:jc w:val="left"/>
        <w:rPr>
          <w:rFonts w:ascii="宋体" w:hAnsi="宋体" w:cs="宋体" w:eastAsia="宋体" w:hint="default"/>
          <w:sz w:val="21"/>
          <w:szCs w:val="21"/>
        </w:rPr>
      </w:pPr>
      <w:r>
        <w:rPr>
          <w:rFonts w:ascii="宋体" w:hAnsi="宋体" w:cs="宋体" w:eastAsia="宋体" w:hint="default"/>
          <w:sz w:val="21"/>
          <w:szCs w:val="21"/>
        </w:rPr>
        <w:t>经履行完毕</w:t>
      </w:r>
    </w:p>
    <w:p>
      <w:pPr>
        <w:tabs>
          <w:tab w:pos="2379" w:val="left" w:leader="none"/>
          <w:tab w:pos="4762" w:val="left" w:leader="none"/>
          <w:tab w:pos="6255" w:val="left" w:leader="none"/>
          <w:tab w:pos="7774" w:val="left" w:leader="none"/>
          <w:tab w:pos="9607" w:val="left" w:leader="none"/>
        </w:tabs>
        <w:spacing w:before="4"/>
        <w:ind w:left="680" w:right="179" w:firstLine="0"/>
        <w:jc w:val="left"/>
        <w:rPr>
          <w:rFonts w:ascii="宋体" w:hAnsi="宋体" w:cs="宋体" w:eastAsia="宋体" w:hint="default"/>
          <w:sz w:val="21"/>
          <w:szCs w:val="21"/>
        </w:rPr>
      </w:pPr>
      <w:r>
        <w:rPr/>
        <w:pict>
          <v:group style="position:absolute;margin-left:75.599998pt;margin-top:1.753655pt;width:70.8pt;height:.1pt;mso-position-horizontal-relative:page;mso-position-vertical-relative:paragraph;z-index:-547600" coordorigin="1512,35" coordsize="1416,2">
            <v:shape style="position:absolute;left:1512;top:35;width:1416;height:2" coordorigin="1512,35" coordsize="1416,0" path="m1512,35l2928,35e" filled="false" stroked="true" strokeweight=".48pt" strokecolor="#000000">
              <v:path arrowok="t"/>
            </v:shape>
            <w10:wrap type="none"/>
          </v:group>
        </w:pict>
      </w:r>
      <w:r>
        <w:rPr/>
        <w:pict>
          <v:group style="position:absolute;margin-left:160.559998pt;margin-top:1.753655pt;width:99.15pt;height:.1pt;mso-position-horizontal-relative:page;mso-position-vertical-relative:paragraph;z-index:-547576" coordorigin="3211,35" coordsize="1983,2">
            <v:shape style="position:absolute;left:3211;top:35;width:1983;height:2" coordorigin="3211,35" coordsize="1983,0" path="m3211,35l5194,35e" filled="false" stroked="true" strokeweight=".48pt" strokecolor="#000000">
              <v:path arrowok="t"/>
            </v:shape>
            <w10:wrap type="none"/>
          </v:group>
        </w:pict>
      </w:r>
      <w:r>
        <w:rPr/>
        <w:pict>
          <v:group style="position:absolute;margin-left:273.839996pt;margin-top:1.753655pt;width:62.05pt;height:.1pt;mso-position-horizontal-relative:page;mso-position-vertical-relative:paragraph;z-index:-547552" coordorigin="5477,35" coordsize="1241,2">
            <v:shape style="position:absolute;left:5477;top:35;width:1241;height:2" coordorigin="5477,35" coordsize="1241,0" path="m5477,35l6717,35e" filled="false" stroked="true" strokeweight=".48pt" strokecolor="#000000">
              <v:path arrowok="t"/>
            </v:shape>
            <w10:wrap type="none"/>
          </v:group>
        </w:pict>
      </w:r>
      <w:r>
        <w:rPr/>
        <w:pict>
          <v:group style="position:absolute;margin-left:347.640015pt;margin-top:1.753655pt;width:68.2pt;height:.1pt;mso-position-horizontal-relative:page;mso-position-vertical-relative:paragraph;z-index:-547528" coordorigin="6953,35" coordsize="1364,2">
            <v:shape style="position:absolute;left:6953;top:35;width:1364;height:2" coordorigin="6953,35" coordsize="1364,0" path="m6953,35l8316,35e" filled="false" stroked="true" strokeweight=".48pt" strokecolor="#000000">
              <v:path arrowok="t"/>
            </v:shape>
            <w10:wrap type="none"/>
          </v:group>
        </w:pict>
      </w:r>
      <w:r>
        <w:rPr/>
        <w:pict>
          <v:group style="position:absolute;margin-left:428.880005pt;margin-top:1.753655pt;width:57.6pt;height:.1pt;mso-position-horizontal-relative:page;mso-position-vertical-relative:paragraph;z-index:-547504" coordorigin="8578,35" coordsize="1152,2">
            <v:shape style="position:absolute;left:8578;top:35;width:1152;height:2" coordorigin="8578,35" coordsize="1152,0" path="m8578,35l9729,35e" filled="false" stroked="true" strokeweight=".48pt" strokecolor="#000000">
              <v:path arrowok="t"/>
            </v:shape>
            <w10:wrap type="none"/>
          </v:group>
        </w:pict>
      </w:r>
      <w:r>
        <w:rPr/>
        <w:pict>
          <v:group style="position:absolute;margin-left:500.880005pt;margin-top:1.753655pt;width:64pt;height:.1pt;mso-position-horizontal-relative:page;mso-position-vertical-relative:paragraph;z-index:-547480" coordorigin="10018,35" coordsize="1280,2">
            <v:shape style="position:absolute;left:10018;top:35;width:1280;height:2" coordorigin="10018,35" coordsize="1280,0" path="m10018,35l11297,35e" filled="false" stroked="true" strokeweight=".48pt" strokecolor="#000000">
              <v:path arrowok="t"/>
            </v:shape>
            <w10:wrap type="none"/>
          </v:group>
        </w:pict>
      </w:r>
      <w:r>
        <w:rPr>
          <w:rFonts w:ascii="宋体" w:hAnsi="宋体" w:cs="宋体" w:eastAsia="宋体" w:hint="default"/>
          <w:position w:val="-1"/>
          <w:sz w:val="21"/>
          <w:szCs w:val="21"/>
        </w:rPr>
        <w:t>包叔平</w:t>
        <w:tab/>
      </w:r>
      <w:r>
        <w:rPr>
          <w:rFonts w:ascii="宋体" w:hAnsi="宋体" w:cs="宋体" w:eastAsia="宋体" w:hint="default"/>
          <w:spacing w:val="-2"/>
          <w:position w:val="-1"/>
          <w:sz w:val="21"/>
          <w:szCs w:val="21"/>
        </w:rPr>
        <w:t>日本海隆株式会社</w:t>
        <w:tab/>
      </w:r>
      <w:r>
        <w:rPr>
          <w:rFonts w:ascii="Times New Roman" w:hAnsi="Times New Roman" w:cs="Times New Roman" w:eastAsia="Times New Roman" w:hint="default"/>
          <w:position w:val="-1"/>
          <w:sz w:val="21"/>
          <w:szCs w:val="21"/>
        </w:rPr>
        <w:t>2</w:t>
      </w:r>
      <w:r>
        <w:rPr>
          <w:rFonts w:ascii="Times New Roman" w:hAnsi="Times New Roman" w:cs="Times New Roman" w:eastAsia="Times New Roman" w:hint="default"/>
          <w:spacing w:val="3"/>
          <w:position w:val="-1"/>
          <w:sz w:val="21"/>
          <w:szCs w:val="21"/>
        </w:rPr>
        <w:t> </w:t>
      </w:r>
      <w:r>
        <w:rPr>
          <w:rFonts w:ascii="宋体" w:hAnsi="宋体" w:cs="宋体" w:eastAsia="宋体" w:hint="default"/>
          <w:spacing w:val="-1"/>
          <w:position w:val="-1"/>
          <w:sz w:val="21"/>
          <w:szCs w:val="21"/>
        </w:rPr>
        <w:t>亿日元</w:t>
        <w:tab/>
      </w:r>
      <w:r>
        <w:rPr>
          <w:rFonts w:ascii="Times New Roman" w:hAnsi="Times New Roman" w:cs="Times New Roman" w:eastAsia="Times New Roman" w:hint="default"/>
          <w:spacing w:val="-1"/>
          <w:sz w:val="21"/>
          <w:szCs w:val="21"/>
        </w:rPr>
        <w:t>2009-9-24</w:t>
        <w:tab/>
        <w:t>2014-7-31</w:t>
        <w:tab/>
      </w:r>
      <w:r>
        <w:rPr>
          <w:rFonts w:ascii="宋体" w:hAnsi="宋体" w:cs="宋体" w:eastAsia="宋体" w:hint="default"/>
          <w:position w:val="-1"/>
          <w:sz w:val="21"/>
          <w:szCs w:val="21"/>
        </w:rPr>
        <w:t>否</w:t>
      </w:r>
      <w:r>
        <w:rPr>
          <w:rFonts w:ascii="宋体" w:hAnsi="宋体" w:cs="宋体" w:eastAsia="宋体" w:hint="default"/>
          <w:sz w:val="21"/>
          <w:szCs w:val="21"/>
        </w:rPr>
      </w:r>
    </w:p>
    <w:p>
      <w:pPr>
        <w:spacing w:line="240" w:lineRule="auto" w:before="5"/>
        <w:rPr>
          <w:rFonts w:ascii="宋体" w:hAnsi="宋体" w:cs="宋体" w:eastAsia="宋体" w:hint="default"/>
          <w:sz w:val="14"/>
          <w:szCs w:val="14"/>
        </w:rPr>
      </w:pPr>
    </w:p>
    <w:p>
      <w:pPr>
        <w:spacing w:before="36"/>
        <w:ind w:left="6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7.4.3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关键管理人员薪酬</w:t>
      </w:r>
    </w:p>
    <w:p>
      <w:pPr>
        <w:spacing w:line="240" w:lineRule="auto" w:before="4"/>
        <w:rPr>
          <w:rFonts w:ascii="宋体" w:hAnsi="宋体" w:cs="宋体" w:eastAsia="宋体" w:hint="default"/>
          <w:sz w:val="20"/>
          <w:szCs w:val="20"/>
        </w:rPr>
      </w:pPr>
    </w:p>
    <w:p>
      <w:pPr>
        <w:spacing w:line="286" w:lineRule="exact" w:before="0"/>
        <w:ind w:left="680" w:right="54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年度本公司关键管理人员的报酬（包括货币和非货币形式）总额为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425.28</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425.68</w:t>
      </w:r>
      <w:r>
        <w:rPr>
          <w:rFonts w:ascii="Times New Roman" w:hAnsi="Times New Roman" w:cs="Times New Roman" w:eastAsia="Times New Roman" w:hint="default"/>
          <w:spacing w:val="-49"/>
          <w:sz w:val="21"/>
          <w:szCs w:val="21"/>
        </w:rPr>
        <w:t> </w:t>
      </w:r>
      <w:r>
        <w:rPr>
          <w:rFonts w:ascii="Times New Roman" w:hAnsi="Times New Roman" w:cs="Times New Roman" w:eastAsia="Times New Roman" w:hint="default"/>
          <w:spacing w:val="-49"/>
          <w:sz w:val="21"/>
          <w:szCs w:val="21"/>
        </w:rPr>
      </w:r>
      <w:r>
        <w:rPr>
          <w:rFonts w:ascii="宋体" w:hAnsi="宋体" w:cs="宋体" w:eastAsia="宋体" w:hint="default"/>
          <w:spacing w:val="-15"/>
          <w:w w:val="100"/>
          <w:sz w:val="21"/>
          <w:szCs w:val="21"/>
        </w:rPr>
        <w:t>万元）。</w:t>
      </w:r>
      <w:r>
        <w:rPr>
          <w:rFonts w:ascii="Times New Roman" w:hAnsi="Times New Roman" w:cs="Times New Roman" w:eastAsia="Times New Roman" w:hint="default"/>
          <w:spacing w:val="-15"/>
          <w:w w:val="100"/>
          <w:sz w:val="21"/>
          <w:szCs w:val="21"/>
        </w:rPr>
        <w:t>2010</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年度本公司关键管理人员包括董事、监事、总经理、副总经理、董事会秘书和财务经理等共</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人（</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年度为</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9"/>
          <w:w w:val="100"/>
          <w:sz w:val="21"/>
          <w:szCs w:val="21"/>
        </w:rPr>
        <w:t>人），其中在本公司领取报酬的为</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2"/>
          <w:w w:val="100"/>
          <w:sz w:val="21"/>
          <w:szCs w:val="21"/>
        </w:rPr>
        <w:t>13</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人（</w:t>
      </w:r>
      <w:r>
        <w:rPr>
          <w:rFonts w:ascii="Times New Roman" w:hAnsi="Times New Roman" w:cs="Times New Roman" w:eastAsia="Times New Roman" w:hint="default"/>
          <w:spacing w:val="-1"/>
          <w:w w:val="100"/>
          <w:sz w:val="21"/>
          <w:szCs w:val="21"/>
        </w:rPr>
        <w:t>2009</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年度为</w:t>
      </w:r>
      <w:r>
        <w:rPr>
          <w:rFonts w:ascii="宋体" w:hAnsi="宋体" w:cs="宋体" w:eastAsia="宋体" w:hint="default"/>
          <w:spacing w:val="-55"/>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36"/>
          <w:w w:val="100"/>
          <w:sz w:val="21"/>
          <w:szCs w:val="21"/>
        </w:rPr>
        <w:t>人）。</w:t>
      </w:r>
    </w:p>
    <w:p>
      <w:pPr>
        <w:spacing w:line="240" w:lineRule="auto" w:before="3"/>
        <w:rPr>
          <w:rFonts w:ascii="宋体" w:hAnsi="宋体" w:cs="宋体" w:eastAsia="宋体" w:hint="default"/>
          <w:sz w:val="17"/>
          <w:szCs w:val="17"/>
        </w:rPr>
      </w:pPr>
    </w:p>
    <w:p>
      <w:pPr>
        <w:tabs>
          <w:tab w:pos="679" w:val="left" w:leader="none"/>
        </w:tabs>
        <w:spacing w:before="0"/>
        <w:ind w:left="200" w:right="17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7.5</w:t>
        <w:tab/>
      </w:r>
      <w:r>
        <w:rPr>
          <w:rFonts w:ascii="宋体" w:hAnsi="宋体" w:cs="宋体" w:eastAsia="宋体" w:hint="default"/>
          <w:sz w:val="21"/>
          <w:szCs w:val="21"/>
        </w:rPr>
        <w:t>关联方应收应付款项</w:t>
      </w:r>
    </w:p>
    <w:p>
      <w:pPr>
        <w:spacing w:line="240" w:lineRule="auto" w:before="3"/>
        <w:rPr>
          <w:rFonts w:ascii="宋体" w:hAnsi="宋体" w:cs="宋体" w:eastAsia="宋体" w:hint="default"/>
          <w:sz w:val="18"/>
          <w:szCs w:val="18"/>
        </w:rPr>
      </w:pPr>
    </w:p>
    <w:p>
      <w:pPr>
        <w:spacing w:before="0"/>
        <w:ind w:left="6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7.5.1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应收关联方款项</w:t>
      </w:r>
    </w:p>
    <w:p>
      <w:pPr>
        <w:spacing w:line="240" w:lineRule="auto" w:before="0"/>
        <w:rPr>
          <w:rFonts w:ascii="宋体" w:hAnsi="宋体" w:cs="宋体" w:eastAsia="宋体" w:hint="default"/>
          <w:sz w:val="17"/>
          <w:szCs w:val="17"/>
        </w:rPr>
      </w:pPr>
    </w:p>
    <w:p>
      <w:pPr>
        <w:tabs>
          <w:tab w:pos="3087" w:val="left" w:leader="none"/>
          <w:tab w:pos="4680" w:val="left" w:leader="none"/>
          <w:tab w:pos="5158" w:val="left" w:leader="none"/>
          <w:tab w:pos="7375" w:val="left" w:leader="none"/>
          <w:tab w:pos="7659" w:val="left" w:leader="none"/>
          <w:tab w:pos="8141" w:val="left" w:leader="none"/>
          <w:tab w:pos="10356" w:val="left" w:leader="none"/>
        </w:tabs>
        <w:spacing w:line="349" w:lineRule="exact" w:before="0"/>
        <w:ind w:left="929" w:right="179" w:firstLine="0"/>
        <w:jc w:val="left"/>
        <w:rPr>
          <w:rFonts w:ascii="宋体" w:hAnsi="宋体" w:cs="宋体" w:eastAsia="宋体" w:hint="default"/>
          <w:sz w:val="21"/>
          <w:szCs w:val="21"/>
        </w:rPr>
      </w:pPr>
      <w:r>
        <w:rPr>
          <w:rFonts w:ascii="宋体" w:hAnsi="宋体" w:cs="宋体" w:eastAsia="宋体" w:hint="default"/>
          <w:spacing w:val="-1"/>
          <w:position w:val="-13"/>
          <w:sz w:val="21"/>
          <w:szCs w:val="21"/>
        </w:rPr>
        <w:t>项目名称</w:t>
        <w:tab/>
      </w:r>
      <w:r>
        <w:rPr>
          <w:rFonts w:ascii="宋体" w:hAnsi="宋体" w:cs="宋体" w:eastAsia="宋体" w:hint="default"/>
          <w:position w:val="-13"/>
          <w:sz w:val="21"/>
          <w:szCs w:val="21"/>
        </w:rPr>
        <w:t>关联方</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2010</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pacing w:val="-2"/>
          <w:sz w:val="21"/>
          <w:szCs w:val="21"/>
          <w:u w:val="single" w:color="000000"/>
        </w:rPr>
        <w:t>31</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2009</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z w:val="21"/>
          <w:szCs w:val="21"/>
          <w:u w:val="single" w:color="000000"/>
        </w:rPr>
        <w:t>12</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月</w:t>
      </w:r>
      <w:r>
        <w:rPr>
          <w:rFonts w:ascii="宋体" w:hAnsi="宋体" w:cs="宋体" w:eastAsia="宋体" w:hint="default"/>
          <w:spacing w:val="-51"/>
          <w:sz w:val="21"/>
          <w:szCs w:val="21"/>
          <w:u w:val="single" w:color="000000"/>
        </w:rPr>
        <w:t> </w:t>
      </w:r>
      <w:r>
        <w:rPr>
          <w:rFonts w:ascii="Times New Roman" w:hAnsi="Times New Roman" w:cs="Times New Roman" w:eastAsia="Times New Roman" w:hint="default"/>
          <w:spacing w:val="-2"/>
          <w:sz w:val="21"/>
          <w:szCs w:val="21"/>
          <w:u w:val="single" w:color="000000"/>
        </w:rPr>
        <w:t>31</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日</w:t>
        <w:tab/>
      </w:r>
      <w:r>
        <w:rPr>
          <w:rFonts w:ascii="宋体" w:hAnsi="宋体" w:cs="宋体" w:eastAsia="宋体" w:hint="default"/>
          <w:sz w:val="21"/>
          <w:szCs w:val="21"/>
        </w:rPr>
      </w:r>
    </w:p>
    <w:p>
      <w:pPr>
        <w:tabs>
          <w:tab w:pos="6387" w:val="left" w:leader="none"/>
          <w:tab w:pos="7947" w:val="left" w:leader="none"/>
          <w:tab w:pos="9439" w:val="left" w:leader="none"/>
        </w:tabs>
        <w:spacing w:line="209" w:lineRule="exact" w:before="0"/>
        <w:ind w:left="680" w:right="179" w:firstLine="4214"/>
        <w:jc w:val="left"/>
        <w:rPr>
          <w:rFonts w:ascii="宋体" w:hAnsi="宋体" w:cs="宋体" w:eastAsia="宋体" w:hint="default"/>
          <w:sz w:val="21"/>
          <w:szCs w:val="21"/>
        </w:rPr>
      </w:pPr>
      <w:r>
        <w:rPr>
          <w:rFonts w:ascii="宋体" w:hAnsi="宋体" w:cs="宋体" w:eastAsia="宋体" w:hint="default"/>
          <w:spacing w:val="-1"/>
          <w:sz w:val="21"/>
          <w:szCs w:val="21"/>
        </w:rPr>
        <w:t>账面余额</w:t>
        <w:tab/>
        <w:t>坏账准备</w:t>
        <w:tab/>
        <w:t>账面余额</w:t>
        <w:tab/>
        <w:t>坏账准备</w:t>
      </w:r>
    </w:p>
    <w:p>
      <w:pPr>
        <w:tabs>
          <w:tab w:pos="7198" w:val="left" w:leader="none"/>
          <w:tab w:pos="8129" w:val="left" w:leader="none"/>
          <w:tab w:pos="10179" w:val="left" w:leader="none"/>
        </w:tabs>
        <w:spacing w:before="8"/>
        <w:ind w:left="680" w:right="0" w:firstLine="0"/>
        <w:jc w:val="both"/>
        <w:rPr>
          <w:rFonts w:ascii="Times New Roman" w:hAnsi="Times New Roman" w:cs="Times New Roman" w:eastAsia="Times New Roman" w:hint="default"/>
          <w:sz w:val="21"/>
          <w:szCs w:val="21"/>
        </w:rPr>
      </w:pPr>
      <w:r>
        <w:rPr/>
        <w:pict>
          <v:group style="position:absolute;margin-left:75.599998pt;margin-top:1.753661pt;width:77.9pt;height:.1pt;mso-position-horizontal-relative:page;mso-position-vertical-relative:paragraph;z-index:-547456" coordorigin="1512,35" coordsize="1558,2">
            <v:shape style="position:absolute;left:1512;top:35;width:1558;height:2" coordorigin="1512,35" coordsize="1558,0" path="m1512,35l3069,35e" filled="false" stroked="true" strokeweight=".48pt" strokecolor="#000000">
              <v:path arrowok="t"/>
            </v:shape>
            <w10:wrap type="none"/>
          </v:group>
        </w:pict>
      </w:r>
      <w:r>
        <w:rPr/>
        <w:pict>
          <v:group style="position:absolute;margin-left:167.639999pt;margin-top:1.753661pt;width:99.15pt;height:.1pt;mso-position-horizontal-relative:page;mso-position-vertical-relative:paragraph;z-index:-547432" coordorigin="3353,35" coordsize="1983,2">
            <v:shape style="position:absolute;left:3353;top:35;width:1983;height:2" coordorigin="3353,35" coordsize="1983,0" path="m3353,35l5335,35e" filled="false" stroked="true" strokeweight=".48pt" strokecolor="#000000">
              <v:path arrowok="t"/>
            </v:shape>
            <w10:wrap type="none"/>
          </v:group>
        </w:pict>
      </w:r>
      <w:r>
        <w:rPr/>
        <w:pict>
          <v:group style="position:absolute;margin-left:281.040009pt;margin-top:1.753661pt;width:63.75pt;height:.1pt;mso-position-horizontal-relative:page;mso-position-vertical-relative:paragraph;z-index:-547408" coordorigin="5621,35" coordsize="1275,2">
            <v:shape style="position:absolute;left:5621;top:35;width:1275;height:2" coordorigin="5621,35" coordsize="1275,0" path="m5621,35l6895,35e" filled="false" stroked="true" strokeweight=".48pt" strokecolor="#000000">
              <v:path arrowok="t"/>
            </v:shape>
            <w10:wrap type="none"/>
          </v:group>
        </w:pict>
      </w:r>
      <w:r>
        <w:rPr/>
        <w:pict>
          <v:group style="position:absolute;margin-left:358.920013pt;margin-top:1.753661pt;width:56.9pt;height:.1pt;mso-position-horizontal-relative:page;mso-position-vertical-relative:paragraph;z-index:-547384" coordorigin="7178,35" coordsize="1138,2">
            <v:shape style="position:absolute;left:7178;top:35;width:1138;height:2" coordorigin="7178,35" coordsize="1138,0" path="m7178,35l8316,35e" filled="false" stroked="true" strokeweight=".48pt" strokecolor="#000000">
              <v:path arrowok="t"/>
            </v:shape>
            <w10:wrap type="none"/>
          </v:group>
        </w:pict>
      </w:r>
      <w:r>
        <w:rPr/>
        <w:pict>
          <v:group style="position:absolute;margin-left:429.959991pt;margin-top:1.753661pt;width:70.95pt;height:.1pt;mso-position-horizontal-relative:page;mso-position-vertical-relative:paragraph;z-index:-547360" coordorigin="8599,35" coordsize="1419,2">
            <v:shape style="position:absolute;left:8599;top:35;width:1419;height:2" coordorigin="8599,35" coordsize="1419,0" path="m8599,35l10018,35e" filled="false" stroked="true" strokeweight=".48pt" strokecolor="#000000">
              <v:path arrowok="t"/>
            </v:shape>
            <w10:wrap type="none"/>
          </v:group>
        </w:pict>
      </w:r>
      <w:r>
        <w:rPr/>
        <w:pict>
          <v:group style="position:absolute;margin-left:515.159973pt;margin-top:1.753661pt;width:49.7pt;height:.1pt;mso-position-horizontal-relative:page;mso-position-vertical-relative:paragraph;z-index:-547336" coordorigin="10303,35" coordsize="994,2">
            <v:shape style="position:absolute;left:10303;top:35;width:994;height:2" coordorigin="10303,35" coordsize="994,0" path="m10303,35l11297,35e" filled="false" stroked="true" strokeweight=".48pt" strokecolor="#000000">
              <v:path arrowok="t"/>
            </v:shape>
            <w10:wrap type="none"/>
          </v:group>
        </w:pict>
      </w:r>
      <w:r>
        <w:rPr>
          <w:rFonts w:ascii="宋体" w:hAnsi="宋体" w:cs="宋体" w:eastAsia="宋体" w:hint="default"/>
          <w:spacing w:val="-1"/>
          <w:sz w:val="21"/>
          <w:szCs w:val="21"/>
        </w:rPr>
        <w:t>应收账款</w:t>
      </w:r>
      <w:r>
        <w:rPr>
          <w:rFonts w:ascii="宋体" w:hAnsi="宋体" w:cs="宋体" w:eastAsia="宋体" w:hint="default"/>
          <w:sz w:val="21"/>
          <w:szCs w:val="21"/>
        </w:rPr>
        <w:t>         </w:t>
      </w:r>
      <w:r>
        <w:rPr>
          <w:rFonts w:ascii="宋体" w:hAnsi="宋体" w:cs="宋体" w:eastAsia="宋体" w:hint="default"/>
          <w:spacing w:val="-1"/>
          <w:sz w:val="21"/>
          <w:szCs w:val="21"/>
        </w:rPr>
        <w:t>日本欧姆龙株式会社</w:t>
      </w:r>
      <w:r>
        <w:rPr>
          <w:rFonts w:ascii="宋体" w:hAnsi="宋体" w:cs="宋体" w:eastAsia="宋体" w:hint="default"/>
          <w:sz w:val="21"/>
          <w:szCs w:val="21"/>
        </w:rPr>
        <w:t>     </w:t>
      </w:r>
      <w:r>
        <w:rPr>
          <w:rFonts w:ascii="宋体" w:hAnsi="宋体" w:cs="宋体" w:eastAsia="宋体" w:hint="default"/>
          <w:spacing w:val="37"/>
          <w:sz w:val="21"/>
          <w:szCs w:val="21"/>
        </w:rPr>
        <w:t> </w:t>
      </w:r>
      <w:r>
        <w:rPr>
          <w:rFonts w:ascii="Times New Roman" w:hAnsi="Times New Roman" w:cs="Times New Roman" w:eastAsia="Times New Roman" w:hint="default"/>
          <w:spacing w:val="-1"/>
          <w:position w:val="1"/>
          <w:sz w:val="21"/>
          <w:szCs w:val="21"/>
        </w:rPr>
        <w:t>54,386.75</w:t>
        <w:tab/>
      </w:r>
      <w:r>
        <w:rPr>
          <w:rFonts w:ascii="Times New Roman" w:hAnsi="Times New Roman" w:cs="Times New Roman" w:eastAsia="Times New Roman" w:hint="default"/>
          <w:position w:val="1"/>
          <w:sz w:val="21"/>
          <w:szCs w:val="21"/>
        </w:rPr>
        <w:t>-</w:t>
        <w:tab/>
      </w:r>
      <w:r>
        <w:rPr>
          <w:rFonts w:ascii="Times New Roman" w:hAnsi="Times New Roman" w:cs="Times New Roman" w:eastAsia="Times New Roman" w:hint="default"/>
          <w:spacing w:val="-1"/>
          <w:position w:val="1"/>
          <w:sz w:val="21"/>
          <w:szCs w:val="21"/>
        </w:rPr>
        <w:t>56,512.59</w:t>
        <w:tab/>
      </w:r>
      <w:r>
        <w:rPr>
          <w:rFonts w:ascii="Times New Roman" w:hAnsi="Times New Roman" w:cs="Times New Roman" w:eastAsia="Times New Roman" w:hint="default"/>
          <w:position w:val="1"/>
          <w:sz w:val="21"/>
          <w:szCs w:val="21"/>
        </w:rPr>
        <w:t>-</w:t>
      </w:r>
      <w:r>
        <w:rPr>
          <w:rFonts w:ascii="Times New Roman" w:hAnsi="Times New Roman" w:cs="Times New Roman" w:eastAsia="Times New Roman" w:hint="default"/>
          <w:sz w:val="21"/>
          <w:szCs w:val="21"/>
        </w:rPr>
      </w:r>
    </w:p>
    <w:p>
      <w:pPr>
        <w:spacing w:line="240" w:lineRule="auto" w:before="8"/>
        <w:rPr>
          <w:rFonts w:ascii="Times New Roman" w:hAnsi="Times New Roman" w:cs="Times New Roman" w:eastAsia="Times New Roman" w:hint="default"/>
          <w:sz w:val="16"/>
          <w:szCs w:val="16"/>
        </w:rPr>
      </w:pPr>
    </w:p>
    <w:p>
      <w:pPr>
        <w:tabs>
          <w:tab w:pos="679" w:val="left" w:leader="none"/>
        </w:tabs>
        <w:spacing w:before="41"/>
        <w:ind w:left="113" w:right="179"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8</w:t>
        <w:tab/>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680"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日，本公司未发生影响本财务报表阅读和理解的重大或有事项。</w:t>
      </w:r>
    </w:p>
    <w:p>
      <w:pPr>
        <w:spacing w:line="240" w:lineRule="auto" w:before="0"/>
        <w:rPr>
          <w:rFonts w:ascii="宋体" w:hAnsi="宋体" w:cs="宋体" w:eastAsia="宋体" w:hint="default"/>
          <w:sz w:val="17"/>
          <w:szCs w:val="17"/>
        </w:rPr>
      </w:pPr>
    </w:p>
    <w:p>
      <w:pPr>
        <w:tabs>
          <w:tab w:pos="679" w:val="left" w:leader="none"/>
        </w:tabs>
        <w:spacing w:before="0"/>
        <w:ind w:left="113" w:right="179"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9</w:t>
        <w:tab/>
      </w:r>
      <w:r>
        <w:rPr>
          <w:rFonts w:ascii="宋体" w:hAnsi="宋体" w:cs="宋体" w:eastAsia="宋体" w:hint="default"/>
          <w:b/>
          <w:bCs/>
          <w:sz w:val="21"/>
          <w:szCs w:val="21"/>
        </w:rPr>
        <w:t>承诺事项</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680"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日，本公司未发生影响本财务报表阅读和理解的重大承诺事项。</w:t>
      </w:r>
    </w:p>
    <w:p>
      <w:pPr>
        <w:spacing w:line="240" w:lineRule="auto" w:before="0"/>
        <w:rPr>
          <w:rFonts w:ascii="宋体" w:hAnsi="宋体" w:cs="宋体" w:eastAsia="宋体" w:hint="default"/>
          <w:sz w:val="17"/>
          <w:szCs w:val="17"/>
        </w:rPr>
      </w:pPr>
    </w:p>
    <w:p>
      <w:pPr>
        <w:tabs>
          <w:tab w:pos="679" w:val="left" w:leader="none"/>
        </w:tabs>
        <w:spacing w:before="0"/>
        <w:ind w:left="113" w:right="179"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10</w:t>
        <w:tab/>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282" w:lineRule="exact" w:before="0"/>
        <w:ind w:left="680" w:right="0" w:firstLine="0"/>
        <w:jc w:val="both"/>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四</w:t>
      </w:r>
      <w:r>
        <w:rPr>
          <w:rFonts w:ascii="宋体" w:hAnsi="宋体" w:cs="宋体" w:eastAsia="宋体" w:hint="default"/>
          <w:w w:val="100"/>
          <w:sz w:val="21"/>
          <w:szCs w:val="21"/>
        </w:rPr>
        <w:t>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第六</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议关</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利润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及</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转</w:t>
      </w:r>
      <w:r>
        <w:rPr>
          <w:rFonts w:ascii="宋体" w:hAnsi="宋体" w:cs="宋体" w:eastAsia="宋体" w:hint="default"/>
          <w:spacing w:val="-3"/>
          <w:w w:val="100"/>
          <w:sz w:val="21"/>
          <w:szCs w:val="21"/>
        </w:rPr>
        <w:t>增</w:t>
      </w:r>
      <w:r>
        <w:rPr>
          <w:rFonts w:ascii="宋体" w:hAnsi="宋体" w:cs="宋体" w:eastAsia="宋体" w:hint="default"/>
          <w:w w:val="100"/>
          <w:sz w:val="21"/>
          <w:szCs w:val="21"/>
        </w:rPr>
        <w:t>股本</w:t>
      </w:r>
      <w:r>
        <w:rPr>
          <w:rFonts w:ascii="宋体" w:hAnsi="宋体" w:cs="宋体" w:eastAsia="宋体" w:hint="default"/>
          <w:spacing w:val="-3"/>
          <w:w w:val="100"/>
          <w:sz w:val="21"/>
          <w:szCs w:val="21"/>
        </w:rPr>
        <w:t>的</w:t>
      </w:r>
      <w:r>
        <w:rPr>
          <w:rFonts w:ascii="宋体" w:hAnsi="宋体" w:cs="宋体" w:eastAsia="宋体" w:hint="default"/>
          <w:w w:val="100"/>
          <w:sz w:val="21"/>
          <w:szCs w:val="21"/>
        </w:rPr>
        <w:t>预</w:t>
      </w:r>
      <w:r>
        <w:rPr>
          <w:rFonts w:ascii="宋体" w:hAnsi="宋体" w:cs="宋体" w:eastAsia="宋体" w:hint="default"/>
          <w:spacing w:val="-3"/>
          <w:w w:val="100"/>
          <w:sz w:val="21"/>
          <w:szCs w:val="21"/>
        </w:rPr>
        <w:t>案</w:t>
      </w:r>
      <w:r>
        <w:rPr>
          <w:rFonts w:ascii="宋体" w:hAnsi="宋体" w:cs="宋体" w:eastAsia="宋体" w:hint="default"/>
          <w:spacing w:val="-96"/>
          <w:w w:val="100"/>
          <w:sz w:val="21"/>
          <w:szCs w:val="21"/>
        </w:rPr>
        <w:t>，</w:t>
      </w:r>
      <w:r>
        <w:rPr>
          <w:rFonts w:ascii="宋体" w:hAnsi="宋体" w:cs="宋体" w:eastAsia="宋体" w:hint="default"/>
          <w:w w:val="100"/>
          <w:sz w:val="21"/>
          <w:szCs w:val="21"/>
        </w:rPr>
        <w:t>以</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年末</w:t>
      </w:r>
      <w:r>
        <w:rPr>
          <w:rFonts w:ascii="宋体" w:hAnsi="宋体" w:cs="宋体" w:eastAsia="宋体" w:hint="default"/>
          <w:w w:val="100"/>
          <w:sz w:val="21"/>
          <w:szCs w:val="21"/>
        </w:rPr>
        <w:t>总</w:t>
      </w:r>
    </w:p>
    <w:p>
      <w:pPr>
        <w:spacing w:line="272" w:lineRule="exact" w:before="19"/>
        <w:ind w:left="680" w:right="179" w:firstLine="0"/>
        <w:jc w:val="left"/>
        <w:rPr>
          <w:rFonts w:ascii="宋体" w:hAnsi="宋体" w:cs="宋体" w:eastAsia="宋体" w:hint="default"/>
          <w:sz w:val="21"/>
          <w:szCs w:val="21"/>
        </w:rPr>
      </w:pPr>
      <w:r>
        <w:rPr>
          <w:rFonts w:ascii="宋体" w:hAnsi="宋体" w:cs="宋体" w:eastAsia="宋体" w:hint="default"/>
          <w:w w:val="100"/>
          <w:sz w:val="21"/>
          <w:szCs w:val="21"/>
        </w:rPr>
        <w:t>股本</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7,462 </w:t>
      </w:r>
      <w:r>
        <w:rPr>
          <w:rFonts w:ascii="宋体" w:hAnsi="宋体" w:cs="宋体" w:eastAsia="宋体" w:hint="default"/>
          <w:spacing w:val="-7"/>
          <w:w w:val="100"/>
          <w:sz w:val="21"/>
          <w:szCs w:val="21"/>
        </w:rPr>
        <w:t>万股为基数，以资本公积向全体股东每</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2"/>
          <w:w w:val="100"/>
          <w:sz w:val="21"/>
          <w:szCs w:val="21"/>
        </w:rPr>
        <w:t>10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
          <w:w w:val="100"/>
          <w:sz w:val="21"/>
          <w:szCs w:val="21"/>
        </w:rPr>
        <w:t>股转增</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8"/>
          <w:w w:val="100"/>
          <w:sz w:val="21"/>
          <w:szCs w:val="21"/>
        </w:rPr>
        <w:t>股，同时每</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股派发现金红利</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33"/>
          <w:w w:val="100"/>
          <w:sz w:val="21"/>
          <w:szCs w:val="21"/>
        </w:rPr>
        <w:t>元（含税），</w:t>
      </w:r>
      <w:r>
        <w:rPr>
          <w:rFonts w:ascii="宋体" w:hAnsi="宋体" w:cs="宋体" w:eastAsia="宋体" w:hint="default"/>
          <w:w w:val="100"/>
          <w:sz w:val="21"/>
          <w:szCs w:val="21"/>
        </w:rPr>
        <w:t> </w:t>
      </w:r>
      <w:r>
        <w:rPr>
          <w:rFonts w:ascii="宋体" w:hAnsi="宋体" w:cs="宋体" w:eastAsia="宋体" w:hint="default"/>
          <w:sz w:val="21"/>
          <w:szCs w:val="21"/>
        </w:rPr>
        <w:t>剩余可分配利润转入以后年度分配，该利润分配预案尚需股东大会批准后实施。</w:t>
      </w:r>
    </w:p>
    <w:p>
      <w:pPr>
        <w:spacing w:line="240" w:lineRule="auto" w:before="4"/>
        <w:rPr>
          <w:rFonts w:ascii="宋体" w:hAnsi="宋体" w:cs="宋体" w:eastAsia="宋体" w:hint="default"/>
          <w:sz w:val="18"/>
          <w:szCs w:val="18"/>
        </w:rPr>
      </w:pPr>
    </w:p>
    <w:p>
      <w:pPr>
        <w:spacing w:line="274" w:lineRule="exact" w:before="0"/>
        <w:ind w:left="680" w:right="179"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日，除以上事项外本公司未发生影响本财务报表阅读和理解的重大资产负债表日后事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w:t>
      </w:r>
    </w:p>
    <w:p>
      <w:pPr>
        <w:spacing w:line="240" w:lineRule="auto" w:before="4"/>
        <w:rPr>
          <w:rFonts w:ascii="宋体" w:hAnsi="宋体" w:cs="宋体" w:eastAsia="宋体" w:hint="default"/>
          <w:sz w:val="16"/>
          <w:szCs w:val="16"/>
        </w:rPr>
      </w:pPr>
    </w:p>
    <w:p>
      <w:pPr>
        <w:tabs>
          <w:tab w:pos="679" w:val="left" w:leader="none"/>
        </w:tabs>
        <w:spacing w:before="0"/>
        <w:ind w:left="113" w:right="179" w:firstLine="0"/>
        <w:jc w:val="left"/>
        <w:rPr>
          <w:rFonts w:ascii="宋体" w:hAnsi="宋体" w:cs="宋体" w:eastAsia="宋体" w:hint="default"/>
          <w:sz w:val="21"/>
          <w:szCs w:val="21"/>
        </w:rPr>
      </w:pPr>
      <w:r>
        <w:rPr>
          <w:rFonts w:ascii="Times New Roman" w:hAnsi="Times New Roman" w:cs="Times New Roman" w:eastAsia="Times New Roman" w:hint="default"/>
          <w:b/>
          <w:bCs/>
          <w:spacing w:val="-6"/>
          <w:position w:val="2"/>
          <w:sz w:val="21"/>
          <w:szCs w:val="21"/>
        </w:rPr>
        <w:t>11</w:t>
        <w:tab/>
      </w:r>
      <w:r>
        <w:rPr>
          <w:rFonts w:ascii="宋体" w:hAnsi="宋体" w:cs="宋体" w:eastAsia="宋体" w:hint="default"/>
          <w:b/>
          <w:bCs/>
          <w:sz w:val="21"/>
          <w:szCs w:val="21"/>
        </w:rPr>
        <w:t>其他重要事项</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line="281" w:lineRule="exact" w:before="0"/>
        <w:ind w:left="680" w:right="0" w:firstLine="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日，本公司和上海普天科创电子有限公司签订购房意向书，本公司拟购买对方开发的位</w:t>
      </w:r>
    </w:p>
    <w:p>
      <w:pPr>
        <w:spacing w:line="272" w:lineRule="exact" w:before="0"/>
        <w:ind w:left="680" w:right="0" w:firstLine="0"/>
        <w:jc w:val="both"/>
        <w:rPr>
          <w:rFonts w:ascii="宋体" w:hAnsi="宋体" w:cs="宋体" w:eastAsia="宋体" w:hint="default"/>
          <w:sz w:val="21"/>
          <w:szCs w:val="21"/>
        </w:rPr>
      </w:pPr>
      <w:r>
        <w:rPr>
          <w:rFonts w:ascii="宋体" w:hAnsi="宋体" w:cs="宋体" w:eastAsia="宋体" w:hint="default"/>
          <w:sz w:val="21"/>
          <w:szCs w:val="21"/>
        </w:rPr>
        <w:t>于宜山路</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号“普天信息产业园”一期工程中的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号楼</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8-13</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层房屋，暂定购买款为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10,897.11</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万元，本</w:t>
      </w:r>
    </w:p>
    <w:p>
      <w:pPr>
        <w:spacing w:line="230" w:lineRule="auto" w:before="1"/>
        <w:ind w:left="680" w:right="548" w:firstLine="0"/>
        <w:jc w:val="both"/>
        <w:rPr>
          <w:rFonts w:ascii="宋体" w:hAnsi="宋体" w:cs="宋体" w:eastAsia="宋体" w:hint="default"/>
          <w:sz w:val="21"/>
          <w:szCs w:val="21"/>
        </w:rPr>
      </w:pPr>
      <w:r>
        <w:rPr>
          <w:rFonts w:ascii="宋体" w:hAnsi="宋体" w:cs="宋体" w:eastAsia="宋体" w:hint="default"/>
          <w:sz w:val="21"/>
          <w:szCs w:val="21"/>
        </w:rPr>
        <w:t>公司已于</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月入驻。截止</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日，因对方原因双方未能签订正式购房协议并办理产权</w:t>
      </w:r>
      <w:r>
        <w:rPr>
          <w:rFonts w:ascii="宋体" w:hAnsi="宋体" w:cs="宋体" w:eastAsia="宋体" w:hint="default"/>
          <w:w w:val="100"/>
          <w:sz w:val="21"/>
          <w:szCs w:val="21"/>
        </w:rPr>
        <w:t> </w:t>
      </w:r>
      <w:r>
        <w:rPr>
          <w:rFonts w:ascii="宋体" w:hAnsi="宋体" w:cs="宋体" w:eastAsia="宋体" w:hint="default"/>
          <w:spacing w:val="-4"/>
          <w:sz w:val="21"/>
          <w:szCs w:val="21"/>
        </w:rPr>
        <w:t>过户，目前仍在协商之中。考虑到本公司本年已使用上述房屋，并预计最终能与上海普天科创电子有限公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司达成协议并取得房产，故本年根据购房意向金额和使用期间预提了折旧费用。</w:t>
      </w:r>
    </w:p>
    <w:p>
      <w:pPr>
        <w:spacing w:line="240" w:lineRule="auto" w:before="4"/>
        <w:rPr>
          <w:rFonts w:ascii="宋体" w:hAnsi="宋体" w:cs="宋体" w:eastAsia="宋体" w:hint="default"/>
          <w:sz w:val="18"/>
          <w:szCs w:val="18"/>
        </w:rPr>
      </w:pPr>
    </w:p>
    <w:p>
      <w:pPr>
        <w:spacing w:before="0"/>
        <w:ind w:left="680" w:right="0" w:firstLine="0"/>
        <w:jc w:val="both"/>
        <w:rPr>
          <w:rFonts w:ascii="宋体" w:hAnsi="宋体" w:cs="宋体" w:eastAsia="宋体" w:hint="default"/>
          <w:sz w:val="21"/>
          <w:szCs w:val="21"/>
        </w:rPr>
      </w:pPr>
      <w:r>
        <w:rPr>
          <w:rFonts w:ascii="宋体" w:hAnsi="宋体" w:cs="宋体" w:eastAsia="宋体" w:hint="default"/>
          <w:sz w:val="21"/>
          <w:szCs w:val="21"/>
        </w:rPr>
        <w:t>除上述事项外本公司在本报告期内未发生其他影响本财务报表阅读和理解的重要事项。</w:t>
      </w:r>
    </w:p>
    <w:p>
      <w:pPr>
        <w:spacing w:after="0"/>
        <w:jc w:val="both"/>
        <w:rPr>
          <w:rFonts w:ascii="宋体" w:hAnsi="宋体" w:cs="宋体" w:eastAsia="宋体" w:hint="default"/>
          <w:sz w:val="21"/>
          <w:szCs w:val="21"/>
        </w:rPr>
        <w:sectPr>
          <w:headerReference w:type="default" r:id="rId39"/>
          <w:footerReference w:type="default" r:id="rId40"/>
          <w:pgSz w:w="11900" w:h="16840"/>
          <w:pgMar w:header="886" w:footer="983" w:top="1740" w:bottom="1180" w:left="940" w:right="160"/>
          <w:pgNumType w:start="123"/>
        </w:sectPr>
      </w:pPr>
    </w:p>
    <w:p>
      <w:pPr>
        <w:spacing w:line="240" w:lineRule="auto" w:before="10"/>
        <w:rPr>
          <w:rFonts w:ascii="宋体" w:hAnsi="宋体" w:cs="宋体" w:eastAsia="宋体" w:hint="default"/>
          <w:sz w:val="12"/>
          <w:szCs w:val="12"/>
        </w:rPr>
      </w:pPr>
    </w:p>
    <w:p>
      <w:pPr>
        <w:tabs>
          <w:tab w:pos="679" w:val="left" w:leader="none"/>
        </w:tabs>
        <w:spacing w:before="41"/>
        <w:ind w:left="113" w:right="179"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12</w:t>
        <w:tab/>
      </w:r>
      <w:r>
        <w:rPr>
          <w:rFonts w:ascii="宋体" w:hAnsi="宋体" w:cs="宋体" w:eastAsia="宋体" w:hint="default"/>
          <w:b/>
          <w:bCs/>
          <w:sz w:val="21"/>
          <w:szCs w:val="21"/>
        </w:rPr>
        <w:t>公司财务报表主要项目注释</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209" w:right="1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w:t>
      </w:r>
      <w:r>
        <w:rPr>
          <w:rFonts w:ascii="Times New Roman" w:hAnsi="Times New Roman" w:cs="Times New Roman" w:eastAsia="Times New Roman" w:hint="default"/>
          <w:spacing w:val="51"/>
          <w:sz w:val="21"/>
          <w:szCs w:val="21"/>
        </w:rPr>
        <w:t> </w:t>
      </w:r>
      <w:r>
        <w:rPr>
          <w:rFonts w:ascii="宋体" w:hAnsi="宋体" w:cs="宋体" w:eastAsia="宋体" w:hint="default"/>
          <w:position w:val="-1"/>
          <w:sz w:val="21"/>
          <w:szCs w:val="21"/>
        </w:rPr>
        <w:t>应收账款</w:t>
      </w:r>
      <w:r>
        <w:rPr>
          <w:rFonts w:ascii="宋体" w:hAnsi="宋体" w:cs="宋体" w:eastAsia="宋体" w:hint="default"/>
          <w:sz w:val="21"/>
          <w:szCs w:val="21"/>
        </w:rPr>
      </w:r>
    </w:p>
    <w:p>
      <w:pPr>
        <w:spacing w:line="240" w:lineRule="auto" w:before="5"/>
        <w:rPr>
          <w:rFonts w:ascii="宋体" w:hAnsi="宋体" w:cs="宋体" w:eastAsia="宋体" w:hint="default"/>
          <w:sz w:val="18"/>
          <w:szCs w:val="18"/>
        </w:rPr>
      </w:pPr>
    </w:p>
    <w:p>
      <w:pPr>
        <w:spacing w:before="0"/>
        <w:ind w:left="680" w:right="1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应收账款按种类分析如下：</w:t>
      </w:r>
    </w:p>
    <w:p>
      <w:pPr>
        <w:spacing w:line="240" w:lineRule="auto" w:before="6"/>
        <w:rPr>
          <w:rFonts w:ascii="宋体" w:hAnsi="宋体" w:cs="宋体" w:eastAsia="宋体" w:hint="default"/>
          <w:sz w:val="15"/>
          <w:szCs w:val="15"/>
        </w:rPr>
      </w:pPr>
    </w:p>
    <w:p>
      <w:pPr>
        <w:tabs>
          <w:tab w:pos="7889" w:val="left" w:leader="none"/>
        </w:tabs>
        <w:spacing w:before="54"/>
        <w:ind w:left="3977" w:right="179"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240" w:lineRule="auto" w:before="9"/>
        <w:rPr>
          <w:rFonts w:ascii="宋体" w:hAnsi="宋体" w:cs="宋体" w:eastAsia="宋体" w:hint="default"/>
          <w:sz w:val="2"/>
          <w:szCs w:val="2"/>
        </w:rPr>
      </w:pPr>
    </w:p>
    <w:p>
      <w:pPr>
        <w:tabs>
          <w:tab w:pos="6660" w:val="left" w:leader="none"/>
        </w:tabs>
        <w:spacing w:line="20" w:lineRule="exact"/>
        <w:ind w:left="2806" w:right="0" w:firstLine="0"/>
        <w:rPr>
          <w:rFonts w:ascii="宋体" w:hAnsi="宋体" w:cs="宋体" w:eastAsia="宋体" w:hint="default"/>
          <w:sz w:val="2"/>
          <w:szCs w:val="2"/>
        </w:rPr>
      </w:pPr>
      <w:r>
        <w:rPr>
          <w:rFonts w:ascii="宋体"/>
          <w:sz w:val="2"/>
        </w:rPr>
        <w:pict>
          <v:group style="width:179.3pt;height:1pt;mso-position-horizontal-relative:char;mso-position-vertical-relative:line" coordorigin="0,0" coordsize="3586,20">
            <v:group style="position:absolute;left:10;top:10;width:1865;height:2" coordorigin="10,10" coordsize="1865,2">
              <v:shape style="position:absolute;left:10;top:10;width:1865;height:2" coordorigin="10,10" coordsize="1865,0" path="m10,10l1874,10e" filled="false" stroked="true" strokeweight=".96pt" strokecolor="#000000">
                <v:path arrowok="t"/>
              </v:shape>
            </v:group>
            <v:group style="position:absolute;left:1874;top:10;width:19;height:2" coordorigin="1874,10" coordsize="19,2">
              <v:shape style="position:absolute;left:1874;top:10;width:19;height:2" coordorigin="1874,10" coordsize="19,0" path="m1874,10l1893,10e" filled="false" stroked="true" strokeweight=".96pt" strokecolor="#000000">
                <v:path arrowok="t"/>
              </v:shape>
            </v:group>
            <v:group style="position:absolute;left:1894;top:10;width:262;height:2" coordorigin="1894,10" coordsize="262,2">
              <v:shape style="position:absolute;left:1894;top:10;width:262;height:2" coordorigin="1894,10" coordsize="262,0" path="m1894,10l2155,10e" filled="false" stroked="true" strokeweight=".96pt" strokecolor="#000000">
                <v:path arrowok="t"/>
              </v:shape>
            </v:group>
            <v:group style="position:absolute;left:2155;top:10;width:20;height:2" coordorigin="2155,10" coordsize="20,2">
              <v:shape style="position:absolute;left:2155;top:10;width:20;height:2" coordorigin="2155,10" coordsize="20,0" path="m2155,10l2174,10e" filled="false" stroked="true" strokeweight=".96pt" strokecolor="#000000">
                <v:path arrowok="t"/>
              </v:shape>
            </v:group>
            <v:group style="position:absolute;left:2174;top:10;width:1402;height:2" coordorigin="2174,10" coordsize="1402,2">
              <v:shape style="position:absolute;left:2174;top:10;width:1402;height:2" coordorigin="2174,10" coordsize="1402,0" path="m2174,10l3576,10e" filled="false" stroked="true" strokeweight=".96pt" strokecolor="#000000">
                <v:path arrowok="t"/>
              </v:shape>
            </v:group>
          </v:group>
        </w:pict>
      </w:r>
      <w:r>
        <w:rPr>
          <w:rFonts w:ascii="宋体"/>
          <w:sz w:val="2"/>
        </w:rPr>
      </w:r>
      <w:r>
        <w:rPr>
          <w:rFonts w:ascii="宋体"/>
          <w:sz w:val="2"/>
        </w:rPr>
        <w:tab/>
      </w:r>
      <w:r>
        <w:rPr>
          <w:rFonts w:ascii="宋体"/>
          <w:position w:val="1"/>
          <w:sz w:val="2"/>
        </w:rPr>
        <w:pict>
          <v:group style="width:185.05pt;height:.5pt;mso-position-horizontal-relative:char;mso-position-vertical-relative:line" coordorigin="0,0" coordsize="3701,10">
            <v:group style="position:absolute;left:5;top:5;width:1844;height:2" coordorigin="5,5" coordsize="1844,2">
              <v:shape style="position:absolute;left:5;top:5;width:1844;height:2" coordorigin="5,5" coordsize="1844,0" path="m5,5l1848,5e" filled="false" stroked="true" strokeweight=".48pt" strokecolor="#000000">
                <v:path arrowok="t"/>
              </v:shape>
            </v:group>
            <v:group style="position:absolute;left:1848;top:5;width:10;height:2" coordorigin="1848,5" coordsize="10,2">
              <v:shape style="position:absolute;left:1848;top:5;width:10;height:2" coordorigin="1848,5" coordsize="10,0" path="m1848,5l1858,5e" filled="false" stroked="true" strokeweight=".48pt" strokecolor="#000000">
                <v:path arrowok="t"/>
              </v:shape>
            </v:group>
            <v:group style="position:absolute;left:1858;top:5;width:271;height:2" coordorigin="1858,5" coordsize="271,2">
              <v:shape style="position:absolute;left:1858;top:5;width:271;height:2" coordorigin="1858,5" coordsize="271,0" path="m1858,5l2129,5e" filled="false" stroked="true" strokeweight=".48pt" strokecolor="#000000">
                <v:path arrowok="t"/>
              </v:shape>
            </v:group>
            <v:group style="position:absolute;left:2129;top:5;width:10;height:2" coordorigin="2129,5" coordsize="10,2">
              <v:shape style="position:absolute;left:2129;top:5;width:10;height:2" coordorigin="2129,5" coordsize="10,0" path="m2129,5l2138,5e" filled="false" stroked="true" strokeweight=".48pt" strokecolor="#000000">
                <v:path arrowok="t"/>
              </v:shape>
            </v:group>
            <v:group style="position:absolute;left:2138;top:5;width:1558;height:2" coordorigin="2138,5" coordsize="1558,2">
              <v:shape style="position:absolute;left:2138;top:5;width:1558;height:2" coordorigin="2138,5" coordsize="1558,0" path="m2138,5l3696,5e" filled="false" stroked="true" strokeweight=".48pt" strokecolor="#000000">
                <v:path arrowok="t"/>
              </v:shape>
            </v:group>
          </v:group>
        </w:pict>
      </w:r>
      <w:r>
        <w:rPr>
          <w:rFonts w:ascii="宋体"/>
          <w:position w:val="1"/>
          <w:sz w:val="2"/>
        </w:rPr>
      </w:r>
    </w:p>
    <w:p>
      <w:pPr>
        <w:tabs>
          <w:tab w:pos="5369" w:val="left" w:leader="none"/>
          <w:tab w:pos="7284" w:val="left" w:leader="none"/>
          <w:tab w:pos="9271" w:val="left" w:leader="none"/>
        </w:tabs>
        <w:spacing w:line="212" w:lineRule="exact" w:before="0"/>
        <w:ind w:left="3447" w:right="179" w:firstLine="0"/>
        <w:jc w:val="left"/>
        <w:rPr>
          <w:rFonts w:ascii="宋体" w:hAnsi="宋体" w:cs="宋体" w:eastAsia="宋体" w:hint="default"/>
          <w:sz w:val="15"/>
          <w:szCs w:val="15"/>
        </w:rPr>
      </w:pP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tab/>
      </w: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r>
    </w:p>
    <w:p>
      <w:pPr>
        <w:spacing w:line="70" w:lineRule="exact" w:before="0"/>
        <w:ind w:left="1332" w:right="179" w:firstLine="0"/>
        <w:jc w:val="left"/>
        <w:rPr>
          <w:rFonts w:ascii="宋体" w:hAnsi="宋体" w:cs="宋体" w:eastAsia="宋体" w:hint="default"/>
          <w:sz w:val="15"/>
          <w:szCs w:val="15"/>
        </w:rPr>
      </w:pPr>
      <w:r>
        <w:rPr/>
        <w:pict>
          <v:group style="position:absolute;margin-left:187.320007pt;margin-top:1.472538pt;width:179.3pt;height:1pt;mso-position-horizontal-relative:page;mso-position-vertical-relative:paragraph;z-index:8800" coordorigin="3746,29" coordsize="3586,20">
            <v:group style="position:absolute;left:3756;top:39;width:1013;height:2" coordorigin="3756,39" coordsize="1013,2">
              <v:shape style="position:absolute;left:3756;top:39;width:1013;height:2" coordorigin="3756,39" coordsize="1013,0" path="m3756,39l4769,39e" filled="false" stroked="true" strokeweight=".96pt" strokecolor="#000000">
                <v:path arrowok="t"/>
              </v:shape>
            </v:group>
            <v:group style="position:absolute;left:4769;top:39;width:20;height:2" coordorigin="4769,39" coordsize="20,2">
              <v:shape style="position:absolute;left:4769;top:39;width:20;height:2" coordorigin="4769,39" coordsize="20,0" path="m4769,39l4788,39e" filled="false" stroked="true" strokeweight=".96pt" strokecolor="#000000">
                <v:path arrowok="t"/>
              </v:shape>
            </v:group>
            <v:group style="position:absolute;left:4788;top:39;width:264;height:2" coordorigin="4788,39" coordsize="264,2">
              <v:shape style="position:absolute;left:4788;top:39;width:264;height:2" coordorigin="4788,39" coordsize="264,0" path="m4788,39l5052,39e" filled="false" stroked="true" strokeweight=".96pt" strokecolor="#000000">
                <v:path arrowok="t"/>
              </v:shape>
            </v:group>
            <v:group style="position:absolute;left:5052;top:39;width:20;height:2" coordorigin="5052,39" coordsize="20,2">
              <v:shape style="position:absolute;left:5052;top:39;width:20;height:2" coordorigin="5052,39" coordsize="20,0" path="m5052,39l5071,39e" filled="false" stroked="true" strokeweight=".96pt" strokecolor="#000000">
                <v:path arrowok="t"/>
              </v:shape>
            </v:group>
            <v:group style="position:absolute;left:5071;top:39;width:550;height:2" coordorigin="5071,39" coordsize="550,2">
              <v:shape style="position:absolute;left:5071;top:39;width:550;height:2" coordorigin="5071,39" coordsize="550,0" path="m5071,39l5621,39e" filled="false" stroked="true" strokeweight=".96pt" strokecolor="#000000">
                <v:path arrowok="t"/>
              </v:shape>
            </v:group>
            <v:group style="position:absolute;left:5621;top:34;width:281;height:2" coordorigin="5621,34" coordsize="281,2">
              <v:shape style="position:absolute;left:5621;top:34;width:281;height:2" coordorigin="5621,34" coordsize="281,0" path="m5621,34l5901,34e" filled="false" stroked="true" strokeweight=".48pt" strokecolor="#000000">
                <v:path arrowok="t"/>
              </v:shape>
            </v:group>
            <v:group style="position:absolute;left:5902;top:39;width:569;height:2" coordorigin="5902,39" coordsize="569,2">
              <v:shape style="position:absolute;left:5902;top:39;width:569;height:2" coordorigin="5902,39" coordsize="569,0" path="m5902,39l6470,39e" filled="false" stroked="true" strokeweight=".96pt" strokecolor="#000000">
                <v:path arrowok="t"/>
              </v:shape>
            </v:group>
            <v:group style="position:absolute;left:6470;top:39;width:19;height:2" coordorigin="6470,39" coordsize="19,2">
              <v:shape style="position:absolute;left:6470;top:39;width:19;height:2" coordorigin="6470,39" coordsize="19,0" path="m6470,39l6489,39e" filled="false" stroked="true" strokeweight=".96pt" strokecolor="#000000">
                <v:path arrowok="t"/>
              </v:shape>
            </v:group>
            <v:group style="position:absolute;left:6490;top:39;width:264;height:2" coordorigin="6490,39" coordsize="264,2">
              <v:shape style="position:absolute;left:6490;top:39;width:264;height:2" coordorigin="6490,39" coordsize="264,0" path="m6490,39l6754,39e" filled="false" stroked="true" strokeweight=".96pt" strokecolor="#000000">
                <v:path arrowok="t"/>
              </v:shape>
            </v:group>
            <v:group style="position:absolute;left:6754;top:39;width:19;height:2" coordorigin="6754,39" coordsize="19,2">
              <v:shape style="position:absolute;left:6754;top:39;width:19;height:2" coordorigin="6754,39" coordsize="19,0" path="m6754,39l6773,39e" filled="false" stroked="true" strokeweight=".96pt" strokecolor="#000000">
                <v:path arrowok="t"/>
              </v:shape>
            </v:group>
            <v:group style="position:absolute;left:6773;top:39;width:550;height:2" coordorigin="6773,39" coordsize="550,2">
              <v:shape style="position:absolute;left:6773;top:39;width:550;height:2" coordorigin="6773,39" coordsize="550,0" path="m6773,39l7322,39e" filled="false" stroked="true" strokeweight=".96pt" strokecolor="#000000">
                <v:path arrowok="t"/>
              </v:shape>
            </v:group>
            <w10:wrap type="none"/>
          </v:group>
        </w:pict>
      </w:r>
      <w:r>
        <w:rPr/>
        <w:pict>
          <v:group style="position:absolute;margin-left:379.799988pt;margin-top:1.472538pt;width:185.55pt;height:1pt;mso-position-horizontal-relative:page;mso-position-vertical-relative:paragraph;z-index:8824" coordorigin="7596,29" coordsize="3711,20">
            <v:group style="position:absolute;left:7606;top:39;width:992;height:2" coordorigin="7606,39" coordsize="992,2">
              <v:shape style="position:absolute;left:7606;top:39;width:992;height:2" coordorigin="7606,39" coordsize="992,0" path="m7606,39l8597,39e" filled="false" stroked="true" strokeweight=".96pt" strokecolor="#000000">
                <v:path arrowok="t"/>
              </v:shape>
            </v:group>
            <v:group style="position:absolute;left:8597;top:39;width:19;height:2" coordorigin="8597,39" coordsize="19,2">
              <v:shape style="position:absolute;left:8597;top:39;width:19;height:2" coordorigin="8597,39" coordsize="19,0" path="m8597,39l8616,39e" filled="false" stroked="true" strokeweight=".96pt" strokecolor="#000000">
                <v:path arrowok="t"/>
              </v:shape>
            </v:group>
            <v:group style="position:absolute;left:8616;top:39;width:264;height:2" coordorigin="8616,39" coordsize="264,2">
              <v:shape style="position:absolute;left:8616;top:39;width:264;height:2" coordorigin="8616,39" coordsize="264,0" path="m8616,39l8880,39e" filled="false" stroked="true" strokeweight=".96pt" strokecolor="#000000">
                <v:path arrowok="t"/>
              </v:shape>
            </v:group>
            <v:group style="position:absolute;left:8880;top:39;width:20;height:2" coordorigin="8880,39" coordsize="20,2">
              <v:shape style="position:absolute;left:8880;top:39;width:20;height:2" coordorigin="8880,39" coordsize="20,0" path="m8880,39l8899,39e" filled="false" stroked="true" strokeweight=".96pt" strokecolor="#000000">
                <v:path arrowok="t"/>
              </v:shape>
            </v:group>
            <v:group style="position:absolute;left:8899;top:39;width:550;height:2" coordorigin="8899,39" coordsize="550,2">
              <v:shape style="position:absolute;left:8899;top:39;width:550;height:2" coordorigin="8899,39" coordsize="550,0" path="m8899,39l9449,39e" filled="false" stroked="true" strokeweight=".96pt" strokecolor="#000000">
                <v:path arrowok="t"/>
              </v:shape>
            </v:group>
            <v:group style="position:absolute;left:9449;top:34;width:281;height:2" coordorigin="9449,34" coordsize="281,2">
              <v:shape style="position:absolute;left:9449;top:34;width:281;height:2" coordorigin="9449,34" coordsize="281,0" path="m9449,34l9729,34e" filled="false" stroked="true" strokeweight=".48pt" strokecolor="#000000">
                <v:path arrowok="t"/>
              </v:shape>
            </v:group>
            <v:group style="position:absolute;left:9730;top:39;width:569;height:2" coordorigin="9730,39" coordsize="569,2">
              <v:shape style="position:absolute;left:9730;top:39;width:569;height:2" coordorigin="9730,39" coordsize="569,0" path="m9730,39l10298,39e" filled="false" stroked="true" strokeweight=".96pt" strokecolor="#000000">
                <v:path arrowok="t"/>
              </v:shape>
            </v:group>
            <v:group style="position:absolute;left:10298;top:39;width:20;height:2" coordorigin="10298,39" coordsize="20,2">
              <v:shape style="position:absolute;left:10298;top:39;width:20;height:2" coordorigin="10298,39" coordsize="20,0" path="m10298,39l10318,39e" filled="false" stroked="true" strokeweight=".96pt" strokecolor="#000000">
                <v:path arrowok="t"/>
              </v:shape>
            </v:group>
            <v:group style="position:absolute;left:10318;top:39;width:264;height:2" coordorigin="10318,39" coordsize="264,2">
              <v:shape style="position:absolute;left:10318;top:39;width:264;height:2" coordorigin="10318,39" coordsize="264,0" path="m10318,39l10581,39e" filled="false" stroked="true" strokeweight=".96pt" strokecolor="#000000">
                <v:path arrowok="t"/>
              </v:shape>
            </v:group>
            <v:group style="position:absolute;left:10582;top:39;width:20;height:2" coordorigin="10582,39" coordsize="20,2">
              <v:shape style="position:absolute;left:10582;top:39;width:20;height:2" coordorigin="10582,39" coordsize="20,0" path="m10582,39l10601,39e" filled="false" stroked="true" strokeweight=".96pt" strokecolor="#000000">
                <v:path arrowok="t"/>
              </v:shape>
            </v:group>
            <v:group style="position:absolute;left:10601;top:39;width:696;height:2" coordorigin="10601,39" coordsize="696,2">
              <v:shape style="position:absolute;left:10601;top:39;width:696;height:2" coordorigin="10601,39" coordsize="696,0" path="m10601,39l11297,39e" filled="false" stroked="true" strokeweight=".96pt" strokecolor="#000000">
                <v:path arrowok="t"/>
              </v:shape>
            </v:group>
            <w10:wrap type="none"/>
          </v:group>
        </w:pict>
      </w:r>
      <w:r>
        <w:rPr>
          <w:rFonts w:ascii="宋体" w:hAnsi="宋体" w:cs="宋体" w:eastAsia="宋体" w:hint="default"/>
          <w:sz w:val="15"/>
          <w:szCs w:val="15"/>
        </w:rPr>
        <w:t>种类</w:t>
      </w:r>
    </w:p>
    <w:p>
      <w:pPr>
        <w:spacing w:after="0" w:line="70" w:lineRule="exact"/>
        <w:jc w:val="left"/>
        <w:rPr>
          <w:rFonts w:ascii="宋体" w:hAnsi="宋体" w:cs="宋体" w:eastAsia="宋体" w:hint="default"/>
          <w:sz w:val="15"/>
          <w:szCs w:val="15"/>
        </w:rPr>
        <w:sectPr>
          <w:pgSz w:w="11900" w:h="16840"/>
          <w:pgMar w:header="886" w:footer="983" w:top="1800" w:bottom="1180" w:left="940" w:right="160"/>
        </w:sectPr>
      </w:pP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3"/>
          <w:szCs w:val="13"/>
        </w:rPr>
      </w:pPr>
    </w:p>
    <w:p>
      <w:pPr>
        <w:spacing w:line="147" w:lineRule="exact" w:before="0"/>
        <w:ind w:left="680" w:right="0" w:firstLine="0"/>
        <w:jc w:val="left"/>
        <w:rPr>
          <w:rFonts w:ascii="宋体" w:hAnsi="宋体" w:cs="宋体" w:eastAsia="宋体" w:hint="default"/>
          <w:sz w:val="15"/>
          <w:szCs w:val="15"/>
        </w:rPr>
      </w:pPr>
      <w:r>
        <w:rPr/>
        <w:pict>
          <v:group style="position:absolute;margin-left:75.720001pt;margin-top:.729766pt;width:91.2pt;height:.1pt;mso-position-horizontal-relative:page;mso-position-vertical-relative:paragraph;z-index:-546760" coordorigin="1514,15" coordsize="1824,2">
            <v:shape style="position:absolute;left:1514;top:15;width:1824;height:2" coordorigin="1514,15" coordsize="1824,0" path="m1514,15l3338,15e" filled="false" stroked="true" strokeweight=".96pt" strokecolor="#000000">
              <v:path arrowok="t"/>
            </v:shape>
            <w10:wrap type="none"/>
          </v:group>
        </w:pict>
      </w:r>
      <w:r>
        <w:rPr/>
        <w:pict>
          <v:group style="position:absolute;margin-left:295.079987pt;margin-top:.729766pt;width:28.45pt;height:.1pt;mso-position-horizontal-relative:page;mso-position-vertical-relative:paragraph;z-index:8920" coordorigin="5902,15" coordsize="569,2">
            <v:shape style="position:absolute;left:5902;top:15;width:569;height:2" coordorigin="5902,15" coordsize="569,0" path="m5902,15l6470,15e" filled="false" stroked="true" strokeweight=".96pt" strokecolor="#000000">
              <v:path arrowok="t"/>
            </v:shape>
            <w10:wrap type="none"/>
          </v:group>
        </w:pict>
      </w:r>
      <w:r>
        <w:rPr/>
        <w:pict>
          <v:group style="position:absolute;margin-left:337.679993pt;margin-top:.729766pt;width:28.45pt;height:.1pt;mso-position-horizontal-relative:page;mso-position-vertical-relative:paragraph;z-index:8944" coordorigin="6754,15" coordsize="569,2">
            <v:shape style="position:absolute;left:6754;top:15;width:569;height:2" coordorigin="6754,15" coordsize="569,0" path="m6754,15l7322,15e" filled="false" stroked="true" strokeweight=".96pt" strokecolor="#000000">
              <v:path arrowok="t"/>
            </v:shape>
            <w10:wrap type="none"/>
          </v:group>
        </w:pict>
      </w:r>
      <w:r>
        <w:rPr>
          <w:rFonts w:ascii="宋体" w:hAnsi="宋体" w:cs="宋体" w:eastAsia="宋体" w:hint="default"/>
          <w:spacing w:val="8"/>
          <w:sz w:val="15"/>
          <w:szCs w:val="15"/>
        </w:rPr>
        <w:t>单项金额重大并单项计</w:t>
      </w:r>
    </w:p>
    <w:p>
      <w:pPr>
        <w:tabs>
          <w:tab w:pos="1752" w:val="left" w:leader="none"/>
        </w:tabs>
        <w:spacing w:line="200" w:lineRule="exact" w:before="0"/>
        <w:ind w:left="680" w:right="0"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157" w:lineRule="exact" w:before="0"/>
        <w:ind w:left="0" w:right="0" w:firstLine="0"/>
        <w:jc w:val="right"/>
        <w:rPr>
          <w:rFonts w:ascii="宋体" w:hAnsi="宋体" w:cs="宋体" w:eastAsia="宋体" w:hint="default"/>
          <w:sz w:val="15"/>
          <w:szCs w:val="15"/>
        </w:rPr>
      </w:pPr>
      <w:r>
        <w:rPr/>
        <w:pict>
          <v:group style="position:absolute;margin-left:187.800003pt;margin-top:8.862548pt;width:50.65pt;height:.1pt;mso-position-horizontal-relative:page;mso-position-vertical-relative:paragraph;z-index:8872" coordorigin="3756,177" coordsize="1013,2">
            <v:shape style="position:absolute;left:3756;top:177;width:1013;height:2" coordorigin="3756,177" coordsize="1013,0" path="m3756,177l4769,177e" filled="false" stroked="true" strokeweight=".96pt" strokecolor="#000000">
              <v:path arrowok="t"/>
            </v:shape>
            <w10:wrap type="none"/>
          </v:group>
        </w:pict>
      </w:r>
      <w:r>
        <w:rPr/>
        <w:pict>
          <v:group style="position:absolute;margin-left:252.600006pt;margin-top:8.862548pt;width:28.45pt;height:.1pt;mso-position-horizontal-relative:page;mso-position-vertical-relative:paragraph;z-index:8896" coordorigin="5052,177" coordsize="569,2">
            <v:shape style="position:absolute;left:5052;top:177;width:569;height:2" coordorigin="5052,177" coordsize="569,0" path="m5052,177l5621,177e" filled="false" stroked="true" strokeweight=".96pt" strokecolor="#000000">
              <v:path arrowok="t"/>
            </v:shape>
            <w10:wrap type="none"/>
          </v:group>
        </w:pic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tabs>
          <w:tab w:pos="1263" w:val="left" w:leader="none"/>
        </w:tabs>
        <w:spacing w:line="158" w:lineRule="auto" w:before="14"/>
        <w:ind w:left="1200" w:right="0" w:hanging="792"/>
        <w:jc w:val="left"/>
        <w:rPr>
          <w:rFonts w:ascii="Times New Roman" w:hAnsi="Times New Roman" w:cs="Times New Roman" w:eastAsia="Times New Roman" w:hint="default"/>
          <w:sz w:val="15"/>
          <w:szCs w:val="15"/>
        </w:rPr>
      </w:pPr>
      <w:r>
        <w:rPr/>
        <w:br w:type="column"/>
      </w:r>
      <w:r>
        <w:rPr>
          <w:rFonts w:ascii="宋体" w:hAnsi="宋体" w:cs="宋体" w:eastAsia="宋体" w:hint="default"/>
          <w:position w:val="-9"/>
          <w:sz w:val="15"/>
          <w:szCs w:val="15"/>
        </w:rPr>
        <w:t>金额</w:t>
        <w:tab/>
        <w:tab/>
      </w:r>
      <w:r>
        <w:rPr>
          <w:rFonts w:ascii="宋体" w:hAnsi="宋体" w:cs="宋体" w:eastAsia="宋体" w:hint="default"/>
          <w:sz w:val="15"/>
          <w:szCs w:val="15"/>
        </w:rPr>
        <w:t>计提</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p>
      <w:pPr>
        <w:tabs>
          <w:tab w:pos="1065" w:val="left" w:leader="none"/>
        </w:tabs>
        <w:spacing w:line="200" w:lineRule="exact" w:before="0"/>
        <w:ind w:left="0" w:right="96" w:firstLine="0"/>
        <w:jc w:val="righ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157" w:lineRule="exact" w:before="0"/>
        <w:ind w:left="0" w:right="0" w:firstLine="0"/>
        <w:jc w:val="right"/>
        <w:rPr>
          <w:rFonts w:ascii="宋体" w:hAnsi="宋体" w:cs="宋体" w:eastAsia="宋体" w:hint="default"/>
          <w:sz w:val="15"/>
          <w:szCs w:val="15"/>
        </w:rPr>
      </w:pPr>
      <w:r>
        <w:rPr/>
        <w:pict>
          <v:group style="position:absolute;margin-left:380.279999pt;margin-top:8.862548pt;width:49.6pt;height:.1pt;mso-position-horizontal-relative:page;mso-position-vertical-relative:paragraph;z-index:8968" coordorigin="7606,177" coordsize="992,2">
            <v:shape style="position:absolute;left:7606;top:177;width:992;height:2" coordorigin="7606,177" coordsize="992,0" path="m7606,177l8597,177e" filled="false" stroked="true" strokeweight=".96pt" strokecolor="#000000">
              <v:path arrowok="t"/>
            </v:shape>
            <w10:wrap type="none"/>
          </v:group>
        </w:pict>
      </w:r>
      <w:r>
        <w:rPr/>
        <w:pict>
          <v:group style="position:absolute;margin-left:444pt;margin-top:8.862548pt;width:28.45pt;height:.1pt;mso-position-horizontal-relative:page;mso-position-vertical-relative:paragraph;z-index:8992" coordorigin="8880,177" coordsize="569,2">
            <v:shape style="position:absolute;left:8880;top:177;width:569;height:2" coordorigin="8880,177" coordsize="569,0" path="m8880,177l9449,177e" filled="false" stroked="true" strokeweight=".96pt" strokecolor="#000000">
              <v:path arrowok="t"/>
            </v:shape>
            <w10:wrap type="none"/>
          </v:group>
        </w:pic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tabs>
          <w:tab w:pos="1332" w:val="left" w:leader="none"/>
        </w:tabs>
        <w:spacing w:line="200" w:lineRule="exact" w:before="0"/>
        <w:ind w:left="406" w:right="0"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计提</w:t>
      </w:r>
    </w:p>
    <w:p>
      <w:pPr>
        <w:spacing w:line="157" w:lineRule="exact" w:before="0"/>
        <w:ind w:left="1270" w:right="0" w:firstLine="0"/>
        <w:jc w:val="left"/>
        <w:rPr>
          <w:rFonts w:ascii="Times New Roman" w:hAnsi="Times New Roman" w:cs="Times New Roman" w:eastAsia="Times New Roman" w:hint="default"/>
          <w:sz w:val="15"/>
          <w:szCs w:val="15"/>
        </w:rPr>
      </w:pPr>
      <w:r>
        <w:rPr/>
        <w:pict>
          <v:group style="position:absolute;margin-left:486.480011pt;margin-top:8.862548pt;width:28.45pt;height:.1pt;mso-position-horizontal-relative:page;mso-position-vertical-relative:paragraph;z-index:9016" coordorigin="9730,177" coordsize="569,2">
            <v:shape style="position:absolute;left:9730;top:177;width:569;height:2" coordorigin="9730,177" coordsize="569,0" path="m9730,177l10298,177e" filled="false" stroked="true" strokeweight=".96pt" strokecolor="#000000">
              <v:path arrowok="t"/>
            </v:shape>
            <w10:wrap type="none"/>
          </v:group>
        </w:pict>
      </w:r>
      <w:r>
        <w:rPr/>
        <w:pict>
          <v:group style="position:absolute;margin-left:529.080017pt;margin-top:8.862548pt;width:35.8pt;height:.1pt;mso-position-horizontal-relative:page;mso-position-vertical-relative:paragraph;z-index:9040" coordorigin="10582,177" coordsize="716,2">
            <v:shape style="position:absolute;left:10582;top:177;width:716;height:2" coordorigin="10582,177" coordsize="716,0" path="m10582,177l11297,177e" filled="false" stroked="true" strokeweight=".96pt" strokecolor="#000000">
              <v:path arrowok="t"/>
            </v:shape>
            <w10:wrap type="none"/>
          </v:group>
        </w:pic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p>
      <w:pPr>
        <w:spacing w:after="0" w:line="157" w:lineRule="exact"/>
        <w:jc w:val="left"/>
        <w:rPr>
          <w:rFonts w:ascii="Times New Roman" w:hAnsi="Times New Roman" w:cs="Times New Roman" w:eastAsia="Times New Roman" w:hint="default"/>
          <w:sz w:val="15"/>
          <w:szCs w:val="15"/>
        </w:rPr>
        <w:sectPr>
          <w:type w:val="continuous"/>
          <w:pgSz w:w="11900" w:h="16840"/>
          <w:pgMar w:top="1040" w:bottom="1180" w:left="940" w:right="160"/>
          <w:cols w:num="5" w:equalWidth="0">
            <w:col w:w="2291" w:space="200"/>
            <w:col w:w="2156" w:space="40"/>
            <w:col w:w="1630" w:space="40"/>
            <w:col w:w="2119" w:space="40"/>
            <w:col w:w="2284"/>
          </w:cols>
        </w:sectPr>
      </w:pPr>
    </w:p>
    <w:p>
      <w:pPr>
        <w:tabs>
          <w:tab w:pos="3670" w:val="left" w:leader="none"/>
          <w:tab w:pos="4519" w:val="left" w:leader="none"/>
          <w:tab w:pos="5371" w:val="left" w:leader="none"/>
          <w:tab w:pos="6221" w:val="left" w:leader="none"/>
          <w:tab w:pos="7495" w:val="left" w:leader="none"/>
          <w:tab w:pos="8350" w:val="left" w:leader="none"/>
          <w:tab w:pos="9197" w:val="left" w:leader="none"/>
          <w:tab w:pos="10198" w:val="left" w:leader="none"/>
        </w:tabs>
        <w:spacing w:line="242" w:lineRule="exact" w:before="0"/>
        <w:ind w:left="680" w:right="179" w:firstLine="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提坏账准备的应收账款</w:t>
        <w:tab/>
      </w:r>
      <w:r>
        <w:rPr>
          <w:rFonts w:ascii="Times New Roman" w:hAnsi="Times New Roman" w:cs="Times New Roman" w:eastAsia="Times New Roman" w:hint="default"/>
          <w:position w:val="10"/>
          <w:sz w:val="15"/>
          <w:szCs w:val="15"/>
        </w:rPr>
        <w:t>-</w:t>
        <w:tab/>
        <w:t>-</w:t>
        <w:tab/>
        <w:t>-</w:t>
        <w:tab/>
        <w:t>-</w:t>
        <w:tab/>
        <w:t>-</w:t>
        <w:tab/>
        <w:t>-</w:t>
        <w:tab/>
        <w:t>-</w:t>
        <w:tab/>
        <w:t>-</w:t>
      </w:r>
      <w:r>
        <w:rPr>
          <w:rFonts w:ascii="Times New Roman" w:hAnsi="Times New Roman" w:cs="Times New Roman" w:eastAsia="Times New Roman" w:hint="default"/>
          <w:sz w:val="15"/>
          <w:szCs w:val="15"/>
        </w:rPr>
      </w:r>
    </w:p>
    <w:p>
      <w:pPr>
        <w:spacing w:line="195" w:lineRule="exact" w:before="0"/>
        <w:ind w:left="680" w:right="179" w:firstLine="0"/>
        <w:jc w:val="left"/>
        <w:rPr>
          <w:rFonts w:ascii="宋体" w:hAnsi="宋体" w:cs="宋体" w:eastAsia="宋体" w:hint="default"/>
          <w:sz w:val="15"/>
          <w:szCs w:val="15"/>
        </w:rPr>
      </w:pPr>
      <w:r>
        <w:rPr>
          <w:rFonts w:ascii="宋体" w:hAnsi="宋体" w:cs="宋体" w:eastAsia="宋体" w:hint="default"/>
          <w:sz w:val="15"/>
          <w:szCs w:val="15"/>
        </w:rPr>
        <w:t>按组合计提坏账准备的应收账款</w:t>
      </w:r>
    </w:p>
    <w:p>
      <w:pPr>
        <w:spacing w:before="46"/>
        <w:ind w:left="680" w:right="8410" w:firstLine="0"/>
        <w:jc w:val="left"/>
        <w:rPr>
          <w:rFonts w:ascii="宋体" w:hAnsi="宋体" w:cs="宋体" w:eastAsia="宋体" w:hint="default"/>
          <w:sz w:val="15"/>
          <w:szCs w:val="15"/>
        </w:rPr>
      </w:pPr>
      <w:r>
        <w:rPr/>
        <w:pict>
          <v:shape style="position:absolute;margin-left:187.800003pt;margin-top:4.544481pt;width:377.05pt;height:83.35pt;mso-position-horizontal-relative:page;mso-position-vertical-relative:paragraph;z-index:9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3"/>
                    <w:gridCol w:w="283"/>
                    <w:gridCol w:w="569"/>
                    <w:gridCol w:w="281"/>
                    <w:gridCol w:w="2695"/>
                    <w:gridCol w:w="283"/>
                    <w:gridCol w:w="569"/>
                    <w:gridCol w:w="281"/>
                    <w:gridCol w:w="1567"/>
                  </w:tblGrid>
                  <w:tr>
                    <w:trPr>
                      <w:trHeight w:val="370" w:hRule="exact"/>
                    </w:trPr>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5"/>
                            <w:szCs w:val="15"/>
                          </w:rPr>
                        </w:pPr>
                        <w:r>
                          <w:rPr>
                            <w:rFonts w:ascii="Times New Roman"/>
                            <w:spacing w:val="-1"/>
                            <w:sz w:val="15"/>
                          </w:rPr>
                          <w:t>717,213.50</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7"/>
                          <w:jc w:val="right"/>
                          <w:rPr>
                            <w:rFonts w:ascii="Times New Roman" w:hAnsi="Times New Roman" w:cs="Times New Roman" w:eastAsia="Times New Roman" w:hint="default"/>
                            <w:sz w:val="15"/>
                            <w:szCs w:val="15"/>
                          </w:rPr>
                        </w:pPr>
                        <w:r>
                          <w:rPr>
                            <w:rFonts w:ascii="Times New Roman"/>
                            <w:spacing w:val="-1"/>
                            <w:sz w:val="15"/>
                          </w:rPr>
                          <w:t>3.10</w:t>
                        </w:r>
                      </w:p>
                    </w:tc>
                    <w:tc>
                      <w:tcPr>
                        <w:tcW w:w="28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tabs>
                            <w:tab w:pos="849" w:val="left" w:leader="none"/>
                            <w:tab w:pos="1574" w:val="left" w:leader="none"/>
                          </w:tabs>
                          <w:spacing w:line="240" w:lineRule="auto" w:before="81"/>
                          <w:ind w:right="107"/>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79,807.68</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5"/>
                            <w:szCs w:val="15"/>
                          </w:rPr>
                        </w:pPr>
                        <w:r>
                          <w:rPr>
                            <w:rFonts w:ascii="Times New Roman"/>
                            <w:spacing w:val="-1"/>
                            <w:sz w:val="15"/>
                          </w:rPr>
                          <w:t>1.41</w:t>
                        </w:r>
                      </w:p>
                    </w:tc>
                    <w:tc>
                      <w:tcPr>
                        <w:tcW w:w="281"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81"/>
                          <w:ind w:right="106"/>
                          <w:jc w:val="right"/>
                          <w:rPr>
                            <w:rFonts w:ascii="Times New Roman" w:hAnsi="Times New Roman" w:cs="Times New Roman" w:eastAsia="Times New Roman" w:hint="default"/>
                            <w:sz w:val="15"/>
                            <w:szCs w:val="15"/>
                          </w:rPr>
                        </w:pPr>
                        <w:r>
                          <w:rPr>
                            <w:rFonts w:ascii="Times New Roman"/>
                            <w:sz w:val="15"/>
                          </w:rPr>
                          <w:t>-</w:t>
                          <w:tab/>
                          <w:t>-</w:t>
                        </w:r>
                      </w:p>
                    </w:tc>
                  </w:tr>
                  <w:tr>
                    <w:trPr>
                      <w:trHeight w:val="980" w:hRule="exact"/>
                    </w:trPr>
                    <w:tc>
                      <w:tcPr>
                        <w:tcW w:w="1013"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22,389,489.63</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5"/>
                            <w:szCs w:val="15"/>
                          </w:rPr>
                        </w:pPr>
                        <w:r>
                          <w:rPr>
                            <w:rFonts w:ascii="Times New Roman"/>
                            <w:spacing w:val="-1"/>
                            <w:sz w:val="15"/>
                          </w:rPr>
                          <w:t>96.90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8"/>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108"/>
                          <w:jc w:val="right"/>
                          <w:rPr>
                            <w:rFonts w:ascii="Times New Roman" w:hAnsi="Times New Roman" w:cs="Times New Roman" w:eastAsia="Times New Roman" w:hint="default"/>
                            <w:sz w:val="15"/>
                            <w:szCs w:val="15"/>
                          </w:rPr>
                        </w:pPr>
                        <w:r>
                          <w:rPr>
                            <w:rFonts w:ascii="Times New Roman"/>
                            <w:spacing w:val="-1"/>
                            <w:sz w:val="15"/>
                          </w:rPr>
                          <w:t>5,577,196.28</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tabs>
                            <w:tab w:pos="849" w:val="left" w:leader="none"/>
                            <w:tab w:pos="2123" w:val="left" w:leader="none"/>
                          </w:tabs>
                          <w:spacing w:line="240" w:lineRule="auto"/>
                          <w:ind w:right="108"/>
                          <w:jc w:val="right"/>
                          <w:rPr>
                            <w:rFonts w:ascii="Times New Roman" w:hAnsi="Times New Roman" w:cs="Times New Roman" w:eastAsia="Times New Roman" w:hint="default"/>
                            <w:sz w:val="15"/>
                            <w:szCs w:val="15"/>
                          </w:rPr>
                        </w:pPr>
                        <w:r>
                          <w:rPr>
                            <w:rFonts w:ascii="Times New Roman"/>
                            <w:sz w:val="15"/>
                          </w:rPr>
                          <w:t>-</w:t>
                          <w:tab/>
                          <w:t>-</w:t>
                          <w:tab/>
                          <w:t>-</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single" w:sz="8" w:space="0" w:color="000000"/>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98.59</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w w:val="100"/>
                            <w:sz w:val="15"/>
                          </w:rPr>
                          <w:t>-</w:t>
                        </w:r>
                      </w:p>
                    </w:tc>
                    <w:tc>
                      <w:tcPr>
                        <w:tcW w:w="281"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tabs>
                            <w:tab w:pos="1000" w:val="left" w:leader="none"/>
                          </w:tabs>
                          <w:spacing w:line="240" w:lineRule="auto"/>
                          <w:ind w:right="106"/>
                          <w:jc w:val="right"/>
                          <w:rPr>
                            <w:rFonts w:ascii="Times New Roman" w:hAnsi="Times New Roman" w:cs="Times New Roman" w:eastAsia="Times New Roman" w:hint="default"/>
                            <w:sz w:val="15"/>
                            <w:szCs w:val="15"/>
                          </w:rPr>
                        </w:pPr>
                        <w:r>
                          <w:rPr>
                            <w:rFonts w:ascii="Times New Roman"/>
                            <w:sz w:val="15"/>
                          </w:rPr>
                          <w:t>-</w:t>
                          <w:tab/>
                          <w:t>-</w:t>
                        </w:r>
                      </w:p>
                    </w:tc>
                  </w:tr>
                  <w:tr>
                    <w:trPr>
                      <w:trHeight w:val="274" w:hRule="exact"/>
                    </w:trPr>
                    <w:tc>
                      <w:tcPr>
                        <w:tcW w:w="1013" w:type="dxa"/>
                        <w:tcBorders>
                          <w:top w:val="single" w:sz="8" w:space="0" w:color="000000"/>
                          <w:left w:val="nil" w:sz="6" w:space="0" w:color="auto"/>
                          <w:bottom w:val="single" w:sz="17"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5"/>
                            <w:szCs w:val="15"/>
                          </w:rPr>
                        </w:pPr>
                        <w:r>
                          <w:rPr>
                            <w:rFonts w:ascii="Times New Roman"/>
                            <w:spacing w:val="-1"/>
                            <w:sz w:val="15"/>
                          </w:rPr>
                          <w:t>23,106,703.13</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single" w:sz="8" w:space="0" w:color="000000"/>
                          <w:left w:val="nil" w:sz="6" w:space="0" w:color="auto"/>
                          <w:bottom w:val="single" w:sz="17" w:space="0" w:color="000000"/>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5"/>
                            <w:szCs w:val="15"/>
                          </w:rPr>
                        </w:pPr>
                        <w:r>
                          <w:rPr>
                            <w:rFonts w:ascii="Times New Roman"/>
                            <w:spacing w:val="-1"/>
                            <w:sz w:val="15"/>
                          </w:rPr>
                          <w:t>100.00</w:t>
                        </w:r>
                      </w:p>
                    </w:tc>
                    <w:tc>
                      <w:tcPr>
                        <w:tcW w:w="281" w:type="dxa"/>
                        <w:tcBorders>
                          <w:top w:val="nil" w:sz="6" w:space="0" w:color="auto"/>
                          <w:left w:val="nil" w:sz="6" w:space="0" w:color="auto"/>
                          <w:bottom w:val="nil" w:sz="6" w:space="0" w:color="auto"/>
                          <w:right w:val="nil" w:sz="6" w:space="0" w:color="auto"/>
                        </w:tcBorders>
                      </w:tcPr>
                      <w:p>
                        <w:pPr/>
                      </w:p>
                    </w:tc>
                    <w:tc>
                      <w:tcPr>
                        <w:tcW w:w="2695" w:type="dxa"/>
                        <w:tcBorders>
                          <w:top w:val="single" w:sz="8" w:space="0" w:color="000000"/>
                          <w:left w:val="nil" w:sz="6" w:space="0" w:color="auto"/>
                          <w:bottom w:val="single" w:sz="17" w:space="0" w:color="000000"/>
                          <w:right w:val="nil" w:sz="6" w:space="0" w:color="auto"/>
                        </w:tcBorders>
                      </w:tcPr>
                      <w:p>
                        <w:pPr>
                          <w:pStyle w:val="TableParagraph"/>
                          <w:tabs>
                            <w:tab w:pos="849" w:val="left" w:leader="none"/>
                            <w:tab w:pos="1387" w:val="left" w:leader="none"/>
                          </w:tabs>
                          <w:spacing w:line="240" w:lineRule="auto" w:before="30"/>
                          <w:ind w:right="108"/>
                          <w:jc w:val="right"/>
                          <w:rPr>
                            <w:rFonts w:ascii="Times New Roman" w:hAnsi="Times New Roman" w:cs="Times New Roman" w:eastAsia="Times New Roman" w:hint="default"/>
                            <w:sz w:val="15"/>
                            <w:szCs w:val="15"/>
                          </w:rPr>
                        </w:pPr>
                        <w:r>
                          <w:rPr>
                            <w:rFonts w:ascii="Times New Roman"/>
                            <w:sz w:val="15"/>
                          </w:rPr>
                          <w:t>-</w:t>
                          <w:tab/>
                          <w:t>-</w:t>
                          <w:tab/>
                        </w:r>
                        <w:r>
                          <w:rPr>
                            <w:rFonts w:ascii="Times New Roman"/>
                            <w:spacing w:val="-1"/>
                            <w:sz w:val="15"/>
                          </w:rPr>
                          <w:t>5,657,003.96</w:t>
                        </w:r>
                      </w:p>
                    </w:tc>
                    <w:tc>
                      <w:tcPr>
                        <w:tcW w:w="283" w:type="dxa"/>
                        <w:tcBorders>
                          <w:top w:val="nil" w:sz="6" w:space="0" w:color="auto"/>
                          <w:left w:val="nil" w:sz="6" w:space="0" w:color="auto"/>
                          <w:bottom w:val="nil" w:sz="6" w:space="0" w:color="auto"/>
                          <w:right w:val="nil" w:sz="6" w:space="0" w:color="auto"/>
                        </w:tcBorders>
                      </w:tcPr>
                      <w:p>
                        <w:pPr/>
                      </w:p>
                    </w:tc>
                    <w:tc>
                      <w:tcPr>
                        <w:tcW w:w="569" w:type="dxa"/>
                        <w:tcBorders>
                          <w:top w:val="single" w:sz="8" w:space="0" w:color="000000"/>
                          <w:left w:val="nil" w:sz="6" w:space="0" w:color="auto"/>
                          <w:bottom w:val="single" w:sz="17"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5"/>
                            <w:szCs w:val="15"/>
                          </w:rPr>
                        </w:pPr>
                        <w:r>
                          <w:rPr>
                            <w:rFonts w:ascii="Times New Roman"/>
                            <w:spacing w:val="-1"/>
                            <w:sz w:val="15"/>
                          </w:rPr>
                          <w:t>100.00</w:t>
                        </w:r>
                      </w:p>
                    </w:tc>
                    <w:tc>
                      <w:tcPr>
                        <w:tcW w:w="281" w:type="dxa"/>
                        <w:tcBorders>
                          <w:top w:val="nil" w:sz="6" w:space="0" w:color="auto"/>
                          <w:left w:val="nil" w:sz="6" w:space="0" w:color="auto"/>
                          <w:bottom w:val="nil" w:sz="6" w:space="0" w:color="auto"/>
                          <w:right w:val="nil" w:sz="6" w:space="0" w:color="auto"/>
                        </w:tcBorders>
                      </w:tcPr>
                      <w:p>
                        <w:pPr/>
                      </w:p>
                    </w:tc>
                    <w:tc>
                      <w:tcPr>
                        <w:tcW w:w="1567" w:type="dxa"/>
                        <w:tcBorders>
                          <w:top w:val="single" w:sz="8" w:space="0" w:color="000000"/>
                          <w:left w:val="nil" w:sz="6" w:space="0" w:color="auto"/>
                          <w:bottom w:val="single" w:sz="17" w:space="0" w:color="000000"/>
                          <w:right w:val="nil" w:sz="6" w:space="0" w:color="auto"/>
                        </w:tcBorders>
                      </w:tcPr>
                      <w:p>
                        <w:pPr>
                          <w:pStyle w:val="TableParagraph"/>
                          <w:tabs>
                            <w:tab w:pos="1000" w:val="left" w:leader="none"/>
                          </w:tabs>
                          <w:spacing w:line="240" w:lineRule="auto" w:before="30"/>
                          <w:ind w:right="106"/>
                          <w:jc w:val="right"/>
                          <w:rPr>
                            <w:rFonts w:ascii="Times New Roman" w:hAnsi="Times New Roman" w:cs="Times New Roman" w:eastAsia="Times New Roman" w:hint="default"/>
                            <w:sz w:val="15"/>
                            <w:szCs w:val="15"/>
                          </w:rPr>
                        </w:pPr>
                        <w:r>
                          <w:rPr>
                            <w:rFonts w:ascii="Times New Roman"/>
                            <w:sz w:val="15"/>
                          </w:rPr>
                          <w:t>-</w:t>
                          <w:tab/>
                          <w:t>-</w:t>
                        </w:r>
                      </w:p>
                    </w:tc>
                  </w:tr>
                </w:tbl>
                <w:p>
                  <w:pPr/>
                </w:p>
              </w:txbxContent>
            </v:textbox>
            <w10:wrap type="none"/>
          </v:shape>
        </w:pict>
      </w:r>
      <w:r>
        <w:rPr>
          <w:rFonts w:ascii="宋体" w:hAnsi="宋体" w:cs="宋体" w:eastAsia="宋体" w:hint="default"/>
          <w:spacing w:val="8"/>
          <w:sz w:val="15"/>
          <w:szCs w:val="15"/>
        </w:rPr>
        <w:t>按账龄计提坏账准备的</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应收款项</w:t>
      </w:r>
      <w:r>
        <w:rPr>
          <w:rFonts w:ascii="宋体" w:hAnsi="宋体" w:cs="宋体" w:eastAsia="宋体" w:hint="default"/>
          <w:w w:val="100"/>
          <w:sz w:val="15"/>
          <w:szCs w:val="15"/>
        </w:rPr>
        <w:t> </w:t>
      </w:r>
      <w:r>
        <w:rPr>
          <w:rFonts w:ascii="宋体" w:hAnsi="宋体" w:cs="宋体" w:eastAsia="宋体" w:hint="default"/>
          <w:spacing w:val="8"/>
          <w:sz w:val="15"/>
          <w:szCs w:val="15"/>
        </w:rPr>
        <w:t>合并报表范围内应收款</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pacing w:val="8"/>
          <w:sz w:val="15"/>
          <w:szCs w:val="15"/>
        </w:rPr>
        <w:t>单项金额虽不重大但单</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pacing w:val="8"/>
          <w:sz w:val="15"/>
          <w:szCs w:val="15"/>
        </w:rPr>
        <w:t>项计提坏账准备的应收</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账款</w:t>
      </w:r>
    </w:p>
    <w:p>
      <w:pPr>
        <w:tabs>
          <w:tab w:pos="5804" w:val="left" w:leader="none"/>
          <w:tab w:pos="8780" w:val="left" w:leader="none"/>
        </w:tabs>
        <w:spacing w:line="20" w:lineRule="exact"/>
        <w:ind w:left="4952" w:right="0" w:firstLine="0"/>
        <w:rPr>
          <w:rFonts w:ascii="宋体" w:hAnsi="宋体" w:cs="宋体" w:eastAsia="宋体" w:hint="default"/>
          <w:sz w:val="2"/>
          <w:szCs w:val="2"/>
        </w:rPr>
      </w:pPr>
      <w:r>
        <w:rPr>
          <w:rFonts w:ascii="宋体"/>
          <w:sz w:val="2"/>
        </w:rPr>
        <w:pict>
          <v:group style="width:29.4pt;height:.95pt;mso-position-horizontal-relative:char;mso-position-vertical-relative:line" coordorigin="0,0" coordsize="588,19">
            <v:group style="position:absolute;left:9;top:9;width:569;height:2" coordorigin="9,9" coordsize="569,2">
              <v:shape style="position:absolute;left:9;top:9;width:569;height:2" coordorigin="9,9" coordsize="569,0" path="m9,9l578,9e" filled="false" stroked="true" strokeweight=".95pt" strokecolor="#000000">
                <v:path arrowok="t"/>
              </v:shape>
            </v:group>
          </v:group>
        </w:pict>
      </w:r>
      <w:r>
        <w:rPr>
          <w:rFonts w:ascii="宋体"/>
          <w:sz w:val="2"/>
        </w:rPr>
      </w:r>
      <w:r>
        <w:rPr>
          <w:rFonts w:ascii="宋体"/>
          <w:sz w:val="2"/>
        </w:rPr>
        <w:tab/>
      </w:r>
      <w:r>
        <w:rPr>
          <w:rFonts w:ascii="宋体"/>
          <w:sz w:val="2"/>
        </w:rPr>
        <w:pict>
          <v:group style="width:29.4pt;height:.95pt;mso-position-horizontal-relative:char;mso-position-vertical-relative:line" coordorigin="0,0" coordsize="588,19">
            <v:group style="position:absolute;left:9;top:9;width:569;height:2" coordorigin="9,9" coordsize="569,2">
              <v:shape style="position:absolute;left:9;top:9;width:569;height:2" coordorigin="9,9" coordsize="569,0" path="m9,9l578,9e" filled="false" stroked="true" strokeweight=".95pt" strokecolor="#000000">
                <v:path arrowok="t"/>
              </v:shape>
            </v:group>
          </v:group>
        </w:pict>
      </w:r>
      <w:r>
        <w:rPr>
          <w:rFonts w:ascii="宋体"/>
          <w:sz w:val="2"/>
        </w:rPr>
      </w:r>
      <w:r>
        <w:rPr>
          <w:rFonts w:ascii="宋体"/>
          <w:sz w:val="2"/>
        </w:rPr>
        <w:tab/>
      </w:r>
      <w:r>
        <w:rPr>
          <w:rFonts w:ascii="宋体"/>
          <w:sz w:val="2"/>
        </w:rPr>
        <w:pict>
          <v:group style="width:29.4pt;height:.95pt;mso-position-horizontal-relative:char;mso-position-vertical-relative:line" coordorigin="0,0" coordsize="588,19">
            <v:group style="position:absolute;left:9;top:9;width:569;height:2" coordorigin="9,9" coordsize="569,2">
              <v:shape style="position:absolute;left:9;top:9;width:569;height:2" coordorigin="9,9" coordsize="569,0" path="m9,9l578,9e" filled="false" stroked="true" strokeweight=".95pt" strokecolor="#000000">
                <v:path arrowok="t"/>
              </v:shape>
            </v:group>
          </v:group>
        </w:pict>
      </w:r>
      <w:r>
        <w:rPr>
          <w:rFonts w:ascii="宋体"/>
          <w:sz w:val="2"/>
        </w:rPr>
      </w:r>
    </w:p>
    <w:p>
      <w:pPr>
        <w:spacing w:before="45"/>
        <w:ind w:left="680" w:right="179" w:firstLine="0"/>
        <w:jc w:val="left"/>
        <w:rPr>
          <w:rFonts w:ascii="宋体" w:hAnsi="宋体" w:cs="宋体" w:eastAsia="宋体" w:hint="default"/>
          <w:sz w:val="15"/>
          <w:szCs w:val="15"/>
        </w:rPr>
      </w:pPr>
      <w:r>
        <w:rPr>
          <w:rFonts w:ascii="宋体" w:hAnsi="宋体" w:cs="宋体" w:eastAsia="宋体" w:hint="default"/>
          <w:sz w:val="15"/>
          <w:szCs w:val="15"/>
        </w:rPr>
        <w:t>合计</w:t>
      </w:r>
    </w:p>
    <w:p>
      <w:pPr>
        <w:tabs>
          <w:tab w:pos="5806" w:val="left" w:leader="none"/>
          <w:tab w:pos="8782" w:val="left" w:leader="none"/>
        </w:tabs>
        <w:spacing w:line="43" w:lineRule="exact"/>
        <w:ind w:left="4954" w:right="0" w:firstLine="0"/>
        <w:rPr>
          <w:rFonts w:ascii="宋体" w:hAnsi="宋体" w:cs="宋体" w:eastAsia="宋体" w:hint="default"/>
          <w:sz w:val="4"/>
          <w:szCs w:val="4"/>
        </w:rPr>
      </w:pPr>
      <w:r>
        <w:rPr>
          <w:rFonts w:ascii="宋体"/>
          <w:position w:val="0"/>
          <w:sz w:val="4"/>
        </w:rPr>
        <w:pict>
          <v:group style="width:29.2pt;height:2.15pt;mso-position-horizontal-relative:char;mso-position-vertical-relative:line" coordorigin="0,0" coordsize="584,43">
            <v:group style="position:absolute;left:7;top:7;width:569;height:2" coordorigin="7,7" coordsize="569,2">
              <v:shape style="position:absolute;left:7;top:7;width:569;height:2" coordorigin="7,7" coordsize="569,0" path="m7,7l576,7e" filled="false" stroked="true" strokeweight=".72pt" strokecolor="#000000">
                <v:path arrowok="t"/>
              </v:shape>
            </v:group>
            <v:group style="position:absolute;left:7;top:36;width:569;height:2" coordorigin="7,36" coordsize="569,2">
              <v:shape style="position:absolute;left:7;top:36;width:569;height:2" coordorigin="7,36" coordsize="569,0" path="m7,36l576,36e" filled="false" stroked="true" strokeweight=".7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29.15pt;height:2.15pt;mso-position-horizontal-relative:char;mso-position-vertical-relative:line" coordorigin="0,0" coordsize="583,43">
            <v:group style="position:absolute;left:7;top:7;width:569;height:2" coordorigin="7,7" coordsize="569,2">
              <v:shape style="position:absolute;left:7;top:7;width:569;height:2" coordorigin="7,7" coordsize="569,0" path="m7,7l576,7e" filled="false" stroked="true" strokeweight=".72pt" strokecolor="#000000">
                <v:path arrowok="t"/>
              </v:shape>
            </v:group>
            <v:group style="position:absolute;left:7;top:36;width:569;height:2" coordorigin="7,36" coordsize="569,2">
              <v:shape style="position:absolute;left:7;top:36;width:569;height:2" coordorigin="7,36" coordsize="569,0" path="m7,36l576,36e" filled="false" stroked="true" strokeweight=".71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29.2pt;height:2.15pt;mso-position-horizontal-relative:char;mso-position-vertical-relative:line" coordorigin="0,0" coordsize="584,43">
            <v:group style="position:absolute;left:7;top:7;width:569;height:2" coordorigin="7,7" coordsize="569,2">
              <v:shape style="position:absolute;left:7;top:7;width:569;height:2" coordorigin="7,7" coordsize="569,0" path="m7,7l576,7e" filled="false" stroked="true" strokeweight=".72pt" strokecolor="#000000">
                <v:path arrowok="t"/>
              </v:shape>
            </v:group>
            <v:group style="position:absolute;left:7;top:36;width:569;height:2" coordorigin="7,36" coordsize="569,2">
              <v:shape style="position:absolute;left:7;top:36;width:569;height:2" coordorigin="7,36" coordsize="569,0" path="m7,36l576,36e" filled="false" stroked="true" strokeweight=".71pt" strokecolor="#000000">
                <v:path arrowok="t"/>
              </v:shape>
            </v:group>
          </v:group>
        </w:pict>
      </w:r>
      <w:r>
        <w:rPr>
          <w:rFonts w:ascii="宋体"/>
          <w:position w:val="0"/>
          <w:sz w:val="4"/>
        </w:rPr>
      </w:r>
    </w:p>
    <w:p>
      <w:pPr>
        <w:spacing w:line="240" w:lineRule="auto" w:before="1"/>
        <w:rPr>
          <w:rFonts w:ascii="宋体" w:hAnsi="宋体" w:cs="宋体" w:eastAsia="宋体" w:hint="default"/>
          <w:sz w:val="15"/>
          <w:szCs w:val="15"/>
        </w:rPr>
      </w:pPr>
    </w:p>
    <w:p>
      <w:pPr>
        <w:spacing w:before="36"/>
        <w:ind w:left="680" w:right="1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按账龄分析法计提坏账准备的应收账款：</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040" w:bottom="1180" w:left="940" w:right="160"/>
        </w:sectPr>
      </w:pPr>
    </w:p>
    <w:p>
      <w:pPr>
        <w:spacing w:line="240" w:lineRule="auto" w:before="0"/>
        <w:rPr>
          <w:rFonts w:ascii="宋体" w:hAnsi="宋体" w:cs="宋体" w:eastAsia="宋体" w:hint="default"/>
          <w:sz w:val="14"/>
          <w:szCs w:val="14"/>
        </w:rPr>
      </w:pPr>
    </w:p>
    <w:p>
      <w:pPr>
        <w:spacing w:line="240" w:lineRule="auto" w:before="11"/>
        <w:rPr>
          <w:rFonts w:ascii="宋体" w:hAnsi="宋体" w:cs="宋体" w:eastAsia="宋体" w:hint="default"/>
          <w:sz w:val="11"/>
          <w:szCs w:val="11"/>
        </w:rPr>
      </w:pPr>
    </w:p>
    <w:p>
      <w:pPr>
        <w:spacing w:line="152"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账面余额</w:t>
      </w:r>
    </w:p>
    <w:p>
      <w:pPr>
        <w:spacing w:line="133" w:lineRule="exact" w:before="0"/>
        <w:ind w:left="1337" w:right="0" w:firstLine="0"/>
        <w:jc w:val="left"/>
        <w:rPr>
          <w:rFonts w:ascii="宋体" w:hAnsi="宋体" w:cs="宋体" w:eastAsia="宋体" w:hint="default"/>
          <w:sz w:val="15"/>
          <w:szCs w:val="15"/>
        </w:rPr>
      </w:pPr>
      <w:r>
        <w:rPr>
          <w:rFonts w:ascii="宋体" w:hAnsi="宋体" w:cs="宋体" w:eastAsia="宋体" w:hint="default"/>
          <w:sz w:val="15"/>
          <w:szCs w:val="15"/>
        </w:rPr>
        <w:t>账龄</w:t>
      </w:r>
    </w:p>
    <w:p>
      <w:pPr>
        <w:tabs>
          <w:tab w:pos="3653" w:val="left" w:leader="none"/>
        </w:tabs>
        <w:spacing w:before="54"/>
        <w:ind w:left="140" w:right="-15" w:firstLine="0"/>
        <w:jc w:val="left"/>
        <w:rPr>
          <w:rFonts w:ascii="宋体" w:hAnsi="宋体" w:cs="宋体" w:eastAsia="宋体" w:hint="default"/>
          <w:sz w:val="15"/>
          <w:szCs w:val="15"/>
        </w:rPr>
      </w:pPr>
      <w:r>
        <w:rPr/>
        <w:br w:type="column"/>
      </w:r>
      <w:r>
        <w:rPr>
          <w:rFonts w:ascii="宋体" w:hAnsi="宋体" w:cs="宋体" w:eastAsia="宋体" w:hint="default"/>
          <w:sz w:val="15"/>
          <w:szCs w:val="15"/>
        </w:rPr>
        <w:t>年末数</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152" w:lineRule="exact" w:before="75"/>
        <w:ind w:left="0" w:right="960" w:firstLine="0"/>
        <w:jc w:val="right"/>
        <w:rPr>
          <w:rFonts w:ascii="宋体" w:hAnsi="宋体" w:cs="宋体" w:eastAsia="宋体" w:hint="default"/>
          <w:sz w:val="15"/>
          <w:szCs w:val="15"/>
        </w:rPr>
      </w:pPr>
      <w:r>
        <w:rPr/>
        <w:pict>
          <v:group style="position:absolute;margin-left:187.919998pt;margin-top:1.719771pt;width:192.85pt;height:1pt;mso-position-horizontal-relative:page;mso-position-vertical-relative:paragraph;z-index:9064" coordorigin="3758,34" coordsize="3857,20">
            <v:group style="position:absolute;left:3768;top:44;width:2420;height:2" coordorigin="3768,44" coordsize="2420,2">
              <v:shape style="position:absolute;left:3768;top:44;width:2420;height:2" coordorigin="3768,44" coordsize="2420,0" path="m3768,44l6187,44e" filled="false" stroked="true" strokeweight=".96pt" strokecolor="#000000">
                <v:path arrowok="t"/>
              </v:shape>
            </v:group>
            <v:group style="position:absolute;left:6187;top:44;width:19;height:2" coordorigin="6187,44" coordsize="19,2">
              <v:shape style="position:absolute;left:6187;top:44;width:19;height:2" coordorigin="6187,44" coordsize="19,0" path="m6187,44l6206,44e" filled="false" stroked="true" strokeweight=".96pt" strokecolor="#000000">
                <v:path arrowok="t"/>
              </v:shape>
            </v:group>
            <v:group style="position:absolute;left:6206;top:44;width:264;height:2" coordorigin="6206,44" coordsize="264,2">
              <v:shape style="position:absolute;left:6206;top:44;width:264;height:2" coordorigin="6206,44" coordsize="264,0" path="m6206,44l6470,44e" filled="false" stroked="true" strokeweight=".96pt" strokecolor="#000000">
                <v:path arrowok="t"/>
              </v:shape>
            </v:group>
            <v:group style="position:absolute;left:6470;top:44;width:19;height:2" coordorigin="6470,44" coordsize="19,2">
              <v:shape style="position:absolute;left:6470;top:44;width:19;height:2" coordorigin="6470,44" coordsize="19,0" path="m6470,44l6489,44e" filled="false" stroked="true" strokeweight=".96pt" strokecolor="#000000">
                <v:path arrowok="t"/>
              </v:shape>
            </v:group>
            <v:group style="position:absolute;left:6490;top:44;width:1116;height:2" coordorigin="6490,44" coordsize="1116,2">
              <v:shape style="position:absolute;left:6490;top:44;width:1116;height:2" coordorigin="6490,44" coordsize="1116,0" path="m6490,44l7606,44e" filled="false" stroked="true" strokeweight=".96pt" strokecolor="#000000">
                <v:path arrowok="t"/>
              </v:shape>
            </v:group>
            <w10:wrap type="none"/>
          </v:group>
        </w:pict>
      </w:r>
      <w:r>
        <w:rPr/>
        <w:pict>
          <v:group style="position:absolute;margin-left:394.200012pt;margin-top:1.719771pt;width:170.9pt;height:.5pt;mso-position-horizontal-relative:page;mso-position-vertical-relative:paragraph;z-index:9088" coordorigin="7884,34" coordsize="3418,10">
            <v:group style="position:absolute;left:7889;top:39;width:2124;height:2" coordorigin="7889,39" coordsize="2124,2">
              <v:shape style="position:absolute;left:7889;top:39;width:2124;height:2" coordorigin="7889,39" coordsize="2124,0" path="m7889,39l10013,39e" filled="false" stroked="true" strokeweight=".48pt" strokecolor="#000000">
                <v:path arrowok="t"/>
              </v:shape>
            </v:group>
            <v:group style="position:absolute;left:10013;top:39;width:10;height:2" coordorigin="10013,39" coordsize="10,2">
              <v:shape style="position:absolute;left:10013;top:39;width:10;height:2" coordorigin="10013,39" coordsize="10,0" path="m10013,39l10022,39e" filled="false" stroked="true" strokeweight=".48pt" strokecolor="#000000">
                <v:path arrowok="t"/>
              </v:shape>
            </v:group>
            <v:group style="position:absolute;left:10022;top:39;width:276;height:2" coordorigin="10022,39" coordsize="276,2">
              <v:shape style="position:absolute;left:10022;top:39;width:276;height:2" coordorigin="10022,39" coordsize="276,0" path="m10022,39l10298,39e" filled="false" stroked="true" strokeweight=".48pt" strokecolor="#000000">
                <v:path arrowok="t"/>
              </v:shape>
            </v:group>
            <v:group style="position:absolute;left:10298;top:39;width:10;height:2" coordorigin="10298,39" coordsize="10,2">
              <v:shape style="position:absolute;left:10298;top:39;width:10;height:2" coordorigin="10298,39" coordsize="10,0" path="m10298,39l10308,39e" filled="false" stroked="true" strokeweight=".48pt" strokecolor="#000000">
                <v:path arrowok="t"/>
              </v:shape>
            </v:group>
            <v:group style="position:absolute;left:10308;top:39;width:989;height:2" coordorigin="10308,39" coordsize="989,2">
              <v:shape style="position:absolute;left:10308;top:39;width:989;height:2" coordorigin="10308,39" coordsize="989,0" path="m10308,39l11297,39e" filled="false" stroked="true" strokeweight=".48pt" strokecolor="#000000">
                <v:path arrowok="t"/>
              </v:shape>
            </v:group>
            <w10:wrap type="none"/>
          </v:group>
        </w:pict>
      </w:r>
      <w:r>
        <w:rPr>
          <w:rFonts w:ascii="宋体" w:hAnsi="宋体" w:cs="宋体" w:eastAsia="宋体" w:hint="default"/>
          <w:spacing w:val="-1"/>
          <w:sz w:val="15"/>
          <w:szCs w:val="15"/>
        </w:rPr>
        <w:t>账面余额</w:t>
      </w:r>
    </w:p>
    <w:p>
      <w:pPr>
        <w:spacing w:line="133" w:lineRule="exact" w:before="0"/>
        <w:ind w:left="1416" w:right="-15" w:firstLine="0"/>
        <w:jc w:val="left"/>
        <w:rPr>
          <w:rFonts w:ascii="宋体" w:hAnsi="宋体" w:cs="宋体" w:eastAsia="宋体" w:hint="default"/>
          <w:sz w:val="15"/>
          <w:szCs w:val="15"/>
        </w:rPr>
      </w:pPr>
      <w:r>
        <w:rPr/>
        <w:pict>
          <v:group style="position:absolute;margin-left:187.919998pt;margin-top:3.322547pt;width:121.95pt;height:1pt;mso-position-horizontal-relative:page;mso-position-vertical-relative:paragraph;z-index:9112" coordorigin="3758,66" coordsize="2439,20">
            <v:group style="position:absolute;left:3768;top:76;width:1143;height:2" coordorigin="3768,76" coordsize="1143,2">
              <v:shape style="position:absolute;left:3768;top:76;width:1143;height:2" coordorigin="3768,76" coordsize="1143,0" path="m3768,76l4910,76e" filled="false" stroked="true" strokeweight=".96pt" strokecolor="#000000">
                <v:path arrowok="t"/>
              </v:shape>
            </v:group>
            <v:group style="position:absolute;left:4910;top:76;width:19;height:2" coordorigin="4910,76" coordsize="19,2">
              <v:shape style="position:absolute;left:4910;top:76;width:19;height:2" coordorigin="4910,76" coordsize="19,0" path="m4910,76l4929,76e" filled="false" stroked="true" strokeweight=".96pt" strokecolor="#000000">
                <v:path arrowok="t"/>
              </v:shape>
            </v:group>
            <v:group style="position:absolute;left:4930;top:76;width:264;height:2" coordorigin="4930,76" coordsize="264,2">
              <v:shape style="position:absolute;left:4930;top:76;width:264;height:2" coordorigin="4930,76" coordsize="264,0" path="m4930,76l5194,76e" filled="false" stroked="true" strokeweight=".96pt" strokecolor="#000000">
                <v:path arrowok="t"/>
              </v:shape>
            </v:group>
            <v:group style="position:absolute;left:5194;top:76;width:19;height:2" coordorigin="5194,76" coordsize="19,2">
              <v:shape style="position:absolute;left:5194;top:76;width:19;height:2" coordorigin="5194,76" coordsize="19,0" path="m5194,76l5213,76e" filled="false" stroked="true" strokeweight=".96pt" strokecolor="#000000">
                <v:path arrowok="t"/>
              </v:shape>
            </v:group>
            <v:group style="position:absolute;left:5213;top:76;width:975;height:2" coordorigin="5213,76" coordsize="975,2">
              <v:shape style="position:absolute;left:5213;top:76;width:975;height:2" coordorigin="5213,76" coordsize="975,0" path="m5213,76l6187,76e" filled="false" stroked="true" strokeweight=".96pt" strokecolor="#000000">
                <v:path arrowok="t"/>
              </v:shape>
            </v:group>
            <w10:wrap type="none"/>
          </v:group>
        </w:pict>
      </w:r>
      <w:r>
        <w:rPr/>
        <w:pict>
          <v:group style="position:absolute;margin-left:393.959991pt;margin-top:3.322547pt;width:107.2pt;height:1pt;mso-position-horizontal-relative:page;mso-position-vertical-relative:paragraph;z-index:9136" coordorigin="7879,66" coordsize="2144,20">
            <v:group style="position:absolute;left:7889;top:76;width:991;height:2" coordorigin="7889,76" coordsize="991,2">
              <v:shape style="position:absolute;left:7889;top:76;width:991;height:2" coordorigin="7889,76" coordsize="991,0" path="m7889,76l8880,76e" filled="false" stroked="true" strokeweight=".96pt" strokecolor="#000000">
                <v:path arrowok="t"/>
              </v:shape>
            </v:group>
            <v:group style="position:absolute;left:8880;top:76;width:20;height:2" coordorigin="8880,76" coordsize="20,2">
              <v:shape style="position:absolute;left:8880;top:76;width:20;height:2" coordorigin="8880,76" coordsize="20,0" path="m8880,76l8899,76e" filled="false" stroked="true" strokeweight=".96pt" strokecolor="#000000">
                <v:path arrowok="t"/>
              </v:shape>
            </v:group>
            <v:group style="position:absolute;left:8899;top:76;width:262;height:2" coordorigin="8899,76" coordsize="262,2">
              <v:shape style="position:absolute;left:8899;top:76;width:262;height:2" coordorigin="8899,76" coordsize="262,0" path="m8899,76l9161,76e" filled="false" stroked="true" strokeweight=".96pt" strokecolor="#000000">
                <v:path arrowok="t"/>
              </v:shape>
            </v:group>
            <v:group style="position:absolute;left:9161;top:76;width:19;height:2" coordorigin="9161,76" coordsize="19,2">
              <v:shape style="position:absolute;left:9161;top:76;width:19;height:2" coordorigin="9161,76" coordsize="19,0" path="m9161,76l9180,76e" filled="false" stroked="true" strokeweight=".96pt" strokecolor="#000000">
                <v:path arrowok="t"/>
              </v:shape>
            </v:group>
            <v:group style="position:absolute;left:9180;top:76;width:833;height:2" coordorigin="9180,76" coordsize="833,2">
              <v:shape style="position:absolute;left:9180;top:76;width:833;height:2" coordorigin="9180,76" coordsize="833,0" path="m9180,76l10013,76e" filled="false" stroked="true" strokeweight=".96pt" strokecolor="#000000">
                <v:path arrowok="t"/>
              </v:shape>
            </v:group>
            <w10:wrap type="none"/>
          </v:group>
        </w:pict>
      </w:r>
      <w:r>
        <w:rPr>
          <w:rFonts w:ascii="宋体" w:hAnsi="宋体" w:cs="宋体" w:eastAsia="宋体" w:hint="default"/>
          <w:sz w:val="15"/>
          <w:szCs w:val="15"/>
        </w:rPr>
        <w:t>坏账准备</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
        <w:rPr>
          <w:rFonts w:ascii="宋体" w:hAnsi="宋体" w:cs="宋体" w:eastAsia="宋体" w:hint="default"/>
          <w:sz w:val="20"/>
          <w:szCs w:val="20"/>
        </w:rPr>
      </w:pPr>
    </w:p>
    <w:p>
      <w:pPr>
        <w:spacing w:line="177" w:lineRule="exact" w:before="0"/>
        <w:ind w:left="240"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p>
      <w:pPr>
        <w:spacing w:after="0" w:line="177" w:lineRule="exact"/>
        <w:jc w:val="left"/>
        <w:rPr>
          <w:rFonts w:ascii="宋体" w:hAnsi="宋体" w:cs="宋体" w:eastAsia="宋体" w:hint="default"/>
          <w:sz w:val="15"/>
          <w:szCs w:val="15"/>
        </w:rPr>
        <w:sectPr>
          <w:type w:val="continuous"/>
          <w:pgSz w:w="11900" w:h="16840"/>
          <w:pgMar w:top="1040" w:bottom="1180" w:left="940" w:right="160"/>
          <w:cols w:num="3" w:equalWidth="0">
            <w:col w:w="4340" w:space="40"/>
            <w:col w:w="4895" w:space="40"/>
            <w:col w:w="1485"/>
          </w:cols>
        </w:sectPr>
      </w:pPr>
    </w:p>
    <w:p>
      <w:pPr>
        <w:tabs>
          <w:tab w:pos="4387" w:val="left" w:leader="none"/>
          <w:tab w:pos="7294" w:val="left" w:leader="none"/>
          <w:tab w:pos="8328" w:val="left" w:leader="none"/>
        </w:tabs>
        <w:spacing w:line="162" w:lineRule="exact" w:before="0"/>
        <w:ind w:left="3248" w:right="179" w:firstLine="0"/>
        <w:jc w:val="left"/>
        <w:rPr>
          <w:rFonts w:ascii="宋体" w:hAnsi="宋体" w:cs="宋体" w:eastAsia="宋体" w:hint="default"/>
          <w:sz w:val="15"/>
          <w:szCs w:val="15"/>
        </w:rPr>
      </w:pPr>
      <w:r>
        <w:rPr>
          <w:rFonts w:ascii="宋体" w:hAnsi="宋体" w:cs="宋体" w:eastAsia="宋体" w:hint="default"/>
          <w:sz w:val="15"/>
          <w:szCs w:val="15"/>
        </w:rPr>
        <w:t>金额</w:t>
        <w:tab/>
      </w: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sz w:val="15"/>
          <w:szCs w:val="15"/>
        </w:rPr>
        <w:t>金额</w:t>
        <w:tab/>
      </w:r>
      <w:r>
        <w:rPr>
          <w:rFonts w:ascii="宋体" w:hAnsi="宋体" w:cs="宋体" w:eastAsia="宋体" w:hint="default"/>
          <w:spacing w:val="-4"/>
          <w:sz w:val="15"/>
          <w:szCs w:val="15"/>
        </w:rPr>
        <w:t>比例（</w:t>
      </w:r>
      <w:r>
        <w:rPr>
          <w:rFonts w:ascii="Times New Roman" w:hAnsi="Times New Roman" w:cs="Times New Roman" w:eastAsia="Times New Roman" w:hint="default"/>
          <w:spacing w:val="-4"/>
          <w:sz w:val="15"/>
          <w:szCs w:val="15"/>
        </w:rPr>
        <w:t>%</w:t>
      </w:r>
      <w:r>
        <w:rPr>
          <w:rFonts w:ascii="宋体" w:hAnsi="宋体" w:cs="宋体" w:eastAsia="宋体" w:hint="default"/>
          <w:spacing w:val="-4"/>
          <w:sz w:val="15"/>
          <w:szCs w:val="15"/>
        </w:rPr>
        <w:t>）</w:t>
      </w:r>
    </w:p>
    <w:p>
      <w:pPr>
        <w:spacing w:line="240" w:lineRule="auto" w:before="6"/>
        <w:rPr>
          <w:rFonts w:ascii="宋体" w:hAnsi="宋体" w:cs="宋体" w:eastAsia="宋体" w:hint="default"/>
          <w:sz w:val="2"/>
          <w:szCs w:val="2"/>
        </w:rPr>
      </w:pPr>
    </w:p>
    <w:p>
      <w:pPr>
        <w:tabs>
          <w:tab w:pos="2818" w:val="left" w:leader="none"/>
          <w:tab w:pos="4244" w:val="left" w:leader="none"/>
          <w:tab w:pos="5520" w:val="left" w:leader="none"/>
          <w:tab w:pos="6939" w:val="left" w:leader="none"/>
          <w:tab w:pos="8211" w:val="left" w:leader="none"/>
          <w:tab w:pos="9348" w:val="left" w:leader="none"/>
        </w:tabs>
        <w:spacing w:line="20" w:lineRule="exact"/>
        <w:ind w:left="564" w:right="0" w:firstLine="0"/>
        <w:rPr>
          <w:rFonts w:ascii="宋体" w:hAnsi="宋体" w:cs="宋体" w:eastAsia="宋体" w:hint="default"/>
          <w:sz w:val="2"/>
          <w:szCs w:val="2"/>
        </w:rPr>
      </w:pPr>
      <w:r>
        <w:rPr>
          <w:rFonts w:ascii="宋体"/>
          <w:sz w:val="2"/>
        </w:rPr>
        <w:pict>
          <v:group style="width:92.5pt;height:.95pt;mso-position-horizontal-relative:char;mso-position-vertical-relative:line" coordorigin="0,0" coordsize="1850,19">
            <v:group style="position:absolute;left:9;top:9;width:1831;height:2" coordorigin="9,9" coordsize="1831,2">
              <v:shape style="position:absolute;left:9;top:9;width:1831;height:2" coordorigin="9,9" coordsize="1831,0" path="m9,9l1840,9e" filled="false" stroked="true" strokeweight=".95pt" strokecolor="#000000">
                <v:path arrowok="t"/>
              </v:shape>
            </v:group>
          </v:group>
        </w:pict>
      </w:r>
      <w:r>
        <w:rPr>
          <w:rFonts w:ascii="宋体"/>
          <w:sz w:val="2"/>
        </w:rPr>
      </w:r>
      <w:r>
        <w:rPr>
          <w:rFonts w:ascii="宋体"/>
          <w:sz w:val="2"/>
        </w:rPr>
        <w:tab/>
      </w:r>
      <w:r>
        <w:rPr>
          <w:rFonts w:ascii="宋体"/>
          <w:sz w:val="2"/>
        </w:rPr>
        <w:pict>
          <v:group style="width:58.1pt;height:.95pt;mso-position-horizontal-relative:char;mso-position-vertical-relative:line" coordorigin="0,0" coordsize="1162,19">
            <v:group style="position:absolute;left:9;top:9;width:1143;height:2" coordorigin="9,9" coordsize="1143,2">
              <v:shape style="position:absolute;left:9;top:9;width:1143;height:2" coordorigin="9,9" coordsize="1143,0" path="m9,9l1152,9e" filled="false" stroked="true" strokeweight=".95pt" strokecolor="#000000">
                <v:path arrowok="t"/>
              </v:shape>
            </v:group>
          </v:group>
        </w:pict>
      </w:r>
      <w:r>
        <w:rPr>
          <w:rFonts w:ascii="宋体"/>
          <w:sz w:val="2"/>
        </w:rPr>
      </w:r>
      <w:r>
        <w:rPr>
          <w:rFonts w:ascii="宋体"/>
          <w:sz w:val="2"/>
        </w:rPr>
        <w:tab/>
      </w:r>
      <w:r>
        <w:rPr>
          <w:rFonts w:ascii="宋体"/>
          <w:sz w:val="2"/>
        </w:rPr>
        <w:pict>
          <v:group style="width:50.65pt;height:.95pt;mso-position-horizontal-relative:char;mso-position-vertical-relative:line" coordorigin="0,0" coordsize="1013,19">
            <v:group style="position:absolute;left:9;top:9;width:994;height:2" coordorigin="9,9" coordsize="994,2">
              <v:shape style="position:absolute;left:9;top:9;width:994;height:2" coordorigin="9,9" coordsize="994,0" path="m9,9l1003,9e" filled="false" stroked="true" strokeweight=".95pt" strokecolor="#000000">
                <v:path arrowok="t"/>
              </v:shape>
            </v:group>
          </v:group>
        </w:pict>
      </w:r>
      <w:r>
        <w:rPr>
          <w:rFonts w:ascii="宋体"/>
          <w:sz w:val="2"/>
        </w:rPr>
      </w:r>
      <w:r>
        <w:rPr>
          <w:rFonts w:ascii="宋体"/>
          <w:sz w:val="2"/>
        </w:rPr>
        <w:tab/>
      </w:r>
      <w:r>
        <w:rPr>
          <w:rFonts w:ascii="宋体"/>
          <w:sz w:val="2"/>
        </w:rPr>
        <w:pict>
          <v:group style="width:57.7pt;height:.95pt;mso-position-horizontal-relative:char;mso-position-vertical-relative:line" coordorigin="0,0" coordsize="1154,19">
            <v:group style="position:absolute;left:9;top:9;width:1135;height:2" coordorigin="9,9" coordsize="1135,2">
              <v:shape style="position:absolute;left:9;top:9;width:1135;height:2" coordorigin="9,9" coordsize="1135,0" path="m9,9l1144,9e" filled="false" stroked="true" strokeweight=".95pt" strokecolor="#000000">
                <v:path arrowok="t"/>
              </v:shape>
            </v:group>
          </v:group>
        </w:pict>
      </w:r>
      <w:r>
        <w:rPr>
          <w:rFonts w:ascii="宋体"/>
          <w:sz w:val="2"/>
        </w:rPr>
      </w:r>
      <w:r>
        <w:rPr>
          <w:rFonts w:ascii="宋体"/>
          <w:sz w:val="2"/>
        </w:rPr>
        <w:tab/>
      </w:r>
      <w:r>
        <w:rPr>
          <w:rFonts w:ascii="宋体"/>
          <w:sz w:val="2"/>
        </w:rPr>
        <w:pict>
          <v:group style="width:50.5pt;height:.95pt;mso-position-horizontal-relative:char;mso-position-vertical-relative:line" coordorigin="0,0" coordsize="1010,19">
            <v:group style="position:absolute;left:9;top:9;width:991;height:2" coordorigin="9,9" coordsize="991,2">
              <v:shape style="position:absolute;left:9;top:9;width:991;height:2" coordorigin="9,9" coordsize="991,0" path="m9,9l1000,9e" filled="false" stroked="true" strokeweight=".95pt" strokecolor="#000000">
                <v:path arrowok="t"/>
              </v:shape>
            </v:group>
          </v:group>
        </w:pict>
      </w:r>
      <w:r>
        <w:rPr>
          <w:rFonts w:ascii="宋体"/>
          <w:sz w:val="2"/>
        </w:rPr>
      </w:r>
      <w:r>
        <w:rPr>
          <w:rFonts w:ascii="宋体"/>
          <w:sz w:val="2"/>
        </w:rPr>
        <w:tab/>
      </w:r>
      <w:r>
        <w:rPr>
          <w:rFonts w:ascii="宋体"/>
          <w:sz w:val="2"/>
        </w:rPr>
        <w:pict>
          <v:group style="width:43.55pt;height:.95pt;mso-position-horizontal-relative:char;mso-position-vertical-relative:line" coordorigin="0,0" coordsize="871,19">
            <v:group style="position:absolute;left:9;top:9;width:852;height:2" coordorigin="9,9" coordsize="852,2">
              <v:shape style="position:absolute;left:9;top:9;width:852;height:2" coordorigin="9,9" coordsize="852,0" path="m9,9l861,9e" filled="false" stroked="true" strokeweight=".95pt" strokecolor="#000000">
                <v:path arrowok="t"/>
              </v:shape>
            </v:group>
          </v:group>
        </w:pict>
      </w:r>
      <w:r>
        <w:rPr>
          <w:rFonts w:ascii="宋体"/>
          <w:sz w:val="2"/>
        </w:rPr>
      </w:r>
      <w:r>
        <w:rPr>
          <w:rFonts w:ascii="宋体"/>
          <w:sz w:val="2"/>
        </w:rPr>
        <w:tab/>
      </w:r>
      <w:r>
        <w:rPr>
          <w:rFonts w:ascii="宋体"/>
          <w:sz w:val="2"/>
        </w:rPr>
        <w:pict>
          <v:group style="width:50.9pt;height:.95pt;mso-position-horizontal-relative:char;mso-position-vertical-relative:line" coordorigin="0,0" coordsize="1018,19">
            <v:group style="position:absolute;left:9;top:9;width:999;height:2" coordorigin="9,9" coordsize="999,2">
              <v:shape style="position:absolute;left:9;top:9;width:999;height:2" coordorigin="9,9" coordsize="999,0" path="m9,9l1008,9e" filled="false" stroked="true" strokeweight=".95pt" strokecolor="#000000">
                <v:path arrowok="t"/>
              </v:shape>
            </v:group>
          </v:group>
        </w:pict>
      </w:r>
      <w:r>
        <w:rPr>
          <w:rFonts w:ascii="宋体"/>
          <w:sz w:val="2"/>
        </w:rPr>
      </w:r>
    </w:p>
    <w:p>
      <w:pPr>
        <w:tabs>
          <w:tab w:pos="3187" w:val="left" w:leader="none"/>
          <w:tab w:pos="4726" w:val="left" w:leader="none"/>
          <w:tab w:pos="6504" w:val="left" w:leader="none"/>
          <w:tab w:pos="7231" w:val="left" w:leader="none"/>
          <w:tab w:pos="8551" w:val="left" w:leader="none"/>
          <w:tab w:pos="10198" w:val="left" w:leader="none"/>
        </w:tabs>
        <w:spacing w:before="0"/>
        <w:ind w:left="680" w:right="179"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t>1</w:t>
      </w:r>
      <w:r>
        <w:rPr>
          <w:rFonts w:ascii="Times New Roman" w:hAnsi="Times New Roman" w:cs="Times New Roman" w:eastAsia="Times New Roman" w:hint="default"/>
          <w:spacing w:val="2"/>
          <w:position w:val="-2"/>
          <w:sz w:val="15"/>
          <w:szCs w:val="15"/>
        </w:rPr>
        <w:t> </w:t>
      </w:r>
      <w:r>
        <w:rPr>
          <w:rFonts w:ascii="宋体" w:hAnsi="宋体" w:cs="宋体" w:eastAsia="宋体" w:hint="default"/>
          <w:spacing w:val="-1"/>
          <w:position w:val="-2"/>
          <w:sz w:val="15"/>
          <w:szCs w:val="15"/>
        </w:rPr>
        <w:t>年以内</w:t>
        <w:tab/>
      </w:r>
      <w:r>
        <w:rPr>
          <w:rFonts w:ascii="Times New Roman" w:hAnsi="Times New Roman" w:cs="Times New Roman" w:eastAsia="Times New Roman" w:hint="default"/>
          <w:spacing w:val="-1"/>
          <w:sz w:val="15"/>
          <w:szCs w:val="15"/>
        </w:rPr>
        <w:t>717,213.50</w:t>
        <w:tab/>
        <w:t>100.00</w:t>
        <w:tab/>
      </w:r>
      <w:r>
        <w:rPr>
          <w:rFonts w:ascii="Times New Roman" w:hAnsi="Times New Roman" w:cs="Times New Roman" w:eastAsia="Times New Roman" w:hint="default"/>
          <w:position w:val="3"/>
          <w:sz w:val="15"/>
          <w:szCs w:val="15"/>
        </w:rPr>
        <w:t>-</w:t>
        <w:tab/>
      </w:r>
      <w:r>
        <w:rPr>
          <w:rFonts w:ascii="Times New Roman" w:hAnsi="Times New Roman" w:cs="Times New Roman" w:eastAsia="Times New Roman" w:hint="default"/>
          <w:spacing w:val="-1"/>
          <w:sz w:val="15"/>
          <w:szCs w:val="15"/>
        </w:rPr>
        <w:t>79,807.68</w:t>
        <w:tab/>
        <w:t>100.00</w:t>
        <w:tab/>
      </w:r>
      <w:r>
        <w:rPr>
          <w:rFonts w:ascii="Times New Roman" w:hAnsi="Times New Roman" w:cs="Times New Roman" w:eastAsia="Times New Roman" w:hint="default"/>
          <w:position w:val="3"/>
          <w:sz w:val="15"/>
          <w:szCs w:val="15"/>
        </w:rPr>
        <w:t>-</w:t>
      </w:r>
      <w:r>
        <w:rPr>
          <w:rFonts w:ascii="Times New Roman" w:hAnsi="Times New Roman" w:cs="Times New Roman" w:eastAsia="Times New Roman" w:hint="default"/>
          <w:sz w:val="15"/>
          <w:szCs w:val="15"/>
        </w:rPr>
      </w:r>
    </w:p>
    <w:p>
      <w:pPr>
        <w:tabs>
          <w:tab w:pos="4248" w:val="left" w:leader="none"/>
          <w:tab w:pos="5525" w:val="left" w:leader="none"/>
          <w:tab w:pos="6944" w:val="left" w:leader="none"/>
          <w:tab w:pos="8216" w:val="left" w:leader="none"/>
          <w:tab w:pos="9353" w:val="left" w:leader="none"/>
        </w:tabs>
        <w:spacing w:line="28" w:lineRule="exact"/>
        <w:ind w:left="2823" w:right="0" w:firstLine="0"/>
        <w:rPr>
          <w:rFonts w:ascii="Times New Roman" w:hAnsi="Times New Roman" w:cs="Times New Roman" w:eastAsia="Times New Roman" w:hint="default"/>
          <w:sz w:val="2"/>
          <w:szCs w:val="2"/>
        </w:rPr>
      </w:pPr>
      <w:r>
        <w:rPr>
          <w:rFonts w:ascii="Times New Roman"/>
          <w:position w:val="0"/>
          <w:sz w:val="2"/>
        </w:rPr>
        <w:pict>
          <v:group style="width:57.6pt;height:1.45pt;mso-position-horizontal-relative:char;mso-position-vertical-relative:line" coordorigin="0,0" coordsize="1152,29">
            <v:group style="position:absolute;left:5;top:5;width:1143;height:2" coordorigin="5,5" coordsize="1143,2">
              <v:shape style="position:absolute;left:5;top:5;width:1143;height:2" coordorigin="5,5" coordsize="1143,0" path="m5,5l1147,5e" filled="false" stroked="true" strokeweight=".48pt" strokecolor="#000000">
                <v:path arrowok="t"/>
              </v:shape>
            </v:group>
            <v:group style="position:absolute;left:5;top:24;width:1143;height:2" coordorigin="5,24" coordsize="1143,2">
              <v:shape style="position:absolute;left:5;top:24;width:1143;height:2" coordorigin="5,24" coordsize="1143,0" path="m5,24l114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0.15pt;height:1.45pt;mso-position-horizontal-relative:char;mso-position-vertical-relative:line" coordorigin="0,0" coordsize="1003,29">
            <v:group style="position:absolute;left:5;top:5;width:994;height:2" coordorigin="5,5" coordsize="994,2">
              <v:shape style="position:absolute;left:5;top:5;width:994;height:2" coordorigin="5,5" coordsize="994,0" path="m5,5l998,5e" filled="false" stroked="true" strokeweight=".48pt" strokecolor="#000000">
                <v:path arrowok="t"/>
              </v:shape>
            </v:group>
            <v:group style="position:absolute;left:5;top:24;width:994;height:2" coordorigin="5,24" coordsize="994,2">
              <v:shape style="position:absolute;left:5;top:24;width:994;height:2" coordorigin="5,24" coordsize="994,0" path="m5,24l998,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7.25pt;height:1.45pt;mso-position-horizontal-relative:char;mso-position-vertical-relative:line" coordorigin="0,0" coordsize="1145,29">
            <v:group style="position:absolute;left:5;top:5;width:1135;height:2" coordorigin="5,5" coordsize="1135,2">
              <v:shape style="position:absolute;left:5;top:5;width:1135;height:2" coordorigin="5,5" coordsize="1135,0" path="m5,5l1140,5e" filled="false" stroked="true" strokeweight=".48pt" strokecolor="#000000">
                <v:path arrowok="t"/>
              </v:shape>
            </v:group>
            <v:group style="position:absolute;left:5;top:24;width:1135;height:2" coordorigin="5,24" coordsize="1135,2">
              <v:shape style="position:absolute;left:5;top:24;width:1135;height:2" coordorigin="5,24" coordsize="1135,0" path="m5,24l1140,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0.05pt;height:1.45pt;mso-position-horizontal-relative:char;mso-position-vertical-relative:line" coordorigin="0,0" coordsize="1001,29">
            <v:group style="position:absolute;left:5;top:5;width:991;height:2" coordorigin="5,5" coordsize="991,2">
              <v:shape style="position:absolute;left:5;top:5;width:991;height:2" coordorigin="5,5" coordsize="991,0" path="m5,5l996,5e" filled="false" stroked="true" strokeweight=".48pt" strokecolor="#000000">
                <v:path arrowok="t"/>
              </v:shape>
            </v:group>
            <v:group style="position:absolute;left:5;top:24;width:991;height:2" coordorigin="5,24" coordsize="991,2">
              <v:shape style="position:absolute;left:5;top:24;width:991;height:2" coordorigin="5,24" coordsize="991,0" path="m5,24l996,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43.1pt;height:1.45pt;mso-position-horizontal-relative:char;mso-position-vertical-relative:line" coordorigin="0,0" coordsize="862,29">
            <v:group style="position:absolute;left:5;top:5;width:852;height:2" coordorigin="5,5" coordsize="852,2">
              <v:shape style="position:absolute;left:5;top:5;width:852;height:2" coordorigin="5,5" coordsize="852,0" path="m5,5l857,5e" filled="false" stroked="true" strokeweight=".48pt" strokecolor="#000000">
                <v:path arrowok="t"/>
              </v:shape>
            </v:group>
            <v:group style="position:absolute;left:5;top:24;width:852;height:2" coordorigin="5,24" coordsize="852,2">
              <v:shape style="position:absolute;left:5;top:24;width:852;height:2" coordorigin="5,24" coordsize="852,0" path="m5,24l857,24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50.4pt;height:1.45pt;mso-position-horizontal-relative:char;mso-position-vertical-relative:line" coordorigin="0,0" coordsize="1008,29">
            <v:group style="position:absolute;left:5;top:5;width:999;height:2" coordorigin="5,5" coordsize="999,2">
              <v:shape style="position:absolute;left:5;top:5;width:999;height:2" coordorigin="5,5" coordsize="999,0" path="m5,5l1003,5e" filled="false" stroked="true" strokeweight=".48pt" strokecolor="#000000">
                <v:path arrowok="t"/>
              </v:shape>
            </v:group>
            <v:group style="position:absolute;left:5;top:24;width:999;height:2" coordorigin="5,24" coordsize="999,2">
              <v:shape style="position:absolute;left:5;top:24;width:999;height:2" coordorigin="5,24" coordsize="999,0" path="m5,24l1003,24e" filled="false" stroked="true" strokeweight=".48pt" strokecolor="#000000">
                <v:path arrowok="t"/>
              </v:shape>
            </v:group>
          </v:group>
        </w:pict>
      </w:r>
      <w:r>
        <w:rPr>
          <w:rFonts w:ascii="Times New Roman"/>
          <w:position w:val="0"/>
          <w:sz w:val="2"/>
        </w:rPr>
      </w:r>
    </w:p>
    <w:p>
      <w:pPr>
        <w:spacing w:line="240" w:lineRule="auto" w:before="2"/>
        <w:rPr>
          <w:rFonts w:ascii="Times New Roman" w:hAnsi="Times New Roman" w:cs="Times New Roman" w:eastAsia="Times New Roman" w:hint="default"/>
          <w:sz w:val="22"/>
          <w:szCs w:val="22"/>
        </w:rPr>
      </w:pPr>
    </w:p>
    <w:p>
      <w:pPr>
        <w:spacing w:before="36"/>
        <w:ind w:left="680" w:right="1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应收账款余额前五名单位情况</w:t>
      </w:r>
    </w:p>
    <w:p>
      <w:pPr>
        <w:spacing w:line="240" w:lineRule="auto" w:before="10"/>
        <w:rPr>
          <w:rFonts w:ascii="宋体" w:hAnsi="宋体" w:cs="宋体" w:eastAsia="宋体" w:hint="default"/>
          <w:sz w:val="16"/>
          <w:szCs w:val="16"/>
        </w:rPr>
      </w:pPr>
    </w:p>
    <w:p>
      <w:pPr>
        <w:tabs>
          <w:tab w:pos="4229" w:val="left" w:leader="none"/>
          <w:tab w:pos="6259" w:val="left" w:leader="none"/>
          <w:tab w:pos="7800" w:val="left" w:leader="none"/>
          <w:tab w:pos="8952" w:val="left" w:leader="none"/>
        </w:tabs>
        <w:spacing w:before="0"/>
        <w:ind w:left="1779" w:right="179" w:firstLine="0"/>
        <w:jc w:val="left"/>
        <w:rPr>
          <w:rFonts w:ascii="宋体" w:hAnsi="宋体" w:cs="宋体" w:eastAsia="宋体" w:hint="default"/>
          <w:sz w:val="21"/>
          <w:szCs w:val="21"/>
        </w:rPr>
      </w:pPr>
      <w:r>
        <w:rPr/>
        <w:pict>
          <v:shape style="position:absolute;margin-left:73.370003pt;margin-top:16.917273pt;width:491.5pt;height:79.2pt;mso-position-horizontal-relative:page;mso-position-vertical-relative:paragraph;z-index:9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1"/>
                    <w:gridCol w:w="283"/>
                    <w:gridCol w:w="1418"/>
                    <w:gridCol w:w="283"/>
                    <w:gridCol w:w="1418"/>
                    <w:gridCol w:w="283"/>
                    <w:gridCol w:w="993"/>
                    <w:gridCol w:w="300"/>
                    <w:gridCol w:w="1548"/>
                  </w:tblGrid>
                  <w:tr>
                    <w:trPr>
                      <w:trHeight w:val="249" w:hRule="exact"/>
                    </w:trPr>
                    <w:tc>
                      <w:tcPr>
                        <w:tcW w:w="8281" w:type="dxa"/>
                        <w:gridSpan w:val="8"/>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227" w:lineRule="exact"/>
                          <w:ind w:right="160"/>
                          <w:jc w:val="right"/>
                          <w:rPr>
                            <w:rFonts w:ascii="宋体" w:hAnsi="宋体" w:cs="宋体" w:eastAsia="宋体" w:hint="default"/>
                            <w:sz w:val="21"/>
                            <w:szCs w:val="21"/>
                          </w:rPr>
                        </w:pPr>
                        <w:r>
                          <w:rPr>
                            <w:rFonts w:ascii="宋体" w:hAnsi="宋体" w:cs="宋体" w:eastAsia="宋体" w:hint="default"/>
                            <w:spacing w:val="-1"/>
                            <w:sz w:val="21"/>
                            <w:szCs w:val="21"/>
                          </w:rPr>
                          <w:t>额比例（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278" w:hRule="exact"/>
                    </w:trPr>
                    <w:tc>
                      <w:tcPr>
                        <w:tcW w:w="3301" w:type="dxa"/>
                        <w:tcBorders>
                          <w:top w:val="single" w:sz="4" w:space="0" w:color="000000"/>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z w:val="21"/>
                            <w:szCs w:val="21"/>
                          </w:rPr>
                          <w:t>子公司</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22,389,489.63</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z w:val="21"/>
                          </w:rPr>
                          <w:t>96.90</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上海普天邮通科技股份有限公司</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623,400.00</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z w:val="21"/>
                          </w:rPr>
                          <w:t>2.70</w:t>
                        </w:r>
                      </w:p>
                    </w:tc>
                  </w:tr>
                  <w:tr>
                    <w:trPr>
                      <w:trHeight w:val="272"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南京欣网视讯网络科技有限公司</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80,000.00</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5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0.34</w:t>
                        </w:r>
                      </w:p>
                    </w:tc>
                  </w:tr>
                  <w:tr>
                    <w:trPr>
                      <w:trHeight w:val="253"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青岛永旺东泰商业有限公司</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非关联方</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9,563.50</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z w:val="21"/>
                          </w:rPr>
                          <w:t>0.04</w:t>
                        </w:r>
                      </w:p>
                    </w:tc>
                  </w:tr>
                  <w:tr>
                    <w:trPr>
                      <w:trHeight w:val="26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柯尼卡美能达办公系统（中国）有</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1"/>
          <w:sz w:val="21"/>
          <w:szCs w:val="21"/>
        </w:rPr>
        <w:t>单位名称</w:t>
        <w:tab/>
        <w:t>与本公司关系</w:t>
        <w:tab/>
      </w:r>
      <w:r>
        <w:rPr>
          <w:rFonts w:ascii="宋体" w:hAnsi="宋体" w:cs="宋体" w:eastAsia="宋体" w:hint="default"/>
          <w:sz w:val="21"/>
          <w:szCs w:val="21"/>
        </w:rPr>
        <w:t>金额</w:t>
        <w:tab/>
        <w:t>年限</w:t>
        <w:tab/>
      </w:r>
      <w:r>
        <w:rPr>
          <w:rFonts w:ascii="宋体" w:hAnsi="宋体" w:cs="宋体" w:eastAsia="宋体" w:hint="default"/>
          <w:spacing w:val="-1"/>
          <w:position w:val="14"/>
          <w:sz w:val="21"/>
          <w:szCs w:val="21"/>
        </w:rPr>
        <w:t>占应收账款总</w:t>
      </w:r>
      <w:r>
        <w:rPr>
          <w:rFonts w:ascii="宋体" w:hAnsi="宋体" w:cs="宋体" w:eastAsia="宋体" w:hint="default"/>
          <w:spacing w:val="-1"/>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tabs>
          <w:tab w:pos="6387" w:val="left" w:leader="none"/>
          <w:tab w:pos="7623" w:val="left" w:leader="none"/>
          <w:tab w:pos="10250" w:val="right" w:leader="none"/>
        </w:tabs>
        <w:spacing w:before="36"/>
        <w:ind w:left="4582" w:right="0" w:firstLine="0"/>
        <w:jc w:val="left"/>
        <w:rPr>
          <w:rFonts w:ascii="Times New Roman" w:hAnsi="Times New Roman" w:cs="Times New Roman" w:eastAsia="Times New Roman" w:hint="default"/>
          <w:sz w:val="21"/>
          <w:szCs w:val="21"/>
        </w:rPr>
      </w:pPr>
      <w:r>
        <w:rPr/>
        <w:pict>
          <v:shape style="position:absolute;margin-left:73.370003pt;margin-top:11.71726pt;width:491.5pt;height:95.5pt;mso-position-horizontal-relative:page;mso-position-vertical-relative:paragraph;z-index:9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0"/>
                    <w:gridCol w:w="242"/>
                    <w:gridCol w:w="2002"/>
                    <w:gridCol w:w="362"/>
                    <w:gridCol w:w="1843"/>
                    <w:gridCol w:w="300"/>
                    <w:gridCol w:w="2400"/>
                  </w:tblGrid>
                  <w:tr>
                    <w:trPr>
                      <w:trHeight w:val="249" w:hRule="exact"/>
                    </w:trPr>
                    <w:tc>
                      <w:tcPr>
                        <w:tcW w:w="2680"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150" w:type="dxa"/>
                        <w:gridSpan w:val="6"/>
                        <w:tcBorders>
                          <w:top w:val="nil" w:sz="6" w:space="0" w:color="auto"/>
                          <w:left w:val="nil" w:sz="6" w:space="0" w:color="auto"/>
                          <w:bottom w:val="nil" w:sz="6" w:space="0" w:color="auto"/>
                          <w:right w:val="nil" w:sz="6" w:space="0" w:color="auto"/>
                        </w:tcBorders>
                      </w:tcPr>
                      <w:p>
                        <w:pPr/>
                      </w:p>
                    </w:tc>
                  </w:tr>
                  <w:tr>
                    <w:trPr>
                      <w:trHeight w:val="293" w:hRule="exact"/>
                    </w:trPr>
                    <w:tc>
                      <w:tcPr>
                        <w:tcW w:w="2680" w:type="dxa"/>
                        <w:tcBorders>
                          <w:top w:val="nil" w:sz="6" w:space="0" w:color="auto"/>
                          <w:left w:val="nil" w:sz="6" w:space="0" w:color="auto"/>
                          <w:bottom w:val="nil" w:sz="6" w:space="0" w:color="auto"/>
                          <w:right w:val="nil" w:sz="6" w:space="0" w:color="auto"/>
                        </w:tcBorders>
                      </w:tcPr>
                      <w:p>
                        <w:pPr>
                          <w:pStyle w:val="TableParagraph"/>
                          <w:spacing w:line="245" w:lineRule="exact"/>
                          <w:ind w:left="15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2"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11" w:space="0" w:color="000000"/>
                          <w:right w:val="nil" w:sz="6" w:space="0" w:color="auto"/>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23,106,703.13</w:t>
                        </w:r>
                      </w:p>
                    </w:tc>
                    <w:tc>
                      <w:tcPr>
                        <w:tcW w:w="300"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single" w:sz="11"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z w:val="21"/>
                          </w:rPr>
                          <w:t>100.00</w:t>
                        </w:r>
                      </w:p>
                    </w:tc>
                  </w:tr>
                  <w:tr>
                    <w:trPr>
                      <w:trHeight w:val="1046" w:hRule="exact"/>
                    </w:trPr>
                    <w:tc>
                      <w:tcPr>
                        <w:tcW w:w="2680" w:type="dxa"/>
                        <w:tcBorders>
                          <w:top w:val="nil" w:sz="6" w:space="0" w:color="auto"/>
                          <w:left w:val="nil" w:sz="6" w:space="0" w:color="auto"/>
                          <w:bottom w:val="single" w:sz="4" w:space="0" w:color="000000"/>
                          <w:right w:val="nil" w:sz="6" w:space="0" w:color="auto"/>
                        </w:tcBorders>
                      </w:tcPr>
                      <w:p>
                        <w:pPr>
                          <w:pStyle w:val="TableParagraph"/>
                          <w:spacing w:line="490" w:lineRule="atLeast" w:before="23"/>
                          <w:ind w:left="939" w:right="4" w:hanging="788"/>
                          <w:jc w:val="left"/>
                          <w:rPr>
                            <w:rFonts w:ascii="宋体" w:hAnsi="宋体" w:cs="宋体" w:eastAsia="宋体" w:hint="default"/>
                            <w:sz w:val="21"/>
                            <w:szCs w:val="21"/>
                          </w:rPr>
                        </w:pPr>
                        <w:r>
                          <w:rPr>
                            <w:rFonts w:ascii="Times New Roman" w:hAnsi="Times New Roman" w:cs="Times New Roman" w:eastAsia="Times New Roman" w:hint="default"/>
                            <w:sz w:val="21"/>
                            <w:szCs w:val="21"/>
                          </w:rPr>
                          <w:t>12.1.4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应收关联方账款情况</w:t>
                        </w:r>
                        <w:r>
                          <w:rPr>
                            <w:rFonts w:ascii="宋体" w:hAnsi="宋体" w:cs="宋体" w:eastAsia="宋体" w:hint="default"/>
                            <w:w w:val="100"/>
                            <w:sz w:val="21"/>
                            <w:szCs w:val="21"/>
                          </w:rPr>
                          <w:t> </w:t>
                        </w:r>
                        <w:r>
                          <w:rPr>
                            <w:rFonts w:ascii="宋体" w:hAnsi="宋体" w:cs="宋体" w:eastAsia="宋体" w:hint="default"/>
                            <w:sz w:val="21"/>
                            <w:szCs w:val="21"/>
                          </w:rPr>
                          <w:t>单位名称</w:t>
                        </w:r>
                      </w:p>
                    </w:tc>
                    <w:tc>
                      <w:tcPr>
                        <w:tcW w:w="242"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362" w:type="dxa"/>
                        <w:tcBorders>
                          <w:top w:val="nil" w:sz="6" w:space="0" w:color="auto"/>
                          <w:left w:val="nil" w:sz="6" w:space="0" w:color="auto"/>
                          <w:bottom w:val="nil" w:sz="6" w:space="0" w:color="auto"/>
                          <w:right w:val="nil" w:sz="6" w:space="0" w:color="auto"/>
                        </w:tcBorders>
                      </w:tcPr>
                      <w:p>
                        <w:pPr/>
                      </w:p>
                    </w:tc>
                    <w:tc>
                      <w:tcPr>
                        <w:tcW w:w="1843" w:type="dxa"/>
                        <w:tcBorders>
                          <w:top w:val="single" w:sz="11"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0" w:type="dxa"/>
                        <w:tcBorders>
                          <w:top w:val="nil" w:sz="6" w:space="0" w:color="auto"/>
                          <w:left w:val="nil" w:sz="6" w:space="0" w:color="auto"/>
                          <w:bottom w:val="nil" w:sz="6" w:space="0" w:color="auto"/>
                          <w:right w:val="nil" w:sz="6" w:space="0" w:color="auto"/>
                        </w:tcBorders>
                      </w:tcPr>
                      <w:p>
                        <w:pPr/>
                      </w:p>
                    </w:tc>
                    <w:tc>
                      <w:tcPr>
                        <w:tcW w:w="2400" w:type="dxa"/>
                        <w:tcBorders>
                          <w:top w:val="single" w:sz="11"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48"/>
                          <w:jc w:val="right"/>
                          <w:rPr>
                            <w:rFonts w:ascii="宋体" w:hAnsi="宋体" w:cs="宋体" w:eastAsia="宋体" w:hint="default"/>
                            <w:sz w:val="21"/>
                            <w:szCs w:val="21"/>
                          </w:rPr>
                        </w:pPr>
                        <w:r>
                          <w:rPr>
                            <w:rFonts w:ascii="宋体" w:hAnsi="宋体" w:cs="宋体" w:eastAsia="宋体" w:hint="default"/>
                            <w:spacing w:val="-2"/>
                            <w:sz w:val="21"/>
                            <w:szCs w:val="21"/>
                          </w:rPr>
                          <w:t>占应收账款总额的比例</w:t>
                        </w:r>
                      </w:p>
                    </w:tc>
                  </w:tr>
                  <w:tr>
                    <w:trPr>
                      <w:trHeight w:val="293" w:hRule="exact"/>
                    </w:trPr>
                    <w:tc>
                      <w:tcPr>
                        <w:tcW w:w="2680" w:type="dxa"/>
                        <w:tcBorders>
                          <w:top w:val="single" w:sz="4" w:space="0" w:color="000000"/>
                          <w:left w:val="nil" w:sz="6" w:space="0" w:color="auto"/>
                          <w:bottom w:val="nil" w:sz="6" w:space="0" w:color="auto"/>
                          <w:right w:val="nil" w:sz="6" w:space="0" w:color="auto"/>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42"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362"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525" w:right="0"/>
                          <w:jc w:val="left"/>
                          <w:rPr>
                            <w:rFonts w:ascii="Times New Roman" w:hAnsi="Times New Roman" w:cs="Times New Roman" w:eastAsia="Times New Roman" w:hint="default"/>
                            <w:sz w:val="21"/>
                            <w:szCs w:val="21"/>
                          </w:rPr>
                        </w:pPr>
                        <w:r>
                          <w:rPr>
                            <w:rFonts w:ascii="Times New Roman"/>
                            <w:sz w:val="21"/>
                          </w:rPr>
                          <w:t>22,389,489.63</w:t>
                        </w:r>
                      </w:p>
                    </w:tc>
                    <w:tc>
                      <w:tcPr>
                        <w:tcW w:w="300" w:type="dxa"/>
                        <w:tcBorders>
                          <w:top w:val="nil" w:sz="6" w:space="0" w:color="auto"/>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96.90%</w:t>
                        </w:r>
                      </w:p>
                    </w:tc>
                  </w:tr>
                </w:tbl>
                <w:p>
                  <w:pPr/>
                </w:p>
              </w:txbxContent>
            </v:textbox>
            <w10:wrap type="none"/>
          </v:shape>
        </w:pict>
      </w:r>
      <w:r>
        <w:rPr>
          <w:rFonts w:ascii="宋体" w:hAnsi="宋体" w:cs="宋体" w:eastAsia="宋体" w:hint="default"/>
          <w:spacing w:val="-1"/>
          <w:sz w:val="21"/>
          <w:szCs w:val="21"/>
        </w:rPr>
        <w:t>非关联方</w:t>
        <w:tab/>
      </w:r>
      <w:r>
        <w:rPr>
          <w:rFonts w:ascii="Times New Roman" w:hAnsi="Times New Roman" w:cs="Times New Roman" w:eastAsia="Times New Roman" w:hint="default"/>
          <w:spacing w:val="-1"/>
          <w:position w:val="1"/>
          <w:sz w:val="21"/>
          <w:szCs w:val="21"/>
        </w:rPr>
        <w:t>4,250.00</w:t>
        <w:tab/>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pacing w:val="-1"/>
          <w:sz w:val="21"/>
          <w:szCs w:val="21"/>
        </w:rPr>
        <w:t>年以内</w:t>
      </w:r>
      <w:r>
        <w:rPr>
          <w:rFonts w:ascii="Times New Roman" w:hAnsi="Times New Roman" w:cs="Times New Roman" w:eastAsia="Times New Roman" w:hint="default"/>
          <w:spacing w:val="-1"/>
          <w:position w:val="1"/>
          <w:sz w:val="21"/>
          <w:szCs w:val="21"/>
        </w:rPr>
        <w:tab/>
      </w:r>
      <w:r>
        <w:rPr>
          <w:rFonts w:ascii="Times New Roman" w:hAnsi="Times New Roman" w:cs="Times New Roman" w:eastAsia="Times New Roman" w:hint="default"/>
          <w:position w:val="1"/>
          <w:sz w:val="21"/>
          <w:szCs w:val="21"/>
        </w:rPr>
        <w:t>0.02</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274" w:lineRule="exact" w:before="0"/>
        <w:ind w:left="680" w:right="179" w:firstLine="0"/>
        <w:jc w:val="left"/>
        <w:rPr>
          <w:rFonts w:ascii="宋体" w:hAnsi="宋体" w:cs="宋体" w:eastAsia="宋体" w:hint="default"/>
          <w:sz w:val="21"/>
          <w:szCs w:val="21"/>
        </w:rPr>
      </w:pPr>
      <w:r>
        <w:rPr>
          <w:rFonts w:ascii="宋体" w:hAnsi="宋体" w:cs="宋体" w:eastAsia="宋体" w:hint="default"/>
          <w:sz w:val="21"/>
          <w:szCs w:val="21"/>
        </w:rPr>
        <w:t>应收账款年末数比年初数增加</w:t>
      </w:r>
      <w:r>
        <w:rPr>
          <w:rFonts w:ascii="宋体" w:hAnsi="宋体" w:cs="宋体" w:eastAsia="宋体" w:hint="default"/>
          <w:spacing w:val="10"/>
          <w:sz w:val="21"/>
          <w:szCs w:val="21"/>
        </w:rPr>
        <w:t> </w:t>
      </w:r>
      <w:r>
        <w:rPr>
          <w:rFonts w:ascii="Times New Roman" w:hAnsi="Times New Roman" w:cs="Times New Roman" w:eastAsia="Times New Roman" w:hint="default"/>
          <w:sz w:val="21"/>
          <w:szCs w:val="21"/>
        </w:rPr>
        <w:t>17,449,699.17</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元，增加比例为</w:t>
      </w:r>
      <w:r>
        <w:rPr>
          <w:rFonts w:ascii="宋体" w:hAnsi="宋体" w:cs="宋体" w:eastAsia="宋体" w:hint="default"/>
          <w:spacing w:val="10"/>
          <w:sz w:val="21"/>
          <w:szCs w:val="21"/>
        </w:rPr>
        <w:t> </w:t>
      </w:r>
      <w:r>
        <w:rPr>
          <w:rFonts w:ascii="Times New Roman" w:hAnsi="Times New Roman" w:cs="Times New Roman" w:eastAsia="Times New Roman" w:hint="default"/>
          <w:spacing w:val="-3"/>
          <w:sz w:val="21"/>
          <w:szCs w:val="21"/>
        </w:rPr>
        <w:t>308.46</w:t>
      </w:r>
      <w:r>
        <w:rPr>
          <w:rFonts w:ascii="宋体" w:hAnsi="宋体" w:cs="宋体" w:eastAsia="宋体" w:hint="default"/>
          <w:spacing w:val="-3"/>
          <w:sz w:val="21"/>
          <w:szCs w:val="21"/>
        </w:rPr>
        <w:t>％，增加原因为：本年营业收入增加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导致应收账款相应增加所致。</w:t>
      </w:r>
    </w:p>
    <w:p>
      <w:pPr>
        <w:spacing w:after="0" w:line="274" w:lineRule="exact"/>
        <w:jc w:val="left"/>
        <w:rPr>
          <w:rFonts w:ascii="宋体" w:hAnsi="宋体" w:cs="宋体" w:eastAsia="宋体" w:hint="default"/>
          <w:sz w:val="21"/>
          <w:szCs w:val="21"/>
        </w:rPr>
        <w:sectPr>
          <w:type w:val="continuous"/>
          <w:pgSz w:w="11900" w:h="16840"/>
          <w:pgMar w:top="1040" w:bottom="1180" w:left="940" w:right="160"/>
        </w:sectPr>
      </w:pPr>
    </w:p>
    <w:p>
      <w:pPr>
        <w:spacing w:line="240" w:lineRule="auto" w:before="10"/>
        <w:rPr>
          <w:rFonts w:ascii="宋体" w:hAnsi="宋体" w:cs="宋体" w:eastAsia="宋体" w:hint="default"/>
          <w:sz w:val="12"/>
          <w:szCs w:val="12"/>
        </w:rPr>
      </w:pPr>
    </w:p>
    <w:p>
      <w:pPr>
        <w:tabs>
          <w:tab w:pos="663" w:val="left" w:leader="none"/>
        </w:tabs>
        <w:spacing w:before="41"/>
        <w:ind w:left="113" w:right="17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12</w:t>
        <w:tab/>
      </w: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spacing w:before="0"/>
        <w:ind w:left="209" w:right="179"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12.2</w:t>
      </w:r>
      <w:r>
        <w:rPr>
          <w:rFonts w:ascii="Times New Roman" w:hAnsi="Times New Roman" w:cs="Times New Roman" w:eastAsia="Times New Roman" w:hint="default"/>
          <w:spacing w:val="51"/>
          <w:position w:val="2"/>
          <w:sz w:val="21"/>
          <w:szCs w:val="21"/>
        </w:rPr>
        <w:t> </w:t>
      </w:r>
      <w:r>
        <w:rPr>
          <w:rFonts w:ascii="宋体" w:hAnsi="宋体" w:cs="宋体" w:eastAsia="宋体" w:hint="default"/>
          <w:sz w:val="21"/>
          <w:szCs w:val="21"/>
        </w:rPr>
        <w:t>其他应收款</w:t>
      </w:r>
    </w:p>
    <w:p>
      <w:pPr>
        <w:spacing w:line="240" w:lineRule="auto" w:before="3"/>
        <w:rPr>
          <w:rFonts w:ascii="宋体" w:hAnsi="宋体" w:cs="宋体" w:eastAsia="宋体" w:hint="default"/>
          <w:sz w:val="18"/>
          <w:szCs w:val="18"/>
        </w:rPr>
      </w:pPr>
    </w:p>
    <w:p>
      <w:pPr>
        <w:spacing w:before="0"/>
        <w:ind w:left="680" w:right="1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12.2.1</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其他应收账款按种类分析如下：</w:t>
      </w:r>
    </w:p>
    <w:p>
      <w:pPr>
        <w:spacing w:line="240" w:lineRule="auto" w:before="8"/>
        <w:rPr>
          <w:rFonts w:ascii="宋体" w:hAnsi="宋体" w:cs="宋体" w:eastAsia="宋体" w:hint="default"/>
          <w:sz w:val="13"/>
          <w:szCs w:val="13"/>
        </w:rPr>
      </w:pPr>
    </w:p>
    <w:p>
      <w:pPr>
        <w:tabs>
          <w:tab w:pos="6363" w:val="left" w:leader="none"/>
        </w:tabs>
        <w:spacing w:before="54"/>
        <w:ind w:left="2322" w:right="0"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2010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240" w:lineRule="auto" w:before="6"/>
        <w:rPr>
          <w:rFonts w:ascii="宋体" w:hAnsi="宋体" w:cs="宋体" w:eastAsia="宋体" w:hint="default"/>
          <w:sz w:val="4"/>
          <w:szCs w:val="4"/>
        </w:rPr>
      </w:pPr>
    </w:p>
    <w:p>
      <w:pPr>
        <w:tabs>
          <w:tab w:pos="6802" w:val="left" w:leader="none"/>
        </w:tabs>
        <w:spacing w:line="20" w:lineRule="exact"/>
        <w:ind w:left="2544" w:right="0" w:firstLine="0"/>
        <w:rPr>
          <w:rFonts w:ascii="宋体" w:hAnsi="宋体" w:cs="宋体" w:eastAsia="宋体" w:hint="default"/>
          <w:sz w:val="2"/>
          <w:szCs w:val="2"/>
        </w:rPr>
      </w:pPr>
      <w:r>
        <w:rPr>
          <w:rFonts w:ascii="宋体"/>
          <w:sz w:val="2"/>
        </w:rPr>
        <w:pict>
          <v:group style="width:199.45pt;height:1pt;mso-position-horizontal-relative:char;mso-position-vertical-relative:line" coordorigin="0,0" coordsize="3989,20">
            <v:group style="position:absolute;left:10;top:10;width:1971;height:2" coordorigin="10,10" coordsize="1971,2">
              <v:shape style="position:absolute;left:10;top:10;width:1971;height:2" coordorigin="10,10" coordsize="1971,0" path="m10,10l1980,10e" filled="false" stroked="true" strokeweight=".96pt" strokecolor="#000000">
                <v:path arrowok="t"/>
              </v:shape>
            </v:group>
            <v:group style="position:absolute;left:1980;top:10;width:20;height:2" coordorigin="1980,10" coordsize="20,2">
              <v:shape style="position:absolute;left:1980;top:10;width:20;height:2" coordorigin="1980,10" coordsize="20,0" path="m1980,10l1999,10e" filled="false" stroked="true" strokeweight=".96pt" strokecolor="#000000">
                <v:path arrowok="t"/>
              </v:shape>
            </v:group>
            <v:group style="position:absolute;left:1999;top:10;width:264;height:2" coordorigin="1999,10" coordsize="264,2">
              <v:shape style="position:absolute;left:1999;top:10;width:264;height:2" coordorigin="1999,10" coordsize="264,0" path="m1999,10l2263,10e" filled="false" stroked="true" strokeweight=".96pt" strokecolor="#000000">
                <v:path arrowok="t"/>
              </v:shape>
            </v:group>
            <v:group style="position:absolute;left:2263;top:10;width:20;height:2" coordorigin="2263,10" coordsize="20,2">
              <v:shape style="position:absolute;left:2263;top:10;width:20;height:2" coordorigin="2263,10" coordsize="20,0" path="m2263,10l2282,10e" filled="false" stroked="true" strokeweight=".96pt" strokecolor="#000000">
                <v:path arrowok="t"/>
              </v:shape>
            </v:group>
            <v:group style="position:absolute;left:2282;top:10;width:1697;height:2" coordorigin="2282,10" coordsize="1697,2">
              <v:shape style="position:absolute;left:2282;top:10;width:1697;height:2" coordorigin="2282,10" coordsize="1697,0" path="m2282,10l3979,10e" filled="false" stroked="true" strokeweight=".96pt" strokecolor="#000000">
                <v:path arrowok="t"/>
              </v:shape>
            </v:group>
          </v:group>
        </w:pict>
      </w:r>
      <w:r>
        <w:rPr>
          <w:rFonts w:ascii="宋体"/>
          <w:sz w:val="2"/>
        </w:rPr>
      </w:r>
      <w:r>
        <w:rPr>
          <w:rFonts w:ascii="宋体"/>
          <w:sz w:val="2"/>
        </w:rPr>
        <w:tab/>
      </w:r>
      <w:r>
        <w:rPr>
          <w:rFonts w:ascii="宋体"/>
          <w:position w:val="1"/>
          <w:sz w:val="2"/>
        </w:rPr>
        <w:pict>
          <v:group style="width:178pt;height:.5pt;mso-position-horizontal-relative:char;mso-position-vertical-relative:line" coordorigin="0,0" coordsize="3560,10">
            <v:group style="position:absolute;left:5;top:5;width:1702;height:2" coordorigin="5,5" coordsize="1702,2">
              <v:shape style="position:absolute;left:5;top:5;width:1702;height:2" coordorigin="5,5" coordsize="1702,0" path="m5,5l1706,5e" filled="false" stroked="true" strokeweight=".48pt" strokecolor="#000000">
                <v:path arrowok="t"/>
              </v:shape>
            </v:group>
            <v:group style="position:absolute;left:1706;top:5;width:10;height:2" coordorigin="1706,5" coordsize="10,2">
              <v:shape style="position:absolute;left:1706;top:5;width:10;height:2" coordorigin="1706,5" coordsize="10,0" path="m1706,5l1716,5e" filled="false" stroked="true" strokeweight=".48pt" strokecolor="#000000">
                <v:path arrowok="t"/>
              </v:shape>
            </v:group>
            <v:group style="position:absolute;left:1716;top:5;width:279;height:2" coordorigin="1716,5" coordsize="279,2">
              <v:shape style="position:absolute;left:1716;top:5;width:279;height:2" coordorigin="1716,5" coordsize="279,0" path="m1716,5l1994,5e" filled="false" stroked="true" strokeweight=".48pt" strokecolor="#000000">
                <v:path arrowok="t"/>
              </v:shape>
            </v:group>
            <v:group style="position:absolute;left:1994;top:5;width:10;height:2" coordorigin="1994,5" coordsize="10,2">
              <v:shape style="position:absolute;left:1994;top:5;width:10;height:2" coordorigin="1994,5" coordsize="10,0" path="m1994,5l2004,5e" filled="false" stroked="true" strokeweight=".48pt" strokecolor="#000000">
                <v:path arrowok="t"/>
              </v:shape>
            </v:group>
            <v:group style="position:absolute;left:2004;top:5;width:1551;height:2" coordorigin="2004,5" coordsize="1551,2">
              <v:shape style="position:absolute;left:2004;top:5;width:1551;height:2" coordorigin="2004,5" coordsize="1551,0" path="m2004,5l3554,5e" filled="false" stroked="true" strokeweight=".48pt" strokecolor="#000000">
                <v:path arrowok="t"/>
              </v:shape>
            </v:group>
          </v:group>
        </w:pict>
      </w:r>
      <w:r>
        <w:rPr>
          <w:rFonts w:ascii="宋体"/>
          <w:position w:val="1"/>
          <w:sz w:val="2"/>
        </w:rPr>
      </w:r>
    </w:p>
    <w:p>
      <w:pPr>
        <w:tabs>
          <w:tab w:pos="4443" w:val="left" w:leader="none"/>
          <w:tab w:pos="6435" w:val="left" w:leader="none"/>
          <w:tab w:pos="8355" w:val="left" w:leader="none"/>
        </w:tabs>
        <w:spacing w:line="212" w:lineRule="exact" w:before="0"/>
        <w:ind w:left="2317" w:right="0" w:firstLine="0"/>
        <w:jc w:val="center"/>
        <w:rPr>
          <w:rFonts w:ascii="宋体" w:hAnsi="宋体" w:cs="宋体" w:eastAsia="宋体" w:hint="default"/>
          <w:sz w:val="15"/>
          <w:szCs w:val="15"/>
        </w:rPr>
      </w:pP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tab/>
      </w:r>
      <w:r>
        <w:rPr>
          <w:rFonts w:ascii="宋体" w:hAnsi="宋体" w:cs="宋体" w:eastAsia="宋体" w:hint="default"/>
          <w:spacing w:val="-1"/>
          <w:position w:val="-4"/>
          <w:sz w:val="15"/>
          <w:szCs w:val="15"/>
        </w:rPr>
        <w:t>账面余额</w:t>
        <w:tab/>
      </w:r>
      <w:r>
        <w:rPr>
          <w:rFonts w:ascii="宋体" w:hAnsi="宋体" w:cs="宋体" w:eastAsia="宋体" w:hint="default"/>
          <w:spacing w:val="-1"/>
          <w:sz w:val="15"/>
          <w:szCs w:val="15"/>
        </w:rPr>
        <w:t>坏账准备</w:t>
      </w:r>
    </w:p>
    <w:p>
      <w:pPr>
        <w:spacing w:line="70" w:lineRule="exact" w:before="0"/>
        <w:ind w:left="1270" w:right="179" w:firstLine="0"/>
        <w:jc w:val="left"/>
        <w:rPr>
          <w:rFonts w:ascii="宋体" w:hAnsi="宋体" w:cs="宋体" w:eastAsia="宋体" w:hint="default"/>
          <w:sz w:val="15"/>
          <w:szCs w:val="15"/>
        </w:rPr>
      </w:pPr>
      <w:r>
        <w:rPr/>
        <w:pict>
          <v:group style="position:absolute;margin-left:174.240005pt;margin-top:1.472538pt;width:199.45pt;height:1pt;mso-position-horizontal-relative:page;mso-position-vertical-relative:paragraph;z-index:9640" coordorigin="3485,29" coordsize="3989,20">
            <v:group style="position:absolute;left:3494;top:39;width:982;height:2" coordorigin="3494,39" coordsize="982,2">
              <v:shape style="position:absolute;left:3494;top:39;width:982;height:2" coordorigin="3494,39" coordsize="982,0" path="m3494,39l4476,39e" filled="false" stroked="true" strokeweight=".96pt" strokecolor="#000000">
                <v:path arrowok="t"/>
              </v:shape>
            </v:group>
            <v:group style="position:absolute;left:4476;top:39;width:20;height:2" coordorigin="4476,39" coordsize="20,2">
              <v:shape style="position:absolute;left:4476;top:39;width:20;height:2" coordorigin="4476,39" coordsize="20,0" path="m4476,39l4495,39e" filled="false" stroked="true" strokeweight=".96pt" strokecolor="#000000">
                <v:path arrowok="t"/>
              </v:shape>
            </v:group>
            <v:group style="position:absolute;left:4495;top:39;width:262;height:2" coordorigin="4495,39" coordsize="262,2">
              <v:shape style="position:absolute;left:4495;top:39;width:262;height:2" coordorigin="4495,39" coordsize="262,0" path="m4495,39l4757,39e" filled="false" stroked="true" strokeweight=".96pt" strokecolor="#000000">
                <v:path arrowok="t"/>
              </v:shape>
            </v:group>
            <v:group style="position:absolute;left:4757;top:39;width:19;height:2" coordorigin="4757,39" coordsize="19,2">
              <v:shape style="position:absolute;left:4757;top:39;width:19;height:2" coordorigin="4757,39" coordsize="19,0" path="m4757,39l4776,39e" filled="false" stroked="true" strokeweight=".96pt" strokecolor="#000000">
                <v:path arrowok="t"/>
              </v:shape>
            </v:group>
            <v:group style="position:absolute;left:4776;top:39;width:689;height:2" coordorigin="4776,39" coordsize="689,2">
              <v:shape style="position:absolute;left:4776;top:39;width:689;height:2" coordorigin="4776,39" coordsize="689,0" path="m4776,39l5465,39e" filled="false" stroked="true" strokeweight=".96pt" strokecolor="#000000">
                <v:path arrowok="t"/>
              </v:shape>
            </v:group>
            <v:group style="position:absolute;left:5465;top:34;width:284;height:2" coordorigin="5465,34" coordsize="284,2">
              <v:shape style="position:absolute;left:5465;top:34;width:284;height:2" coordorigin="5465,34" coordsize="284,0" path="m5465,34l5748,34e" filled="false" stroked="true" strokeweight=".48pt" strokecolor="#000000">
                <v:path arrowok="t"/>
              </v:shape>
            </v:group>
            <v:group style="position:absolute;left:5748;top:39;width:867;height:2" coordorigin="5748,39" coordsize="867,2">
              <v:shape style="position:absolute;left:5748;top:39;width:867;height:2" coordorigin="5748,39" coordsize="867,0" path="m5748,39l6614,39e" filled="false" stroked="true" strokeweight=".96pt" strokecolor="#000000">
                <v:path arrowok="t"/>
              </v:shape>
            </v:group>
            <v:group style="position:absolute;left:6614;top:39;width:20;height:2" coordorigin="6614,39" coordsize="20,2">
              <v:shape style="position:absolute;left:6614;top:39;width:20;height:2" coordorigin="6614,39" coordsize="20,0" path="m6614,39l6634,39e" filled="false" stroked="true" strokeweight=".96pt" strokecolor="#000000">
                <v:path arrowok="t"/>
              </v:shape>
            </v:group>
            <v:group style="position:absolute;left:6634;top:39;width:264;height:2" coordorigin="6634,39" coordsize="264,2">
              <v:shape style="position:absolute;left:6634;top:39;width:264;height:2" coordorigin="6634,39" coordsize="264,0" path="m6634,39l6897,39e" filled="false" stroked="true" strokeweight=".96pt" strokecolor="#000000">
                <v:path arrowok="t"/>
              </v:shape>
            </v:group>
            <v:group style="position:absolute;left:6898;top:39;width:20;height:2" coordorigin="6898,39" coordsize="20,2">
              <v:shape style="position:absolute;left:6898;top:39;width:20;height:2" coordorigin="6898,39" coordsize="20,0" path="m6898,39l6917,39e" filled="false" stroked="true" strokeweight=".96pt" strokecolor="#000000">
                <v:path arrowok="t"/>
              </v:shape>
            </v:group>
            <v:group style="position:absolute;left:6917;top:39;width:547;height:2" coordorigin="6917,39" coordsize="547,2">
              <v:shape style="position:absolute;left:6917;top:39;width:547;height:2" coordorigin="6917,39" coordsize="547,0" path="m6917,39l7464,39e" filled="false" stroked="true" strokeweight=".96pt" strokecolor="#000000">
                <v:path arrowok="t"/>
              </v:shape>
            </v:group>
            <w10:wrap type="none"/>
          </v:group>
        </w:pict>
      </w:r>
      <w:r>
        <w:rPr/>
        <w:pict>
          <v:group style="position:absolute;margin-left:386.880005pt;margin-top:1.472538pt;width:178.45pt;height:1pt;mso-position-horizontal-relative:page;mso-position-vertical-relative:paragraph;z-index:9664" coordorigin="7738,29" coordsize="3569,20">
            <v:group style="position:absolute;left:7747;top:39;width:850;height:2" coordorigin="7747,39" coordsize="850,2">
              <v:shape style="position:absolute;left:7747;top:39;width:850;height:2" coordorigin="7747,39" coordsize="850,0" path="m7747,39l8597,39e" filled="false" stroked="true" strokeweight=".96pt" strokecolor="#000000">
                <v:path arrowok="t"/>
              </v:shape>
            </v:group>
            <v:group style="position:absolute;left:8597;top:39;width:19;height:2" coordorigin="8597,39" coordsize="19,2">
              <v:shape style="position:absolute;left:8597;top:39;width:19;height:2" coordorigin="8597,39" coordsize="19,0" path="m8597,39l8616,39e" filled="false" stroked="true" strokeweight=".96pt" strokecolor="#000000">
                <v:path arrowok="t"/>
              </v:shape>
            </v:group>
            <v:group style="position:absolute;left:8616;top:39;width:267;height:2" coordorigin="8616,39" coordsize="267,2">
              <v:shape style="position:absolute;left:8616;top:39;width:267;height:2" coordorigin="8616,39" coordsize="267,0" path="m8616,39l8882,39e" filled="false" stroked="true" strokeweight=".96pt" strokecolor="#000000">
                <v:path arrowok="t"/>
              </v:shape>
            </v:group>
            <v:group style="position:absolute;left:8882;top:39;width:20;height:2" coordorigin="8882,39" coordsize="20,2">
              <v:shape style="position:absolute;left:8882;top:39;width:20;height:2" coordorigin="8882,39" coordsize="20,0" path="m8882,39l8902,39e" filled="false" stroked="true" strokeweight=".96pt" strokecolor="#000000">
                <v:path arrowok="t"/>
              </v:shape>
            </v:group>
            <v:group style="position:absolute;left:8902;top:39;width:547;height:2" coordorigin="8902,39" coordsize="547,2">
              <v:shape style="position:absolute;left:8902;top:39;width:547;height:2" coordorigin="8902,39" coordsize="547,0" path="m8902,39l9449,39e" filled="false" stroked="true" strokeweight=".96pt" strokecolor="#000000">
                <v:path arrowok="t"/>
              </v:shape>
            </v:group>
            <v:group style="position:absolute;left:9449;top:34;width:288;height:2" coordorigin="9449,34" coordsize="288,2">
              <v:shape style="position:absolute;left:9449;top:34;width:288;height:2" coordorigin="9449,34" coordsize="288,0" path="m9449,34l9737,34e" filled="false" stroked="true" strokeweight=".48pt" strokecolor="#000000">
                <v:path arrowok="t"/>
              </v:shape>
            </v:group>
            <v:group style="position:absolute;left:9737;top:39;width:708;height:2" coordorigin="9737,39" coordsize="708,2">
              <v:shape style="position:absolute;left:9737;top:39;width:708;height:2" coordorigin="9737,39" coordsize="708,0" path="m9737,39l10445,39e" filled="false" stroked="true" strokeweight=".96pt" strokecolor="#000000">
                <v:path arrowok="t"/>
              </v:shape>
            </v:group>
            <v:group style="position:absolute;left:10445;top:39;width:20;height:2" coordorigin="10445,39" coordsize="20,2">
              <v:shape style="position:absolute;left:10445;top:39;width:20;height:2" coordorigin="10445,39" coordsize="20,0" path="m10445,39l10464,39e" filled="false" stroked="true" strokeweight=".96pt" strokecolor="#000000">
                <v:path arrowok="t"/>
              </v:shape>
            </v:group>
            <v:group style="position:absolute;left:10464;top:39;width:264;height:2" coordorigin="10464,39" coordsize="264,2">
              <v:shape style="position:absolute;left:10464;top:39;width:264;height:2" coordorigin="10464,39" coordsize="264,0" path="m10464,39l10728,39e" filled="false" stroked="true" strokeweight=".96pt" strokecolor="#000000">
                <v:path arrowok="t"/>
              </v:shape>
            </v:group>
            <v:group style="position:absolute;left:10728;top:39;width:20;height:2" coordorigin="10728,39" coordsize="20,2">
              <v:shape style="position:absolute;left:10728;top:39;width:20;height:2" coordorigin="10728,39" coordsize="20,0" path="m10728,39l10747,39e" filled="false" stroked="true" strokeweight=".96pt" strokecolor="#000000">
                <v:path arrowok="t"/>
              </v:shape>
            </v:group>
            <v:group style="position:absolute;left:10747;top:39;width:550;height:2" coordorigin="10747,39" coordsize="550,2">
              <v:shape style="position:absolute;left:10747;top:39;width:550;height:2" coordorigin="10747,39" coordsize="550,0" path="m10747,39l11297,39e" filled="false" stroked="true" strokeweight=".96pt" strokecolor="#000000">
                <v:path arrowok="t"/>
              </v:shape>
            </v:group>
            <w10:wrap type="none"/>
          </v:group>
        </w:pict>
      </w:r>
      <w:r>
        <w:rPr>
          <w:rFonts w:ascii="宋体" w:hAnsi="宋体" w:cs="宋体" w:eastAsia="宋体" w:hint="default"/>
          <w:sz w:val="15"/>
          <w:szCs w:val="15"/>
        </w:rPr>
        <w:t>种类</w:t>
      </w:r>
    </w:p>
    <w:p>
      <w:pPr>
        <w:spacing w:after="0" w:line="70" w:lineRule="exact"/>
        <w:jc w:val="left"/>
        <w:rPr>
          <w:rFonts w:ascii="宋体" w:hAnsi="宋体" w:cs="宋体" w:eastAsia="宋体" w:hint="default"/>
          <w:sz w:val="15"/>
          <w:szCs w:val="15"/>
        </w:rPr>
        <w:sectPr>
          <w:pgSz w:w="11900" w:h="16840"/>
          <w:pgMar w:header="886" w:footer="983" w:top="1800" w:bottom="1180" w:left="940" w:right="160"/>
        </w:sectPr>
      </w:pPr>
    </w:p>
    <w:p>
      <w:pPr>
        <w:spacing w:line="240" w:lineRule="auto" w:before="0"/>
        <w:rPr>
          <w:rFonts w:ascii="宋体" w:hAnsi="宋体" w:cs="宋体" w:eastAsia="宋体" w:hint="default"/>
          <w:sz w:val="14"/>
          <w:szCs w:val="14"/>
        </w:rPr>
      </w:pPr>
    </w:p>
    <w:p>
      <w:pPr>
        <w:spacing w:line="240" w:lineRule="auto" w:before="9"/>
        <w:rPr>
          <w:rFonts w:ascii="宋体" w:hAnsi="宋体" w:cs="宋体" w:eastAsia="宋体" w:hint="default"/>
          <w:sz w:val="13"/>
          <w:szCs w:val="13"/>
        </w:rPr>
      </w:pPr>
    </w:p>
    <w:p>
      <w:pPr>
        <w:spacing w:before="0"/>
        <w:ind w:left="680" w:right="0" w:firstLine="0"/>
        <w:jc w:val="left"/>
        <w:rPr>
          <w:rFonts w:ascii="宋体" w:hAnsi="宋体" w:cs="宋体" w:eastAsia="宋体" w:hint="default"/>
          <w:sz w:val="15"/>
          <w:szCs w:val="15"/>
        </w:rPr>
      </w:pPr>
      <w:r>
        <w:rPr>
          <w:rFonts w:ascii="宋体" w:hAnsi="宋体" w:cs="宋体" w:eastAsia="宋体" w:hint="default"/>
          <w:spacing w:val="12"/>
          <w:sz w:val="15"/>
          <w:szCs w:val="15"/>
        </w:rPr>
        <w:t>单项金额重大并单项</w:t>
      </w:r>
    </w:p>
    <w:p>
      <w:pPr>
        <w:tabs>
          <w:tab w:pos="1125" w:val="left" w:leader="none"/>
        </w:tabs>
        <w:spacing w:line="200" w:lineRule="exact" w:before="0"/>
        <w:ind w:left="0" w:right="60" w:firstLine="0"/>
        <w:jc w:val="righ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157" w:lineRule="exact" w:before="0"/>
        <w:ind w:left="0" w:right="0" w:firstLine="0"/>
        <w:jc w:val="right"/>
        <w:rPr>
          <w:rFonts w:ascii="宋体" w:hAnsi="宋体" w:cs="宋体" w:eastAsia="宋体" w:hint="default"/>
          <w:sz w:val="15"/>
          <w:szCs w:val="15"/>
        </w:rPr>
      </w:pPr>
      <w:r>
        <w:rPr/>
        <w:pict>
          <v:group style="position:absolute;margin-left:75.599998pt;margin-top:8.862548pt;width:84.85pt;height:.1pt;mso-position-horizontal-relative:page;mso-position-vertical-relative:paragraph;z-index:-545920" coordorigin="1512,177" coordsize="1697,2">
            <v:shape style="position:absolute;left:1512;top:177;width:1697;height:2" coordorigin="1512,177" coordsize="1697,0" path="m1512,177l3209,177e" filled="false" stroked="true" strokeweight=".96pt" strokecolor="#000000">
              <v:path arrowok="t"/>
            </v:shape>
            <w10:wrap type="none"/>
          </v:group>
        </w:pict>
      </w:r>
      <w:r>
        <w:rPr/>
        <w:pict>
          <v:group style="position:absolute;margin-left:174.720001pt;margin-top:8.862548pt;width:49.1pt;height:.1pt;mso-position-horizontal-relative:page;mso-position-vertical-relative:paragraph;z-index:9712" coordorigin="3494,177" coordsize="982,2">
            <v:shape style="position:absolute;left:3494;top:177;width:982;height:2" coordorigin="3494,177" coordsize="982,0" path="m3494,177l4476,177e" filled="false" stroked="true" strokeweight=".96pt" strokecolor="#000000">
              <v:path arrowok="t"/>
            </v:shape>
            <w10:wrap type="none"/>
          </v:group>
        </w:pict>
      </w:r>
      <w:r>
        <w:rPr/>
        <w:pict>
          <v:group style="position:absolute;margin-left:237.839996pt;margin-top:8.862548pt;width:35.4pt;height:.1pt;mso-position-horizontal-relative:page;mso-position-vertical-relative:paragraph;z-index:9736" coordorigin="4757,177" coordsize="708,2">
            <v:shape style="position:absolute;left:4757;top:177;width:708;height:2" coordorigin="4757,177" coordsize="708,0" path="m4757,177l5465,177e" filled="false" stroked="true" strokeweight=".96pt" strokecolor="#000000">
              <v:path arrowok="t"/>
            </v:shape>
            <w10:wrap type="none"/>
          </v:group>
        </w:pict>
      </w:r>
      <w:r>
        <w:rPr/>
        <w:pict>
          <v:group style="position:absolute;margin-left:486.839996pt;margin-top:8.862548pt;width:35.4pt;height:.1pt;mso-position-horizontal-relative:page;mso-position-vertical-relative:paragraph;z-index:9856" coordorigin="9737,177" coordsize="708,2">
            <v:shape style="position:absolute;left:9737;top:177;width:708;height:2" coordorigin="9737,177" coordsize="708,0" path="m9737,177l10445,177e" filled="false" stroked="true" strokeweight=".96pt" strokecolor="#000000">
              <v:path arrowok="t"/>
            </v:shape>
            <w10:wrap type="none"/>
          </v:group>
        </w:pict>
      </w:r>
      <w:r>
        <w:rPr/>
        <w:pict>
          <v:group style="position:absolute;margin-left:536.400024pt;margin-top:8.862548pt;width:28.45pt;height:.1pt;mso-position-horizontal-relative:page;mso-position-vertical-relative:paragraph;z-index:9880" coordorigin="10728,177" coordsize="569,2">
            <v:shape style="position:absolute;left:10728;top:177;width:569;height:2" coordorigin="10728,177" coordsize="569,0" path="m10728,177l11297,177e" filled="false" stroked="true" strokeweight=".96pt" strokecolor="#000000">
              <v:path arrowok="t"/>
            </v:shape>
            <w10:wrap type="none"/>
          </v:group>
        </w:pic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tabs>
          <w:tab w:pos="940" w:val="left" w:leader="none"/>
        </w:tabs>
        <w:spacing w:line="200" w:lineRule="exact" w:before="0"/>
        <w:ind w:left="0" w:right="61" w:firstLine="0"/>
        <w:jc w:val="righ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计提</w:t>
      </w:r>
    </w:p>
    <w:p>
      <w:pPr>
        <w:spacing w:line="157" w:lineRule="exact" w:before="0"/>
        <w:ind w:left="0" w:right="0" w:firstLine="0"/>
        <w:jc w:val="right"/>
        <w:rPr>
          <w:rFonts w:ascii="Times New Roman" w:hAnsi="Times New Roman" w:cs="Times New Roman" w:eastAsia="Times New Roman" w:hint="default"/>
          <w:sz w:val="15"/>
          <w:szCs w:val="15"/>
        </w:rPr>
      </w:pPr>
      <w:r>
        <w:rPr/>
        <w:pict>
          <v:group style="position:absolute;margin-left:287.399994pt;margin-top:8.862548pt;width:43.35pt;height:.1pt;mso-position-horizontal-relative:page;mso-position-vertical-relative:paragraph;z-index:9760" coordorigin="5748,177" coordsize="867,2">
            <v:shape style="position:absolute;left:5748;top:177;width:867;height:2" coordorigin="5748,177" coordsize="867,0" path="m5748,177l6614,177e" filled="false" stroked="true" strokeweight=".96pt" strokecolor="#000000">
              <v:path arrowok="t"/>
            </v:shape>
            <w10:wrap type="none"/>
          </v:group>
        </w:pict>
      </w:r>
      <w:r>
        <w:rPr/>
        <w:pict>
          <v:group style="position:absolute;margin-left:344.880005pt;margin-top:8.862548pt;width:28.35pt;height:.1pt;mso-position-horizontal-relative:page;mso-position-vertical-relative:paragraph;z-index:9784" coordorigin="6898,177" coordsize="567,2">
            <v:shape style="position:absolute;left:6898;top:177;width:567;height:2" coordorigin="6898,177" coordsize="567,0" path="m6898,177l7464,177e" filled="false" stroked="true" strokeweight=".96pt" strokecolor="#000000">
              <v:path arrowok="t"/>
            </v:shape>
            <w10:wrap type="none"/>
          </v:group>
        </w:pic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p>
      <w:pPr>
        <w:tabs>
          <w:tab w:pos="1634" w:val="left" w:leader="none"/>
        </w:tabs>
        <w:spacing w:line="200" w:lineRule="exact" w:before="0"/>
        <w:ind w:left="643" w:right="0"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157" w:lineRule="exact" w:before="0"/>
        <w:ind w:left="0" w:right="0" w:firstLine="0"/>
        <w:jc w:val="right"/>
        <w:rPr>
          <w:rFonts w:ascii="宋体" w:hAnsi="宋体" w:cs="宋体" w:eastAsia="宋体" w:hint="default"/>
          <w:sz w:val="15"/>
          <w:szCs w:val="15"/>
        </w:rPr>
      </w:pPr>
      <w:r>
        <w:rPr/>
        <w:pict>
          <v:group style="position:absolute;margin-left:387.359985pt;margin-top:8.862548pt;width:42.5pt;height:.1pt;mso-position-horizontal-relative:page;mso-position-vertical-relative:paragraph;z-index:9808" coordorigin="7747,177" coordsize="850,2">
            <v:shape style="position:absolute;left:7747;top:177;width:850;height:2" coordorigin="7747,177" coordsize="850,0" path="m7747,177l8597,177e" filled="false" stroked="true" strokeweight=".96pt" strokecolor="#000000">
              <v:path arrowok="t"/>
            </v:shape>
            <w10:wrap type="none"/>
          </v:group>
        </w:pict>
      </w:r>
      <w:r>
        <w:rPr/>
        <w:pict>
          <v:group style="position:absolute;margin-left:444.119995pt;margin-top:8.862548pt;width:28.35pt;height:.1pt;mso-position-horizontal-relative:page;mso-position-vertical-relative:paragraph;z-index:9832" coordorigin="8882,177" coordsize="567,2">
            <v:shape style="position:absolute;left:8882;top:177;width:567;height:2" coordorigin="8882,177" coordsize="567,0" path="m8882,177l9449,177e" filled="false" stroked="true" strokeweight=".96pt" strokecolor="#000000">
              <v:path arrowok="t"/>
            </v:shape>
            <w10:wrap type="none"/>
          </v:group>
        </w:pict>
      </w: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tabs>
          <w:tab w:pos="1349" w:val="left" w:leader="none"/>
        </w:tabs>
        <w:spacing w:line="158" w:lineRule="auto" w:before="14"/>
        <w:ind w:left="1287" w:right="567" w:hanging="802"/>
        <w:jc w:val="left"/>
        <w:rPr>
          <w:rFonts w:ascii="Times New Roman" w:hAnsi="Times New Roman" w:cs="Times New Roman" w:eastAsia="Times New Roman" w:hint="default"/>
          <w:sz w:val="15"/>
          <w:szCs w:val="15"/>
        </w:rPr>
      </w:pPr>
      <w:r>
        <w:rPr/>
        <w:br w:type="column"/>
      </w:r>
      <w:r>
        <w:rPr>
          <w:rFonts w:ascii="宋体" w:hAnsi="宋体" w:cs="宋体" w:eastAsia="宋体" w:hint="default"/>
          <w:position w:val="-9"/>
          <w:sz w:val="15"/>
          <w:szCs w:val="15"/>
        </w:rPr>
        <w:t>金额</w:t>
        <w:tab/>
        <w:tab/>
      </w:r>
      <w:r>
        <w:rPr>
          <w:rFonts w:ascii="宋体" w:hAnsi="宋体" w:cs="宋体" w:eastAsia="宋体" w:hint="default"/>
          <w:sz w:val="15"/>
          <w:szCs w:val="15"/>
        </w:rPr>
        <w:t>计提</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Times New Roman" w:hAnsi="Times New Roman" w:cs="Times New Roman" w:eastAsia="Times New Roman" w:hint="default"/>
          <w:sz w:val="15"/>
          <w:szCs w:val="15"/>
        </w:rPr>
        <w:t>%</w:t>
      </w:r>
    </w:p>
    <w:p>
      <w:pPr>
        <w:spacing w:after="0" w:line="158" w:lineRule="auto"/>
        <w:jc w:val="left"/>
        <w:rPr>
          <w:rFonts w:ascii="Times New Roman" w:hAnsi="Times New Roman" w:cs="Times New Roman" w:eastAsia="Times New Roman" w:hint="default"/>
          <w:sz w:val="15"/>
          <w:szCs w:val="15"/>
        </w:rPr>
        <w:sectPr>
          <w:type w:val="continuous"/>
          <w:pgSz w:w="11900" w:h="16840"/>
          <w:pgMar w:top="1040" w:bottom="1180" w:left="940" w:right="160"/>
          <w:cols w:num="5" w:equalWidth="0">
            <w:col w:w="2164" w:space="52"/>
            <w:col w:w="2171" w:space="40"/>
            <w:col w:w="1973" w:space="40"/>
            <w:col w:w="2038" w:space="40"/>
            <w:col w:w="2282"/>
          </w:cols>
        </w:sectPr>
      </w:pPr>
    </w:p>
    <w:p>
      <w:pPr>
        <w:spacing w:before="0"/>
        <w:ind w:left="680" w:right="352" w:firstLine="0"/>
        <w:jc w:val="left"/>
        <w:rPr>
          <w:rFonts w:ascii="宋体" w:hAnsi="宋体" w:cs="宋体" w:eastAsia="宋体" w:hint="default"/>
          <w:sz w:val="15"/>
          <w:szCs w:val="15"/>
        </w:rPr>
      </w:pPr>
      <w:r>
        <w:rPr>
          <w:rFonts w:ascii="宋体" w:hAnsi="宋体" w:cs="宋体" w:eastAsia="宋体" w:hint="default"/>
          <w:spacing w:val="12"/>
          <w:sz w:val="15"/>
          <w:szCs w:val="15"/>
        </w:rPr>
        <w:t>计提坏账准备的应收</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账款</w:t>
      </w:r>
    </w:p>
    <w:p>
      <w:pPr>
        <w:spacing w:before="46"/>
        <w:ind w:left="680" w:right="0" w:hanging="12"/>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按组合计提坏账准备的应收账款</w:t>
      </w:r>
      <w:r>
        <w:rPr>
          <w:rFonts w:ascii="宋体" w:hAnsi="宋体" w:cs="宋体" w:eastAsia="宋体" w:hint="default"/>
          <w:spacing w:val="-51"/>
          <w:sz w:val="15"/>
          <w:szCs w:val="15"/>
        </w:rPr>
        <w:t> </w:t>
      </w:r>
      <w:r>
        <w:rPr>
          <w:rFonts w:ascii="宋体" w:hAnsi="宋体" w:cs="宋体" w:eastAsia="宋体" w:hint="default"/>
          <w:spacing w:val="-51"/>
          <w:sz w:val="15"/>
          <w:szCs w:val="15"/>
        </w:rPr>
      </w:r>
      <w:r>
        <w:rPr>
          <w:rFonts w:ascii="宋体" w:hAnsi="宋体" w:cs="宋体" w:eastAsia="宋体" w:hint="default"/>
          <w:spacing w:val="12"/>
          <w:sz w:val="15"/>
          <w:szCs w:val="15"/>
        </w:rPr>
        <w:t>按账龄计提坏账准备</w:t>
      </w:r>
    </w:p>
    <w:p>
      <w:pPr>
        <w:tabs>
          <w:tab w:pos="1556" w:val="left" w:leader="none"/>
          <w:tab w:pos="2705" w:val="left" w:leader="none"/>
          <w:tab w:pos="3552" w:val="left" w:leader="none"/>
          <w:tab w:pos="4688" w:val="left" w:leader="none"/>
          <w:tab w:pos="5537" w:val="left" w:leader="none"/>
          <w:tab w:pos="6536" w:val="left" w:leader="none"/>
          <w:tab w:pos="7388" w:val="left" w:leader="none"/>
        </w:tabs>
        <w:spacing w:before="28"/>
        <w:ind w:left="567" w:right="0" w:firstLine="0"/>
        <w:jc w:val="left"/>
        <w:rPr>
          <w:rFonts w:ascii="Times New Roman" w:hAnsi="Times New Roman" w:cs="Times New Roman" w:eastAsia="Times New Roman" w:hint="default"/>
          <w:sz w:val="15"/>
          <w:szCs w:val="15"/>
        </w:rPr>
      </w:pPr>
      <w:r>
        <w:rPr/>
        <w:br w:type="column"/>
      </w:r>
      <w:r>
        <w:rPr>
          <w:rFonts w:ascii="Times New Roman"/>
          <w:sz w:val="15"/>
        </w:rPr>
        <w:t>-</w:t>
        <w:tab/>
        <w:t>-</w:t>
        <w:tab/>
        <w:t>-</w:t>
        <w:tab/>
        <w:t>-</w:t>
        <w:tab/>
        <w:t>-</w:t>
        <w:tab/>
        <w:t>-</w:t>
        <w:tab/>
        <w:t>-</w:t>
        <w:tab/>
        <w:t>-</w:t>
      </w:r>
    </w:p>
    <w:p>
      <w:pPr>
        <w:spacing w:after="0"/>
        <w:jc w:val="left"/>
        <w:rPr>
          <w:rFonts w:ascii="Times New Roman" w:hAnsi="Times New Roman" w:cs="Times New Roman" w:eastAsia="Times New Roman" w:hint="default"/>
          <w:sz w:val="15"/>
          <w:szCs w:val="15"/>
        </w:rPr>
        <w:sectPr>
          <w:type w:val="continuous"/>
          <w:pgSz w:w="11900" w:h="16840"/>
          <w:pgMar w:top="1040" w:bottom="1180" w:left="940" w:right="160"/>
          <w:cols w:num="2" w:equalWidth="0">
            <w:col w:w="2771" w:space="40"/>
            <w:col w:w="7989"/>
          </w:cols>
        </w:sectPr>
      </w:pPr>
    </w:p>
    <w:p>
      <w:pPr>
        <w:tabs>
          <w:tab w:pos="2640" w:val="left" w:leader="none"/>
          <w:tab w:pos="4003" w:val="left" w:leader="none"/>
          <w:tab w:pos="4891" w:val="left" w:leader="none"/>
          <w:tab w:pos="6151" w:val="left" w:leader="none"/>
          <w:tab w:pos="6869" w:val="left" w:leader="none"/>
          <w:tab w:pos="8098" w:val="left" w:leader="none"/>
          <w:tab w:pos="8842" w:val="left" w:leader="none"/>
          <w:tab w:pos="10249" w:val="right" w:leader="none"/>
        </w:tabs>
        <w:spacing w:line="191" w:lineRule="exact" w:before="0"/>
        <w:ind w:left="680" w:right="0" w:firstLine="0"/>
        <w:jc w:val="left"/>
        <w:rPr>
          <w:rFonts w:ascii="Times New Roman" w:hAnsi="Times New Roman" w:cs="Times New Roman" w:eastAsia="Times New Roman" w:hint="default"/>
          <w:sz w:val="15"/>
          <w:szCs w:val="15"/>
        </w:rPr>
      </w:pPr>
      <w:r>
        <w:rPr>
          <w:rFonts w:ascii="宋体" w:hAnsi="宋体" w:cs="宋体" w:eastAsia="宋体" w:hint="default"/>
          <w:spacing w:val="-1"/>
          <w:position w:val="-9"/>
          <w:sz w:val="15"/>
          <w:szCs w:val="15"/>
        </w:rPr>
        <w:t>的应收款项</w:t>
        <w:tab/>
      </w:r>
      <w:r>
        <w:rPr>
          <w:rFonts w:ascii="Times New Roman" w:hAnsi="Times New Roman" w:cs="Times New Roman" w:eastAsia="Times New Roman" w:hint="default"/>
          <w:spacing w:val="-1"/>
          <w:sz w:val="15"/>
          <w:szCs w:val="15"/>
        </w:rPr>
        <w:t>7,613,667.07</w:t>
        <w:tab/>
        <w:t>100.00</w:t>
        <w:tab/>
        <w:t>200,000.00</w:t>
        <w:tab/>
        <w:t>2.63</w:t>
        <w:tab/>
        <w:t>2,143,378.75</w:t>
        <w:tab/>
        <w:t>100.00</w:t>
        <w:tab/>
        <w:t>440,675.00</w:t>
        <w:tab/>
        <w:t>20.56</w:t>
      </w:r>
    </w:p>
    <w:p>
      <w:pPr>
        <w:tabs>
          <w:tab w:pos="8904" w:val="left" w:leader="none"/>
        </w:tabs>
        <w:spacing w:line="165" w:lineRule="exact" w:before="6"/>
        <w:ind w:left="680" w:right="179" w:firstLine="0"/>
        <w:jc w:val="left"/>
        <w:rPr>
          <w:rFonts w:ascii="Times New Roman" w:hAnsi="Times New Roman" w:cs="Times New Roman" w:eastAsia="Times New Roman" w:hint="default"/>
          <w:sz w:val="15"/>
          <w:szCs w:val="15"/>
        </w:rPr>
      </w:pPr>
      <w:r>
        <w:rPr>
          <w:rFonts w:ascii="宋体" w:hAnsi="宋体" w:cs="宋体" w:eastAsia="宋体" w:hint="default"/>
          <w:spacing w:val="12"/>
          <w:sz w:val="15"/>
          <w:szCs w:val="15"/>
        </w:rPr>
        <w:t>合并报表范围内应收</w:t>
        <w:tab/>
      </w:r>
      <w:r>
        <w:rPr>
          <w:rFonts w:ascii="Times New Roman" w:hAnsi="Times New Roman" w:cs="Times New Roman" w:eastAsia="Times New Roman" w:hint="default"/>
          <w:sz w:val="15"/>
          <w:szCs w:val="15"/>
        </w:rPr>
        <w:t>-</w:t>
      </w:r>
    </w:p>
    <w:p>
      <w:pPr>
        <w:tabs>
          <w:tab w:pos="3377" w:val="left" w:leader="none"/>
          <w:tab w:pos="4366" w:val="left" w:leader="none"/>
          <w:tab w:pos="5515" w:val="left" w:leader="none"/>
          <w:tab w:pos="7498" w:val="left" w:leader="none"/>
          <w:tab w:pos="8350" w:val="left" w:leader="none"/>
          <w:tab w:pos="10198" w:val="left" w:leader="none"/>
        </w:tabs>
        <w:spacing w:line="218" w:lineRule="exact" w:before="0"/>
        <w:ind w:left="680" w:right="179" w:firstLine="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款项</w:t>
        <w:tab/>
      </w:r>
      <w:r>
        <w:rPr>
          <w:rFonts w:ascii="Times New Roman" w:hAnsi="Times New Roman" w:cs="Times New Roman" w:eastAsia="Times New Roman" w:hint="default"/>
          <w:sz w:val="15"/>
          <w:szCs w:val="15"/>
        </w:rPr>
        <w:t>-</w:t>
        <w:tab/>
        <w:t>-</w:t>
        <w:tab/>
        <w:t>-</w:t>
        <w:tab/>
        <w:t>-</w:t>
        <w:tab/>
        <w:t>-</w:t>
        <w:tab/>
        <w:t>-</w:t>
      </w:r>
    </w:p>
    <w:p>
      <w:pPr>
        <w:spacing w:before="1"/>
        <w:ind w:left="680" w:right="179" w:firstLine="0"/>
        <w:jc w:val="left"/>
        <w:rPr>
          <w:rFonts w:ascii="宋体" w:hAnsi="宋体" w:cs="宋体" w:eastAsia="宋体" w:hint="default"/>
          <w:sz w:val="15"/>
          <w:szCs w:val="15"/>
        </w:rPr>
      </w:pPr>
      <w:r>
        <w:rPr>
          <w:rFonts w:ascii="宋体" w:hAnsi="宋体" w:cs="宋体" w:eastAsia="宋体" w:hint="default"/>
          <w:spacing w:val="12"/>
          <w:sz w:val="15"/>
          <w:szCs w:val="15"/>
        </w:rPr>
        <w:t>单项金额虽不重大但</w:t>
      </w:r>
    </w:p>
    <w:p>
      <w:pPr>
        <w:spacing w:after="0"/>
        <w:jc w:val="left"/>
        <w:rPr>
          <w:rFonts w:ascii="宋体" w:hAnsi="宋体" w:cs="宋体" w:eastAsia="宋体" w:hint="default"/>
          <w:sz w:val="15"/>
          <w:szCs w:val="15"/>
        </w:rPr>
        <w:sectPr>
          <w:type w:val="continuous"/>
          <w:pgSz w:w="11900" w:h="16840"/>
          <w:pgMar w:top="1040" w:bottom="1180" w:left="940" w:right="160"/>
        </w:sectPr>
      </w:pPr>
    </w:p>
    <w:p>
      <w:pPr>
        <w:spacing w:before="0"/>
        <w:ind w:left="680" w:right="0" w:firstLine="0"/>
        <w:jc w:val="left"/>
        <w:rPr>
          <w:rFonts w:ascii="宋体" w:hAnsi="宋体" w:cs="宋体" w:eastAsia="宋体" w:hint="default"/>
          <w:sz w:val="15"/>
          <w:szCs w:val="15"/>
        </w:rPr>
      </w:pPr>
      <w:r>
        <w:rPr>
          <w:rFonts w:ascii="宋体" w:hAnsi="宋体" w:cs="宋体" w:eastAsia="宋体" w:hint="default"/>
          <w:spacing w:val="12"/>
          <w:sz w:val="15"/>
          <w:szCs w:val="15"/>
        </w:rPr>
        <w:t>单项计提坏账准备的</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应收账款</w:t>
      </w:r>
    </w:p>
    <w:p>
      <w:pPr>
        <w:tabs>
          <w:tab w:pos="1668" w:val="left" w:leader="none"/>
          <w:tab w:pos="2818" w:val="left" w:leader="none"/>
          <w:tab w:pos="3665" w:val="left" w:leader="none"/>
          <w:tab w:pos="4800" w:val="left" w:leader="none"/>
          <w:tab w:pos="5650" w:val="left" w:leader="none"/>
          <w:tab w:pos="6648" w:val="left" w:leader="none"/>
          <w:tab w:pos="7500" w:val="left" w:leader="none"/>
        </w:tabs>
        <w:spacing w:before="28"/>
        <w:ind w:left="680" w:right="0" w:firstLine="0"/>
        <w:jc w:val="left"/>
        <w:rPr>
          <w:rFonts w:ascii="Times New Roman" w:hAnsi="Times New Roman" w:cs="Times New Roman" w:eastAsia="Times New Roman" w:hint="default"/>
          <w:sz w:val="15"/>
          <w:szCs w:val="15"/>
        </w:rPr>
      </w:pPr>
      <w:r>
        <w:rPr/>
        <w:br w:type="column"/>
      </w:r>
      <w:r>
        <w:rPr>
          <w:rFonts w:ascii="Times New Roman"/>
          <w:sz w:val="15"/>
        </w:rPr>
        <w:t>-</w:t>
        <w:tab/>
        <w:t>-</w:t>
        <w:tab/>
        <w:t>-</w:t>
        <w:tab/>
        <w:t>-</w:t>
        <w:tab/>
        <w:t>-</w:t>
        <w:tab/>
        <w:t>-</w:t>
        <w:tab/>
        <w:t>-</w:t>
        <w:tab/>
        <w:t>-</w:t>
      </w:r>
    </w:p>
    <w:p>
      <w:pPr>
        <w:spacing w:after="0"/>
        <w:jc w:val="left"/>
        <w:rPr>
          <w:rFonts w:ascii="Times New Roman" w:hAnsi="Times New Roman" w:cs="Times New Roman" w:eastAsia="Times New Roman" w:hint="default"/>
          <w:sz w:val="15"/>
          <w:szCs w:val="15"/>
        </w:rPr>
        <w:sectPr>
          <w:type w:val="continuous"/>
          <w:pgSz w:w="11900" w:h="16840"/>
          <w:pgMar w:top="1040" w:bottom="1180" w:left="940" w:right="160"/>
          <w:cols w:num="2" w:equalWidth="0">
            <w:col w:w="2164" w:space="534"/>
            <w:col w:w="8102"/>
          </w:cols>
        </w:sectPr>
      </w:pPr>
    </w:p>
    <w:p>
      <w:pPr>
        <w:spacing w:line="240" w:lineRule="auto" w:before="2"/>
        <w:rPr>
          <w:rFonts w:ascii="Times New Roman" w:hAnsi="Times New Roman" w:cs="Times New Roman" w:eastAsia="Times New Roman" w:hint="default"/>
          <w:sz w:val="2"/>
          <w:szCs w:val="2"/>
        </w:rPr>
      </w:pPr>
    </w:p>
    <w:p>
      <w:pPr>
        <w:tabs>
          <w:tab w:pos="3807" w:val="left" w:leader="none"/>
          <w:tab w:pos="4798" w:val="left" w:leader="none"/>
          <w:tab w:pos="6797" w:val="left" w:leader="none"/>
          <w:tab w:pos="7932" w:val="left" w:leader="none"/>
          <w:tab w:pos="8787" w:val="left" w:leader="none"/>
        </w:tabs>
        <w:spacing w:line="20" w:lineRule="exact"/>
        <w:ind w:left="2544" w:right="0" w:firstLine="0"/>
        <w:rPr>
          <w:rFonts w:ascii="Times New Roman" w:hAnsi="Times New Roman" w:cs="Times New Roman" w:eastAsia="Times New Roman" w:hint="default"/>
          <w:sz w:val="2"/>
          <w:szCs w:val="2"/>
        </w:rPr>
      </w:pPr>
      <w:r>
        <w:rPr>
          <w:rFonts w:ascii="Times New Roman"/>
          <w:sz w:val="2"/>
        </w:rPr>
        <w:pict>
          <v:group style="width:50.05pt;height:1pt;mso-position-horizontal-relative:char;mso-position-vertical-relative:line" coordorigin="0,0" coordsize="1001,20">
            <v:group style="position:absolute;left:10;top:10;width:982;height:2" coordorigin="10,10" coordsize="982,2">
              <v:shape style="position:absolute;left:10;top:10;width:982;height:2" coordorigin="10,10" coordsize="982,0" path="m10,10l991,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36.35pt;height:1pt;mso-position-horizontal-relative:char;mso-position-vertical-relative:line" coordorigin="0,0" coordsize="727,20">
            <v:group style="position:absolute;left:10;top:10;width:708;height:2" coordorigin="10,10" coordsize="708,2">
              <v:shape style="position:absolute;left:10;top:10;width:708;height:2" coordorigin="10,10" coordsize="708,0" path="m10,10l717,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44.3pt;height:1pt;mso-position-horizontal-relative:char;mso-position-vertical-relative:line" coordorigin="0,0" coordsize="886,20">
            <v:group style="position:absolute;left:10;top:10;width:867;height:2" coordorigin="10,10" coordsize="867,2">
              <v:shape style="position:absolute;left:10;top:10;width:867;height:2" coordorigin="10,10" coordsize="867,0" path="m10,10l876,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43.45pt;height:1pt;mso-position-horizontal-relative:char;mso-position-vertical-relative:line" coordorigin="0,0" coordsize="869,20">
            <v:group style="position:absolute;left:10;top:10;width:850;height:2" coordorigin="10,10" coordsize="850,2">
              <v:shape style="position:absolute;left:10;top:10;width:850;height:2" coordorigin="10,10" coordsize="850,0" path="m10,10l859,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29.3pt;height:1pt;mso-position-horizontal-relative:char;mso-position-vertical-relative:line" coordorigin="0,0" coordsize="586,20">
            <v:group style="position:absolute;left:10;top:10;width:567;height:2" coordorigin="10,10" coordsize="567,2">
              <v:shape style="position:absolute;left:10;top:10;width:567;height:2" coordorigin="10,10" coordsize="567,0" path="m10,10l576,10e" filled="false" stroked="true" strokeweight=".96pt" strokecolor="#000000">
                <v:path arrowok="t"/>
              </v:shape>
            </v:group>
          </v:group>
        </w:pict>
      </w:r>
      <w:r>
        <w:rPr>
          <w:rFonts w:ascii="Times New Roman"/>
          <w:sz w:val="2"/>
        </w:rPr>
      </w:r>
      <w:r>
        <w:rPr>
          <w:rFonts w:ascii="Times New Roman"/>
          <w:sz w:val="2"/>
        </w:rPr>
        <w:tab/>
      </w:r>
      <w:r>
        <w:rPr>
          <w:rFonts w:ascii="Times New Roman"/>
          <w:sz w:val="2"/>
        </w:rPr>
        <w:pict>
          <v:group style="width:36.35pt;height:1pt;mso-position-horizontal-relative:char;mso-position-vertical-relative:line" coordorigin="0,0" coordsize="727,20">
            <v:group style="position:absolute;left:10;top:10;width:708;height:2" coordorigin="10,10" coordsize="708,2">
              <v:shape style="position:absolute;left:10;top:10;width:708;height:2" coordorigin="10,10" coordsize="708,0" path="m10,10l717,10e" filled="false" stroked="true" strokeweight=".96pt" strokecolor="#000000">
                <v:path arrowok="t"/>
              </v:shape>
            </v:group>
          </v:group>
        </w:pict>
      </w:r>
      <w:r>
        <w:rPr>
          <w:rFonts w:ascii="Times New Roman"/>
          <w:sz w:val="2"/>
        </w:rPr>
      </w:r>
    </w:p>
    <w:p>
      <w:pPr>
        <w:tabs>
          <w:tab w:pos="2640" w:val="left" w:leader="none"/>
          <w:tab w:pos="4003" w:val="left" w:leader="none"/>
          <w:tab w:pos="4891" w:val="left" w:leader="none"/>
          <w:tab w:pos="6869" w:val="left" w:leader="none"/>
          <w:tab w:pos="8098" w:val="left" w:leader="none"/>
          <w:tab w:pos="8842" w:val="left" w:leader="none"/>
        </w:tabs>
        <w:spacing w:before="22"/>
        <w:ind w:left="680" w:right="179" w:firstLine="0"/>
        <w:jc w:val="left"/>
        <w:rPr>
          <w:rFonts w:ascii="Times New Roman" w:hAnsi="Times New Roman" w:cs="Times New Roman" w:eastAsia="Times New Roman" w:hint="default"/>
          <w:sz w:val="15"/>
          <w:szCs w:val="15"/>
        </w:rPr>
      </w:pPr>
      <w:r>
        <w:rPr>
          <w:rFonts w:ascii="宋体" w:hAnsi="宋体" w:cs="宋体" w:eastAsia="宋体" w:hint="default"/>
          <w:position w:val="-2"/>
          <w:sz w:val="15"/>
          <w:szCs w:val="15"/>
        </w:rPr>
        <w:t>合计</w:t>
        <w:tab/>
      </w:r>
      <w:r>
        <w:rPr>
          <w:rFonts w:ascii="Times New Roman" w:hAnsi="Times New Roman" w:cs="Times New Roman" w:eastAsia="Times New Roman" w:hint="default"/>
          <w:spacing w:val="-1"/>
          <w:sz w:val="15"/>
          <w:szCs w:val="15"/>
        </w:rPr>
        <w:t>7,613,667.07</w:t>
        <w:tab/>
        <w:t>100.00</w:t>
        <w:tab/>
        <w:t>200,000.00</w:t>
        <w:tab/>
        <w:t>2,143,378.75</w:t>
        <w:tab/>
        <w:t>100.00</w:t>
        <w:tab/>
        <w:t>440,675.00</w:t>
      </w:r>
    </w:p>
    <w:p>
      <w:pPr>
        <w:tabs>
          <w:tab w:pos="3809" w:val="left" w:leader="none"/>
          <w:tab w:pos="4800" w:val="left" w:leader="none"/>
          <w:tab w:pos="6800" w:val="left" w:leader="none"/>
          <w:tab w:pos="7935" w:val="left" w:leader="none"/>
          <w:tab w:pos="8789" w:val="left" w:leader="none"/>
        </w:tabs>
        <w:spacing w:line="43" w:lineRule="exact"/>
        <w:ind w:left="2547" w:right="0" w:firstLine="0"/>
        <w:rPr>
          <w:rFonts w:ascii="Times New Roman" w:hAnsi="Times New Roman" w:cs="Times New Roman" w:eastAsia="Times New Roman" w:hint="default"/>
          <w:sz w:val="4"/>
          <w:szCs w:val="4"/>
        </w:rPr>
      </w:pPr>
      <w:r>
        <w:rPr>
          <w:rFonts w:ascii="Times New Roman"/>
          <w:position w:val="0"/>
          <w:sz w:val="4"/>
        </w:rPr>
        <w:pict>
          <v:group style="width:49.8pt;height:2.15pt;mso-position-horizontal-relative:char;mso-position-vertical-relative:line" coordorigin="0,0" coordsize="996,43">
            <v:group style="position:absolute;left:7;top:7;width:982;height:2" coordorigin="7,7" coordsize="982,2">
              <v:shape style="position:absolute;left:7;top:7;width:982;height:2" coordorigin="7,7" coordsize="982,0" path="m7,7l988,7e" filled="false" stroked="true" strokeweight=".71pt" strokecolor="#000000">
                <v:path arrowok="t"/>
              </v:shape>
            </v:group>
            <v:group style="position:absolute;left:7;top:36;width:982;height:2" coordorigin="7,36" coordsize="982,2">
              <v:shape style="position:absolute;left:7;top:36;width:982;height:2" coordorigin="7,36" coordsize="982,0" path="m7,36l988,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6.1pt;height:2.15pt;mso-position-horizontal-relative:char;mso-position-vertical-relative:line" coordorigin="0,0" coordsize="722,43">
            <v:group style="position:absolute;left:7;top:7;width:708;height:2" coordorigin="7,7" coordsize="708,2">
              <v:shape style="position:absolute;left:7;top:7;width:708;height:2" coordorigin="7,7" coordsize="708,0" path="m7,7l715,7e" filled="false" stroked="true" strokeweight=".71pt" strokecolor="#000000">
                <v:path arrowok="t"/>
              </v:shape>
            </v:group>
            <v:group style="position:absolute;left:7;top:36;width:708;height:2" coordorigin="7,36" coordsize="708,2">
              <v:shape style="position:absolute;left:7;top:36;width:708;height:2" coordorigin="7,36" coordsize="708,0" path="m7,36l715,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44.05pt;height:2.15pt;mso-position-horizontal-relative:char;mso-position-vertical-relative:line" coordorigin="0,0" coordsize="881,43">
            <v:group style="position:absolute;left:7;top:7;width:867;height:2" coordorigin="7,7" coordsize="867,2">
              <v:shape style="position:absolute;left:7;top:7;width:867;height:2" coordorigin="7,7" coordsize="867,0" path="m7,7l873,7e" filled="false" stroked="true" strokeweight=".71pt" strokecolor="#000000">
                <v:path arrowok="t"/>
              </v:shape>
            </v:group>
            <v:group style="position:absolute;left:7;top:36;width:867;height:2" coordorigin="7,36" coordsize="867,2">
              <v:shape style="position:absolute;left:7;top:36;width:867;height:2" coordorigin="7,36" coordsize="867,0" path="m7,36l873,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43.2pt;height:2.15pt;mso-position-horizontal-relative:char;mso-position-vertical-relative:line" coordorigin="0,0" coordsize="864,43">
            <v:group style="position:absolute;left:7;top:7;width:850;height:2" coordorigin="7,7" coordsize="850,2">
              <v:shape style="position:absolute;left:7;top:7;width:850;height:2" coordorigin="7,7" coordsize="850,0" path="m7,7l857,7e" filled="false" stroked="true" strokeweight=".71pt" strokecolor="#000000">
                <v:path arrowok="t"/>
              </v:shape>
            </v:group>
            <v:group style="position:absolute;left:7;top:36;width:850;height:2" coordorigin="7,36" coordsize="850,2">
              <v:shape style="position:absolute;left:7;top:36;width:850;height:2" coordorigin="7,36" coordsize="850,0" path="m7,36l857,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29.05pt;height:2.15pt;mso-position-horizontal-relative:char;mso-position-vertical-relative:line" coordorigin="0,0" coordsize="581,43">
            <v:group style="position:absolute;left:7;top:7;width:567;height:2" coordorigin="7,7" coordsize="567,2">
              <v:shape style="position:absolute;left:7;top:7;width:567;height:2" coordorigin="7,7" coordsize="567,0" path="m7,7l573,7e" filled="false" stroked="true" strokeweight=".71pt" strokecolor="#000000">
                <v:path arrowok="t"/>
              </v:shape>
            </v:group>
            <v:group style="position:absolute;left:7;top:36;width:567;height:2" coordorigin="7,36" coordsize="567,2">
              <v:shape style="position:absolute;left:7;top:36;width:567;height:2" coordorigin="7,36" coordsize="567,0" path="m7,36l573,36e" filled="false" stroked="true" strokeweight=".71pt" strokecolor="#000000">
                <v:path arrowok="t"/>
              </v:shape>
            </v:group>
          </v:group>
        </w:pict>
      </w:r>
      <w:r>
        <w:rPr>
          <w:rFonts w:ascii="Times New Roman"/>
          <w:position w:val="0"/>
          <w:sz w:val="4"/>
        </w:rPr>
      </w:r>
      <w:r>
        <w:rPr>
          <w:rFonts w:ascii="Times New Roman"/>
          <w:position w:val="0"/>
          <w:sz w:val="4"/>
        </w:rPr>
        <w:tab/>
      </w:r>
      <w:r>
        <w:rPr>
          <w:rFonts w:ascii="Times New Roman"/>
          <w:position w:val="0"/>
          <w:sz w:val="4"/>
        </w:rPr>
        <w:pict>
          <v:group style="width:36.1pt;height:2.15pt;mso-position-horizontal-relative:char;mso-position-vertical-relative:line" coordorigin="0,0" coordsize="722,43">
            <v:group style="position:absolute;left:7;top:7;width:708;height:2" coordorigin="7,7" coordsize="708,2">
              <v:shape style="position:absolute;left:7;top:7;width:708;height:2" coordorigin="7,7" coordsize="708,0" path="m7,7l715,7e" filled="false" stroked="true" strokeweight=".71pt" strokecolor="#000000">
                <v:path arrowok="t"/>
              </v:shape>
            </v:group>
            <v:group style="position:absolute;left:7;top:36;width:708;height:2" coordorigin="7,36" coordsize="708,2">
              <v:shape style="position:absolute;left:7;top:36;width:708;height:2" coordorigin="7,36" coordsize="708,0" path="m7,36l715,36e" filled="false" stroked="true" strokeweight=".71pt" strokecolor="#000000">
                <v:path arrowok="t"/>
              </v:shape>
            </v:group>
          </v:group>
        </w:pict>
      </w:r>
      <w:r>
        <w:rPr>
          <w:rFonts w:ascii="Times New Roman"/>
          <w:position w:val="0"/>
          <w:sz w:val="4"/>
        </w:rPr>
      </w:r>
    </w:p>
    <w:p>
      <w:pPr>
        <w:spacing w:line="240" w:lineRule="auto" w:before="0"/>
        <w:rPr>
          <w:rFonts w:ascii="Times New Roman" w:hAnsi="Times New Roman" w:cs="Times New Roman" w:eastAsia="Times New Roman" w:hint="default"/>
          <w:sz w:val="17"/>
          <w:szCs w:val="17"/>
        </w:rPr>
      </w:pPr>
    </w:p>
    <w:p>
      <w:pPr>
        <w:spacing w:before="36"/>
        <w:ind w:left="680" w:right="1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按账龄分析法计提坏账准备的其他应收款：</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040" w:bottom="1180" w:left="940" w:right="160"/>
        </w:sectPr>
      </w:pP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3"/>
          <w:szCs w:val="13"/>
        </w:rPr>
      </w:pPr>
    </w:p>
    <w:p>
      <w:pPr>
        <w:spacing w:line="189"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账面余额</w:t>
      </w:r>
    </w:p>
    <w:p>
      <w:pPr>
        <w:spacing w:line="72" w:lineRule="exact" w:before="0"/>
        <w:ind w:left="1335" w:right="0" w:firstLine="0"/>
        <w:jc w:val="left"/>
        <w:rPr>
          <w:rFonts w:ascii="宋体" w:hAnsi="宋体" w:cs="宋体" w:eastAsia="宋体" w:hint="default"/>
          <w:sz w:val="15"/>
          <w:szCs w:val="15"/>
        </w:rPr>
      </w:pPr>
      <w:r>
        <w:rPr>
          <w:rFonts w:ascii="宋体" w:hAnsi="宋体" w:cs="宋体" w:eastAsia="宋体" w:hint="default"/>
          <w:sz w:val="15"/>
          <w:szCs w:val="15"/>
        </w:rPr>
        <w:t>账龄</w:t>
      </w:r>
    </w:p>
    <w:p>
      <w:pPr>
        <w:tabs>
          <w:tab w:pos="3711" w:val="left" w:leader="none"/>
        </w:tabs>
        <w:spacing w:before="54"/>
        <w:ind w:left="135" w:right="-15" w:firstLine="0"/>
        <w:jc w:val="left"/>
        <w:rPr>
          <w:rFonts w:ascii="宋体" w:hAnsi="宋体" w:cs="宋体" w:eastAsia="宋体" w:hint="default"/>
          <w:sz w:val="15"/>
          <w:szCs w:val="15"/>
        </w:rPr>
      </w:pPr>
      <w:r>
        <w:rPr/>
        <w:br w:type="column"/>
      </w:r>
      <w:r>
        <w:rPr>
          <w:rFonts w:ascii="宋体" w:hAnsi="宋体" w:cs="宋体" w:eastAsia="宋体" w:hint="default"/>
          <w:sz w:val="15"/>
          <w:szCs w:val="15"/>
        </w:rPr>
        <w:t>年末数</w:t>
        <w:tab/>
      </w:r>
      <w:r>
        <w:rPr>
          <w:rFonts w:ascii="Times New Roman" w:hAnsi="Times New Roman" w:cs="Times New Roman" w:eastAsia="Times New Roman" w:hint="default"/>
          <w:sz w:val="15"/>
          <w:szCs w:val="15"/>
        </w:rPr>
        <w:t>2009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日</w:t>
      </w:r>
    </w:p>
    <w:p>
      <w:pPr>
        <w:spacing w:line="189" w:lineRule="exact" w:before="99"/>
        <w:ind w:left="3250" w:right="-15" w:firstLine="0"/>
        <w:jc w:val="left"/>
        <w:rPr>
          <w:rFonts w:ascii="宋体" w:hAnsi="宋体" w:cs="宋体" w:eastAsia="宋体" w:hint="default"/>
          <w:sz w:val="15"/>
          <w:szCs w:val="15"/>
        </w:rPr>
      </w:pPr>
      <w:r>
        <w:rPr/>
        <w:pict>
          <v:group style="position:absolute;margin-left:181.324997pt;margin-top:2.919769pt;width:177.35pt;height:.95pt;mso-position-horizontal-relative:page;mso-position-vertical-relative:paragraph;z-index:9904" coordorigin="3626,58" coordsize="3547,19">
            <v:group style="position:absolute;left:3636;top:68;width:2124;height:2" coordorigin="3636,68" coordsize="2124,2">
              <v:shape style="position:absolute;left:3636;top:68;width:2124;height:2" coordorigin="3636,68" coordsize="2124,0" path="m3636,68l5760,68e" filled="false" stroked="true" strokeweight=".95pt" strokecolor="#000000">
                <v:path arrowok="t"/>
              </v:shape>
            </v:group>
            <v:group style="position:absolute;left:5760;top:68;width:20;height:2" coordorigin="5760,68" coordsize="20,2">
              <v:shape style="position:absolute;left:5760;top:68;width:20;height:2" coordorigin="5760,68" coordsize="20,0" path="m5760,68l5779,68e" filled="false" stroked="true" strokeweight=".95pt" strokecolor="#000000">
                <v:path arrowok="t"/>
              </v:shape>
            </v:group>
            <v:group style="position:absolute;left:5779;top:68;width:267;height:2" coordorigin="5779,68" coordsize="267,2">
              <v:shape style="position:absolute;left:5779;top:68;width:267;height:2" coordorigin="5779,68" coordsize="267,0" path="m5779,68l6046,68e" filled="false" stroked="true" strokeweight=".95pt" strokecolor="#000000">
                <v:path arrowok="t"/>
              </v:shape>
            </v:group>
            <v:group style="position:absolute;left:6046;top:68;width:20;height:2" coordorigin="6046,68" coordsize="20,2">
              <v:shape style="position:absolute;left:6046;top:68;width:20;height:2" coordorigin="6046,68" coordsize="20,0" path="m6046,68l6065,68e" filled="false" stroked="true" strokeweight=".95pt" strokecolor="#000000">
                <v:path arrowok="t"/>
              </v:shape>
            </v:group>
            <v:group style="position:absolute;left:6065;top:68;width:1100;height:2" coordorigin="6065,68" coordsize="1100,2">
              <v:shape style="position:absolute;left:6065;top:68;width:1100;height:2" coordorigin="6065,68" coordsize="1100,0" path="m6065,68l7164,68e" filled="false" stroked="true" strokeweight=".95pt" strokecolor="#000000">
                <v:path arrowok="t"/>
              </v:shape>
            </v:group>
            <w10:wrap type="none"/>
          </v:group>
        </w:pict>
      </w:r>
      <w:r>
        <w:rPr/>
        <w:pict>
          <v:group style="position:absolute;margin-left:372.119995pt;margin-top:2.919769pt;width:193pt;height:.5pt;mso-position-horizontal-relative:page;mso-position-vertical-relative:paragraph;z-index:9928" coordorigin="7442,58" coordsize="3860,10">
            <v:group style="position:absolute;left:7447;top:63;width:2290;height:2" coordorigin="7447,63" coordsize="2290,2">
              <v:shape style="position:absolute;left:7447;top:63;width:2290;height:2" coordorigin="7447,63" coordsize="2290,0" path="m7447,63l9737,63e" filled="false" stroked="true" strokeweight=".48pt" strokecolor="#000000">
                <v:path arrowok="t"/>
              </v:shape>
            </v:group>
            <v:group style="position:absolute;left:9737;top:63;width:10;height:2" coordorigin="9737,63" coordsize="10,2">
              <v:shape style="position:absolute;left:9737;top:63;width:10;height:2" coordorigin="9737,63" coordsize="10,0" path="m9737,63l9746,63e" filled="false" stroked="true" strokeweight=".48pt" strokecolor="#000000">
                <v:path arrowok="t"/>
              </v:shape>
            </v:group>
            <v:group style="position:absolute;left:9746;top:63;width:272;height:2" coordorigin="9746,63" coordsize="272,2">
              <v:shape style="position:absolute;left:9746;top:63;width:272;height:2" coordorigin="9746,63" coordsize="272,0" path="m9746,63l10018,63e" filled="false" stroked="true" strokeweight=".48pt" strokecolor="#000000">
                <v:path arrowok="t"/>
              </v:shape>
            </v:group>
            <v:group style="position:absolute;left:10018;top:63;width:10;height:2" coordorigin="10018,63" coordsize="10,2">
              <v:shape style="position:absolute;left:10018;top:63;width:10;height:2" coordorigin="10018,63" coordsize="10,0" path="m10018,63l10027,63e" filled="false" stroked="true" strokeweight=".48pt" strokecolor="#000000">
                <v:path arrowok="t"/>
              </v:shape>
            </v:group>
            <v:group style="position:absolute;left:10027;top:63;width:1270;height:2" coordorigin="10027,63" coordsize="1270,2">
              <v:shape style="position:absolute;left:10027;top:63;width:1270;height:2" coordorigin="10027,63" coordsize="1270,0" path="m10027,63l11297,63e" filled="false" stroked="true" strokeweight=".48pt" strokecolor="#000000">
                <v:path arrowok="t"/>
              </v:shape>
            </v:group>
            <w10:wrap type="none"/>
          </v:group>
        </w:pict>
      </w:r>
      <w:r>
        <w:rPr>
          <w:rFonts w:ascii="宋体" w:hAnsi="宋体" w:cs="宋体" w:eastAsia="宋体" w:hint="default"/>
          <w:sz w:val="15"/>
          <w:szCs w:val="15"/>
        </w:rPr>
        <w:t>账面余额</w:t>
      </w:r>
    </w:p>
    <w:p>
      <w:pPr>
        <w:spacing w:line="72" w:lineRule="exact" w:before="0"/>
        <w:ind w:left="1263" w:right="-15" w:firstLine="0"/>
        <w:jc w:val="left"/>
        <w:rPr>
          <w:rFonts w:ascii="宋体" w:hAnsi="宋体" w:cs="宋体" w:eastAsia="宋体" w:hint="default"/>
          <w:sz w:val="15"/>
          <w:szCs w:val="15"/>
        </w:rPr>
      </w:pPr>
      <w:r>
        <w:rPr/>
        <w:pict>
          <v:group style="position:absolute;margin-left:181.320007pt;margin-top:1.582545pt;width:107.15pt;height:1pt;mso-position-horizontal-relative:page;mso-position-vertical-relative:paragraph;z-index:9952" coordorigin="3626,32" coordsize="2143,20">
            <v:group style="position:absolute;left:3636;top:41;width:1133;height:2" coordorigin="3636,41" coordsize="1133,2">
              <v:shape style="position:absolute;left:3636;top:41;width:1133;height:2" coordorigin="3636,41" coordsize="1133,0" path="m3636,41l4769,41e" filled="false" stroked="true" strokeweight=".96pt" strokecolor="#000000">
                <v:path arrowok="t"/>
              </v:shape>
            </v:group>
            <v:group style="position:absolute;left:4769;top:41;width:20;height:2" coordorigin="4769,41" coordsize="20,2">
              <v:shape style="position:absolute;left:4769;top:41;width:20;height:2" coordorigin="4769,41" coordsize="20,0" path="m4769,41l4788,41e" filled="false" stroked="true" strokeweight=".96pt" strokecolor="#000000">
                <v:path arrowok="t"/>
              </v:shape>
            </v:group>
            <v:group style="position:absolute;left:4788;top:41;width:267;height:2" coordorigin="4788,41" coordsize="267,2">
              <v:shape style="position:absolute;left:4788;top:41;width:267;height:2" coordorigin="4788,41" coordsize="267,0" path="m4788,41l5054,41e" filled="false" stroked="true" strokeweight=".96pt" strokecolor="#000000">
                <v:path arrowok="t"/>
              </v:shape>
            </v:group>
            <v:group style="position:absolute;left:5054;top:41;width:20;height:2" coordorigin="5054,41" coordsize="20,2">
              <v:shape style="position:absolute;left:5054;top:41;width:20;height:2" coordorigin="5054,41" coordsize="20,0" path="m5054,41l5074,41e" filled="false" stroked="true" strokeweight=".96pt" strokecolor="#000000">
                <v:path arrowok="t"/>
              </v:shape>
            </v:group>
            <v:group style="position:absolute;left:5074;top:41;width:687;height:2" coordorigin="5074,41" coordsize="687,2">
              <v:shape style="position:absolute;left:5074;top:41;width:687;height:2" coordorigin="5074,41" coordsize="687,0" path="m5074,41l5760,41e" filled="false" stroked="true" strokeweight=".96pt" strokecolor="#000000">
                <v:path arrowok="t"/>
              </v:shape>
            </v:group>
            <w10:wrap type="none"/>
          </v:group>
        </w:pict>
      </w:r>
      <w:r>
        <w:rPr/>
        <w:pict>
          <v:group style="position:absolute;margin-left:371.880005pt;margin-top:1.582545pt;width:115.45pt;height:1pt;mso-position-horizontal-relative:page;mso-position-vertical-relative:paragraph;z-index:9976" coordorigin="7438,32" coordsize="2309,20">
            <v:group style="position:absolute;left:7447;top:41;width:1287;height:2" coordorigin="7447,41" coordsize="1287,2">
              <v:shape style="position:absolute;left:7447;top:41;width:1287;height:2" coordorigin="7447,41" coordsize="1287,0" path="m7447,41l8734,41e" filled="false" stroked="true" strokeweight=".96pt" strokecolor="#000000">
                <v:path arrowok="t"/>
              </v:shape>
            </v:group>
            <v:group style="position:absolute;left:8734;top:41;width:19;height:2" coordorigin="8734,41" coordsize="19,2">
              <v:shape style="position:absolute;left:8734;top:41;width:19;height:2" coordorigin="8734,41" coordsize="19,0" path="m8734,41l8753,41e" filled="false" stroked="true" strokeweight=".96pt" strokecolor="#000000">
                <v:path arrowok="t"/>
              </v:shape>
            </v:group>
            <v:group style="position:absolute;left:8753;top:41;width:264;height:2" coordorigin="8753,41" coordsize="264,2">
              <v:shape style="position:absolute;left:8753;top:41;width:264;height:2" coordorigin="8753,41" coordsize="264,0" path="m8753,41l9017,41e" filled="false" stroked="true" strokeweight=".96pt" strokecolor="#000000">
                <v:path arrowok="t"/>
              </v:shape>
            </v:group>
            <v:group style="position:absolute;left:9017;top:41;width:19;height:2" coordorigin="9017,41" coordsize="19,2">
              <v:shape style="position:absolute;left:9017;top:41;width:19;height:2" coordorigin="9017,41" coordsize="19,0" path="m9017,41l9036,41e" filled="false" stroked="true" strokeweight=".96pt" strokecolor="#000000">
                <v:path arrowok="t"/>
              </v:shape>
            </v:group>
            <v:group style="position:absolute;left:9036;top:41;width:701;height:2" coordorigin="9036,41" coordsize="701,2">
              <v:shape style="position:absolute;left:9036;top:41;width:701;height:2" coordorigin="9036,41" coordsize="701,0" path="m9036,41l9737,41e" filled="false" stroked="true" strokeweight=".96pt" strokecolor="#000000">
                <v:path arrowok="t"/>
              </v:shape>
            </v:group>
            <w10:wrap type="none"/>
          </v:group>
        </w:pict>
      </w:r>
      <w:r>
        <w:rPr>
          <w:rFonts w:ascii="宋体" w:hAnsi="宋体" w:cs="宋体" w:eastAsia="宋体" w:hint="default"/>
          <w:sz w:val="15"/>
          <w:szCs w:val="15"/>
        </w:rPr>
        <w:t>坏账准备</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8"/>
        <w:rPr>
          <w:rFonts w:ascii="宋体" w:hAnsi="宋体" w:cs="宋体" w:eastAsia="宋体" w:hint="default"/>
          <w:sz w:val="13"/>
          <w:szCs w:val="13"/>
        </w:rPr>
      </w:pPr>
    </w:p>
    <w:p>
      <w:pPr>
        <w:spacing w:line="79" w:lineRule="exact" w:before="0"/>
        <w:ind w:left="324" w:right="0" w:firstLine="0"/>
        <w:jc w:val="left"/>
        <w:rPr>
          <w:rFonts w:ascii="宋体" w:hAnsi="宋体" w:cs="宋体" w:eastAsia="宋体" w:hint="default"/>
          <w:sz w:val="15"/>
          <w:szCs w:val="15"/>
        </w:rPr>
      </w:pPr>
      <w:r>
        <w:rPr>
          <w:rFonts w:ascii="宋体" w:hAnsi="宋体" w:cs="宋体" w:eastAsia="宋体" w:hint="default"/>
          <w:sz w:val="15"/>
          <w:szCs w:val="15"/>
        </w:rPr>
        <w:t>坏账准备</w:t>
      </w:r>
    </w:p>
    <w:p>
      <w:pPr>
        <w:spacing w:after="0" w:line="79" w:lineRule="exact"/>
        <w:jc w:val="left"/>
        <w:rPr>
          <w:rFonts w:ascii="宋体" w:hAnsi="宋体" w:cs="宋体" w:eastAsia="宋体" w:hint="default"/>
          <w:sz w:val="15"/>
          <w:szCs w:val="15"/>
        </w:rPr>
        <w:sectPr>
          <w:type w:val="continuous"/>
          <w:pgSz w:w="11900" w:h="16840"/>
          <w:pgMar w:top="1040" w:bottom="1180" w:left="940" w:right="160"/>
          <w:cols w:num="3" w:equalWidth="0">
            <w:col w:w="4060" w:space="40"/>
            <w:col w:w="4952" w:space="40"/>
            <w:col w:w="1708"/>
          </w:cols>
        </w:sectPr>
      </w:pPr>
    </w:p>
    <w:p>
      <w:pPr>
        <w:tabs>
          <w:tab w:pos="4315" w:val="left" w:leader="none"/>
          <w:tab w:pos="6996" w:val="left" w:leader="none"/>
          <w:tab w:pos="8285" w:val="left" w:leader="none"/>
        </w:tabs>
        <w:spacing w:line="251" w:lineRule="exact" w:before="0"/>
        <w:ind w:left="3111" w:right="179" w:firstLine="0"/>
        <w:jc w:val="left"/>
        <w:rPr>
          <w:rFonts w:ascii="宋体" w:hAnsi="宋体" w:cs="宋体" w:eastAsia="宋体" w:hint="default"/>
          <w:sz w:val="15"/>
          <w:szCs w:val="15"/>
        </w:rPr>
      </w:pPr>
      <w:r>
        <w:rPr/>
        <w:pict>
          <v:shape style="position:absolute;margin-left:75.599998pt;margin-top:9.720pt;width:489.25pt;height:60.65pt;mso-position-horizontal-relative:page;mso-position-vertical-relative:paragraph;z-index:10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9"/>
                    <w:gridCol w:w="295"/>
                    <w:gridCol w:w="1133"/>
                    <w:gridCol w:w="286"/>
                    <w:gridCol w:w="705"/>
                    <w:gridCol w:w="286"/>
                    <w:gridCol w:w="2688"/>
                    <w:gridCol w:w="283"/>
                    <w:gridCol w:w="720"/>
                    <w:gridCol w:w="281"/>
                    <w:gridCol w:w="1279"/>
                  </w:tblGrid>
                  <w:tr>
                    <w:trPr>
                      <w:trHeight w:val="183" w:hRule="exact"/>
                    </w:trPr>
                    <w:tc>
                      <w:tcPr>
                        <w:tcW w:w="3542" w:type="dxa"/>
                        <w:gridSpan w:val="4"/>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single" w:sz="8" w:space="0" w:color="000000"/>
                          <w:right w:val="nil" w:sz="6" w:space="0" w:color="auto"/>
                        </w:tcBorders>
                      </w:tcPr>
                      <w:p>
                        <w:pPr>
                          <w:pStyle w:val="TableParagraph"/>
                          <w:spacing w:line="162" w:lineRule="exact"/>
                          <w:ind w:right="137"/>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286"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single" w:sz="8"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8" w:space="0" w:color="000000"/>
                          <w:right w:val="nil" w:sz="6" w:space="0" w:color="auto"/>
                        </w:tcBorders>
                      </w:tcPr>
                      <w:p>
                        <w:pPr>
                          <w:pStyle w:val="TableParagraph"/>
                          <w:spacing w:line="162" w:lineRule="exact"/>
                          <w:ind w:right="144"/>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1560" w:type="dxa"/>
                        <w:gridSpan w:val="2"/>
                        <w:tcBorders>
                          <w:top w:val="nil" w:sz="6" w:space="0" w:color="auto"/>
                          <w:left w:val="nil" w:sz="6" w:space="0" w:color="auto"/>
                          <w:bottom w:val="nil" w:sz="6" w:space="0" w:color="auto"/>
                          <w:right w:val="nil" w:sz="6" w:space="0" w:color="auto"/>
                        </w:tcBorders>
                      </w:tcPr>
                      <w:p>
                        <w:pPr/>
                      </w:p>
                    </w:tc>
                  </w:tr>
                  <w:tr>
                    <w:trPr>
                      <w:trHeight w:val="257" w:hRule="exact"/>
                    </w:trPr>
                    <w:tc>
                      <w:tcPr>
                        <w:tcW w:w="1829" w:type="dxa"/>
                        <w:tcBorders>
                          <w:top w:val="single" w:sz="8" w:space="0" w:color="000000"/>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年以内</w:t>
                        </w:r>
                      </w:p>
                    </w:tc>
                    <w:tc>
                      <w:tcPr>
                        <w:tcW w:w="295" w:type="dxa"/>
                        <w:tcBorders>
                          <w:top w:val="nil" w:sz="6" w:space="0" w:color="auto"/>
                          <w:left w:val="nil" w:sz="6" w:space="0" w:color="auto"/>
                          <w:bottom w:val="nil" w:sz="6" w:space="0" w:color="auto"/>
                          <w:right w:val="nil" w:sz="6" w:space="0" w:color="auto"/>
                        </w:tcBorders>
                      </w:tcPr>
                      <w:p>
                        <w:pPr/>
                      </w:p>
                    </w:tc>
                    <w:tc>
                      <w:tcPr>
                        <w:tcW w:w="1133"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left="79" w:right="0"/>
                          <w:jc w:val="left"/>
                          <w:rPr>
                            <w:rFonts w:ascii="Times New Roman" w:hAnsi="Times New Roman" w:cs="Times New Roman" w:eastAsia="Times New Roman" w:hint="default"/>
                            <w:sz w:val="18"/>
                            <w:szCs w:val="18"/>
                          </w:rPr>
                        </w:pPr>
                        <w:r>
                          <w:rPr>
                            <w:rFonts w:ascii="Times New Roman"/>
                            <w:sz w:val="18"/>
                          </w:rPr>
                          <w:t>7,213,667.07</w:t>
                        </w:r>
                      </w:p>
                    </w:tc>
                    <w:tc>
                      <w:tcPr>
                        <w:tcW w:w="286" w:type="dxa"/>
                        <w:tcBorders>
                          <w:top w:val="nil" w:sz="6" w:space="0" w:color="auto"/>
                          <w:left w:val="nil" w:sz="6" w:space="0" w:color="auto"/>
                          <w:bottom w:val="nil" w:sz="6" w:space="0" w:color="auto"/>
                          <w:right w:val="nil" w:sz="6" w:space="0" w:color="auto"/>
                        </w:tcBorders>
                      </w:tcPr>
                      <w:p>
                        <w:pPr/>
                      </w:p>
                    </w:tc>
                    <w:tc>
                      <w:tcPr>
                        <w:tcW w:w="705" w:type="dxa"/>
                        <w:tcBorders>
                          <w:top w:val="single" w:sz="8" w:space="0" w:color="000000"/>
                          <w:left w:val="nil" w:sz="6" w:space="0" w:color="auto"/>
                          <w:bottom w:val="nil" w:sz="6" w:space="0" w:color="auto"/>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z w:val="18"/>
                          </w:rPr>
                          <w:t>94.75</w:t>
                        </w:r>
                      </w:p>
                    </w:tc>
                    <w:tc>
                      <w:tcPr>
                        <w:tcW w:w="286" w:type="dxa"/>
                        <w:tcBorders>
                          <w:top w:val="nil" w:sz="6" w:space="0" w:color="auto"/>
                          <w:left w:val="nil" w:sz="6" w:space="0" w:color="auto"/>
                          <w:bottom w:val="nil" w:sz="6" w:space="0" w:color="auto"/>
                          <w:right w:val="nil" w:sz="6" w:space="0" w:color="auto"/>
                        </w:tcBorders>
                      </w:tcPr>
                      <w:p>
                        <w:pPr/>
                      </w:p>
                    </w:tc>
                    <w:tc>
                      <w:tcPr>
                        <w:tcW w:w="2688" w:type="dxa"/>
                        <w:tcBorders>
                          <w:top w:val="single" w:sz="8" w:space="0" w:color="000000"/>
                          <w:left w:val="nil" w:sz="6" w:space="0" w:color="auto"/>
                          <w:bottom w:val="nil" w:sz="6" w:space="0" w:color="auto"/>
                          <w:right w:val="nil" w:sz="6" w:space="0" w:color="auto"/>
                        </w:tcBorders>
                      </w:tcPr>
                      <w:p>
                        <w:pPr>
                          <w:pStyle w:val="TableParagraph"/>
                          <w:tabs>
                            <w:tab w:pos="818" w:val="left" w:leader="none"/>
                          </w:tabs>
                          <w:spacing w:line="238" w:lineRule="exact"/>
                          <w:ind w:right="107"/>
                          <w:jc w:val="right"/>
                          <w:rPr>
                            <w:rFonts w:ascii="Times New Roman" w:hAnsi="Times New Roman" w:cs="Times New Roman" w:eastAsia="Times New Roman" w:hint="default"/>
                            <w:sz w:val="18"/>
                            <w:szCs w:val="18"/>
                          </w:rPr>
                        </w:pPr>
                        <w:r>
                          <w:rPr>
                            <w:rFonts w:ascii="Times New Roman"/>
                            <w:position w:val="4"/>
                            <w:sz w:val="18"/>
                          </w:rPr>
                          <w:t>-</w:t>
                          <w:tab/>
                        </w:r>
                        <w:r>
                          <w:rPr>
                            <w:rFonts w:ascii="Times New Roman"/>
                            <w:spacing w:val="-1"/>
                            <w:sz w:val="18"/>
                          </w:rPr>
                          <w:t>380,678.75</w:t>
                        </w:r>
                      </w:p>
                    </w:tc>
                    <w:tc>
                      <w:tcPr>
                        <w:tcW w:w="283" w:type="dxa"/>
                        <w:tcBorders>
                          <w:top w:val="nil" w:sz="6" w:space="0" w:color="auto"/>
                          <w:left w:val="nil" w:sz="6" w:space="0" w:color="auto"/>
                          <w:bottom w:val="nil" w:sz="6" w:space="0" w:color="auto"/>
                          <w:right w:val="nil" w:sz="6" w:space="0" w:color="auto"/>
                        </w:tcBorders>
                      </w:tcPr>
                      <w:p>
                        <w:pPr/>
                      </w:p>
                    </w:tc>
                    <w:tc>
                      <w:tcPr>
                        <w:tcW w:w="720"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z w:val="18"/>
                          </w:rPr>
                          <w:t>17.76</w:t>
                        </w:r>
                      </w:p>
                    </w:tc>
                    <w:tc>
                      <w:tcPr>
                        <w:tcW w:w="281" w:type="dxa"/>
                        <w:tcBorders>
                          <w:top w:val="nil" w:sz="6" w:space="0" w:color="auto"/>
                          <w:left w:val="nil" w:sz="6" w:space="0" w:color="auto"/>
                          <w:bottom w:val="nil" w:sz="6" w:space="0" w:color="auto"/>
                          <w:right w:val="nil" w:sz="6" w:space="0" w:color="auto"/>
                        </w:tcBorders>
                      </w:tcPr>
                      <w:p>
                        <w:pPr/>
                      </w:p>
                    </w:tc>
                    <w:tc>
                      <w:tcPr>
                        <w:tcW w:w="1279"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2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Style w:val="TableParagraph"/>
                          <w:spacing w:line="197" w:lineRule="exact"/>
                          <w:ind w:right="10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Style w:val="TableParagraph"/>
                          <w:tabs>
                            <w:tab w:pos="683" w:val="left" w:leader="none"/>
                          </w:tabs>
                          <w:spacing w:line="231" w:lineRule="exact"/>
                          <w:ind w:right="107"/>
                          <w:jc w:val="right"/>
                          <w:rPr>
                            <w:rFonts w:ascii="Times New Roman" w:hAnsi="Times New Roman" w:cs="Times New Roman" w:eastAsia="Times New Roman" w:hint="default"/>
                            <w:sz w:val="18"/>
                            <w:szCs w:val="18"/>
                          </w:rPr>
                        </w:pPr>
                        <w:r>
                          <w:rPr>
                            <w:rFonts w:ascii="Times New Roman"/>
                            <w:position w:val="3"/>
                            <w:sz w:val="18"/>
                          </w:rPr>
                          <w:t>-</w:t>
                          <w:tab/>
                        </w:r>
                        <w:r>
                          <w:rPr>
                            <w:rFonts w:ascii="Times New Roman"/>
                            <w:spacing w:val="-1"/>
                            <w:sz w:val="18"/>
                          </w:rPr>
                          <w:t>1,762,700.00</w:t>
                        </w:r>
                      </w:p>
                    </w:tc>
                    <w:tc>
                      <w:tcPr>
                        <w:tcW w:w="2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Times New Roman" w:hAnsi="Times New Roman" w:cs="Times New Roman" w:eastAsia="Times New Roman" w:hint="default"/>
                            <w:sz w:val="18"/>
                            <w:szCs w:val="18"/>
                          </w:rPr>
                        </w:pPr>
                        <w:r>
                          <w:rPr>
                            <w:rFonts w:ascii="Times New Roman"/>
                            <w:sz w:val="18"/>
                          </w:rPr>
                          <w:t>82.24</w:t>
                        </w:r>
                      </w:p>
                    </w:tc>
                    <w:tc>
                      <w:tcPr>
                        <w:tcW w:w="28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4"/>
                          <w:jc w:val="right"/>
                          <w:rPr>
                            <w:rFonts w:ascii="Times New Roman" w:hAnsi="Times New Roman" w:cs="Times New Roman" w:eastAsia="Times New Roman" w:hint="default"/>
                            <w:sz w:val="18"/>
                            <w:szCs w:val="18"/>
                          </w:rPr>
                        </w:pPr>
                        <w:r>
                          <w:rPr>
                            <w:rFonts w:ascii="Times New Roman"/>
                            <w:spacing w:val="-1"/>
                            <w:sz w:val="18"/>
                          </w:rPr>
                          <w:t>440,675.00</w:t>
                        </w:r>
                      </w:p>
                    </w:tc>
                  </w:tr>
                  <w:tr>
                    <w:trPr>
                      <w:trHeight w:val="24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2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tabs>
                            <w:tab w:pos="1132" w:val="left" w:leader="none"/>
                          </w:tabs>
                          <w:spacing w:line="240" w:lineRule="auto" w:before="24"/>
                          <w:ind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2"/>
                            <w:sz w:val="18"/>
                            <w:u w:val="single" w:color="000000"/>
                          </w:rPr>
                          <w:t> </w:t>
                        </w:r>
                        <w:r>
                          <w:rPr>
                            <w:rFonts w:ascii="Times New Roman"/>
                            <w:sz w:val="18"/>
                            <w:u w:val="single" w:color="000000"/>
                          </w:rPr>
                          <w:t>400,000.00</w:t>
                          <w:tab/>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single" w:sz="4" w:space="0" w:color="000000"/>
                          <w:right w:val="nil" w:sz="6" w:space="0" w:color="auto"/>
                        </w:tcBorders>
                      </w:tcPr>
                      <w:p>
                        <w:pPr>
                          <w:pStyle w:val="TableParagraph"/>
                          <w:spacing w:line="198" w:lineRule="exact"/>
                          <w:ind w:right="104"/>
                          <w:jc w:val="right"/>
                          <w:rPr>
                            <w:rFonts w:ascii="Times New Roman" w:hAnsi="Times New Roman" w:cs="Times New Roman" w:eastAsia="Times New Roman" w:hint="default"/>
                            <w:sz w:val="18"/>
                            <w:szCs w:val="18"/>
                          </w:rPr>
                        </w:pPr>
                        <w:r>
                          <w:rPr>
                            <w:rFonts w:ascii="Times New Roman"/>
                            <w:spacing w:val="-1"/>
                            <w:sz w:val="18"/>
                          </w:rPr>
                          <w:t>5.25</w:t>
                        </w:r>
                      </w:p>
                    </w:tc>
                    <w:tc>
                      <w:tcPr>
                        <w:tcW w:w="286"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single" w:sz="4" w:space="0" w:color="000000"/>
                          <w:right w:val="nil" w:sz="6" w:space="0" w:color="auto"/>
                        </w:tcBorders>
                      </w:tcPr>
                      <w:p>
                        <w:pPr>
                          <w:pStyle w:val="TableParagraph"/>
                          <w:tabs>
                            <w:tab w:pos="2320" w:val="left" w:leader="none"/>
                          </w:tabs>
                          <w:spacing w:line="228" w:lineRule="exact"/>
                          <w:ind w:right="108"/>
                          <w:jc w:val="right"/>
                          <w:rPr>
                            <w:rFonts w:ascii="Times New Roman" w:hAnsi="Times New Roman" w:cs="Times New Roman" w:eastAsia="Times New Roman" w:hint="default"/>
                            <w:sz w:val="18"/>
                            <w:szCs w:val="18"/>
                          </w:rPr>
                        </w:pPr>
                        <w:r>
                          <w:rPr>
                            <w:rFonts w:ascii="Times New Roman"/>
                            <w:spacing w:val="-1"/>
                            <w:sz w:val="18"/>
                          </w:rPr>
                          <w:t>200,000.00</w:t>
                          <w:tab/>
                        </w:r>
                        <w:r>
                          <w:rPr>
                            <w:rFonts w:ascii="Times New Roman"/>
                            <w:position w:val="-2"/>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1"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295"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79" w:right="0"/>
                          <w:jc w:val="left"/>
                          <w:rPr>
                            <w:rFonts w:ascii="Times New Roman" w:hAnsi="Times New Roman" w:cs="Times New Roman" w:eastAsia="Times New Roman" w:hint="default"/>
                            <w:sz w:val="18"/>
                            <w:szCs w:val="18"/>
                          </w:rPr>
                        </w:pPr>
                        <w:r>
                          <w:rPr>
                            <w:rFonts w:ascii="Times New Roman"/>
                            <w:sz w:val="18"/>
                          </w:rPr>
                          <w:t>7,613,667.07</w:t>
                        </w:r>
                      </w:p>
                    </w:tc>
                    <w:tc>
                      <w:tcPr>
                        <w:tcW w:w="286" w:type="dxa"/>
                        <w:tcBorders>
                          <w:top w:val="nil" w:sz="6" w:space="0" w:color="auto"/>
                          <w:left w:val="nil" w:sz="6" w:space="0" w:color="auto"/>
                          <w:bottom w:val="nil" w:sz="6" w:space="0" w:color="auto"/>
                          <w:right w:val="nil" w:sz="6" w:space="0" w:color="auto"/>
                        </w:tcBorders>
                      </w:tcPr>
                      <w:p>
                        <w:pPr/>
                      </w:p>
                    </w:tc>
                    <w:tc>
                      <w:tcPr>
                        <w:tcW w:w="705"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86" w:type="dxa"/>
                        <w:tcBorders>
                          <w:top w:val="nil" w:sz="6" w:space="0" w:color="auto"/>
                          <w:left w:val="nil" w:sz="6" w:space="0" w:color="auto"/>
                          <w:bottom w:val="nil" w:sz="6" w:space="0" w:color="auto"/>
                          <w:right w:val="nil" w:sz="6" w:space="0" w:color="auto"/>
                        </w:tcBorders>
                      </w:tcPr>
                      <w:p>
                        <w:pPr/>
                      </w:p>
                    </w:tc>
                    <w:tc>
                      <w:tcPr>
                        <w:tcW w:w="2688" w:type="dxa"/>
                        <w:tcBorders>
                          <w:top w:val="single" w:sz="4" w:space="0" w:color="000000"/>
                          <w:left w:val="nil" w:sz="6" w:space="0" w:color="auto"/>
                          <w:bottom w:val="single" w:sz="12" w:space="0" w:color="000000"/>
                          <w:right w:val="nil" w:sz="6" w:space="0" w:color="auto"/>
                        </w:tcBorders>
                      </w:tcPr>
                      <w:p>
                        <w:pPr>
                          <w:pStyle w:val="TableParagraph"/>
                          <w:tabs>
                            <w:tab w:pos="1435" w:val="left" w:leader="none"/>
                          </w:tabs>
                          <w:spacing w:line="238" w:lineRule="exact"/>
                          <w:ind w:right="107"/>
                          <w:jc w:val="right"/>
                          <w:rPr>
                            <w:rFonts w:ascii="Times New Roman" w:hAnsi="Times New Roman" w:cs="Times New Roman" w:eastAsia="Times New Roman" w:hint="default"/>
                            <w:sz w:val="18"/>
                            <w:szCs w:val="18"/>
                          </w:rPr>
                        </w:pPr>
                        <w:r>
                          <w:rPr>
                            <w:rFonts w:ascii="Times New Roman"/>
                            <w:spacing w:val="-1"/>
                            <w:position w:val="4"/>
                            <w:sz w:val="18"/>
                          </w:rPr>
                          <w:t>200,000.00</w:t>
                          <w:tab/>
                        </w:r>
                        <w:r>
                          <w:rPr>
                            <w:rFonts w:ascii="Times New Roman"/>
                            <w:spacing w:val="-1"/>
                            <w:sz w:val="18"/>
                          </w:rPr>
                          <w:t>2,143,378.75</w:t>
                        </w:r>
                      </w:p>
                    </w:tc>
                    <w:tc>
                      <w:tcPr>
                        <w:tcW w:w="283"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281"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440,675.00</w:t>
                        </w:r>
                      </w:p>
                    </w:tc>
                  </w:tr>
                </w:tbl>
                <w:p>
                  <w:pPr/>
                </w:p>
              </w:txbxContent>
            </v:textbox>
            <w10:wrap type="none"/>
          </v:shape>
        </w:pict>
      </w:r>
      <w:r>
        <w:rPr>
          <w:rFonts w:ascii="宋体" w:hAnsi="宋体" w:cs="宋体" w:eastAsia="宋体" w:hint="default"/>
          <w:position w:val="-9"/>
          <w:sz w:val="15"/>
          <w:szCs w:val="15"/>
        </w:rPr>
        <w:t>金额</w:t>
        <w:tab/>
      </w:r>
      <w:r>
        <w:rPr>
          <w:rFonts w:ascii="宋体" w:hAnsi="宋体" w:cs="宋体" w:eastAsia="宋体" w:hint="default"/>
          <w:sz w:val="15"/>
          <w:szCs w:val="15"/>
        </w:rPr>
        <w:t>比例</w:t>
        <w:tab/>
      </w:r>
      <w:r>
        <w:rPr>
          <w:rFonts w:ascii="宋体" w:hAnsi="宋体" w:cs="宋体" w:eastAsia="宋体" w:hint="default"/>
          <w:position w:val="-9"/>
          <w:sz w:val="15"/>
          <w:szCs w:val="15"/>
        </w:rPr>
        <w:t>金额</w:t>
        <w:tab/>
      </w:r>
      <w:r>
        <w:rPr>
          <w:rFonts w:ascii="宋体" w:hAnsi="宋体" w:cs="宋体" w:eastAsia="宋体" w:hint="default"/>
          <w:sz w:val="15"/>
          <w:szCs w:val="15"/>
        </w:rPr>
        <w:t>比例</w:t>
      </w:r>
    </w:p>
    <w:p>
      <w:pPr>
        <w:spacing w:line="240" w:lineRule="auto" w:before="12"/>
        <w:rPr>
          <w:rFonts w:ascii="宋体" w:hAnsi="宋体" w:cs="宋体" w:eastAsia="宋体" w:hint="default"/>
          <w:sz w:val="8"/>
          <w:szCs w:val="8"/>
        </w:rPr>
      </w:pPr>
    </w:p>
    <w:p>
      <w:pPr>
        <w:spacing w:line="20" w:lineRule="exact"/>
        <w:ind w:left="5096" w:right="0" w:firstLine="0"/>
        <w:rPr>
          <w:rFonts w:ascii="宋体" w:hAnsi="宋体" w:cs="宋体" w:eastAsia="宋体" w:hint="default"/>
          <w:sz w:val="2"/>
          <w:szCs w:val="2"/>
        </w:rPr>
      </w:pPr>
      <w:r>
        <w:rPr>
          <w:rFonts w:ascii="宋体" w:hAnsi="宋体" w:cs="宋体" w:eastAsia="宋体" w:hint="default"/>
          <w:sz w:val="2"/>
          <w:szCs w:val="2"/>
        </w:rPr>
        <w:pict>
          <v:group style="width:56.9pt;height:.95pt;mso-position-horizontal-relative:char;mso-position-vertical-relative:line" coordorigin="0,0" coordsize="1138,19">
            <v:group style="position:absolute;left:9;top:9;width:1119;height:2" coordorigin="9,9" coordsize="1119,2">
              <v:shape style="position:absolute;left:9;top:9;width:1119;height:2" coordorigin="9,9" coordsize="1119,0" path="m9,9l1128,9e" filled="false" stroked="true" strokeweight=".9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20" w:lineRule="exact"/>
        <w:ind w:left="5100" w:right="0" w:firstLine="0"/>
        <w:rPr>
          <w:rFonts w:ascii="宋体" w:hAnsi="宋体" w:cs="宋体" w:eastAsia="宋体" w:hint="default"/>
          <w:sz w:val="2"/>
          <w:szCs w:val="2"/>
        </w:rPr>
      </w:pPr>
      <w:r>
        <w:rPr>
          <w:rFonts w:ascii="宋体" w:hAnsi="宋体" w:cs="宋体" w:eastAsia="宋体" w:hint="default"/>
          <w:sz w:val="2"/>
          <w:szCs w:val="2"/>
        </w:rPr>
        <w:pict>
          <v:group style="width:56.4pt;height:.5pt;mso-position-horizontal-relative:char;mso-position-vertical-relative:line" coordorigin="0,0" coordsize="1128,10">
            <v:group style="position:absolute;left:5;top:5;width:1119;height:2" coordorigin="5,5" coordsize="1119,2">
              <v:shape style="position:absolute;left:5;top:5;width:1119;height:2" coordorigin="5,5" coordsize="1119,0" path="m5,5l1123,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7"/>
          <w:szCs w:val="17"/>
        </w:rPr>
      </w:pPr>
    </w:p>
    <w:p>
      <w:pPr>
        <w:spacing w:line="28" w:lineRule="exact"/>
        <w:ind w:left="5100" w:right="0" w:firstLine="0"/>
        <w:rPr>
          <w:rFonts w:ascii="宋体" w:hAnsi="宋体" w:cs="宋体" w:eastAsia="宋体" w:hint="default"/>
          <w:sz w:val="2"/>
          <w:szCs w:val="2"/>
        </w:rPr>
      </w:pPr>
      <w:r>
        <w:rPr>
          <w:rFonts w:ascii="宋体" w:hAnsi="宋体" w:cs="宋体" w:eastAsia="宋体" w:hint="default"/>
          <w:position w:val="0"/>
          <w:sz w:val="2"/>
          <w:szCs w:val="2"/>
        </w:rPr>
        <w:pict>
          <v:group style="width:56.4pt;height:1.45pt;mso-position-horizontal-relative:char;mso-position-vertical-relative:line" coordorigin="0,0" coordsize="1128,29">
            <v:group style="position:absolute;left:5;top:5;width:1119;height:2" coordorigin="5,5" coordsize="1119,2">
              <v:shape style="position:absolute;left:5;top:5;width:1119;height:2" coordorigin="5,5" coordsize="1119,0" path="m5,5l1123,5e" filled="false" stroked="true" strokeweight=".48pt" strokecolor="#000000">
                <v:path arrowok="t"/>
              </v:shape>
            </v:group>
            <v:group style="position:absolute;left:5;top:24;width:1119;height:2" coordorigin="5,24" coordsize="1119,2">
              <v:shape style="position:absolute;left:5;top:24;width:1119;height:2" coordorigin="5,24" coordsize="1119,0" path="m5,24l1123,24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1040" w:bottom="1180" w:left="940" w:right="160"/>
        </w:sectPr>
      </w:pPr>
    </w:p>
    <w:p>
      <w:pPr>
        <w:spacing w:before="36"/>
        <w:ind w:left="680" w:right="-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本报告期实际核销的其他应收款情况</w:t>
      </w:r>
    </w:p>
    <w:p>
      <w:pPr>
        <w:spacing w:line="240" w:lineRule="auto" w:before="0"/>
        <w:rPr>
          <w:rFonts w:ascii="宋体" w:hAnsi="宋体" w:cs="宋体" w:eastAsia="宋体" w:hint="default"/>
          <w:sz w:val="17"/>
          <w:szCs w:val="17"/>
        </w:rPr>
      </w:pPr>
    </w:p>
    <w:p>
      <w:pPr>
        <w:spacing w:line="206" w:lineRule="exact" w:before="0"/>
        <w:ind w:left="3903" w:right="3243" w:firstLine="0"/>
        <w:jc w:val="center"/>
        <w:rPr>
          <w:rFonts w:ascii="宋体" w:hAnsi="宋体" w:cs="宋体" w:eastAsia="宋体" w:hint="default"/>
          <w:sz w:val="21"/>
          <w:szCs w:val="21"/>
        </w:rPr>
      </w:pPr>
      <w:r>
        <w:rPr/>
        <w:pict>
          <v:shape style="position:absolute;margin-left:125.519997pt;margin-top:10.037271pt;width:42.15pt;height:10.55pt;mso-position-horizontal-relative:page;mso-position-vertical-relative:paragraph;z-index:1012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单位名称</w:t>
                  </w:r>
                </w:p>
              </w:txbxContent>
            </v:textbox>
            <w10:wrap type="none"/>
          </v:shape>
        </w:pict>
      </w:r>
      <w:r>
        <w:rPr>
          <w:rFonts w:ascii="宋体" w:hAnsi="宋体" w:cs="宋体" w:eastAsia="宋体" w:hint="default"/>
          <w:sz w:val="21"/>
          <w:szCs w:val="21"/>
        </w:rPr>
        <w:t>其他应收款</w:t>
      </w:r>
    </w:p>
    <w:p>
      <w:pPr>
        <w:tabs>
          <w:tab w:pos="5820" w:val="left" w:leader="none"/>
          <w:tab w:pos="7395" w:val="left" w:leader="none"/>
        </w:tabs>
        <w:spacing w:line="346" w:lineRule="exact" w:before="0"/>
        <w:ind w:left="4239" w:right="-14" w:firstLine="0"/>
        <w:jc w:val="left"/>
        <w:rPr>
          <w:rFonts w:ascii="宋体" w:hAnsi="宋体" w:cs="宋体" w:eastAsia="宋体" w:hint="default"/>
          <w:sz w:val="21"/>
          <w:szCs w:val="21"/>
        </w:rPr>
      </w:pPr>
      <w:r>
        <w:rPr/>
        <w:pict>
          <v:group style="position:absolute;margin-left:75.599998pt;margin-top:19.143562pt;width:141.85pt;height:.1pt;mso-position-horizontal-relative:page;mso-position-vertical-relative:paragraph;z-index:-545608" coordorigin="1512,383" coordsize="2837,2">
            <v:shape style="position:absolute;left:1512;top:383;width:2837;height:2" coordorigin="1512,383" coordsize="2837,0" path="m1512,383l4349,383e" filled="false" stroked="true" strokeweight=".96pt" strokecolor="#000000">
              <v:path arrowok="t"/>
            </v:shape>
            <w10:wrap type="none"/>
          </v:group>
        </w:pict>
      </w:r>
      <w:r>
        <w:rPr/>
        <w:pict>
          <v:group style="position:absolute;margin-left:229.559998pt;margin-top:18.903561pt;width:79.8pt;height:.1pt;mso-position-horizontal-relative:page;mso-position-vertical-relative:paragraph;z-index:-545584" coordorigin="4591,378" coordsize="1596,2">
            <v:shape style="position:absolute;left:4591;top:378;width:1596;height:2" coordorigin="4591,378" coordsize="1596,0" path="m4591,378l6187,378e" filled="false" stroked="true" strokeweight=".48pt" strokecolor="#000000">
              <v:path arrowok="t"/>
            </v:shape>
            <w10:wrap type="none"/>
          </v:group>
        </w:pict>
      </w:r>
      <w:r>
        <w:rPr/>
        <w:pict>
          <v:group style="position:absolute;margin-left:329.160004pt;margin-top:18.903561pt;width:65.2pt;height:.1pt;mso-position-horizontal-relative:page;mso-position-vertical-relative:paragraph;z-index:-545560" coordorigin="6583,378" coordsize="1304,2">
            <v:shape style="position:absolute;left:6583;top:378;width:1304;height:2" coordorigin="6583,378" coordsize="1304,0" path="m6583,378l7886,378e" filled="false" stroked="true" strokeweight=".48pt" strokecolor="#000000">
              <v:path arrowok="t"/>
            </v:shape>
            <w10:wrap type="none"/>
          </v:group>
        </w:pict>
      </w:r>
      <w:r>
        <w:rPr/>
        <w:pict>
          <v:group style="position:absolute;margin-left:406.079987pt;margin-top:18.903561pt;width:63.35pt;height:.1pt;mso-position-horizontal-relative:page;mso-position-vertical-relative:paragraph;z-index:-545536" coordorigin="8122,378" coordsize="1267,2">
            <v:shape style="position:absolute;left:8122;top:378;width:1267;height:2" coordorigin="8122,378" coordsize="1267,0" path="m8122,378l9389,378e" filled="false" stroked="true" strokeweight=".48pt" strokecolor="#000000">
              <v:path arrowok="t"/>
            </v:shape>
            <w10:wrap type="none"/>
          </v:group>
        </w:pict>
      </w:r>
      <w:r>
        <w:rPr>
          <w:rFonts w:ascii="宋体" w:hAnsi="宋体" w:cs="宋体" w:eastAsia="宋体" w:hint="default"/>
          <w:position w:val="-13"/>
          <w:sz w:val="21"/>
          <w:szCs w:val="21"/>
        </w:rPr>
        <w:t>性质</w:t>
        <w:tab/>
      </w:r>
      <w:r>
        <w:rPr>
          <w:rFonts w:ascii="宋体" w:hAnsi="宋体" w:cs="宋体" w:eastAsia="宋体" w:hint="default"/>
          <w:spacing w:val="-1"/>
          <w:sz w:val="21"/>
          <w:szCs w:val="21"/>
        </w:rPr>
        <w:t>核销金额</w:t>
        <w:tab/>
        <w:t>核销原因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2"/>
          <w:szCs w:val="22"/>
        </w:rPr>
      </w:pPr>
    </w:p>
    <w:p>
      <w:pPr>
        <w:spacing w:before="0"/>
        <w:ind w:left="1030" w:right="638" w:hanging="420"/>
        <w:jc w:val="left"/>
        <w:rPr>
          <w:rFonts w:ascii="宋体" w:hAnsi="宋体" w:cs="宋体" w:eastAsia="宋体" w:hint="default"/>
          <w:sz w:val="21"/>
          <w:szCs w:val="21"/>
        </w:rPr>
      </w:pPr>
      <w:r>
        <w:rPr/>
        <w:pict>
          <v:group style="position:absolute;margin-left:484.440002pt;margin-top:29.433678pt;width:77.05pt;height:.1pt;mso-position-horizontal-relative:page;mso-position-vertical-relative:paragraph;z-index:-545512" coordorigin="9689,589" coordsize="1541,2">
            <v:shape style="position:absolute;left:9689;top:589;width:1541;height:2" coordorigin="9689,589" coordsize="1541,0" path="m9689,589l11229,589e" filled="false" stroked="true" strokeweight=".96pt" strokecolor="#000000">
              <v:path arrowok="t"/>
            </v:shape>
            <w10:wrap type="none"/>
          </v:group>
        </w:pict>
      </w:r>
      <w:r>
        <w:rPr>
          <w:rFonts w:ascii="宋体" w:hAnsi="宋体" w:cs="宋体" w:eastAsia="宋体" w:hint="default"/>
          <w:spacing w:val="-1"/>
          <w:sz w:val="21"/>
          <w:szCs w:val="21"/>
        </w:rPr>
        <w:t>是否关联交易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产生</w:t>
      </w:r>
    </w:p>
    <w:p>
      <w:pPr>
        <w:spacing w:after="0"/>
        <w:jc w:val="left"/>
        <w:rPr>
          <w:rFonts w:ascii="宋体" w:hAnsi="宋体" w:cs="宋体" w:eastAsia="宋体" w:hint="default"/>
          <w:sz w:val="21"/>
          <w:szCs w:val="21"/>
        </w:rPr>
        <w:sectPr>
          <w:type w:val="continuous"/>
          <w:pgSz w:w="11900" w:h="16840"/>
          <w:pgMar w:top="1040" w:bottom="1180" w:left="940" w:right="160"/>
          <w:cols w:num="2" w:equalWidth="0">
            <w:col w:w="8238" w:space="40"/>
            <w:col w:w="2522"/>
          </w:cols>
        </w:sectPr>
      </w:pPr>
    </w:p>
    <w:p>
      <w:pPr>
        <w:tabs>
          <w:tab w:pos="4027" w:val="left" w:leader="none"/>
          <w:tab w:pos="5751" w:val="left" w:leader="none"/>
          <w:tab w:pos="7395" w:val="left" w:leader="none"/>
          <w:tab w:pos="9413" w:val="left" w:leader="none"/>
        </w:tabs>
        <w:spacing w:before="12"/>
        <w:ind w:left="680" w:right="179" w:firstLine="0"/>
        <w:jc w:val="left"/>
        <w:rPr>
          <w:rFonts w:ascii="宋体" w:hAnsi="宋体" w:cs="宋体" w:eastAsia="宋体" w:hint="default"/>
          <w:sz w:val="21"/>
          <w:szCs w:val="21"/>
        </w:rPr>
      </w:pPr>
      <w:r>
        <w:rPr>
          <w:rFonts w:ascii="宋体" w:hAnsi="宋体" w:cs="宋体" w:eastAsia="宋体" w:hint="default"/>
          <w:spacing w:val="-2"/>
          <w:sz w:val="21"/>
          <w:szCs w:val="21"/>
        </w:rPr>
        <w:t>上海民申置业有限公司</w:t>
        <w:tab/>
      </w:r>
      <w:r>
        <w:rPr>
          <w:rFonts w:ascii="宋体" w:hAnsi="宋体" w:cs="宋体" w:eastAsia="宋体" w:hint="default"/>
          <w:spacing w:val="-1"/>
          <w:sz w:val="21"/>
          <w:szCs w:val="21"/>
        </w:rPr>
        <w:t>房租押金</w:t>
        <w:tab/>
      </w:r>
      <w:r>
        <w:rPr>
          <w:rFonts w:ascii="Times New Roman" w:hAnsi="Times New Roman" w:cs="Times New Roman" w:eastAsia="Times New Roman" w:hint="default"/>
          <w:spacing w:val="-1"/>
          <w:position w:val="2"/>
          <w:sz w:val="21"/>
          <w:szCs w:val="21"/>
        </w:rPr>
        <w:t>600,000.00</w:t>
        <w:tab/>
      </w:r>
      <w:r>
        <w:rPr>
          <w:rFonts w:ascii="宋体" w:hAnsi="宋体" w:cs="宋体" w:eastAsia="宋体" w:hint="default"/>
          <w:spacing w:val="-1"/>
          <w:sz w:val="21"/>
          <w:szCs w:val="21"/>
        </w:rPr>
        <w:t>无法收回</w:t>
        <w:tab/>
      </w:r>
      <w:r>
        <w:rPr>
          <w:rFonts w:ascii="宋体" w:hAnsi="宋体" w:cs="宋体" w:eastAsia="宋体" w:hint="default"/>
          <w:sz w:val="21"/>
          <w:szCs w:val="21"/>
        </w:rPr>
        <w:t>否</w:t>
      </w:r>
    </w:p>
    <w:p>
      <w:pPr>
        <w:spacing w:line="240" w:lineRule="auto" w:before="9"/>
        <w:rPr>
          <w:rFonts w:ascii="宋体" w:hAnsi="宋体" w:cs="宋体" w:eastAsia="宋体" w:hint="default"/>
          <w:sz w:val="15"/>
          <w:szCs w:val="15"/>
        </w:rPr>
      </w:pPr>
    </w:p>
    <w:p>
      <w:pPr>
        <w:spacing w:before="36"/>
        <w:ind w:left="680" w:right="179" w:firstLine="0"/>
        <w:jc w:val="left"/>
        <w:rPr>
          <w:rFonts w:ascii="宋体" w:hAnsi="宋体" w:cs="宋体" w:eastAsia="宋体" w:hint="default"/>
          <w:sz w:val="21"/>
          <w:szCs w:val="21"/>
        </w:rPr>
      </w:pPr>
      <w:r>
        <w:rPr>
          <w:rFonts w:ascii="宋体" w:hAnsi="宋体" w:cs="宋体" w:eastAsia="宋体" w:hint="default"/>
          <w:sz w:val="21"/>
          <w:szCs w:val="21"/>
        </w:rPr>
        <w:t>其他应收款核销说明：本年提前退租，上海民申置业有限公司没收本公司原支付押金。</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40"/>
          <w:pgMar w:top="1040" w:bottom="1180" w:left="940" w:right="160"/>
        </w:sectPr>
      </w:pPr>
    </w:p>
    <w:p>
      <w:pPr>
        <w:spacing w:before="36"/>
        <w:ind w:left="680"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其他应收款余额前五名单位情况</w:t>
      </w:r>
    </w:p>
    <w:p>
      <w:pPr>
        <w:spacing w:line="240" w:lineRule="auto" w:before="13"/>
        <w:rPr>
          <w:rFonts w:ascii="宋体" w:hAnsi="宋体" w:cs="宋体" w:eastAsia="宋体" w:hint="default"/>
          <w:sz w:val="19"/>
          <w:szCs w:val="19"/>
        </w:rPr>
      </w:pPr>
    </w:p>
    <w:p>
      <w:pPr>
        <w:spacing w:line="206" w:lineRule="exact" w:before="0"/>
        <w:ind w:left="4253" w:right="3012" w:firstLine="0"/>
        <w:jc w:val="center"/>
        <w:rPr>
          <w:rFonts w:ascii="宋体" w:hAnsi="宋体" w:cs="宋体" w:eastAsia="宋体" w:hint="default"/>
          <w:sz w:val="21"/>
          <w:szCs w:val="21"/>
        </w:rPr>
      </w:pPr>
      <w:r>
        <w:rPr/>
        <w:pict>
          <v:shape style="position:absolute;margin-left:135.960007pt;margin-top:10.037271pt;width:42.15pt;height:10.55pt;mso-position-horizontal-relative:page;mso-position-vertical-relative:paragraph;z-index:10144"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单位名称</w:t>
                  </w:r>
                </w:p>
              </w:txbxContent>
            </v:textbox>
            <w10:wrap type="none"/>
          </v:shape>
        </w:pict>
      </w:r>
      <w:r>
        <w:rPr>
          <w:rFonts w:ascii="宋体" w:hAnsi="宋体" w:cs="宋体" w:eastAsia="宋体" w:hint="default"/>
          <w:sz w:val="21"/>
          <w:szCs w:val="21"/>
        </w:rPr>
        <w:t>与本公司</w:t>
      </w:r>
    </w:p>
    <w:p>
      <w:pPr>
        <w:tabs>
          <w:tab w:pos="4481" w:val="left" w:leader="none"/>
          <w:tab w:pos="5275" w:val="left" w:leader="none"/>
          <w:tab w:pos="6115" w:val="left" w:leader="none"/>
          <w:tab w:pos="7723" w:val="left" w:leader="none"/>
        </w:tabs>
        <w:spacing w:line="346" w:lineRule="exact" w:before="0"/>
        <w:ind w:left="4114" w:right="-17" w:firstLine="0"/>
        <w:jc w:val="left"/>
        <w:rPr>
          <w:rFonts w:ascii="宋体" w:hAnsi="宋体" w:cs="宋体" w:eastAsia="宋体" w:hint="default"/>
          <w:sz w:val="21"/>
          <w:szCs w:val="21"/>
        </w:rPr>
      </w:pPr>
      <w:r>
        <w:rPr>
          <w:rFonts w:ascii="Times New Roman" w:hAnsi="Times New Roman" w:cs="Times New Roman" w:eastAsia="Times New Roman" w:hint="default"/>
          <w:w w:val="100"/>
          <w:position w:val="-13"/>
          <w:sz w:val="21"/>
          <w:szCs w:val="21"/>
        </w:rPr>
      </w:r>
      <w:r>
        <w:rPr>
          <w:rFonts w:ascii="Times New Roman" w:hAnsi="Times New Roman" w:cs="Times New Roman" w:eastAsia="Times New Roman" w:hint="default"/>
          <w:w w:val="100"/>
          <w:position w:val="-13"/>
          <w:sz w:val="21"/>
          <w:szCs w:val="21"/>
          <w:u w:val="single" w:color="000000"/>
        </w:rPr>
        <w:t> </w:t>
      </w:r>
      <w:r>
        <w:rPr>
          <w:rFonts w:ascii="Times New Roman" w:hAnsi="Times New Roman" w:cs="Times New Roman" w:eastAsia="Times New Roman" w:hint="default"/>
          <w:position w:val="-13"/>
          <w:sz w:val="21"/>
          <w:szCs w:val="21"/>
          <w:u w:val="single" w:color="000000"/>
        </w:rPr>
        <w:tab/>
      </w:r>
      <w:r>
        <w:rPr>
          <w:rFonts w:ascii="宋体" w:hAnsi="宋体" w:cs="宋体" w:eastAsia="宋体" w:hint="default"/>
          <w:position w:val="-13"/>
          <w:sz w:val="21"/>
          <w:szCs w:val="21"/>
          <w:u w:val="single" w:color="000000"/>
        </w:rPr>
        <w:t>关系</w:t>
        <w:tab/>
      </w:r>
      <w:r>
        <w:rPr>
          <w:rFonts w:ascii="宋体" w:hAnsi="宋体" w:cs="宋体" w:eastAsia="宋体" w:hint="default"/>
          <w:position w:val="-13"/>
          <w:sz w:val="21"/>
          <w:szCs w:val="21"/>
        </w:rPr>
        <w:tab/>
      </w:r>
      <w:r>
        <w:rPr>
          <w:rFonts w:ascii="宋体" w:hAnsi="宋体" w:cs="宋体" w:eastAsia="宋体" w:hint="default"/>
          <w:sz w:val="21"/>
          <w:szCs w:val="21"/>
        </w:rPr>
        <w:t>金额</w:t>
        <w:tab/>
        <w:t>年限</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2"/>
        <w:rPr>
          <w:rFonts w:ascii="宋体" w:hAnsi="宋体" w:cs="宋体" w:eastAsia="宋体" w:hint="default"/>
          <w:sz w:val="22"/>
          <w:szCs w:val="22"/>
        </w:rPr>
      </w:pPr>
    </w:p>
    <w:p>
      <w:pPr>
        <w:spacing w:before="0"/>
        <w:ind w:left="680" w:right="454" w:firstLine="40"/>
        <w:jc w:val="left"/>
        <w:rPr>
          <w:rFonts w:ascii="宋体" w:hAnsi="宋体" w:cs="宋体" w:eastAsia="宋体" w:hint="default"/>
          <w:sz w:val="21"/>
          <w:szCs w:val="21"/>
        </w:rPr>
      </w:pPr>
      <w:r>
        <w:rPr>
          <w:rFonts w:ascii="宋体" w:hAnsi="宋体" w:cs="宋体" w:eastAsia="宋体" w:hint="default"/>
          <w:sz w:val="21"/>
          <w:szCs w:val="21"/>
        </w:rPr>
        <w:t>占其他应收款</w:t>
      </w:r>
      <w:r>
        <w:rPr>
          <w:rFonts w:ascii="宋体" w:hAnsi="宋体" w:cs="宋体" w:eastAsia="宋体" w:hint="default"/>
          <w:w w:val="100"/>
          <w:sz w:val="21"/>
          <w:szCs w:val="21"/>
        </w:rPr>
        <w:t> </w:t>
      </w:r>
      <w:r>
        <w:rPr>
          <w:rFonts w:ascii="宋体" w:hAnsi="宋体" w:cs="宋体" w:eastAsia="宋体" w:hint="default"/>
          <w:spacing w:val="-2"/>
          <w:sz w:val="21"/>
          <w:szCs w:val="21"/>
        </w:rPr>
        <w:t>总额比例（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p>
      <w:pPr>
        <w:spacing w:after="0"/>
        <w:jc w:val="left"/>
        <w:rPr>
          <w:rFonts w:ascii="宋体" w:hAnsi="宋体" w:cs="宋体" w:eastAsia="宋体" w:hint="default"/>
          <w:sz w:val="21"/>
          <w:szCs w:val="21"/>
        </w:rPr>
        <w:sectPr>
          <w:type w:val="continuous"/>
          <w:pgSz w:w="11900" w:h="16840"/>
          <w:pgMar w:top="1040" w:bottom="1180" w:left="940" w:right="160"/>
          <w:cols w:num="2" w:equalWidth="0">
            <w:col w:w="8147" w:space="78"/>
            <w:col w:w="2575"/>
          </w:cols>
        </w:sectPr>
      </w:pPr>
    </w:p>
    <w:tbl>
      <w:tblPr>
        <w:tblW w:w="0" w:type="auto"/>
        <w:jc w:val="left"/>
        <w:tblInd w:w="532" w:type="dxa"/>
        <w:tblLayout w:type="fixed"/>
        <w:tblCellMar>
          <w:top w:w="0" w:type="dxa"/>
          <w:left w:w="0" w:type="dxa"/>
          <w:bottom w:w="0" w:type="dxa"/>
          <w:right w:w="0" w:type="dxa"/>
        </w:tblCellMar>
        <w:tblLook w:val="01E0"/>
      </w:tblPr>
      <w:tblGrid>
        <w:gridCol w:w="3296"/>
        <w:gridCol w:w="1846"/>
        <w:gridCol w:w="1416"/>
        <w:gridCol w:w="283"/>
        <w:gridCol w:w="1121"/>
        <w:gridCol w:w="303"/>
        <w:gridCol w:w="1560"/>
      </w:tblGrid>
      <w:tr>
        <w:trPr>
          <w:trHeight w:val="278" w:hRule="exact"/>
        </w:trPr>
        <w:tc>
          <w:tcPr>
            <w:tcW w:w="3296" w:type="dxa"/>
            <w:tcBorders>
              <w:top w:val="single" w:sz="4" w:space="0" w:color="000000"/>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上海普天科创电子有限公司</w:t>
            </w:r>
          </w:p>
        </w:tc>
        <w:tc>
          <w:tcPr>
            <w:tcW w:w="1846" w:type="dxa"/>
            <w:tcBorders>
              <w:top w:val="nil" w:sz="6" w:space="0" w:color="auto"/>
              <w:left w:val="nil" w:sz="6" w:space="0" w:color="auto"/>
              <w:bottom w:val="nil" w:sz="6" w:space="0" w:color="auto"/>
              <w:right w:val="nil" w:sz="6" w:space="0" w:color="auto"/>
            </w:tcBorders>
          </w:tcPr>
          <w:p>
            <w:pPr>
              <w:pStyle w:val="TableParagraph"/>
              <w:spacing w:line="245" w:lineRule="exact"/>
              <w:ind w:left="44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5,000,000.00</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z w:val="21"/>
              </w:rPr>
              <w:t>65.67</w:t>
            </w:r>
          </w:p>
        </w:tc>
      </w:tr>
      <w:tr>
        <w:trPr>
          <w:trHeight w:val="272"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南京欧亚物流信息系统有限公司</w:t>
            </w:r>
          </w:p>
        </w:tc>
        <w:tc>
          <w:tcPr>
            <w:tcW w:w="1846" w:type="dxa"/>
            <w:tcBorders>
              <w:top w:val="nil" w:sz="6" w:space="0" w:color="auto"/>
              <w:left w:val="nil" w:sz="6" w:space="0" w:color="auto"/>
              <w:bottom w:val="nil" w:sz="6" w:space="0" w:color="auto"/>
              <w:right w:val="nil" w:sz="6" w:space="0" w:color="auto"/>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原子公司</w:t>
            </w:r>
          </w:p>
        </w:tc>
        <w:tc>
          <w:tcPr>
            <w:tcW w:w="1416" w:type="dxa"/>
            <w:tcBorders>
              <w:top w:val="nil" w:sz="6" w:space="0" w:color="auto"/>
              <w:left w:val="nil" w:sz="6" w:space="0" w:color="auto"/>
              <w:bottom w:val="nil" w:sz="6" w:space="0" w:color="auto"/>
              <w:right w:val="nil" w:sz="6" w:space="0" w:color="auto"/>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1,100,399.62</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z w:val="21"/>
              </w:rPr>
              <w:t>14.45</w:t>
            </w:r>
          </w:p>
        </w:tc>
      </w:tr>
      <w:tr>
        <w:trPr>
          <w:trHeight w:val="272"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上海邮通物业管理有限公司</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610,000.00</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8.01</w:t>
            </w:r>
          </w:p>
        </w:tc>
      </w:tr>
      <w:tr>
        <w:trPr>
          <w:trHeight w:val="272"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中国煤炭科学院上海分院</w:t>
            </w:r>
          </w:p>
        </w:tc>
        <w:tc>
          <w:tcPr>
            <w:tcW w:w="1846" w:type="dxa"/>
            <w:tcBorders>
              <w:top w:val="nil" w:sz="6" w:space="0" w:color="auto"/>
              <w:left w:val="nil" w:sz="6" w:space="0" w:color="auto"/>
              <w:bottom w:val="nil" w:sz="6" w:space="0" w:color="auto"/>
              <w:right w:val="nil" w:sz="6" w:space="0" w:color="auto"/>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nil" w:sz="6" w:space="0" w:color="auto"/>
              <w:left w:val="nil" w:sz="6" w:space="0" w:color="auto"/>
              <w:bottom w:val="nil" w:sz="6" w:space="0" w:color="auto"/>
              <w:right w:val="nil" w:sz="6" w:space="0" w:color="auto"/>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400,000.00</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z w:val="21"/>
              </w:rPr>
              <w:t>5.25</w:t>
            </w:r>
          </w:p>
        </w:tc>
      </w:tr>
      <w:tr>
        <w:trPr>
          <w:trHeight w:val="278"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招行卡保证金</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50,000.00</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0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0.66</w:t>
            </w:r>
          </w:p>
        </w:tc>
      </w:tr>
      <w:tr>
        <w:trPr>
          <w:trHeight w:val="290"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5" w:lineRule="exact"/>
              <w:ind w:left="14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7,160,399.62</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z w:val="21"/>
              </w:rPr>
              <w:t>94.04</w:t>
            </w:r>
          </w:p>
        </w:tc>
      </w:tr>
    </w:tbl>
    <w:p>
      <w:pPr>
        <w:spacing w:after="0" w:line="235" w:lineRule="exact"/>
        <w:jc w:val="right"/>
        <w:rPr>
          <w:rFonts w:ascii="Times New Roman" w:hAnsi="Times New Roman" w:cs="Times New Roman" w:eastAsia="Times New Roman" w:hint="default"/>
          <w:sz w:val="21"/>
          <w:szCs w:val="21"/>
        </w:rPr>
        <w:sectPr>
          <w:type w:val="continuous"/>
          <w:pgSz w:w="11900" w:h="16840"/>
          <w:pgMar w:top="1040" w:bottom="1180" w:left="940" w:right="160"/>
        </w:sectPr>
      </w:pPr>
    </w:p>
    <w:p>
      <w:pPr>
        <w:pStyle w:val="BodyText"/>
        <w:spacing w:line="312" w:lineRule="exact" w:before="11"/>
        <w:ind w:left="700" w:right="10620"/>
        <w:jc w:val="left"/>
      </w:pPr>
      <w:r>
        <w:rPr/>
        <w:t>上海海隆软件股份有限公司</w:t>
      </w:r>
    </w:p>
    <w:p>
      <w:pPr>
        <w:pStyle w:val="BodyText"/>
        <w:spacing w:line="314" w:lineRule="exact" w:before="27"/>
        <w:ind w:left="700" w:right="10620"/>
        <w:jc w:val="left"/>
      </w:pPr>
      <w:r>
        <w:rPr>
          <w:rFonts w:ascii="Arial" w:hAnsi="Arial" w:cs="Arial" w:eastAsia="Arial" w:hint="default"/>
        </w:rPr>
        <w:t>2010</w:t>
      </w:r>
      <w:r>
        <w:rPr>
          <w:rFonts w:ascii="Arial" w:hAnsi="Arial" w:cs="Arial" w:eastAsia="Arial" w:hint="default"/>
          <w:spacing w:val="-7"/>
        </w:rPr>
        <w:t> </w:t>
      </w:r>
      <w:r>
        <w:rPr/>
        <w:t>年度财务报表附注 (除特别注明外，金额单位为人民币元)</w:t>
      </w:r>
    </w:p>
    <w:p>
      <w:pPr>
        <w:spacing w:line="240" w:lineRule="auto" w:before="0"/>
        <w:rPr>
          <w:rFonts w:ascii="宋体" w:hAnsi="宋体" w:cs="宋体" w:eastAsia="宋体" w:hint="default"/>
          <w:sz w:val="2"/>
          <w:szCs w:val="2"/>
        </w:rPr>
      </w:pP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701.3pt;height:.5pt;mso-position-horizontal-relative:char;mso-position-vertical-relative:line" coordorigin="0,0" coordsize="14026,10">
            <v:group style="position:absolute;left:5;top:5;width:14016;height:2" coordorigin="5,5" coordsize="14016,2">
              <v:shape style="position:absolute;left:5;top:5;width:14016;height:2" coordorigin="5,5" coordsize="14016,0" path="m5,5l14021,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1"/>
          <w:szCs w:val="11"/>
        </w:rPr>
      </w:pPr>
    </w:p>
    <w:p>
      <w:pPr>
        <w:tabs>
          <w:tab w:pos="807" w:val="left" w:leader="none"/>
        </w:tabs>
        <w:spacing w:before="41"/>
        <w:ind w:left="100" w:right="1062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position w:val="2"/>
          <w:sz w:val="21"/>
          <w:szCs w:val="21"/>
        </w:rPr>
        <w:t>12</w:t>
        <w:tab/>
      </w: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4"/>
        <w:rPr>
          <w:rFonts w:ascii="Times New Roman" w:hAnsi="Times New Roman" w:cs="Times New Roman" w:eastAsia="Times New Roman" w:hint="default"/>
          <w:b/>
          <w:bCs/>
          <w:sz w:val="19"/>
          <w:szCs w:val="19"/>
        </w:rPr>
      </w:pPr>
    </w:p>
    <w:p>
      <w:pPr>
        <w:tabs>
          <w:tab w:pos="807" w:val="left" w:leader="none"/>
        </w:tabs>
        <w:spacing w:before="0"/>
        <w:ind w:left="224" w:right="1062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12.3</w:t>
        <w:tab/>
      </w:r>
      <w:r>
        <w:rPr>
          <w:rFonts w:ascii="宋体" w:hAnsi="宋体" w:cs="宋体" w:eastAsia="宋体" w:hint="default"/>
          <w:sz w:val="21"/>
          <w:szCs w:val="21"/>
        </w:rPr>
        <w:t>长期股权投资</w:t>
      </w:r>
    </w:p>
    <w:p>
      <w:pPr>
        <w:spacing w:line="240" w:lineRule="auto" w:before="3"/>
        <w:rPr>
          <w:rFonts w:ascii="宋体" w:hAnsi="宋体" w:cs="宋体" w:eastAsia="宋体" w:hint="default"/>
          <w:sz w:val="18"/>
          <w:szCs w:val="18"/>
        </w:rPr>
      </w:pPr>
    </w:p>
    <w:p>
      <w:pPr>
        <w:spacing w:before="0"/>
        <w:ind w:left="808" w:right="106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长期股权投资情况表</w:t>
      </w:r>
    </w:p>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headerReference w:type="default" r:id="rId41"/>
          <w:footerReference w:type="default" r:id="rId42"/>
          <w:pgSz w:w="16840" w:h="11900" w:orient="landscape"/>
          <w:pgMar w:header="0" w:footer="0" w:top="800" w:bottom="280" w:left="740" w:right="680"/>
        </w:sectPr>
      </w:pPr>
    </w:p>
    <w:p>
      <w:pPr>
        <w:spacing w:line="240" w:lineRule="auto" w:before="4"/>
        <w:rPr>
          <w:rFonts w:ascii="宋体" w:hAnsi="宋体" w:cs="宋体" w:eastAsia="宋体" w:hint="default"/>
          <w:sz w:val="17"/>
          <w:szCs w:val="17"/>
        </w:rPr>
      </w:pPr>
    </w:p>
    <w:p>
      <w:pPr>
        <w:tabs>
          <w:tab w:pos="2271" w:val="left" w:leader="none"/>
        </w:tabs>
        <w:spacing w:line="158" w:lineRule="auto" w:before="0"/>
        <w:ind w:left="2272" w:right="0" w:hanging="1462"/>
        <w:jc w:val="right"/>
        <w:rPr>
          <w:rFonts w:ascii="宋体" w:hAnsi="宋体" w:cs="宋体" w:eastAsia="宋体" w:hint="default"/>
          <w:sz w:val="13"/>
          <w:szCs w:val="13"/>
        </w:rPr>
      </w:pPr>
      <w:r>
        <w:rPr>
          <w:rFonts w:ascii="宋体" w:hAnsi="宋体" w:cs="宋体" w:eastAsia="宋体" w:hint="default"/>
          <w:w w:val="95"/>
          <w:sz w:val="13"/>
          <w:szCs w:val="13"/>
        </w:rPr>
        <w:t>被投资单位名称</w:t>
        <w:tab/>
      </w:r>
      <w:r>
        <w:rPr>
          <w:rFonts w:ascii="宋体" w:hAnsi="宋体" w:cs="宋体" w:eastAsia="宋体" w:hint="default"/>
          <w:w w:val="95"/>
          <w:position w:val="8"/>
          <w:sz w:val="13"/>
          <w:szCs w:val="13"/>
        </w:rPr>
        <w:t>核算</w:t>
      </w:r>
      <w:r>
        <w:rPr>
          <w:rFonts w:ascii="宋体" w:hAnsi="宋体" w:cs="宋体" w:eastAsia="宋体" w:hint="default"/>
          <w:spacing w:val="-52"/>
          <w:w w:val="95"/>
          <w:position w:val="8"/>
          <w:sz w:val="13"/>
          <w:szCs w:val="13"/>
        </w:rPr>
        <w:t> </w:t>
      </w:r>
      <w:r>
        <w:rPr>
          <w:rFonts w:ascii="宋体" w:hAnsi="宋体" w:cs="宋体" w:eastAsia="宋体" w:hint="default"/>
          <w:spacing w:val="-52"/>
          <w:w w:val="95"/>
          <w:position w:val="8"/>
          <w:sz w:val="13"/>
          <w:szCs w:val="13"/>
        </w:rPr>
      </w:r>
      <w:r>
        <w:rPr>
          <w:rFonts w:ascii="宋体" w:hAnsi="宋体" w:cs="宋体" w:eastAsia="宋体" w:hint="default"/>
          <w:w w:val="95"/>
          <w:sz w:val="13"/>
          <w:szCs w:val="13"/>
        </w:rPr>
        <w:t>方法</w:t>
      </w:r>
      <w:r>
        <w:rPr>
          <w:rFonts w:ascii="宋体" w:hAnsi="宋体" w:cs="宋体" w:eastAsia="宋体" w:hint="default"/>
          <w:sz w:val="13"/>
          <w:szCs w:val="13"/>
        </w:rPr>
      </w:r>
    </w:p>
    <w:p>
      <w:pPr>
        <w:spacing w:line="240" w:lineRule="auto" w:before="4"/>
        <w:rPr>
          <w:rFonts w:ascii="宋体" w:hAnsi="宋体" w:cs="宋体" w:eastAsia="宋体" w:hint="default"/>
          <w:sz w:val="17"/>
          <w:szCs w:val="17"/>
        </w:rPr>
      </w:pPr>
      <w:r>
        <w:rPr/>
        <w:br w:type="column"/>
      </w:r>
      <w:r>
        <w:rPr>
          <w:rFonts w:ascii="宋体"/>
          <w:sz w:val="17"/>
        </w:rPr>
      </w:r>
    </w:p>
    <w:p>
      <w:pPr>
        <w:tabs>
          <w:tab w:pos="1870" w:val="left" w:leader="none"/>
        </w:tabs>
        <w:spacing w:line="158" w:lineRule="auto" w:before="0"/>
        <w:ind w:left="1870" w:right="0" w:hanging="1239"/>
        <w:jc w:val="right"/>
        <w:rPr>
          <w:rFonts w:ascii="宋体" w:hAnsi="宋体" w:cs="宋体" w:eastAsia="宋体" w:hint="default"/>
          <w:sz w:val="13"/>
          <w:szCs w:val="13"/>
        </w:rPr>
      </w:pPr>
      <w:r>
        <w:rPr>
          <w:rFonts w:ascii="宋体" w:hAnsi="宋体" w:cs="宋体" w:eastAsia="宋体" w:hint="default"/>
          <w:w w:val="95"/>
          <w:sz w:val="13"/>
          <w:szCs w:val="13"/>
        </w:rPr>
        <w:t>投资成本</w:t>
        <w:tab/>
      </w:r>
      <w:r>
        <w:rPr>
          <w:rFonts w:ascii="宋体" w:hAnsi="宋体" w:cs="宋体" w:eastAsia="宋体" w:hint="default"/>
          <w:w w:val="95"/>
          <w:position w:val="8"/>
          <w:sz w:val="13"/>
          <w:szCs w:val="13"/>
        </w:rPr>
        <w:t>年初</w:t>
      </w:r>
      <w:r>
        <w:rPr>
          <w:rFonts w:ascii="宋体" w:hAnsi="宋体" w:cs="宋体" w:eastAsia="宋体" w:hint="default"/>
          <w:spacing w:val="-51"/>
          <w:w w:val="95"/>
          <w:position w:val="8"/>
          <w:sz w:val="13"/>
          <w:szCs w:val="13"/>
        </w:rPr>
        <w:t> </w:t>
      </w:r>
      <w:r>
        <w:rPr>
          <w:rFonts w:ascii="宋体" w:hAnsi="宋体" w:cs="宋体" w:eastAsia="宋体" w:hint="default"/>
          <w:spacing w:val="-51"/>
          <w:w w:val="95"/>
          <w:position w:val="8"/>
          <w:sz w:val="13"/>
          <w:szCs w:val="13"/>
        </w:rPr>
      </w:r>
      <w:r>
        <w:rPr>
          <w:rFonts w:ascii="宋体" w:hAnsi="宋体" w:cs="宋体" w:eastAsia="宋体" w:hint="default"/>
          <w:w w:val="95"/>
          <w:sz w:val="13"/>
          <w:szCs w:val="13"/>
        </w:rPr>
        <w:t>余额</w:t>
      </w:r>
      <w:r>
        <w:rPr>
          <w:rFonts w:ascii="宋体" w:hAnsi="宋体" w:cs="宋体" w:eastAsia="宋体" w:hint="default"/>
          <w:sz w:val="13"/>
          <w:szCs w:val="13"/>
        </w:rPr>
      </w:r>
    </w:p>
    <w:p>
      <w:pPr>
        <w:tabs>
          <w:tab w:pos="1406" w:val="left" w:leader="none"/>
        </w:tabs>
        <w:spacing w:line="207" w:lineRule="exact" w:before="147"/>
        <w:ind w:left="0" w:right="0" w:firstLine="0"/>
        <w:jc w:val="right"/>
        <w:rPr>
          <w:rFonts w:ascii="宋体" w:hAnsi="宋体" w:cs="宋体" w:eastAsia="宋体" w:hint="default"/>
          <w:sz w:val="13"/>
          <w:szCs w:val="13"/>
        </w:rPr>
      </w:pPr>
      <w:r>
        <w:rPr>
          <w:w w:val="95"/>
        </w:rPr>
        <w:br w:type="column"/>
      </w:r>
      <w:r>
        <w:rPr>
          <w:rFonts w:ascii="宋体" w:hAnsi="宋体" w:cs="宋体" w:eastAsia="宋体" w:hint="default"/>
          <w:w w:val="95"/>
          <w:sz w:val="13"/>
          <w:szCs w:val="13"/>
        </w:rPr>
        <w:t>增减变动</w:t>
        <w:tab/>
      </w:r>
      <w:r>
        <w:rPr>
          <w:rFonts w:ascii="宋体" w:hAnsi="宋体" w:cs="宋体" w:eastAsia="宋体" w:hint="default"/>
          <w:w w:val="95"/>
          <w:position w:val="8"/>
          <w:sz w:val="13"/>
          <w:szCs w:val="13"/>
        </w:rPr>
        <w:t>年末</w:t>
      </w:r>
      <w:r>
        <w:rPr>
          <w:rFonts w:ascii="宋体" w:hAnsi="宋体" w:cs="宋体" w:eastAsia="宋体" w:hint="default"/>
          <w:sz w:val="13"/>
          <w:szCs w:val="13"/>
        </w:rPr>
      </w:r>
    </w:p>
    <w:p>
      <w:pPr>
        <w:spacing w:line="127" w:lineRule="exact" w:before="0"/>
        <w:ind w:left="0" w:right="0" w:firstLine="0"/>
        <w:jc w:val="right"/>
        <w:rPr>
          <w:rFonts w:ascii="宋体" w:hAnsi="宋体" w:cs="宋体" w:eastAsia="宋体" w:hint="default"/>
          <w:sz w:val="13"/>
          <w:szCs w:val="13"/>
        </w:rPr>
      </w:pPr>
      <w:r>
        <w:rPr>
          <w:rFonts w:ascii="宋体" w:hAnsi="宋体" w:cs="宋体" w:eastAsia="宋体" w:hint="default"/>
          <w:w w:val="95"/>
          <w:sz w:val="13"/>
          <w:szCs w:val="13"/>
        </w:rPr>
        <w:t>余额</w:t>
      </w:r>
      <w:r>
        <w:rPr>
          <w:rFonts w:ascii="宋体" w:hAnsi="宋体" w:cs="宋体" w:eastAsia="宋体" w:hint="default"/>
          <w:sz w:val="13"/>
          <w:szCs w:val="13"/>
        </w:rPr>
      </w:r>
    </w:p>
    <w:p>
      <w:pPr>
        <w:spacing w:line="237" w:lineRule="auto" w:before="61"/>
        <w:ind w:left="720" w:right="0" w:firstLine="52"/>
        <w:jc w:val="both"/>
        <w:rPr>
          <w:rFonts w:ascii="宋体" w:hAnsi="宋体" w:cs="宋体" w:eastAsia="宋体" w:hint="default"/>
          <w:sz w:val="13"/>
          <w:szCs w:val="13"/>
        </w:rPr>
      </w:pPr>
      <w:r>
        <w:rPr/>
        <w:br w:type="column"/>
      </w:r>
      <w:r>
        <w:rPr>
          <w:rFonts w:ascii="宋体" w:hAnsi="宋体" w:cs="宋体" w:eastAsia="宋体" w:hint="default"/>
          <w:sz w:val="13"/>
          <w:szCs w:val="13"/>
        </w:rPr>
        <w:t>在被投资</w:t>
      </w:r>
      <w:r>
        <w:rPr>
          <w:rFonts w:ascii="宋体" w:hAnsi="宋体" w:cs="宋体" w:eastAsia="宋体" w:hint="default"/>
          <w:w w:val="99"/>
          <w:sz w:val="13"/>
          <w:szCs w:val="13"/>
        </w:rPr>
        <w:t> </w:t>
      </w:r>
      <w:r>
        <w:rPr>
          <w:rFonts w:ascii="宋体" w:hAnsi="宋体" w:cs="宋体" w:eastAsia="宋体" w:hint="default"/>
          <w:sz w:val="13"/>
          <w:szCs w:val="13"/>
        </w:rPr>
        <w:t>单位持股</w:t>
      </w:r>
      <w:r>
        <w:rPr>
          <w:rFonts w:ascii="宋体" w:hAnsi="宋体" w:cs="宋体" w:eastAsia="宋体" w:hint="default"/>
          <w:w w:val="99"/>
          <w:sz w:val="13"/>
          <w:szCs w:val="13"/>
        </w:rPr>
        <w:t> </w:t>
      </w:r>
      <w:r>
        <w:rPr>
          <w:rFonts w:ascii="宋体" w:hAnsi="宋体" w:cs="宋体" w:eastAsia="宋体" w:hint="default"/>
          <w:w w:val="95"/>
          <w:sz w:val="13"/>
          <w:szCs w:val="13"/>
        </w:rPr>
        <w:t>比例（</w:t>
      </w:r>
      <w:r>
        <w:rPr>
          <w:rFonts w:ascii="Times New Roman" w:hAnsi="Times New Roman" w:cs="Times New Roman" w:eastAsia="Times New Roman" w:hint="default"/>
          <w:w w:val="95"/>
          <w:sz w:val="13"/>
          <w:szCs w:val="13"/>
        </w:rPr>
        <w:t>%</w:t>
      </w:r>
      <w:r>
        <w:rPr>
          <w:rFonts w:ascii="宋体" w:hAnsi="宋体" w:cs="宋体" w:eastAsia="宋体" w:hint="default"/>
          <w:w w:val="95"/>
          <w:sz w:val="13"/>
          <w:szCs w:val="13"/>
        </w:rPr>
        <w:t>）</w:t>
      </w:r>
      <w:r>
        <w:rPr>
          <w:rFonts w:ascii="宋体" w:hAnsi="宋体" w:cs="宋体" w:eastAsia="宋体" w:hint="default"/>
          <w:sz w:val="13"/>
          <w:szCs w:val="13"/>
        </w:rPr>
      </w:r>
    </w:p>
    <w:p>
      <w:pPr>
        <w:spacing w:line="240" w:lineRule="auto" w:before="4"/>
        <w:rPr>
          <w:rFonts w:ascii="宋体" w:hAnsi="宋体" w:cs="宋体" w:eastAsia="宋体" w:hint="default"/>
          <w:sz w:val="12"/>
          <w:szCs w:val="12"/>
        </w:rPr>
      </w:pPr>
      <w:r>
        <w:rPr/>
        <w:br w:type="column"/>
      </w:r>
      <w:r>
        <w:rPr>
          <w:rFonts w:ascii="宋体"/>
          <w:sz w:val="12"/>
        </w:rPr>
      </w:r>
    </w:p>
    <w:p>
      <w:pPr>
        <w:spacing w:line="168" w:lineRule="exact" w:before="0"/>
        <w:ind w:left="353" w:right="-13" w:firstLine="52"/>
        <w:jc w:val="left"/>
        <w:rPr>
          <w:rFonts w:ascii="宋体" w:hAnsi="宋体" w:cs="宋体" w:eastAsia="宋体" w:hint="default"/>
          <w:sz w:val="13"/>
          <w:szCs w:val="13"/>
        </w:rPr>
      </w:pPr>
      <w:r>
        <w:rPr>
          <w:rFonts w:ascii="宋体" w:hAnsi="宋体" w:cs="宋体" w:eastAsia="宋体" w:hint="default"/>
          <w:sz w:val="13"/>
          <w:szCs w:val="13"/>
        </w:rPr>
        <w:t>在被投资单位</w:t>
      </w:r>
      <w:r>
        <w:rPr>
          <w:rFonts w:ascii="宋体" w:hAnsi="宋体" w:cs="宋体" w:eastAsia="宋体" w:hint="default"/>
          <w:w w:val="99"/>
          <w:sz w:val="13"/>
          <w:szCs w:val="13"/>
        </w:rPr>
        <w:t> </w:t>
      </w:r>
      <w:r>
        <w:rPr>
          <w:rFonts w:ascii="宋体" w:hAnsi="宋体" w:cs="宋体" w:eastAsia="宋体" w:hint="default"/>
          <w:spacing w:val="-9"/>
          <w:w w:val="99"/>
          <w:sz w:val="13"/>
          <w:szCs w:val="13"/>
        </w:rPr>
        <w:t>表决权比例（</w:t>
      </w:r>
      <w:r>
        <w:rPr>
          <w:rFonts w:ascii="Times New Roman" w:hAnsi="Times New Roman" w:cs="Times New Roman" w:eastAsia="Times New Roman" w:hint="default"/>
          <w:spacing w:val="-9"/>
          <w:w w:val="99"/>
          <w:sz w:val="13"/>
          <w:szCs w:val="13"/>
        </w:rPr>
        <w:t>%</w:t>
      </w:r>
      <w:r>
        <w:rPr>
          <w:rFonts w:ascii="宋体" w:hAnsi="宋体" w:cs="宋体" w:eastAsia="宋体" w:hint="default"/>
          <w:spacing w:val="-9"/>
          <w:w w:val="99"/>
          <w:sz w:val="13"/>
          <w:szCs w:val="13"/>
        </w:rPr>
        <w:t>）</w:t>
      </w:r>
      <w:r>
        <w:rPr>
          <w:rFonts w:ascii="宋体" w:hAnsi="宋体" w:cs="宋体" w:eastAsia="宋体" w:hint="default"/>
          <w:spacing w:val="-9"/>
          <w:sz w:val="13"/>
          <w:szCs w:val="13"/>
        </w:rPr>
      </w:r>
    </w:p>
    <w:p>
      <w:pPr>
        <w:tabs>
          <w:tab w:pos="2143" w:val="left" w:leader="none"/>
        </w:tabs>
        <w:spacing w:line="209" w:lineRule="exact" w:before="59"/>
        <w:ind w:left="406" w:right="-20" w:firstLine="0"/>
        <w:jc w:val="left"/>
        <w:rPr>
          <w:rFonts w:ascii="宋体" w:hAnsi="宋体" w:cs="宋体" w:eastAsia="宋体" w:hint="default"/>
          <w:sz w:val="13"/>
          <w:szCs w:val="13"/>
        </w:rPr>
      </w:pPr>
      <w:r>
        <w:rPr>
          <w:w w:val="95"/>
        </w:rPr>
        <w:br w:type="column"/>
      </w:r>
      <w:r>
        <w:rPr>
          <w:rFonts w:ascii="宋体" w:hAnsi="宋体" w:cs="宋体" w:eastAsia="宋体" w:hint="default"/>
          <w:w w:val="95"/>
          <w:sz w:val="13"/>
          <w:szCs w:val="13"/>
        </w:rPr>
        <w:t>在被投资单位持股</w:t>
        <w:tab/>
      </w:r>
      <w:r>
        <w:rPr>
          <w:rFonts w:ascii="宋体" w:hAnsi="宋体" w:cs="宋体" w:eastAsia="宋体" w:hint="default"/>
          <w:position w:val="-7"/>
          <w:sz w:val="13"/>
          <w:szCs w:val="13"/>
        </w:rPr>
        <w:t>减值</w:t>
      </w:r>
      <w:r>
        <w:rPr>
          <w:rFonts w:ascii="宋体" w:hAnsi="宋体" w:cs="宋体" w:eastAsia="宋体" w:hint="default"/>
          <w:sz w:val="13"/>
          <w:szCs w:val="13"/>
        </w:rPr>
      </w:r>
    </w:p>
    <w:p>
      <w:pPr>
        <w:tabs>
          <w:tab w:pos="2143" w:val="left" w:leader="none"/>
        </w:tabs>
        <w:spacing w:line="163" w:lineRule="auto" w:before="7"/>
        <w:ind w:left="535" w:right="0" w:hanging="130"/>
        <w:jc w:val="left"/>
        <w:rPr>
          <w:rFonts w:ascii="宋体" w:hAnsi="宋体" w:cs="宋体" w:eastAsia="宋体" w:hint="default"/>
          <w:sz w:val="13"/>
          <w:szCs w:val="13"/>
        </w:rPr>
      </w:pPr>
      <w:r>
        <w:rPr/>
        <w:pict>
          <v:group style="position:absolute;margin-left:490.200012pt;margin-top:16.322407pt;width:49.55pt;height:.1pt;mso-position-horizontal-relative:page;mso-position-vertical-relative:paragraph;z-index:-545368" coordorigin="9804,326" coordsize="991,2">
            <v:shape style="position:absolute;left:9804;top:326;width:991;height:2" coordorigin="9804,326" coordsize="991,0" path="m9804,326l10795,326e" filled="false" stroked="true" strokeweight=".48pt" strokecolor="#000000">
              <v:path arrowok="t"/>
            </v:shape>
            <w10:wrap type="none"/>
          </v:group>
        </w:pict>
      </w:r>
      <w:r>
        <w:rPr/>
        <w:pict>
          <v:group style="position:absolute;margin-left:553.919983pt;margin-top:16.322407pt;width:63.85pt;height:.1pt;mso-position-horizontal-relative:page;mso-position-vertical-relative:paragraph;z-index:-545344" coordorigin="11078,326" coordsize="1277,2">
            <v:shape style="position:absolute;left:11078;top:326;width:1277;height:2" coordorigin="11078,326" coordsize="1277,0" path="m11078,326l12355,326e" filled="false" stroked="true" strokeweight=".48pt" strokecolor="#000000">
              <v:path arrowok="t"/>
            </v:shape>
            <w10:wrap type="none"/>
          </v:group>
        </w:pict>
      </w:r>
      <w:r>
        <w:rPr>
          <w:rFonts w:ascii="宋体" w:hAnsi="宋体" w:cs="宋体" w:eastAsia="宋体" w:hint="default"/>
          <w:w w:val="95"/>
          <w:sz w:val="13"/>
          <w:szCs w:val="13"/>
        </w:rPr>
        <w:t>比例与表决权比例</w:t>
        <w:tab/>
      </w:r>
      <w:r>
        <w:rPr>
          <w:rFonts w:ascii="宋体" w:hAnsi="宋体" w:cs="宋体" w:eastAsia="宋体" w:hint="default"/>
          <w:position w:val="-7"/>
          <w:sz w:val="13"/>
          <w:szCs w:val="13"/>
        </w:rPr>
        <w:t>准备</w:t>
      </w:r>
      <w:r>
        <w:rPr>
          <w:rFonts w:ascii="宋体" w:hAnsi="宋体" w:cs="宋体" w:eastAsia="宋体" w:hint="default"/>
          <w:w w:val="99"/>
          <w:position w:val="-7"/>
          <w:sz w:val="13"/>
          <w:szCs w:val="13"/>
        </w:rPr>
        <w:t> </w:t>
      </w:r>
      <w:r>
        <w:rPr>
          <w:rFonts w:ascii="宋体" w:hAnsi="宋体" w:cs="宋体" w:eastAsia="宋体" w:hint="default"/>
          <w:sz w:val="13"/>
          <w:szCs w:val="13"/>
        </w:rPr>
        <w:t>不一致的说明</w:t>
      </w:r>
    </w:p>
    <w:p>
      <w:pPr>
        <w:spacing w:line="240" w:lineRule="auto" w:before="4"/>
        <w:rPr>
          <w:rFonts w:ascii="宋体" w:hAnsi="宋体" w:cs="宋体" w:eastAsia="宋体" w:hint="default"/>
          <w:sz w:val="12"/>
          <w:szCs w:val="12"/>
        </w:rPr>
      </w:pPr>
      <w:r>
        <w:rPr/>
        <w:br w:type="column"/>
      </w:r>
      <w:r>
        <w:rPr>
          <w:rFonts w:ascii="宋体"/>
          <w:sz w:val="12"/>
        </w:rPr>
      </w:r>
    </w:p>
    <w:p>
      <w:pPr>
        <w:spacing w:line="168" w:lineRule="exact" w:before="0"/>
        <w:ind w:left="703" w:right="0" w:firstLine="0"/>
        <w:jc w:val="left"/>
        <w:rPr>
          <w:rFonts w:ascii="宋体" w:hAnsi="宋体" w:cs="宋体" w:eastAsia="宋体" w:hint="default"/>
          <w:sz w:val="13"/>
          <w:szCs w:val="13"/>
        </w:rPr>
      </w:pPr>
      <w:r>
        <w:rPr/>
        <w:pict>
          <v:group style="position:absolute;margin-left:688.679993pt;margin-top:21.729998pt;width:42.5pt;height:.1pt;mso-position-horizontal-relative:page;mso-position-vertical-relative:paragraph;z-index:-545320" coordorigin="13774,435" coordsize="850,2">
            <v:shape style="position:absolute;left:13774;top:435;width:850;height:2" coordorigin="13774,435" coordsize="850,0" path="m13774,435l14623,435e" filled="false" stroked="true" strokeweight=".48pt" strokecolor="#000000">
              <v:path arrowok="t"/>
            </v:shape>
            <w10:wrap type="none"/>
          </v:group>
        </w:pict>
      </w:r>
      <w:r>
        <w:rPr>
          <w:rFonts w:ascii="宋体" w:hAnsi="宋体" w:cs="宋体" w:eastAsia="宋体" w:hint="default"/>
          <w:w w:val="95"/>
          <w:sz w:val="13"/>
          <w:szCs w:val="13"/>
        </w:rPr>
        <w:t>本年计提</w:t>
      </w:r>
      <w:r>
        <w:rPr>
          <w:rFonts w:ascii="宋体" w:hAnsi="宋体" w:cs="宋体" w:eastAsia="宋体" w:hint="default"/>
          <w:spacing w:val="-38"/>
          <w:w w:val="95"/>
          <w:sz w:val="13"/>
          <w:szCs w:val="13"/>
        </w:rPr>
        <w:t> </w:t>
      </w:r>
      <w:r>
        <w:rPr>
          <w:rFonts w:ascii="宋体" w:hAnsi="宋体" w:cs="宋体" w:eastAsia="宋体" w:hint="default"/>
          <w:w w:val="95"/>
          <w:sz w:val="13"/>
          <w:szCs w:val="13"/>
        </w:rPr>
        <w:t>减值准备</w:t>
      </w:r>
      <w:r>
        <w:rPr>
          <w:rFonts w:ascii="宋体" w:hAnsi="宋体" w:cs="宋体" w:eastAsia="宋体" w:hint="default"/>
          <w:sz w:val="13"/>
          <w:szCs w:val="13"/>
        </w:rPr>
      </w:r>
    </w:p>
    <w:p>
      <w:pPr>
        <w:spacing w:line="240" w:lineRule="auto" w:before="10"/>
        <w:rPr>
          <w:rFonts w:ascii="宋体" w:hAnsi="宋体" w:cs="宋体" w:eastAsia="宋体" w:hint="default"/>
          <w:sz w:val="10"/>
          <w:szCs w:val="10"/>
        </w:rPr>
      </w:pPr>
      <w:r>
        <w:rPr/>
        <w:br w:type="column"/>
      </w:r>
      <w:r>
        <w:rPr>
          <w:rFonts w:ascii="宋体"/>
          <w:sz w:val="10"/>
        </w:rPr>
      </w:r>
    </w:p>
    <w:p>
      <w:pPr>
        <w:spacing w:before="0"/>
        <w:ind w:left="586" w:right="0" w:firstLine="0"/>
        <w:jc w:val="left"/>
        <w:rPr>
          <w:rFonts w:ascii="宋体" w:hAnsi="宋体" w:cs="宋体" w:eastAsia="宋体" w:hint="default"/>
          <w:sz w:val="13"/>
          <w:szCs w:val="13"/>
        </w:rPr>
      </w:pPr>
      <w:r>
        <w:rPr>
          <w:rFonts w:ascii="宋体" w:hAnsi="宋体" w:cs="宋体" w:eastAsia="宋体" w:hint="default"/>
          <w:sz w:val="13"/>
          <w:szCs w:val="13"/>
        </w:rPr>
        <w:t>本年现金红利</w:t>
      </w:r>
    </w:p>
    <w:p>
      <w:pPr>
        <w:spacing w:after="0"/>
        <w:jc w:val="left"/>
        <w:rPr>
          <w:rFonts w:ascii="宋体" w:hAnsi="宋体" w:cs="宋体" w:eastAsia="宋体" w:hint="default"/>
          <w:sz w:val="13"/>
          <w:szCs w:val="13"/>
        </w:rPr>
        <w:sectPr>
          <w:type w:val="continuous"/>
          <w:pgSz w:w="16840" w:h="11900" w:orient="landscape"/>
          <w:pgMar w:top="1040" w:bottom="1180" w:left="740" w:right="680"/>
          <w:cols w:num="8" w:equalWidth="0">
            <w:col w:w="2532" w:space="40"/>
            <w:col w:w="2130" w:space="101"/>
            <w:col w:w="2477" w:space="40"/>
            <w:col w:w="1348" w:space="40"/>
            <w:col w:w="1304" w:space="40"/>
            <w:col w:w="2404" w:space="40"/>
            <w:col w:w="1223" w:space="40"/>
            <w:col w:w="1661"/>
          </w:cols>
        </w:sectPr>
      </w:pPr>
    </w:p>
    <w:tbl>
      <w:tblPr>
        <w:tblW w:w="0" w:type="auto"/>
        <w:jc w:val="left"/>
        <w:tblInd w:w="657" w:type="dxa"/>
        <w:tblLayout w:type="fixed"/>
        <w:tblCellMar>
          <w:top w:w="0" w:type="dxa"/>
          <w:left w:w="0" w:type="dxa"/>
          <w:bottom w:w="0" w:type="dxa"/>
          <w:right w:w="0" w:type="dxa"/>
        </w:tblCellMar>
        <w:tblLook w:val="01E0"/>
      </w:tblPr>
      <w:tblGrid>
        <w:gridCol w:w="1180"/>
        <w:gridCol w:w="281"/>
        <w:gridCol w:w="566"/>
        <w:gridCol w:w="283"/>
        <w:gridCol w:w="993"/>
        <w:gridCol w:w="283"/>
        <w:gridCol w:w="850"/>
        <w:gridCol w:w="283"/>
        <w:gridCol w:w="993"/>
        <w:gridCol w:w="283"/>
        <w:gridCol w:w="991"/>
        <w:gridCol w:w="1512"/>
        <w:gridCol w:w="1548"/>
        <w:gridCol w:w="2042"/>
        <w:gridCol w:w="286"/>
        <w:gridCol w:w="2268"/>
      </w:tblGrid>
      <w:tr>
        <w:trPr>
          <w:trHeight w:val="338" w:hRule="exact"/>
        </w:trPr>
        <w:tc>
          <w:tcPr>
            <w:tcW w:w="1180" w:type="dxa"/>
            <w:tcBorders>
              <w:top w:val="single" w:sz="4" w:space="0" w:color="000000"/>
              <w:left w:val="nil" w:sz="6" w:space="0" w:color="auto"/>
              <w:bottom w:val="nil" w:sz="6" w:space="0" w:color="auto"/>
              <w:right w:val="nil" w:sz="6" w:space="0" w:color="auto"/>
            </w:tcBorders>
          </w:tcPr>
          <w:p>
            <w:pPr>
              <w:pStyle w:val="TableParagraph"/>
              <w:spacing w:line="145" w:lineRule="exact"/>
              <w:ind w:left="35" w:right="0" w:firstLine="24"/>
              <w:jc w:val="left"/>
              <w:rPr>
                <w:rFonts w:ascii="宋体" w:hAnsi="宋体" w:cs="宋体" w:eastAsia="宋体" w:hint="default"/>
                <w:sz w:val="13"/>
                <w:szCs w:val="13"/>
              </w:rPr>
            </w:pPr>
            <w:r>
              <w:rPr>
                <w:rFonts w:ascii="宋体" w:hAnsi="宋体" w:cs="宋体" w:eastAsia="宋体" w:hint="default"/>
                <w:sz w:val="13"/>
                <w:szCs w:val="13"/>
              </w:rPr>
              <w:t>日本海隆株式会社</w:t>
            </w:r>
          </w:p>
          <w:p>
            <w:pPr>
              <w:pStyle w:val="TableParagraph"/>
              <w:spacing w:line="240" w:lineRule="auto" w:before="2"/>
              <w:ind w:left="35" w:right="0"/>
              <w:jc w:val="left"/>
              <w:rPr>
                <w:rFonts w:ascii="宋体" w:hAnsi="宋体" w:cs="宋体" w:eastAsia="宋体" w:hint="default"/>
                <w:sz w:val="13"/>
                <w:szCs w:val="13"/>
              </w:rPr>
            </w:pPr>
            <w:r>
              <w:rPr>
                <w:rFonts w:ascii="宋体" w:hAnsi="宋体" w:cs="宋体" w:eastAsia="宋体" w:hint="default"/>
                <w:spacing w:val="9"/>
                <w:sz w:val="13"/>
                <w:szCs w:val="13"/>
              </w:rPr>
              <w:t>上海华</w:t>
            </w:r>
            <w:r>
              <w:rPr>
                <w:rFonts w:ascii="宋体" w:hAnsi="宋体" w:cs="宋体" w:eastAsia="宋体" w:hint="default"/>
                <w:spacing w:val="-50"/>
                <w:sz w:val="13"/>
                <w:szCs w:val="13"/>
              </w:rPr>
              <w:t> </w:t>
            </w:r>
            <w:r>
              <w:rPr>
                <w:rFonts w:ascii="宋体" w:hAnsi="宋体" w:cs="宋体" w:eastAsia="宋体" w:hint="default"/>
                <w:spacing w:val="7"/>
                <w:sz w:val="13"/>
                <w:szCs w:val="13"/>
              </w:rPr>
              <w:t>钟计</w:t>
            </w:r>
            <w:r>
              <w:rPr>
                <w:rFonts w:ascii="宋体" w:hAnsi="宋体" w:cs="宋体" w:eastAsia="宋体" w:hint="default"/>
                <w:spacing w:val="-50"/>
                <w:sz w:val="13"/>
                <w:szCs w:val="13"/>
              </w:rPr>
              <w:t> </w:t>
            </w:r>
            <w:r>
              <w:rPr>
                <w:rFonts w:ascii="宋体" w:hAnsi="宋体" w:cs="宋体" w:eastAsia="宋体" w:hint="default"/>
                <w:spacing w:val="7"/>
                <w:sz w:val="13"/>
                <w:szCs w:val="13"/>
              </w:rPr>
              <w:t>算机</w:t>
            </w:r>
            <w:r>
              <w:rPr>
                <w:rFonts w:ascii="宋体" w:hAnsi="宋体" w:cs="宋体" w:eastAsia="宋体" w:hint="default"/>
                <w:spacing w:val="-50"/>
                <w:sz w:val="13"/>
                <w:szCs w:val="13"/>
              </w:rPr>
              <w:t> </w:t>
            </w:r>
            <w:r>
              <w:rPr>
                <w:rFonts w:ascii="宋体" w:hAnsi="宋体" w:cs="宋体" w:eastAsia="宋体" w:hint="default"/>
                <w:sz w:val="13"/>
                <w:szCs w:val="13"/>
              </w:rPr>
              <w:t>软</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150" w:lineRule="exact"/>
              <w:ind w:left="38"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98" w:right="0"/>
              <w:jc w:val="center"/>
              <w:rPr>
                <w:rFonts w:ascii="Times New Roman" w:hAnsi="Times New Roman" w:cs="Times New Roman" w:eastAsia="Times New Roman" w:hint="default"/>
                <w:sz w:val="13"/>
                <w:szCs w:val="13"/>
              </w:rPr>
            </w:pPr>
            <w:r>
              <w:rPr>
                <w:rFonts w:ascii="Times New Roman"/>
                <w:sz w:val="13"/>
              </w:rPr>
              <w:t>3,756,819.40</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62" w:right="0"/>
              <w:jc w:val="left"/>
              <w:rPr>
                <w:rFonts w:ascii="Times New Roman" w:hAnsi="Times New Roman" w:cs="Times New Roman" w:eastAsia="Times New Roman" w:hint="default"/>
                <w:sz w:val="13"/>
                <w:szCs w:val="13"/>
              </w:rPr>
            </w:pPr>
            <w:r>
              <w:rPr>
                <w:rFonts w:ascii="Times New Roman"/>
                <w:sz w:val="13"/>
              </w:rPr>
              <w:t>2,101,377.34</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96" w:right="0"/>
              <w:jc w:val="center"/>
              <w:rPr>
                <w:rFonts w:ascii="Times New Roman" w:hAnsi="Times New Roman" w:cs="Times New Roman" w:eastAsia="Times New Roman" w:hint="default"/>
                <w:sz w:val="13"/>
                <w:szCs w:val="13"/>
              </w:rPr>
            </w:pPr>
            <w:r>
              <w:rPr>
                <w:rFonts w:ascii="Times New Roman"/>
                <w:sz w:val="13"/>
              </w:rPr>
              <w:t>2,101,377.34</w:t>
            </w:r>
          </w:p>
        </w:tc>
        <w:tc>
          <w:tcPr>
            <w:tcW w:w="1512" w:type="dxa"/>
            <w:tcBorders>
              <w:top w:val="nil" w:sz="6" w:space="0" w:color="auto"/>
              <w:left w:val="nil" w:sz="6" w:space="0" w:color="auto"/>
              <w:bottom w:val="nil" w:sz="6" w:space="0" w:color="auto"/>
              <w:right w:val="nil" w:sz="6" w:space="0" w:color="auto"/>
            </w:tcBorders>
          </w:tcPr>
          <w:p>
            <w:pPr>
              <w:pStyle w:val="TableParagraph"/>
              <w:spacing w:line="20" w:lineRule="exact"/>
              <w:ind w:left="281" w:right="0"/>
              <w:jc w:val="left"/>
              <w:rPr>
                <w:rFonts w:ascii="宋体" w:hAnsi="宋体" w:cs="宋体" w:eastAsia="宋体" w:hint="default"/>
                <w:sz w:val="2"/>
                <w:szCs w:val="2"/>
              </w:rPr>
            </w:pPr>
            <w:r>
              <w:rPr>
                <w:rFonts w:ascii="宋体" w:hAnsi="宋体" w:cs="宋体" w:eastAsia="宋体" w:hint="default"/>
                <w:sz w:val="2"/>
                <w:szCs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
              <w:ind w:right="48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56"/>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2042" w:type="dxa"/>
            <w:tcBorders>
              <w:top w:val="single" w:sz="4" w:space="0" w:color="000000"/>
              <w:left w:val="nil" w:sz="6" w:space="0" w:color="auto"/>
              <w:bottom w:val="nil" w:sz="6" w:space="0" w:color="auto"/>
              <w:right w:val="nil" w:sz="6" w:space="0" w:color="auto"/>
            </w:tcBorders>
          </w:tcPr>
          <w:p>
            <w:pPr>
              <w:pStyle w:val="TableParagraph"/>
              <w:tabs>
                <w:tab w:pos="1252" w:val="left" w:leader="none"/>
              </w:tabs>
              <w:spacing w:line="240" w:lineRule="auto" w:before="20"/>
              <w:ind w:left="758" w:right="0"/>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1,655,442.06</w:t>
            </w:r>
          </w:p>
        </w:tc>
        <w:tc>
          <w:tcPr>
            <w:tcW w:w="286"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tabs>
                <w:tab w:pos="1408" w:val="left" w:leader="none"/>
              </w:tabs>
              <w:spacing w:line="170" w:lineRule="exact"/>
              <w:ind w:right="108"/>
              <w:jc w:val="right"/>
              <w:rPr>
                <w:rFonts w:ascii="Times New Roman" w:hAnsi="Times New Roman" w:cs="Times New Roman" w:eastAsia="Times New Roman" w:hint="default"/>
                <w:sz w:val="15"/>
                <w:szCs w:val="15"/>
              </w:rPr>
            </w:pPr>
            <w:r>
              <w:rPr>
                <w:rFonts w:ascii="Times New Roman"/>
                <w:w w:val="95"/>
                <w:sz w:val="13"/>
              </w:rPr>
              <w:t>-</w:t>
              <w:tab/>
            </w:r>
            <w:r>
              <w:rPr>
                <w:rFonts w:ascii="Times New Roman"/>
                <w:position w:val="1"/>
                <w:sz w:val="15"/>
              </w:rPr>
              <w:t>-</w:t>
            </w:r>
            <w:r>
              <w:rPr>
                <w:rFonts w:ascii="Times New Roman"/>
                <w:sz w:val="15"/>
              </w:rPr>
            </w:r>
          </w:p>
        </w:tc>
      </w:tr>
      <w:tr>
        <w:trPr>
          <w:trHeight w:val="337"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宋体" w:hAnsi="宋体" w:cs="宋体" w:eastAsia="宋体" w:hint="default"/>
                <w:sz w:val="13"/>
                <w:szCs w:val="13"/>
              </w:rPr>
            </w:pPr>
            <w:r>
              <w:rPr>
                <w:rFonts w:ascii="宋体" w:hAnsi="宋体" w:cs="宋体" w:eastAsia="宋体" w:hint="default"/>
                <w:sz w:val="13"/>
                <w:szCs w:val="13"/>
              </w:rPr>
              <w:t>件开发有限公司</w:t>
            </w:r>
            <w:r>
              <w:rPr>
                <w:rFonts w:ascii="宋体" w:hAnsi="宋体" w:cs="宋体" w:eastAsia="宋体" w:hint="default"/>
                <w:w w:val="99"/>
                <w:sz w:val="13"/>
                <w:szCs w:val="13"/>
              </w:rPr>
              <w:t> </w:t>
            </w:r>
            <w:r>
              <w:rPr>
                <w:rFonts w:ascii="宋体" w:hAnsi="宋体" w:cs="宋体" w:eastAsia="宋体" w:hint="default"/>
                <w:spacing w:val="9"/>
                <w:sz w:val="13"/>
                <w:szCs w:val="13"/>
              </w:rPr>
              <w:t>江苏海</w:t>
            </w:r>
            <w:r>
              <w:rPr>
                <w:rFonts w:ascii="宋体" w:hAnsi="宋体" w:cs="宋体" w:eastAsia="宋体" w:hint="default"/>
                <w:spacing w:val="-50"/>
                <w:sz w:val="13"/>
                <w:szCs w:val="13"/>
              </w:rPr>
              <w:t> </w:t>
            </w:r>
            <w:r>
              <w:rPr>
                <w:rFonts w:ascii="宋体" w:hAnsi="宋体" w:cs="宋体" w:eastAsia="宋体" w:hint="default"/>
                <w:spacing w:val="7"/>
                <w:sz w:val="13"/>
                <w:szCs w:val="13"/>
              </w:rPr>
              <w:t>隆软</w:t>
            </w:r>
            <w:r>
              <w:rPr>
                <w:rFonts w:ascii="宋体" w:hAnsi="宋体" w:cs="宋体" w:eastAsia="宋体" w:hint="default"/>
                <w:spacing w:val="-50"/>
                <w:sz w:val="13"/>
                <w:szCs w:val="13"/>
              </w:rPr>
              <w:t> </w:t>
            </w:r>
            <w:r>
              <w:rPr>
                <w:rFonts w:ascii="宋体" w:hAnsi="宋体" w:cs="宋体" w:eastAsia="宋体" w:hint="default"/>
                <w:spacing w:val="7"/>
                <w:sz w:val="13"/>
                <w:szCs w:val="13"/>
              </w:rPr>
              <w:t>件技</w:t>
            </w:r>
            <w:r>
              <w:rPr>
                <w:rFonts w:ascii="宋体" w:hAnsi="宋体" w:cs="宋体" w:eastAsia="宋体" w:hint="default"/>
                <w:spacing w:val="-50"/>
                <w:sz w:val="13"/>
                <w:szCs w:val="13"/>
              </w:rPr>
              <w:t> </w:t>
            </w:r>
            <w:r>
              <w:rPr>
                <w:rFonts w:ascii="宋体" w:hAnsi="宋体" w:cs="宋体" w:eastAsia="宋体" w:hint="default"/>
                <w:sz w:val="13"/>
                <w:szCs w:val="13"/>
              </w:rPr>
              <w:t>术</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153" w:lineRule="exact"/>
              <w:ind w:left="38"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8" w:right="0"/>
              <w:jc w:val="center"/>
              <w:rPr>
                <w:rFonts w:ascii="Times New Roman" w:hAnsi="Times New Roman" w:cs="Times New Roman" w:eastAsia="Times New Roman" w:hint="default"/>
                <w:sz w:val="13"/>
                <w:szCs w:val="13"/>
              </w:rPr>
            </w:pPr>
            <w:r>
              <w:rPr>
                <w:rFonts w:ascii="Times New Roman"/>
                <w:sz w:val="13"/>
              </w:rPr>
              <w:t>2,690,542.61</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2" w:right="0"/>
              <w:jc w:val="left"/>
              <w:rPr>
                <w:rFonts w:ascii="Times New Roman" w:hAnsi="Times New Roman" w:cs="Times New Roman" w:eastAsia="Times New Roman" w:hint="default"/>
                <w:sz w:val="13"/>
                <w:szCs w:val="13"/>
              </w:rPr>
            </w:pPr>
            <w:r>
              <w:rPr>
                <w:rFonts w:ascii="Times New Roman"/>
                <w:sz w:val="13"/>
              </w:rPr>
              <w:t>2,690,542.61</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6" w:right="0"/>
              <w:jc w:val="center"/>
              <w:rPr>
                <w:rFonts w:ascii="Times New Roman" w:hAnsi="Times New Roman" w:cs="Times New Roman" w:eastAsia="Times New Roman" w:hint="default"/>
                <w:sz w:val="13"/>
                <w:szCs w:val="13"/>
              </w:rPr>
            </w:pPr>
            <w:r>
              <w:rPr>
                <w:rFonts w:ascii="Times New Roman"/>
                <w:sz w:val="13"/>
              </w:rPr>
              <w:t>2,690,542.61</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5"/>
              <w:jc w:val="right"/>
              <w:rPr>
                <w:rFonts w:ascii="Times New Roman" w:hAnsi="Times New Roman" w:cs="Times New Roman" w:eastAsia="Times New Roman" w:hint="default"/>
                <w:sz w:val="13"/>
                <w:szCs w:val="13"/>
              </w:rPr>
            </w:pPr>
            <w:r>
              <w:rPr>
                <w:rFonts w:ascii="Times New Roman"/>
                <w:w w:val="95"/>
                <w:sz w:val="13"/>
              </w:rPr>
              <w:t>51%</w:t>
            </w:r>
            <w:r>
              <w:rPr>
                <w:rFonts w:ascii="Times New Roman"/>
                <w:sz w:val="13"/>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56"/>
              <w:jc w:val="right"/>
              <w:rPr>
                <w:rFonts w:ascii="Times New Roman" w:hAnsi="Times New Roman" w:cs="Times New Roman" w:eastAsia="Times New Roman" w:hint="default"/>
                <w:sz w:val="13"/>
                <w:szCs w:val="13"/>
              </w:rPr>
            </w:pPr>
            <w:r>
              <w:rPr>
                <w:rFonts w:ascii="Times New Roman"/>
                <w:w w:val="95"/>
                <w:sz w:val="13"/>
              </w:rPr>
              <w:t>51%</w:t>
            </w:r>
            <w:r>
              <w:rPr>
                <w:rFonts w:ascii="Times New Roman"/>
                <w:sz w:val="13"/>
              </w:rPr>
            </w:r>
          </w:p>
        </w:tc>
        <w:tc>
          <w:tcPr>
            <w:tcW w:w="2042" w:type="dxa"/>
            <w:tcBorders>
              <w:top w:val="nil" w:sz="6" w:space="0" w:color="auto"/>
              <w:left w:val="nil" w:sz="6" w:space="0" w:color="auto"/>
              <w:bottom w:val="nil" w:sz="6" w:space="0" w:color="auto"/>
              <w:right w:val="nil" w:sz="6" w:space="0" w:color="auto"/>
            </w:tcBorders>
          </w:tcPr>
          <w:p>
            <w:pPr>
              <w:pStyle w:val="TableParagraph"/>
              <w:tabs>
                <w:tab w:pos="1891" w:val="left" w:leader="none"/>
              </w:tabs>
              <w:spacing w:line="240" w:lineRule="auto" w:before="22"/>
              <w:ind w:left="758" w:right="0"/>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w:t>
            </w:r>
          </w:p>
        </w:tc>
        <w:tc>
          <w:tcPr>
            <w:tcW w:w="28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784" w:val="left" w:leader="none"/>
              </w:tabs>
              <w:spacing w:line="172" w:lineRule="exact"/>
              <w:ind w:right="107"/>
              <w:jc w:val="right"/>
              <w:rPr>
                <w:rFonts w:ascii="Times New Roman" w:hAnsi="Times New Roman" w:cs="Times New Roman" w:eastAsia="Times New Roman" w:hint="default"/>
                <w:sz w:val="15"/>
                <w:szCs w:val="15"/>
              </w:rPr>
            </w:pPr>
            <w:r>
              <w:rPr>
                <w:rFonts w:ascii="Times New Roman"/>
                <w:w w:val="95"/>
                <w:sz w:val="13"/>
              </w:rPr>
              <w:t>-</w:t>
              <w:tab/>
            </w:r>
            <w:r>
              <w:rPr>
                <w:rFonts w:ascii="Times New Roman"/>
                <w:spacing w:val="-1"/>
                <w:position w:val="1"/>
                <w:sz w:val="15"/>
              </w:rPr>
              <w:t>253,499.10</w:t>
            </w:r>
            <w:r>
              <w:rPr>
                <w:rFonts w:ascii="Times New Roman"/>
                <w:spacing w:val="-1"/>
                <w:sz w:val="15"/>
              </w:rPr>
            </w:r>
          </w:p>
        </w:tc>
      </w:tr>
      <w:tr>
        <w:trPr>
          <w:trHeight w:val="337"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153" w:lineRule="exact"/>
              <w:ind w:left="35" w:right="0"/>
              <w:jc w:val="left"/>
              <w:rPr>
                <w:rFonts w:ascii="宋体" w:hAnsi="宋体" w:cs="宋体" w:eastAsia="宋体" w:hint="default"/>
                <w:sz w:val="13"/>
                <w:szCs w:val="13"/>
              </w:rPr>
            </w:pPr>
            <w:r>
              <w:rPr>
                <w:rFonts w:ascii="宋体" w:hAnsi="宋体" w:cs="宋体" w:eastAsia="宋体" w:hint="default"/>
                <w:sz w:val="13"/>
                <w:szCs w:val="13"/>
              </w:rPr>
              <w:t>有限公司</w:t>
            </w:r>
          </w:p>
          <w:p>
            <w:pPr>
              <w:pStyle w:val="TableParagraph"/>
              <w:spacing w:line="169" w:lineRule="exact"/>
              <w:ind w:left="35" w:right="0"/>
              <w:jc w:val="left"/>
              <w:rPr>
                <w:rFonts w:ascii="宋体" w:hAnsi="宋体" w:cs="宋体" w:eastAsia="宋体" w:hint="default"/>
                <w:sz w:val="13"/>
                <w:szCs w:val="13"/>
              </w:rPr>
            </w:pPr>
            <w:r>
              <w:rPr>
                <w:rFonts w:ascii="宋体" w:hAnsi="宋体" w:cs="宋体" w:eastAsia="宋体" w:hint="default"/>
                <w:spacing w:val="9"/>
                <w:sz w:val="13"/>
                <w:szCs w:val="13"/>
              </w:rPr>
              <w:t>上海海</w:t>
            </w:r>
            <w:r>
              <w:rPr>
                <w:rFonts w:ascii="宋体" w:hAnsi="宋体" w:cs="宋体" w:eastAsia="宋体" w:hint="default"/>
                <w:spacing w:val="-50"/>
                <w:sz w:val="13"/>
                <w:szCs w:val="13"/>
              </w:rPr>
              <w:t> </w:t>
            </w:r>
            <w:r>
              <w:rPr>
                <w:rFonts w:ascii="宋体" w:hAnsi="宋体" w:cs="宋体" w:eastAsia="宋体" w:hint="default"/>
                <w:spacing w:val="7"/>
                <w:sz w:val="13"/>
                <w:szCs w:val="13"/>
              </w:rPr>
              <w:t>隆宜</w:t>
            </w:r>
            <w:r>
              <w:rPr>
                <w:rFonts w:ascii="宋体" w:hAnsi="宋体" w:cs="宋体" w:eastAsia="宋体" w:hint="default"/>
                <w:spacing w:val="-50"/>
                <w:sz w:val="13"/>
                <w:szCs w:val="13"/>
              </w:rPr>
              <w:t> </w:t>
            </w:r>
            <w:r>
              <w:rPr>
                <w:rFonts w:ascii="宋体" w:hAnsi="宋体" w:cs="宋体" w:eastAsia="宋体" w:hint="default"/>
                <w:spacing w:val="7"/>
                <w:sz w:val="13"/>
                <w:szCs w:val="13"/>
              </w:rPr>
              <w:t>通信</w:t>
            </w:r>
            <w:r>
              <w:rPr>
                <w:rFonts w:ascii="宋体" w:hAnsi="宋体" w:cs="宋体" w:eastAsia="宋体" w:hint="default"/>
                <w:spacing w:val="-50"/>
                <w:sz w:val="13"/>
                <w:szCs w:val="13"/>
              </w:rPr>
              <w:t> </w:t>
            </w:r>
            <w:r>
              <w:rPr>
                <w:rFonts w:ascii="宋体" w:hAnsi="宋体" w:cs="宋体" w:eastAsia="宋体" w:hint="default"/>
                <w:sz w:val="13"/>
                <w:szCs w:val="13"/>
              </w:rPr>
              <w:t>息</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154" w:lineRule="exact"/>
              <w:ind w:left="38"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 w:right="0"/>
              <w:jc w:val="center"/>
              <w:rPr>
                <w:rFonts w:ascii="Times New Roman" w:hAnsi="Times New Roman" w:cs="Times New Roman" w:eastAsia="Times New Roman" w:hint="default"/>
                <w:sz w:val="13"/>
                <w:szCs w:val="13"/>
              </w:rPr>
            </w:pPr>
            <w:r>
              <w:rPr>
                <w:rFonts w:ascii="Times New Roman"/>
                <w:sz w:val="13"/>
              </w:rPr>
              <w:t>10,000,000.00</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6" w:right="0"/>
              <w:jc w:val="left"/>
              <w:rPr>
                <w:rFonts w:ascii="Times New Roman" w:hAnsi="Times New Roman" w:cs="Times New Roman" w:eastAsia="Times New Roman" w:hint="default"/>
                <w:sz w:val="13"/>
                <w:szCs w:val="13"/>
              </w:rPr>
            </w:pPr>
            <w:r>
              <w:rPr>
                <w:rFonts w:ascii="Times New Roman"/>
                <w:sz w:val="13"/>
              </w:rPr>
              <w:t>10,000,000.00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 w:right="0"/>
              <w:jc w:val="center"/>
              <w:rPr>
                <w:rFonts w:ascii="Times New Roman" w:hAnsi="Times New Roman" w:cs="Times New Roman" w:eastAsia="Times New Roman" w:hint="default"/>
                <w:sz w:val="13"/>
                <w:szCs w:val="13"/>
              </w:rPr>
            </w:pPr>
            <w:r>
              <w:rPr>
                <w:rFonts w:ascii="Times New Roman"/>
                <w:sz w:val="13"/>
              </w:rPr>
              <w:t>10,000,000.00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85"/>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56"/>
              <w:jc w:val="right"/>
              <w:rPr>
                <w:rFonts w:ascii="Times New Roman" w:hAnsi="Times New Roman" w:cs="Times New Roman" w:eastAsia="Times New Roman" w:hint="default"/>
                <w:sz w:val="13"/>
                <w:szCs w:val="13"/>
              </w:rPr>
            </w:pPr>
            <w:r>
              <w:rPr>
                <w:rFonts w:ascii="Times New Roman"/>
                <w:w w:val="95"/>
                <w:sz w:val="13"/>
              </w:rPr>
              <w:t>100%</w:t>
            </w:r>
            <w:r>
              <w:rPr>
                <w:rFonts w:ascii="Times New Roman"/>
                <w:sz w:val="13"/>
              </w:rPr>
            </w:r>
          </w:p>
        </w:tc>
        <w:tc>
          <w:tcPr>
            <w:tcW w:w="2042" w:type="dxa"/>
            <w:tcBorders>
              <w:top w:val="nil" w:sz="6" w:space="0" w:color="auto"/>
              <w:left w:val="nil" w:sz="6" w:space="0" w:color="auto"/>
              <w:bottom w:val="nil" w:sz="6" w:space="0" w:color="auto"/>
              <w:right w:val="nil" w:sz="6" w:space="0" w:color="auto"/>
            </w:tcBorders>
          </w:tcPr>
          <w:p>
            <w:pPr>
              <w:pStyle w:val="TableParagraph"/>
              <w:tabs>
                <w:tab w:pos="1891" w:val="left" w:leader="none"/>
              </w:tabs>
              <w:spacing w:line="240" w:lineRule="auto" w:before="24"/>
              <w:ind w:left="758" w:right="0"/>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w:t>
            </w:r>
          </w:p>
        </w:tc>
        <w:tc>
          <w:tcPr>
            <w:tcW w:w="28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1408" w:val="left" w:leader="none"/>
              </w:tabs>
              <w:spacing w:line="173" w:lineRule="exact"/>
              <w:ind w:right="108"/>
              <w:jc w:val="right"/>
              <w:rPr>
                <w:rFonts w:ascii="Times New Roman" w:hAnsi="Times New Roman" w:cs="Times New Roman" w:eastAsia="Times New Roman" w:hint="default"/>
                <w:sz w:val="15"/>
                <w:szCs w:val="15"/>
              </w:rPr>
            </w:pPr>
            <w:r>
              <w:rPr>
                <w:rFonts w:ascii="Times New Roman"/>
                <w:w w:val="95"/>
                <w:sz w:val="13"/>
              </w:rPr>
              <w:t>-</w:t>
              <w:tab/>
            </w:r>
            <w:r>
              <w:rPr>
                <w:rFonts w:ascii="Times New Roman"/>
                <w:position w:val="1"/>
                <w:sz w:val="15"/>
              </w:rPr>
              <w:t>-</w:t>
            </w:r>
            <w:r>
              <w:rPr>
                <w:rFonts w:ascii="Times New Roman"/>
                <w:sz w:val="15"/>
              </w:rPr>
            </w:r>
          </w:p>
        </w:tc>
      </w:tr>
      <w:tr>
        <w:trPr>
          <w:trHeight w:val="34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168" w:lineRule="exact"/>
              <w:ind w:left="35" w:right="0"/>
              <w:jc w:val="left"/>
              <w:rPr>
                <w:rFonts w:ascii="宋体" w:hAnsi="宋体" w:cs="宋体" w:eastAsia="宋体" w:hint="default"/>
                <w:sz w:val="13"/>
                <w:szCs w:val="13"/>
              </w:rPr>
            </w:pPr>
            <w:r>
              <w:rPr>
                <w:rFonts w:ascii="宋体" w:hAnsi="宋体" w:cs="宋体" w:eastAsia="宋体" w:hint="default"/>
                <w:sz w:val="13"/>
                <w:szCs w:val="13"/>
              </w:rPr>
              <w:t>技术有限公司</w:t>
            </w:r>
            <w:r>
              <w:rPr>
                <w:rFonts w:ascii="宋体" w:hAnsi="宋体" w:cs="宋体" w:eastAsia="宋体" w:hint="default"/>
                <w:w w:val="99"/>
                <w:sz w:val="13"/>
                <w:szCs w:val="13"/>
              </w:rPr>
              <w:t> </w:t>
            </w:r>
            <w:r>
              <w:rPr>
                <w:rFonts w:ascii="宋体" w:hAnsi="宋体" w:cs="宋体" w:eastAsia="宋体" w:hint="default"/>
                <w:spacing w:val="9"/>
                <w:sz w:val="13"/>
                <w:szCs w:val="13"/>
              </w:rPr>
              <w:t>南京欧</w:t>
            </w:r>
            <w:r>
              <w:rPr>
                <w:rFonts w:ascii="宋体" w:hAnsi="宋体" w:cs="宋体" w:eastAsia="宋体" w:hint="default"/>
                <w:spacing w:val="-50"/>
                <w:sz w:val="13"/>
                <w:szCs w:val="13"/>
              </w:rPr>
              <w:t> </w:t>
            </w:r>
            <w:r>
              <w:rPr>
                <w:rFonts w:ascii="宋体" w:hAnsi="宋体" w:cs="宋体" w:eastAsia="宋体" w:hint="default"/>
                <w:spacing w:val="7"/>
                <w:sz w:val="13"/>
                <w:szCs w:val="13"/>
              </w:rPr>
              <w:t>亚物</w:t>
            </w:r>
            <w:r>
              <w:rPr>
                <w:rFonts w:ascii="宋体" w:hAnsi="宋体" w:cs="宋体" w:eastAsia="宋体" w:hint="default"/>
                <w:spacing w:val="-50"/>
                <w:sz w:val="13"/>
                <w:szCs w:val="13"/>
              </w:rPr>
              <w:t> </w:t>
            </w:r>
            <w:r>
              <w:rPr>
                <w:rFonts w:ascii="宋体" w:hAnsi="宋体" w:cs="宋体" w:eastAsia="宋体" w:hint="default"/>
                <w:spacing w:val="7"/>
                <w:sz w:val="13"/>
                <w:szCs w:val="13"/>
              </w:rPr>
              <w:t>流信</w:t>
            </w:r>
            <w:r>
              <w:rPr>
                <w:rFonts w:ascii="宋体" w:hAnsi="宋体" w:cs="宋体" w:eastAsia="宋体" w:hint="default"/>
                <w:spacing w:val="-50"/>
                <w:sz w:val="13"/>
                <w:szCs w:val="13"/>
              </w:rPr>
              <w:t> </w:t>
            </w:r>
            <w:r>
              <w:rPr>
                <w:rFonts w:ascii="宋体" w:hAnsi="宋体" w:cs="宋体" w:eastAsia="宋体" w:hint="default"/>
                <w:sz w:val="13"/>
                <w:szCs w:val="13"/>
              </w:rPr>
              <w:t>息</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153" w:lineRule="exact"/>
              <w:ind w:left="38" w:right="0"/>
              <w:jc w:val="center"/>
              <w:rPr>
                <w:rFonts w:ascii="宋体" w:hAnsi="宋体" w:cs="宋体" w:eastAsia="宋体" w:hint="default"/>
                <w:sz w:val="13"/>
                <w:szCs w:val="13"/>
              </w:rPr>
            </w:pPr>
            <w:r>
              <w:rPr>
                <w:rFonts w:ascii="宋体" w:hAnsi="宋体" w:cs="宋体" w:eastAsia="宋体" w:hint="default"/>
                <w:sz w:val="13"/>
                <w:szCs w:val="13"/>
              </w:rPr>
              <w:t>成本法</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8" w:right="0"/>
              <w:jc w:val="center"/>
              <w:rPr>
                <w:rFonts w:ascii="Times New Roman" w:hAnsi="Times New Roman" w:cs="Times New Roman" w:eastAsia="Times New Roman" w:hint="default"/>
                <w:sz w:val="13"/>
                <w:szCs w:val="13"/>
              </w:rPr>
            </w:pPr>
            <w:r>
              <w:rPr>
                <w:rFonts w:ascii="Times New Roman"/>
                <w:sz w:val="13"/>
              </w:rPr>
              <w:t>4,125,000.00</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1" w:right="0"/>
              <w:jc w:val="left"/>
              <w:rPr>
                <w:rFonts w:ascii="Times New Roman" w:hAnsi="Times New Roman" w:cs="Times New Roman" w:eastAsia="Times New Roman" w:hint="default"/>
                <w:sz w:val="13"/>
                <w:szCs w:val="13"/>
              </w:rPr>
            </w:pPr>
            <w:r>
              <w:rPr>
                <w:rFonts w:ascii="Times New Roman"/>
                <w:sz w:val="13"/>
              </w:rPr>
              <w:t>4,125,000.00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6" w:right="0"/>
              <w:jc w:val="center"/>
              <w:rPr>
                <w:rFonts w:ascii="Times New Roman" w:hAnsi="Times New Roman" w:cs="Times New Roman" w:eastAsia="Times New Roman" w:hint="default"/>
                <w:sz w:val="13"/>
                <w:szCs w:val="13"/>
              </w:rPr>
            </w:pPr>
            <w:r>
              <w:rPr>
                <w:rFonts w:ascii="Times New Roman"/>
                <w:sz w:val="13"/>
              </w:rPr>
              <w:t>4,125,000.00</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5"/>
              <w:jc w:val="right"/>
              <w:rPr>
                <w:rFonts w:ascii="Times New Roman" w:hAnsi="Times New Roman" w:cs="Times New Roman" w:eastAsia="Times New Roman" w:hint="default"/>
                <w:sz w:val="13"/>
                <w:szCs w:val="13"/>
              </w:rPr>
            </w:pPr>
            <w:r>
              <w:rPr>
                <w:rFonts w:ascii="Times New Roman"/>
                <w:w w:val="95"/>
                <w:sz w:val="13"/>
              </w:rPr>
              <w:t>55%</w:t>
            </w:r>
            <w:r>
              <w:rPr>
                <w:rFonts w:ascii="Times New Roman"/>
                <w:sz w:val="13"/>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56"/>
              <w:jc w:val="right"/>
              <w:rPr>
                <w:rFonts w:ascii="Times New Roman" w:hAnsi="Times New Roman" w:cs="Times New Roman" w:eastAsia="Times New Roman" w:hint="default"/>
                <w:sz w:val="13"/>
                <w:szCs w:val="13"/>
              </w:rPr>
            </w:pPr>
            <w:r>
              <w:rPr>
                <w:rFonts w:ascii="Times New Roman"/>
                <w:w w:val="95"/>
                <w:sz w:val="13"/>
              </w:rPr>
              <w:t>55%</w:t>
            </w:r>
            <w:r>
              <w:rPr>
                <w:rFonts w:ascii="Times New Roman"/>
                <w:sz w:val="13"/>
              </w:rPr>
            </w:r>
          </w:p>
        </w:tc>
        <w:tc>
          <w:tcPr>
            <w:tcW w:w="2042" w:type="dxa"/>
            <w:tcBorders>
              <w:top w:val="nil" w:sz="6" w:space="0" w:color="auto"/>
              <w:left w:val="nil" w:sz="6" w:space="0" w:color="auto"/>
              <w:bottom w:val="nil" w:sz="6" w:space="0" w:color="auto"/>
              <w:right w:val="nil" w:sz="6" w:space="0" w:color="auto"/>
            </w:tcBorders>
          </w:tcPr>
          <w:p>
            <w:pPr>
              <w:pStyle w:val="TableParagraph"/>
              <w:tabs>
                <w:tab w:pos="1891" w:val="left" w:leader="none"/>
              </w:tabs>
              <w:spacing w:line="240" w:lineRule="auto" w:before="22"/>
              <w:ind w:left="758" w:right="0"/>
              <w:jc w:val="left"/>
              <w:rPr>
                <w:rFonts w:ascii="Times New Roman" w:hAnsi="Times New Roman" w:cs="Times New Roman" w:eastAsia="Times New Roman" w:hint="default"/>
                <w:sz w:val="13"/>
                <w:szCs w:val="13"/>
              </w:rPr>
            </w:pPr>
            <w:r>
              <w:rPr>
                <w:rFonts w:ascii="Times New Roman"/>
                <w:w w:val="95"/>
                <w:sz w:val="13"/>
              </w:rPr>
              <w:t>-</w:t>
              <w:tab/>
            </w:r>
            <w:r>
              <w:rPr>
                <w:rFonts w:ascii="Times New Roman"/>
                <w:sz w:val="13"/>
              </w:rPr>
              <w:t>-</w:t>
            </w:r>
          </w:p>
        </w:tc>
        <w:tc>
          <w:tcPr>
            <w:tcW w:w="286"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tabs>
                <w:tab w:pos="1408" w:val="left" w:leader="none"/>
              </w:tabs>
              <w:spacing w:line="172" w:lineRule="exact"/>
              <w:ind w:right="108"/>
              <w:jc w:val="right"/>
              <w:rPr>
                <w:rFonts w:ascii="Times New Roman" w:hAnsi="Times New Roman" w:cs="Times New Roman" w:eastAsia="Times New Roman" w:hint="default"/>
                <w:sz w:val="15"/>
                <w:szCs w:val="15"/>
              </w:rPr>
            </w:pPr>
            <w:r>
              <w:rPr>
                <w:rFonts w:ascii="Times New Roman"/>
                <w:w w:val="95"/>
                <w:sz w:val="13"/>
              </w:rPr>
              <w:t>-</w:t>
              <w:tab/>
            </w:r>
            <w:r>
              <w:rPr>
                <w:rFonts w:ascii="Times New Roman"/>
                <w:position w:val="1"/>
                <w:sz w:val="15"/>
              </w:rPr>
              <w:t>-</w:t>
            </w:r>
            <w:r>
              <w:rPr>
                <w:rFonts w:ascii="Times New Roman"/>
                <w:sz w:val="15"/>
              </w:rPr>
            </w:r>
          </w:p>
        </w:tc>
      </w:tr>
      <w:tr>
        <w:trPr>
          <w:trHeight w:val="182"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3"/>
                <w:szCs w:val="13"/>
              </w:rPr>
            </w:pPr>
            <w:r>
              <w:rPr>
                <w:rFonts w:ascii="宋体" w:hAnsi="宋体" w:cs="宋体" w:eastAsia="宋体" w:hint="default"/>
                <w:sz w:val="13"/>
                <w:szCs w:val="13"/>
              </w:rPr>
              <w:t>系统有限公司</w:t>
            </w:r>
          </w:p>
        </w:tc>
        <w:tc>
          <w:tcPr>
            <w:tcW w:w="1130" w:type="dxa"/>
            <w:gridSpan w:val="3"/>
            <w:tcBorders>
              <w:top w:val="nil" w:sz="6" w:space="0" w:color="auto"/>
              <w:left w:val="nil" w:sz="6" w:space="0" w:color="auto"/>
              <w:bottom w:val="nil" w:sz="6" w:space="0" w:color="auto"/>
              <w:right w:val="nil" w:sz="6" w:space="0" w:color="auto"/>
            </w:tcBorders>
          </w:tcPr>
          <w:p>
            <w:pPr>
              <w:pStyle w:val="TableParagraph"/>
              <w:spacing w:line="150" w:lineRule="exact"/>
              <w:ind w:left="388" w:right="0"/>
              <w:jc w:val="left"/>
              <w:rPr>
                <w:rFonts w:ascii="宋体" w:hAnsi="宋体" w:cs="宋体" w:eastAsia="宋体" w:hint="default"/>
                <w:sz w:val="13"/>
                <w:szCs w:val="13"/>
              </w:rPr>
            </w:pPr>
            <w:r>
              <w:rPr>
                <w:rFonts w:ascii="宋体" w:hAnsi="宋体" w:cs="宋体" w:eastAsia="宋体" w:hint="default"/>
                <w:sz w:val="13"/>
                <w:szCs w:val="13"/>
              </w:rPr>
              <w:t>成本法</w:t>
            </w:r>
          </w:p>
        </w:tc>
        <w:tc>
          <w:tcPr>
            <w:tcW w:w="993"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20"/>
              <w:ind w:right="0"/>
              <w:jc w:val="center"/>
              <w:rPr>
                <w:rFonts w:ascii="Times New Roman" w:hAnsi="Times New Roman" w:cs="Times New Roman" w:eastAsia="Times New Roman" w:hint="default"/>
                <w:sz w:val="13"/>
                <w:szCs w:val="13"/>
              </w:rPr>
            </w:pPr>
            <w:r>
              <w:rPr>
                <w:rFonts w:ascii="Times New Roman"/>
                <w:w w:val="99"/>
                <w:sz w:val="13"/>
              </w:rPr>
            </w:r>
            <w:r>
              <w:rPr>
                <w:rFonts w:ascii="Times New Roman"/>
                <w:w w:val="99"/>
                <w:sz w:val="13"/>
                <w:u w:val="single" w:color="000000"/>
              </w:rPr>
              <w:t> </w:t>
            </w:r>
            <w:r>
              <w:rPr>
                <w:rFonts w:ascii="Times New Roman"/>
                <w:sz w:val="13"/>
                <w:u w:val="single" w:color="000000"/>
              </w:rPr>
              <w:t>    </w:t>
            </w:r>
            <w:r>
              <w:rPr>
                <w:rFonts w:ascii="Times New Roman"/>
                <w:spacing w:val="9"/>
                <w:sz w:val="13"/>
                <w:u w:val="single" w:color="000000"/>
              </w:rPr>
              <w:t> </w:t>
            </w:r>
            <w:r>
              <w:rPr>
                <w:rFonts w:ascii="Times New Roman"/>
                <w:sz w:val="13"/>
                <w:u w:val="single" w:color="000000"/>
              </w:rPr>
              <w:t>2,594,500.00</w:t>
              <w:tab/>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40" w:lineRule="auto" w:before="20"/>
              <w:ind w:right="0"/>
              <w:jc w:val="right"/>
              <w:rPr>
                <w:rFonts w:ascii="Times New Roman" w:hAnsi="Times New Roman" w:cs="Times New Roman" w:eastAsia="Times New Roman" w:hint="default"/>
                <w:sz w:val="13"/>
                <w:szCs w:val="13"/>
              </w:rPr>
            </w:pPr>
            <w:r>
              <w:rPr>
                <w:rFonts w:ascii="Times New Roman"/>
                <w:w w:val="99"/>
                <w:sz w:val="13"/>
              </w:rPr>
            </w:r>
            <w:r>
              <w:rPr>
                <w:rFonts w:ascii="Times New Roman"/>
                <w:w w:val="99"/>
                <w:sz w:val="13"/>
                <w:u w:val="single" w:color="000000"/>
              </w:rPr>
              <w:t> </w:t>
            </w:r>
            <w:r>
              <w:rPr>
                <w:rFonts w:ascii="Times New Roman"/>
                <w:spacing w:val="-3"/>
                <w:sz w:val="13"/>
                <w:u w:val="single" w:color="000000"/>
              </w:rPr>
              <w:t> </w:t>
            </w:r>
            <w:r>
              <w:rPr>
                <w:rFonts w:ascii="Times New Roman"/>
                <w:sz w:val="13"/>
                <w:u w:val="single" w:color="000000"/>
              </w:rPr>
              <w:t>2,594,500.00</w:t>
              <w:tab/>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20"/>
              <w:ind w:right="0"/>
              <w:jc w:val="right"/>
              <w:rPr>
                <w:rFonts w:ascii="Times New Roman" w:hAnsi="Times New Roman" w:cs="Times New Roman" w:eastAsia="Times New Roman" w:hint="default"/>
                <w:sz w:val="13"/>
                <w:szCs w:val="13"/>
              </w:rPr>
            </w:pPr>
            <w:r>
              <w:rPr>
                <w:rFonts w:ascii="Times New Roman"/>
                <w:w w:val="99"/>
                <w:sz w:val="13"/>
              </w:rPr>
            </w:r>
            <w:r>
              <w:rPr>
                <w:rFonts w:ascii="Times New Roman"/>
                <w:w w:val="99"/>
                <w:sz w:val="13"/>
                <w:u w:val="single" w:color="000000"/>
              </w:rPr>
              <w:t> </w:t>
            </w:r>
            <w:r>
              <w:rPr>
                <w:rFonts w:ascii="Times New Roman"/>
                <w:sz w:val="13"/>
                <w:u w:val="single" w:color="000000"/>
              </w:rPr>
              <w:t>   </w:t>
            </w:r>
            <w:r>
              <w:rPr>
                <w:rFonts w:ascii="Times New Roman"/>
                <w:spacing w:val="-4"/>
                <w:sz w:val="13"/>
                <w:u w:val="single" w:color="000000"/>
              </w:rPr>
              <w:t> </w:t>
            </w:r>
            <w:r>
              <w:rPr>
                <w:rFonts w:ascii="Times New Roman"/>
                <w:sz w:val="13"/>
                <w:u w:val="single" w:color="000000"/>
              </w:rPr>
              <w:t>-2,594,500.00</w:t>
              <w:tab/>
            </w:r>
            <w:r>
              <w:rPr>
                <w:rFonts w:ascii="Times New Roman"/>
                <w:sz w:val="13"/>
              </w:rPr>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20"/>
              <w:ind w:left="-1" w:right="0"/>
              <w:jc w:val="center"/>
              <w:rPr>
                <w:rFonts w:ascii="Times New Roman" w:hAnsi="Times New Roman" w:cs="Times New Roman" w:eastAsia="Times New Roman" w:hint="default"/>
                <w:sz w:val="13"/>
                <w:szCs w:val="13"/>
              </w:rPr>
            </w:pPr>
            <w:r>
              <w:rPr>
                <w:rFonts w:ascii="Times New Roman"/>
                <w:w w:val="99"/>
                <w:sz w:val="13"/>
              </w:rPr>
            </w:r>
            <w:r>
              <w:rPr>
                <w:rFonts w:ascii="Times New Roman"/>
                <w:w w:val="99"/>
                <w:sz w:val="13"/>
                <w:u w:val="single" w:color="000000"/>
              </w:rPr>
              <w:t> </w:t>
            </w:r>
            <w:r>
              <w:rPr>
                <w:rFonts w:ascii="Times New Roman"/>
                <w:sz w:val="13"/>
                <w:u w:val="single" w:color="000000"/>
              </w:rPr>
              <w:tab/>
              <w:t>-</w:t>
              <w:tab/>
            </w:r>
            <w:r>
              <w:rPr>
                <w:rFonts w:ascii="Times New Roman"/>
                <w:sz w:val="13"/>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5"/>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56"/>
              <w:jc w:val="right"/>
              <w:rPr>
                <w:rFonts w:ascii="Times New Roman" w:hAnsi="Times New Roman" w:cs="Times New Roman" w:eastAsia="Times New Roman" w:hint="default"/>
                <w:sz w:val="13"/>
                <w:szCs w:val="13"/>
              </w:rPr>
            </w:pPr>
            <w:r>
              <w:rPr>
                <w:rFonts w:ascii="Times New Roman"/>
                <w:w w:val="95"/>
                <w:sz w:val="13"/>
              </w:rPr>
              <w:t>60%</w:t>
            </w:r>
            <w:r>
              <w:rPr>
                <w:rFonts w:ascii="Times New Roman"/>
                <w:sz w:val="13"/>
              </w:rPr>
            </w:r>
          </w:p>
        </w:tc>
        <w:tc>
          <w:tcPr>
            <w:tcW w:w="2042" w:type="dxa"/>
            <w:tcBorders>
              <w:top w:val="nil" w:sz="6" w:space="0" w:color="auto"/>
              <w:left w:val="nil" w:sz="6" w:space="0" w:color="auto"/>
              <w:bottom w:val="nil" w:sz="6" w:space="0" w:color="auto"/>
              <w:right w:val="nil" w:sz="6" w:space="0" w:color="auto"/>
            </w:tcBorders>
          </w:tcPr>
          <w:p>
            <w:pPr>
              <w:pStyle w:val="TableParagraph"/>
              <w:tabs>
                <w:tab w:pos="1192" w:val="left" w:leader="none"/>
                <w:tab w:pos="1891" w:val="left" w:leader="none"/>
                <w:tab w:pos="2042" w:val="left" w:leader="none"/>
              </w:tabs>
              <w:spacing w:line="240" w:lineRule="auto" w:before="20"/>
              <w:ind w:left="758" w:right="0"/>
              <w:jc w:val="left"/>
              <w:rPr>
                <w:rFonts w:ascii="Times New Roman" w:hAnsi="Times New Roman" w:cs="Times New Roman" w:eastAsia="Times New Roman" w:hint="default"/>
                <w:sz w:val="13"/>
                <w:szCs w:val="13"/>
              </w:rPr>
            </w:pPr>
            <w:r>
              <w:rPr>
                <w:rFonts w:ascii="Times New Roman"/>
                <w:w w:val="95"/>
                <w:sz w:val="13"/>
              </w:rPr>
              <w:t>-</w:t>
              <w:tab/>
            </w:r>
            <w:r>
              <w:rPr>
                <w:rFonts w:ascii="Times New Roman"/>
                <w:w w:val="95"/>
                <w:sz w:val="13"/>
                <w:u w:val="single" w:color="000000"/>
              </w:rPr>
              <w:t> </w:t>
              <w:tab/>
            </w:r>
            <w:r>
              <w:rPr>
                <w:rFonts w:ascii="Times New Roman"/>
                <w:sz w:val="13"/>
                <w:u w:val="single" w:color="000000"/>
              </w:rPr>
              <w:t>-</w:t>
              <w:tab/>
            </w:r>
            <w:r>
              <w:rPr>
                <w:rFonts w:ascii="Times New Roman"/>
                <w:sz w:val="13"/>
              </w:rPr>
            </w:r>
          </w:p>
        </w:tc>
        <w:tc>
          <w:tcPr>
            <w:tcW w:w="2554" w:type="dxa"/>
            <w:gridSpan w:val="2"/>
            <w:tcBorders>
              <w:top w:val="nil" w:sz="6" w:space="0" w:color="auto"/>
              <w:left w:val="nil" w:sz="6" w:space="0" w:color="auto"/>
              <w:bottom w:val="nil" w:sz="6" w:space="0" w:color="auto"/>
              <w:right w:val="nil" w:sz="6" w:space="0" w:color="auto"/>
            </w:tcBorders>
          </w:tcPr>
          <w:p>
            <w:pPr>
              <w:pStyle w:val="TableParagraph"/>
              <w:tabs>
                <w:tab w:pos="983" w:val="left" w:leader="none"/>
                <w:tab w:pos="1418" w:val="left" w:leader="none"/>
                <w:tab w:pos="2392" w:val="left" w:leader="none"/>
                <w:tab w:pos="2553" w:val="left" w:leader="none"/>
              </w:tabs>
              <w:spacing w:line="169" w:lineRule="exact"/>
              <w:ind w:left="285" w:right="0"/>
              <w:jc w:val="left"/>
              <w:rPr>
                <w:rFonts w:ascii="Times New Roman" w:hAnsi="Times New Roman" w:cs="Times New Roman" w:eastAsia="Times New Roman" w:hint="default"/>
                <w:sz w:val="15"/>
                <w:szCs w:val="15"/>
              </w:rPr>
            </w:pPr>
            <w:r>
              <w:rPr>
                <w:rFonts w:ascii="Times New Roman"/>
                <w:w w:val="99"/>
                <w:sz w:val="13"/>
              </w:rPr>
            </w:r>
            <w:r>
              <w:rPr>
                <w:rFonts w:ascii="Times New Roman"/>
                <w:w w:val="99"/>
                <w:sz w:val="13"/>
                <w:u w:val="single" w:color="000000"/>
              </w:rPr>
              <w:t> </w:t>
            </w:r>
            <w:r>
              <w:rPr>
                <w:rFonts w:ascii="Times New Roman"/>
                <w:sz w:val="13"/>
                <w:u w:val="single" w:color="000000"/>
              </w:rPr>
              <w:tab/>
            </w:r>
            <w:r>
              <w:rPr>
                <w:rFonts w:ascii="Times New Roman"/>
                <w:w w:val="95"/>
                <w:sz w:val="13"/>
                <w:u w:val="single" w:color="000000"/>
              </w:rPr>
              <w:t>-</w:t>
            </w:r>
            <w:r>
              <w:rPr>
                <w:rFonts w:ascii="Times New Roman"/>
                <w:w w:val="95"/>
                <w:sz w:val="13"/>
              </w:rPr>
              <w:tab/>
            </w:r>
            <w:r>
              <w:rPr>
                <w:rFonts w:ascii="Times New Roman"/>
                <w:w w:val="95"/>
                <w:position w:val="1"/>
                <w:sz w:val="15"/>
              </w:rPr>
            </w:r>
            <w:r>
              <w:rPr>
                <w:rFonts w:ascii="Times New Roman"/>
                <w:w w:val="95"/>
                <w:position w:val="1"/>
                <w:sz w:val="15"/>
                <w:u w:val="single" w:color="000000"/>
              </w:rPr>
              <w:t> </w:t>
              <w:tab/>
            </w:r>
            <w:r>
              <w:rPr>
                <w:rFonts w:ascii="Times New Roman"/>
                <w:position w:val="1"/>
                <w:sz w:val="15"/>
                <w:u w:val="single" w:color="000000"/>
              </w:rPr>
              <w:t>-</w:t>
              <w:tab/>
            </w:r>
            <w:r>
              <w:rPr>
                <w:rFonts w:ascii="Times New Roman"/>
                <w:sz w:val="15"/>
              </w:rPr>
            </w:r>
          </w:p>
        </w:tc>
      </w:tr>
      <w:tr>
        <w:trPr>
          <w:trHeight w:val="22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145" w:lineRule="exact"/>
              <w:ind w:left="37"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30" w:type="dxa"/>
            <w:gridSpan w:val="3"/>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left="33" w:right="0"/>
              <w:jc w:val="center"/>
              <w:rPr>
                <w:rFonts w:ascii="Times New Roman" w:hAnsi="Times New Roman" w:cs="Times New Roman" w:eastAsia="Times New Roman" w:hint="default"/>
                <w:sz w:val="13"/>
                <w:szCs w:val="13"/>
              </w:rPr>
            </w:pPr>
            <w:r>
              <w:rPr>
                <w:rFonts w:ascii="Times New Roman"/>
                <w:sz w:val="13"/>
              </w:rPr>
              <w:t>23,166,862.01</w:t>
            </w:r>
          </w:p>
        </w:tc>
        <w:tc>
          <w:tcPr>
            <w:tcW w:w="283"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left="62" w:right="0"/>
              <w:jc w:val="left"/>
              <w:rPr>
                <w:rFonts w:ascii="Times New Roman" w:hAnsi="Times New Roman" w:cs="Times New Roman" w:eastAsia="Times New Roman" w:hint="default"/>
                <w:sz w:val="13"/>
                <w:szCs w:val="13"/>
              </w:rPr>
            </w:pPr>
            <w:r>
              <w:rPr>
                <w:rFonts w:ascii="Times New Roman"/>
                <w:sz w:val="13"/>
              </w:rPr>
              <w:t>7,386,419.95</w:t>
            </w:r>
          </w:p>
        </w:tc>
        <w:tc>
          <w:tcPr>
            <w:tcW w:w="283"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left="141" w:right="0"/>
              <w:jc w:val="left"/>
              <w:rPr>
                <w:rFonts w:ascii="Times New Roman" w:hAnsi="Times New Roman" w:cs="Times New Roman" w:eastAsia="Times New Roman" w:hint="default"/>
                <w:sz w:val="13"/>
                <w:szCs w:val="13"/>
              </w:rPr>
            </w:pPr>
            <w:r>
              <w:rPr>
                <w:rFonts w:ascii="Times New Roman"/>
                <w:sz w:val="13"/>
              </w:rPr>
              <w:t>11,530,500.00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left="31" w:right="0"/>
              <w:jc w:val="center"/>
              <w:rPr>
                <w:rFonts w:ascii="Times New Roman" w:hAnsi="Times New Roman" w:cs="Times New Roman" w:eastAsia="Times New Roman" w:hint="default"/>
                <w:sz w:val="13"/>
                <w:szCs w:val="13"/>
              </w:rPr>
            </w:pPr>
            <w:r>
              <w:rPr>
                <w:rFonts w:ascii="Times New Roman"/>
                <w:sz w:val="13"/>
              </w:rPr>
              <w:t>18,916,919.95</w:t>
            </w:r>
          </w:p>
        </w:tc>
        <w:tc>
          <w:tcPr>
            <w:tcW w:w="151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left="1252" w:right="0"/>
              <w:jc w:val="left"/>
              <w:rPr>
                <w:rFonts w:ascii="Times New Roman" w:hAnsi="Times New Roman" w:cs="Times New Roman" w:eastAsia="Times New Roman" w:hint="default"/>
                <w:sz w:val="13"/>
                <w:szCs w:val="13"/>
              </w:rPr>
            </w:pPr>
            <w:r>
              <w:rPr>
                <w:rFonts w:ascii="Times New Roman"/>
                <w:sz w:val="13"/>
              </w:rPr>
              <w:t>1,655,442.06</w:t>
            </w:r>
          </w:p>
        </w:tc>
        <w:tc>
          <w:tcPr>
            <w:tcW w:w="2554" w:type="dxa"/>
            <w:gridSpan w:val="2"/>
            <w:tcBorders>
              <w:top w:val="nil" w:sz="6" w:space="0" w:color="auto"/>
              <w:left w:val="nil" w:sz="6" w:space="0" w:color="auto"/>
              <w:bottom w:val="nil" w:sz="6" w:space="0" w:color="auto"/>
              <w:right w:val="nil" w:sz="6" w:space="0" w:color="auto"/>
            </w:tcBorders>
          </w:tcPr>
          <w:p>
            <w:pPr>
              <w:pStyle w:val="TableParagraph"/>
              <w:tabs>
                <w:tab w:pos="1768" w:val="left" w:leader="none"/>
              </w:tabs>
              <w:spacing w:line="240" w:lineRule="auto" w:before="25"/>
              <w:ind w:left="984" w:right="0"/>
              <w:jc w:val="left"/>
              <w:rPr>
                <w:rFonts w:ascii="Times New Roman" w:hAnsi="Times New Roman" w:cs="Times New Roman" w:eastAsia="Times New Roman" w:hint="default"/>
                <w:sz w:val="15"/>
                <w:szCs w:val="15"/>
              </w:rPr>
            </w:pPr>
            <w:r>
              <w:rPr>
                <w:rFonts w:ascii="Times New Roman"/>
                <w:w w:val="95"/>
                <w:sz w:val="13"/>
              </w:rPr>
              <w:t>-</w:t>
              <w:tab/>
            </w:r>
            <w:r>
              <w:rPr>
                <w:rFonts w:ascii="Times New Roman"/>
                <w:position w:val="1"/>
                <w:sz w:val="15"/>
              </w:rPr>
              <w:t>253,499.10</w:t>
            </w:r>
            <w:r>
              <w:rPr>
                <w:rFonts w:ascii="Times New Roman"/>
                <w:sz w:val="15"/>
              </w:rPr>
            </w:r>
          </w:p>
        </w:tc>
      </w:tr>
    </w:tbl>
    <w:p>
      <w:pPr>
        <w:spacing w:line="240" w:lineRule="auto" w:before="11"/>
        <w:rPr>
          <w:rFonts w:ascii="宋体" w:hAnsi="宋体" w:cs="宋体" w:eastAsia="宋体" w:hint="default"/>
          <w:sz w:val="10"/>
          <w:szCs w:val="10"/>
        </w:rPr>
      </w:pPr>
    </w:p>
    <w:p>
      <w:pPr>
        <w:spacing w:line="272" w:lineRule="exact" w:before="63"/>
        <w:ind w:left="808" w:right="0" w:firstLine="0"/>
        <w:jc w:val="left"/>
        <w:rPr>
          <w:rFonts w:ascii="宋体" w:hAnsi="宋体" w:cs="宋体" w:eastAsia="宋体" w:hint="default"/>
          <w:sz w:val="21"/>
          <w:szCs w:val="21"/>
        </w:rPr>
      </w:pPr>
      <w:r>
        <w:rPr/>
        <w:pict>
          <v:group style="position:absolute;margin-left:688.440002pt;margin-top:-8.4pt;width:42.95pt;height:1.45pt;mso-position-horizontal-relative:page;mso-position-vertical-relative:paragraph;z-index:-545296" coordorigin="13769,-168" coordsize="859,29">
            <v:group style="position:absolute;left:13774;top:-163;width:850;height:2" coordorigin="13774,-163" coordsize="850,2">
              <v:shape style="position:absolute;left:13774;top:-163;width:850;height:2" coordorigin="13774,-163" coordsize="850,0" path="m13774,-163l14623,-163e" filled="false" stroked="true" strokeweight=".48pt" strokecolor="#000000">
                <v:path arrowok="t"/>
              </v:shape>
            </v:group>
            <v:group style="position:absolute;left:13774;top:-144;width:850;height:2" coordorigin="13774,-144" coordsize="850,2">
              <v:shape style="position:absolute;left:13774;top:-144;width:850;height:2" coordorigin="13774,-144" coordsize="850,0" path="m13774,-144l14623,-144e" filled="false" stroked="true" strokeweight=".47pt" strokecolor="#000000">
                <v:path arrowok="t"/>
              </v:shape>
            </v:group>
            <w10:wrap type="none"/>
          </v:group>
        </w:pict>
      </w:r>
      <w:r>
        <w:rPr/>
        <w:pict>
          <v:group style="position:absolute;margin-left:745.080017pt;margin-top:-8.4pt;width:57.25pt;height:1.45pt;mso-position-horizontal-relative:page;mso-position-vertical-relative:paragraph;z-index:-545272" coordorigin="14902,-168" coordsize="1145,29">
            <v:group style="position:absolute;left:14906;top:-163;width:1136;height:2" coordorigin="14906,-163" coordsize="1136,2">
              <v:shape style="position:absolute;left:14906;top:-163;width:1136;height:2" coordorigin="14906,-163" coordsize="1136,0" path="m14906,-163l16042,-163e" filled="false" stroked="true" strokeweight=".48pt" strokecolor="#000000">
                <v:path arrowok="t"/>
              </v:shape>
            </v:group>
            <v:group style="position:absolute;left:14906;top:-144;width:1136;height:2" coordorigin="14906,-144" coordsize="1136,2">
              <v:shape style="position:absolute;left:14906;top:-144;width:1136;height:2" coordorigin="14906,-144" coordsize="1136,0" path="m14906,-144l16042,-144e" filled="false" stroked="true" strokeweight=".47pt" strokecolor="#000000">
                <v:path arrowok="t"/>
              </v:shape>
            </v:group>
            <w10:wrap type="none"/>
          </v:group>
        </w:pict>
      </w:r>
      <w:r>
        <w:rPr>
          <w:rFonts w:ascii="宋体" w:hAnsi="宋体" w:cs="宋体" w:eastAsia="宋体" w:hint="default"/>
          <w:sz w:val="21"/>
          <w:szCs w:val="21"/>
        </w:rPr>
        <w:t>长期股权投资年末数比年初数增加</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11,530,500</w:t>
      </w:r>
      <w:r>
        <w:rPr>
          <w:rFonts w:ascii="Times New Roman" w:hAnsi="Times New Roman" w:cs="Times New Roman" w:eastAsia="Times New Roman" w:hint="default"/>
          <w:spacing w:val="22"/>
          <w:sz w:val="21"/>
          <w:szCs w:val="21"/>
        </w:rPr>
        <w:t> </w:t>
      </w:r>
      <w:r>
        <w:rPr>
          <w:rFonts w:ascii="宋体" w:hAnsi="宋体" w:cs="宋体" w:eastAsia="宋体" w:hint="default"/>
          <w:spacing w:val="-5"/>
          <w:sz w:val="21"/>
          <w:szCs w:val="21"/>
        </w:rPr>
        <w:t>元，增加比例为</w:t>
      </w:r>
      <w:r>
        <w:rPr>
          <w:rFonts w:ascii="宋体" w:hAnsi="宋体" w:cs="宋体" w:eastAsia="宋体" w:hint="default"/>
          <w:spacing w:val="-31"/>
          <w:sz w:val="21"/>
          <w:szCs w:val="21"/>
        </w:rPr>
        <w:t> </w:t>
      </w:r>
      <w:r>
        <w:rPr>
          <w:rFonts w:ascii="Times New Roman" w:hAnsi="Times New Roman" w:cs="Times New Roman" w:eastAsia="Times New Roman" w:hint="default"/>
          <w:spacing w:val="-3"/>
          <w:sz w:val="21"/>
          <w:szCs w:val="21"/>
        </w:rPr>
        <w:t>156.10%</w:t>
      </w:r>
      <w:r>
        <w:rPr>
          <w:rFonts w:ascii="宋体" w:hAnsi="宋体" w:cs="宋体" w:eastAsia="宋体" w:hint="default"/>
          <w:spacing w:val="-3"/>
          <w:sz w:val="21"/>
          <w:szCs w:val="21"/>
        </w:rPr>
        <w:t>，增加原因为：本年新增子公司江苏海隆软件技术有限公司和上海海隆宜通信息技术有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限公司投资款所致。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76"/>
        <w:ind w:left="7525" w:right="7585" w:firstLine="0"/>
        <w:jc w:val="center"/>
        <w:rPr>
          <w:rFonts w:ascii="Times New Roman" w:hAnsi="Times New Roman" w:cs="Times New Roman" w:eastAsia="Times New Roman" w:hint="default"/>
          <w:sz w:val="18"/>
          <w:szCs w:val="18"/>
        </w:rPr>
      </w:pPr>
      <w:r>
        <w:rPr>
          <w:rFonts w:ascii="Times New Roman"/>
          <w:sz w:val="18"/>
        </w:rPr>
        <w:t>126</w:t>
      </w:r>
    </w:p>
    <w:p>
      <w:pPr>
        <w:spacing w:after="0"/>
        <w:jc w:val="center"/>
        <w:rPr>
          <w:rFonts w:ascii="Times New Roman" w:hAnsi="Times New Roman" w:cs="Times New Roman" w:eastAsia="Times New Roman" w:hint="default"/>
          <w:sz w:val="18"/>
          <w:szCs w:val="18"/>
        </w:rPr>
        <w:sectPr>
          <w:type w:val="continuous"/>
          <w:pgSz w:w="16840" w:h="11900" w:orient="landscape"/>
          <w:pgMar w:top="1040" w:bottom="1180" w:left="740" w:right="680"/>
        </w:sectPr>
      </w:pPr>
    </w:p>
    <w:p>
      <w:pPr>
        <w:spacing w:line="240" w:lineRule="auto" w:before="9"/>
        <w:rPr>
          <w:rFonts w:ascii="Times New Roman" w:hAnsi="Times New Roman" w:cs="Times New Roman" w:eastAsia="Times New Roman" w:hint="default"/>
          <w:sz w:val="4"/>
          <w:szCs w:val="4"/>
        </w:rPr>
      </w:pPr>
    </w:p>
    <w:p>
      <w:pPr>
        <w:spacing w:line="20" w:lineRule="exact"/>
        <w:ind w:left="7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95pt;height:.5pt;mso-position-horizontal-relative:char;mso-position-vertical-relative:line" coordorigin="0,0" coordsize="8379,10">
            <v:group style="position:absolute;left:5;top:5;width:8369;height:2" coordorigin="5,5" coordsize="8369,2">
              <v:shape style="position:absolute;left:5;top:5;width:8369;height:2" coordorigin="5,5" coordsize="8369,0" path="m5,5l8374,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533"/>
        <w:gridCol w:w="2937"/>
        <w:gridCol w:w="223"/>
        <w:gridCol w:w="2722"/>
        <w:gridCol w:w="235"/>
        <w:gridCol w:w="3286"/>
      </w:tblGrid>
      <w:tr>
        <w:trPr>
          <w:trHeight w:val="468" w:hRule="exact"/>
        </w:trPr>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4" w:right="0"/>
              <w:jc w:val="left"/>
              <w:rPr>
                <w:rFonts w:ascii="Times New Roman" w:hAnsi="Times New Roman" w:cs="Times New Roman" w:eastAsia="Times New Roman" w:hint="default"/>
                <w:sz w:val="21"/>
                <w:szCs w:val="21"/>
              </w:rPr>
            </w:pPr>
            <w:r>
              <w:rPr>
                <w:rFonts w:ascii="宋体" w:hAnsi="宋体" w:cs="宋体" w:eastAsia="宋体" w:hint="default"/>
                <w:b/>
                <w:bCs/>
                <w:spacing w:val="-1"/>
                <w:sz w:val="21"/>
                <w:szCs w:val="21"/>
              </w:rPr>
              <w:t>公司财务报表主要项目注释</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续</w:t>
            </w:r>
            <w:r>
              <w:rPr>
                <w:rFonts w:ascii="Times New Roman" w:hAnsi="Times New Roman" w:cs="Times New Roman" w:eastAsia="Times New Roman" w:hint="default"/>
                <w:b/>
                <w:bCs/>
                <w:spacing w:val="-1"/>
                <w:sz w:val="21"/>
                <w:szCs w:val="21"/>
              </w:rPr>
              <w:t>)</w:t>
            </w:r>
            <w:r>
              <w:rPr>
                <w:rFonts w:ascii="Times New Roman" w:hAnsi="Times New Roman" w:cs="Times New Roman" w:eastAsia="Times New Roman" w:hint="default"/>
                <w:spacing w:val="-1"/>
                <w:sz w:val="21"/>
                <w:szCs w:val="21"/>
              </w:rPr>
            </w:r>
          </w:p>
        </w:tc>
        <w:tc>
          <w:tcPr>
            <w:tcW w:w="6465" w:type="dxa"/>
            <w:gridSpan w:val="4"/>
            <w:vMerge w:val="restart"/>
            <w:tcBorders>
              <w:top w:val="nil" w:sz="6" w:space="0" w:color="auto"/>
              <w:left w:val="nil" w:sz="6" w:space="0" w:color="auto"/>
              <w:right w:val="nil" w:sz="6" w:space="0" w:color="auto"/>
            </w:tcBorders>
          </w:tcPr>
          <w:p>
            <w:pPr/>
          </w:p>
        </w:tc>
      </w:tr>
      <w:tr>
        <w:trPr>
          <w:trHeight w:val="513" w:hRule="exact"/>
        </w:trPr>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1" w:right="0"/>
              <w:jc w:val="left"/>
              <w:rPr>
                <w:rFonts w:ascii="Times New Roman" w:hAnsi="Times New Roman" w:cs="Times New Roman" w:eastAsia="Times New Roman" w:hint="default"/>
                <w:sz w:val="21"/>
                <w:szCs w:val="21"/>
              </w:rPr>
            </w:pPr>
            <w:r>
              <w:rPr>
                <w:rFonts w:ascii="Times New Roman"/>
                <w:sz w:val="21"/>
              </w:rPr>
              <w:t>12.4</w:t>
            </w: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0" w:right="0"/>
              <w:jc w:val="left"/>
              <w:rPr>
                <w:rFonts w:ascii="宋体" w:hAnsi="宋体" w:cs="宋体" w:eastAsia="宋体" w:hint="default"/>
                <w:sz w:val="21"/>
                <w:szCs w:val="21"/>
              </w:rPr>
            </w:pPr>
            <w:r>
              <w:rPr>
                <w:rFonts w:ascii="宋体" w:hAnsi="宋体" w:cs="宋体" w:eastAsia="宋体" w:hint="default"/>
                <w:sz w:val="21"/>
                <w:szCs w:val="21"/>
              </w:rPr>
              <w:t>营业收入及营业成本</w:t>
            </w:r>
          </w:p>
        </w:tc>
        <w:tc>
          <w:tcPr>
            <w:tcW w:w="6465" w:type="dxa"/>
            <w:gridSpan w:val="4"/>
            <w:vMerge/>
            <w:tcBorders>
              <w:left w:val="nil" w:sz="6" w:space="0" w:color="auto"/>
              <w:right w:val="nil" w:sz="6" w:space="0" w:color="auto"/>
            </w:tcBorders>
          </w:tcPr>
          <w:p>
            <w:pPr/>
          </w:p>
        </w:tc>
      </w:tr>
      <w:tr>
        <w:trPr>
          <w:trHeight w:val="519" w:hRule="exact"/>
        </w:trPr>
        <w:tc>
          <w:tcPr>
            <w:tcW w:w="533"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营业收入</w:t>
            </w:r>
          </w:p>
        </w:tc>
        <w:tc>
          <w:tcPr>
            <w:tcW w:w="6465" w:type="dxa"/>
            <w:gridSpan w:val="4"/>
            <w:vMerge/>
            <w:tcBorders>
              <w:left w:val="nil" w:sz="6" w:space="0" w:color="auto"/>
              <w:bottom w:val="nil" w:sz="6" w:space="0" w:color="auto"/>
              <w:right w:val="nil" w:sz="6" w:space="0" w:color="auto"/>
            </w:tcBorders>
          </w:tcPr>
          <w:p>
            <w:pPr/>
          </w:p>
        </w:tc>
      </w:tr>
      <w:tr>
        <w:trPr>
          <w:trHeight w:val="394" w:hRule="exact"/>
        </w:trPr>
        <w:tc>
          <w:tcPr>
            <w:tcW w:w="533"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86"/>
              <w:jc w:val="center"/>
              <w:rPr>
                <w:rFonts w:ascii="宋体" w:hAnsi="宋体" w:cs="宋体" w:eastAsia="宋体" w:hint="default"/>
                <w:sz w:val="21"/>
                <w:szCs w:val="21"/>
              </w:rPr>
            </w:pPr>
            <w:r>
              <w:rPr>
                <w:rFonts w:ascii="宋体" w:hAnsi="宋体" w:cs="宋体" w:eastAsia="宋体" w:hint="default"/>
                <w:sz w:val="21"/>
                <w:szCs w:val="21"/>
              </w:rPr>
              <w:t>项目</w:t>
            </w:r>
          </w:p>
        </w:tc>
        <w:tc>
          <w:tcPr>
            <w:tcW w:w="223"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73" w:hRule="exact"/>
        </w:trPr>
        <w:tc>
          <w:tcPr>
            <w:tcW w:w="533" w:type="dxa"/>
            <w:tcBorders>
              <w:top w:val="nil" w:sz="6" w:space="0" w:color="auto"/>
              <w:left w:val="nil" w:sz="6" w:space="0" w:color="auto"/>
              <w:bottom w:val="nil" w:sz="6" w:space="0" w:color="auto"/>
              <w:right w:val="nil" w:sz="6" w:space="0" w:color="auto"/>
            </w:tcBorders>
          </w:tcPr>
          <w:p>
            <w:pPr/>
          </w:p>
        </w:tc>
        <w:tc>
          <w:tcPr>
            <w:tcW w:w="2937" w:type="dxa"/>
            <w:tcBorders>
              <w:top w:val="single" w:sz="4" w:space="0" w:color="000000"/>
              <w:left w:val="nil" w:sz="6" w:space="0" w:color="auto"/>
              <w:bottom w:val="nil" w:sz="6" w:space="0" w:color="auto"/>
              <w:right w:val="nil" w:sz="6" w:space="0" w:color="auto"/>
            </w:tcBorders>
          </w:tcPr>
          <w:p>
            <w:pPr>
              <w:pStyle w:val="TableParagraph"/>
              <w:spacing w:line="241" w:lineRule="exact"/>
              <w:ind w:left="3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23" w:type="dxa"/>
            <w:tcBorders>
              <w:top w:val="nil" w:sz="6" w:space="0" w:color="auto"/>
              <w:left w:val="nil" w:sz="6" w:space="0" w:color="auto"/>
              <w:bottom w:val="nil" w:sz="6" w:space="0" w:color="auto"/>
              <w:right w:val="nil" w:sz="6" w:space="0" w:color="auto"/>
            </w:tcBorders>
          </w:tcPr>
          <w:p>
            <w:pPr/>
          </w:p>
        </w:tc>
        <w:tc>
          <w:tcPr>
            <w:tcW w:w="2722"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176,888,577.87</w:t>
            </w:r>
          </w:p>
        </w:tc>
        <w:tc>
          <w:tcPr>
            <w:tcW w:w="235" w:type="dxa"/>
            <w:tcBorders>
              <w:top w:val="nil" w:sz="6" w:space="0" w:color="auto"/>
              <w:left w:val="nil" w:sz="6" w:space="0" w:color="auto"/>
              <w:bottom w:val="nil" w:sz="6" w:space="0" w:color="auto"/>
              <w:right w:val="nil" w:sz="6" w:space="0" w:color="auto"/>
            </w:tcBorders>
          </w:tcPr>
          <w:p>
            <w:pPr/>
          </w:p>
        </w:tc>
        <w:tc>
          <w:tcPr>
            <w:tcW w:w="328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124,833,250.78</w:t>
            </w:r>
          </w:p>
        </w:tc>
      </w:tr>
      <w:tr>
        <w:trPr>
          <w:trHeight w:val="274" w:hRule="exact"/>
        </w:trPr>
        <w:tc>
          <w:tcPr>
            <w:tcW w:w="533"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44" w:lineRule="exact"/>
              <w:ind w:left="3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23"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38" w:lineRule="exact"/>
              <w:ind w:right="106"/>
              <w:jc w:val="right"/>
              <w:rPr>
                <w:rFonts w:ascii="Times New Roman" w:hAnsi="Times New Roman" w:cs="Times New Roman" w:eastAsia="Times New Roman" w:hint="default"/>
                <w:sz w:val="21"/>
                <w:szCs w:val="21"/>
              </w:rPr>
            </w:pPr>
            <w:r>
              <w:rPr>
                <w:rFonts w:ascii="Times New Roman"/>
                <w:spacing w:val="-1"/>
                <w:sz w:val="21"/>
              </w:rPr>
              <w:t>383,400.00</w:t>
            </w:r>
          </w:p>
        </w:tc>
        <w:tc>
          <w:tcPr>
            <w:tcW w:w="235"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Times New Roman" w:hAnsi="Times New Roman" w:cs="Times New Roman" w:eastAsia="Times New Roman" w:hint="default"/>
                <w:sz w:val="21"/>
                <w:szCs w:val="21"/>
              </w:rPr>
            </w:pPr>
            <w:r>
              <w:rPr>
                <w:rFonts w:ascii="Times New Roman"/>
                <w:spacing w:val="-1"/>
                <w:sz w:val="21"/>
              </w:rPr>
              <w:t>315,900.00</w:t>
            </w:r>
          </w:p>
        </w:tc>
      </w:tr>
      <w:tr>
        <w:trPr>
          <w:trHeight w:val="397" w:hRule="exact"/>
        </w:trPr>
        <w:tc>
          <w:tcPr>
            <w:tcW w:w="533"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44" w:lineRule="exact"/>
              <w:ind w:left="3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23"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38" w:lineRule="exact"/>
              <w:ind w:right="108"/>
              <w:jc w:val="right"/>
              <w:rPr>
                <w:rFonts w:ascii="Times New Roman" w:hAnsi="Times New Roman" w:cs="Times New Roman" w:eastAsia="Times New Roman" w:hint="default"/>
                <w:sz w:val="21"/>
                <w:szCs w:val="21"/>
              </w:rPr>
            </w:pPr>
            <w:r>
              <w:rPr>
                <w:rFonts w:ascii="Times New Roman"/>
                <w:spacing w:val="-1"/>
                <w:sz w:val="21"/>
              </w:rPr>
              <w:t>91,929,467.52</w:t>
            </w:r>
          </w:p>
        </w:tc>
        <w:tc>
          <w:tcPr>
            <w:tcW w:w="235"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Times New Roman" w:hAnsi="Times New Roman" w:cs="Times New Roman" w:eastAsia="Times New Roman" w:hint="default"/>
                <w:sz w:val="21"/>
                <w:szCs w:val="21"/>
              </w:rPr>
            </w:pPr>
            <w:r>
              <w:rPr>
                <w:rFonts w:ascii="Times New Roman"/>
                <w:spacing w:val="-2"/>
                <w:sz w:val="21"/>
              </w:rPr>
              <w:t>72,118,415.08</w:t>
            </w:r>
          </w:p>
        </w:tc>
      </w:tr>
      <w:tr>
        <w:trPr>
          <w:trHeight w:val="372" w:hRule="exact"/>
        </w:trPr>
        <w:tc>
          <w:tcPr>
            <w:tcW w:w="533" w:type="dxa"/>
            <w:tcBorders>
              <w:top w:val="nil" w:sz="6" w:space="0" w:color="auto"/>
              <w:left w:val="nil" w:sz="6" w:space="0" w:color="auto"/>
              <w:bottom w:val="nil" w:sz="6" w:space="0" w:color="auto"/>
              <w:right w:val="nil" w:sz="6" w:space="0" w:color="auto"/>
            </w:tcBorders>
          </w:tcPr>
          <w:p>
            <w:pPr/>
          </w:p>
        </w:tc>
        <w:tc>
          <w:tcPr>
            <w:tcW w:w="293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主营业务（分行业）</w:t>
            </w:r>
          </w:p>
        </w:tc>
        <w:tc>
          <w:tcPr>
            <w:tcW w:w="223"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3286" w:type="dxa"/>
            <w:tcBorders>
              <w:top w:val="nil" w:sz="6" w:space="0" w:color="auto"/>
              <w:left w:val="nil" w:sz="6" w:space="0" w:color="auto"/>
              <w:bottom w:val="nil" w:sz="6" w:space="0" w:color="auto"/>
              <w:right w:val="nil" w:sz="6" w:space="0" w:color="auto"/>
            </w:tcBorders>
          </w:tcPr>
          <w:p>
            <w:pPr/>
          </w:p>
        </w:tc>
      </w:tr>
      <w:tr>
        <w:trPr>
          <w:trHeight w:val="805" w:hRule="exact"/>
        </w:trPr>
        <w:tc>
          <w:tcPr>
            <w:tcW w:w="993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tabs>
                <w:tab w:pos="2540" w:val="left" w:leader="none"/>
                <w:tab w:pos="3733" w:val="left" w:leader="none"/>
                <w:tab w:pos="4630" w:val="left" w:leader="none"/>
                <w:tab w:pos="5821" w:val="left" w:leader="none"/>
                <w:tab w:pos="6085" w:val="left" w:leader="none"/>
                <w:tab w:pos="6555" w:val="left" w:leader="none"/>
                <w:tab w:pos="7542" w:val="left" w:leader="none"/>
                <w:tab w:pos="8598" w:val="left" w:leader="none"/>
                <w:tab w:pos="9874" w:val="left" w:leader="none"/>
              </w:tabs>
              <w:spacing w:line="163" w:lineRule="auto"/>
              <w:ind w:left="2874" w:right="41" w:hanging="1911"/>
              <w:jc w:val="left"/>
              <w:rPr>
                <w:rFonts w:ascii="宋体" w:hAnsi="宋体" w:cs="宋体" w:eastAsia="宋体" w:hint="default"/>
                <w:sz w:val="21"/>
                <w:szCs w:val="21"/>
              </w:rPr>
            </w:pPr>
            <w:r>
              <w:rPr>
                <w:rFonts w:ascii="宋体" w:hAnsi="宋体" w:cs="宋体" w:eastAsia="宋体" w:hint="default"/>
                <w:spacing w:val="-1"/>
                <w:position w:val="-13"/>
                <w:sz w:val="21"/>
                <w:szCs w:val="21"/>
              </w:rPr>
              <w:t>行业名称</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tab/>
            </w:r>
            <w:r>
              <w:rPr>
                <w:rFonts w:ascii="Times New Roman" w:hAnsi="Times New Roman" w:cs="Times New Roman" w:eastAsia="Times New Roman" w:hint="default"/>
                <w:sz w:val="21"/>
                <w:szCs w:val="21"/>
                <w:u w:val="single" w:color="000000"/>
              </w:rPr>
              <w:t>2010</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2009</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营业收入</w:t>
              <w:tab/>
              <w:tab/>
              <w:t>营业成本</w:t>
              <w:tab/>
              <w:tab/>
              <w:tab/>
              <w:t>营业收入</w:t>
              <w:tab/>
              <w:tab/>
              <w:t>营业成本</w:t>
            </w:r>
          </w:p>
        </w:tc>
      </w:tr>
    </w:tbl>
    <w:tbl>
      <w:tblPr>
        <w:tblW w:w="0" w:type="auto"/>
        <w:jc w:val="left"/>
        <w:tblInd w:w="595" w:type="dxa"/>
        <w:tblLayout w:type="fixed"/>
        <w:tblCellMar>
          <w:top w:w="0" w:type="dxa"/>
          <w:left w:w="0" w:type="dxa"/>
          <w:bottom w:w="0" w:type="dxa"/>
          <w:right w:w="0" w:type="dxa"/>
        </w:tblCellMar>
        <w:tblLook w:val="01E0"/>
      </w:tblPr>
      <w:tblGrid>
        <w:gridCol w:w="1778"/>
        <w:gridCol w:w="266"/>
        <w:gridCol w:w="1507"/>
        <w:gridCol w:w="235"/>
        <w:gridCol w:w="1538"/>
        <w:gridCol w:w="264"/>
        <w:gridCol w:w="1783"/>
        <w:gridCol w:w="281"/>
        <w:gridCol w:w="1742"/>
      </w:tblGrid>
      <w:tr>
        <w:trPr>
          <w:trHeight w:val="275" w:hRule="exact"/>
        </w:trPr>
        <w:tc>
          <w:tcPr>
            <w:tcW w:w="1778"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66"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175,204,590.68</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91,451,635.74</w:t>
            </w:r>
          </w:p>
        </w:tc>
        <w:tc>
          <w:tcPr>
            <w:tcW w:w="264"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123,104,813.04</w:t>
            </w:r>
          </w:p>
        </w:tc>
        <w:tc>
          <w:tcPr>
            <w:tcW w:w="281"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71,530,639.95</w:t>
            </w:r>
          </w:p>
        </w:tc>
      </w:tr>
      <w:tr>
        <w:trPr>
          <w:trHeight w:val="279"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266"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single" w:sz="4" w:space="0" w:color="000000"/>
              <w:right w:val="nil" w:sz="6" w:space="0" w:color="auto"/>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spacing w:val="-1"/>
                <w:sz w:val="21"/>
              </w:rPr>
              <w:t>1,683,987.19</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spacing w:val="-1"/>
                <w:sz w:val="21"/>
              </w:rPr>
              <w:t>366,418.80</w:t>
            </w:r>
          </w:p>
        </w:tc>
        <w:tc>
          <w:tcPr>
            <w:tcW w:w="264"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4"/>
              <w:jc w:val="right"/>
              <w:rPr>
                <w:rFonts w:ascii="Times New Roman" w:hAnsi="Times New Roman" w:cs="Times New Roman" w:eastAsia="Times New Roman" w:hint="default"/>
                <w:sz w:val="21"/>
                <w:szCs w:val="21"/>
              </w:rPr>
            </w:pPr>
            <w:r>
              <w:rPr>
                <w:rFonts w:ascii="Times New Roman"/>
                <w:spacing w:val="-1"/>
                <w:sz w:val="21"/>
              </w:rPr>
              <w:t>1,728,437.74</w:t>
            </w:r>
          </w:p>
        </w:tc>
        <w:tc>
          <w:tcPr>
            <w:tcW w:w="281"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6"/>
              <w:jc w:val="right"/>
              <w:rPr>
                <w:rFonts w:ascii="Times New Roman" w:hAnsi="Times New Roman" w:cs="Times New Roman" w:eastAsia="Times New Roman" w:hint="default"/>
                <w:sz w:val="21"/>
                <w:szCs w:val="21"/>
              </w:rPr>
            </w:pPr>
            <w:r>
              <w:rPr>
                <w:rFonts w:ascii="Times New Roman"/>
                <w:spacing w:val="-1"/>
                <w:sz w:val="21"/>
              </w:rPr>
              <w:t>476,946.21</w:t>
            </w:r>
          </w:p>
        </w:tc>
      </w:tr>
      <w:tr>
        <w:trPr>
          <w:trHeight w:val="293" w:hRule="exact"/>
        </w:trPr>
        <w:tc>
          <w:tcPr>
            <w:tcW w:w="1778"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 w:type="dxa"/>
            <w:tcBorders>
              <w:top w:val="nil" w:sz="6" w:space="0" w:color="auto"/>
              <w:left w:val="nil" w:sz="6" w:space="0" w:color="auto"/>
              <w:bottom w:val="nil" w:sz="6" w:space="0" w:color="auto"/>
              <w:right w:val="nil" w:sz="6" w:space="0" w:color="auto"/>
            </w:tcBorders>
          </w:tcPr>
          <w:p>
            <w:pPr/>
          </w:p>
        </w:tc>
        <w:tc>
          <w:tcPr>
            <w:tcW w:w="1507"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176,888,577.87</w:t>
            </w:r>
          </w:p>
        </w:tc>
        <w:tc>
          <w:tcPr>
            <w:tcW w:w="235"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91,818,054.54</w:t>
            </w:r>
          </w:p>
        </w:tc>
        <w:tc>
          <w:tcPr>
            <w:tcW w:w="264" w:type="dxa"/>
            <w:tcBorders>
              <w:top w:val="nil" w:sz="6" w:space="0" w:color="auto"/>
              <w:left w:val="nil" w:sz="6" w:space="0" w:color="auto"/>
              <w:bottom w:val="nil" w:sz="6" w:space="0" w:color="auto"/>
              <w:right w:val="nil" w:sz="6" w:space="0" w:color="auto"/>
            </w:tcBorders>
          </w:tcPr>
          <w:p>
            <w:pPr/>
          </w:p>
        </w:tc>
        <w:tc>
          <w:tcPr>
            <w:tcW w:w="17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124,833,250.78</w:t>
            </w:r>
          </w:p>
        </w:tc>
        <w:tc>
          <w:tcPr>
            <w:tcW w:w="281"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
                <w:sz w:val="21"/>
              </w:rPr>
              <w:t>72,007,586.16</w:t>
            </w:r>
          </w:p>
        </w:tc>
      </w:tr>
    </w:tbl>
    <w:p>
      <w:pPr>
        <w:spacing w:line="240" w:lineRule="auto" w:before="1"/>
        <w:rPr>
          <w:rFonts w:ascii="Times New Roman" w:hAnsi="Times New Roman" w:cs="Times New Roman" w:eastAsia="Times New Roman" w:hint="default"/>
          <w:sz w:val="15"/>
          <w:szCs w:val="15"/>
        </w:rPr>
      </w:pPr>
    </w:p>
    <w:p>
      <w:pPr>
        <w:spacing w:before="36"/>
        <w:ind w:left="704" w:right="56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12.4.3 </w:t>
      </w:r>
      <w:r>
        <w:rPr>
          <w:rFonts w:ascii="宋体" w:hAnsi="宋体" w:cs="宋体" w:eastAsia="宋体" w:hint="default"/>
          <w:sz w:val="21"/>
          <w:szCs w:val="21"/>
        </w:rPr>
        <w:t>主营业务</w:t>
      </w:r>
      <w:r>
        <w:rPr>
          <w:rFonts w:ascii="宋体" w:hAnsi="宋体" w:cs="宋体" w:eastAsia="宋体" w:hint="default"/>
          <w:spacing w:val="-5"/>
          <w:sz w:val="21"/>
          <w:szCs w:val="21"/>
        </w:rPr>
        <w:t> </w:t>
      </w:r>
      <w:r>
        <w:rPr>
          <w:rFonts w:ascii="宋体" w:hAnsi="宋体" w:cs="宋体" w:eastAsia="宋体" w:hint="default"/>
          <w:sz w:val="21"/>
          <w:szCs w:val="21"/>
        </w:rPr>
        <w:t>（分地区）</w:t>
      </w:r>
    </w:p>
    <w:p>
      <w:pPr>
        <w:spacing w:line="240" w:lineRule="auto" w:before="0"/>
        <w:rPr>
          <w:rFonts w:ascii="宋体" w:hAnsi="宋体" w:cs="宋体" w:eastAsia="宋体" w:hint="default"/>
          <w:sz w:val="23"/>
          <w:szCs w:val="23"/>
        </w:rPr>
      </w:pPr>
    </w:p>
    <w:p>
      <w:pPr>
        <w:tabs>
          <w:tab w:pos="2863" w:val="left" w:leader="none"/>
          <w:tab w:pos="4188" w:val="left" w:leader="none"/>
          <w:tab w:pos="6408" w:val="left" w:leader="none"/>
          <w:tab w:pos="6691" w:val="left" w:leader="none"/>
          <w:tab w:pos="7894" w:val="left" w:leader="none"/>
          <w:tab w:pos="9974" w:val="left" w:leader="none"/>
        </w:tabs>
        <w:spacing w:line="163" w:lineRule="auto" w:before="0"/>
        <w:ind w:left="3293" w:right="146" w:hanging="2127"/>
        <w:jc w:val="left"/>
        <w:rPr>
          <w:rFonts w:ascii="宋体" w:hAnsi="宋体" w:cs="宋体" w:eastAsia="宋体" w:hint="default"/>
          <w:sz w:val="21"/>
          <w:szCs w:val="21"/>
        </w:rPr>
      </w:pPr>
      <w:r>
        <w:rPr/>
        <w:pict>
          <v:shape style="position:absolute;margin-left:295.440002pt;margin-top:12.399981pt;width:257.1500pt;height:44.55pt;mso-position-horizontal-relative:page;mso-position-vertical-relative:paragraph;z-index:10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283"/>
                    <w:gridCol w:w="1557"/>
                    <w:gridCol w:w="286"/>
                    <w:gridCol w:w="1457"/>
                  </w:tblGrid>
                  <w:tr>
                    <w:trPr>
                      <w:trHeight w:val="267" w:hRule="exact"/>
                    </w:trPr>
                    <w:tc>
                      <w:tcPr>
                        <w:tcW w:w="1560" w:type="dxa"/>
                        <w:tcBorders>
                          <w:top w:val="nil" w:sz="6" w:space="0" w:color="auto"/>
                          <w:left w:val="nil" w:sz="6" w:space="0" w:color="auto"/>
                          <w:bottom w:val="single" w:sz="4" w:space="0" w:color="000000"/>
                          <w:right w:val="nil" w:sz="6" w:space="0" w:color="auto"/>
                        </w:tcBorders>
                      </w:tcPr>
                      <w:p>
                        <w:pPr>
                          <w:pStyle w:val="TableParagraph"/>
                          <w:spacing w:line="232"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8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single" w:sz="4" w:space="0" w:color="000000"/>
                          <w:right w:val="nil" w:sz="6" w:space="0" w:color="auto"/>
                        </w:tcBorders>
                      </w:tcPr>
                      <w:p>
                        <w:pPr>
                          <w:pStyle w:val="TableParagraph"/>
                          <w:spacing w:line="23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623" w:hRule="exact"/>
                    </w:trPr>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38" w:right="0"/>
                          <w:jc w:val="center"/>
                          <w:rPr>
                            <w:rFonts w:ascii="Times New Roman" w:hAnsi="Times New Roman" w:cs="Times New Roman" w:eastAsia="Times New Roman" w:hint="default"/>
                            <w:sz w:val="21"/>
                            <w:szCs w:val="21"/>
                          </w:rPr>
                        </w:pPr>
                        <w:r>
                          <w:rPr>
                            <w:rFonts w:ascii="Times New Roman"/>
                            <w:sz w:val="21"/>
                          </w:rPr>
                          <w:t>83,318,037.79</w:t>
                        </w:r>
                      </w:p>
                    </w:tc>
                    <w:tc>
                      <w:tcPr>
                        <w:tcW w:w="283" w:type="dxa"/>
                        <w:tcBorders>
                          <w:top w:val="nil" w:sz="6" w:space="0" w:color="auto"/>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2" w:right="0"/>
                          <w:jc w:val="center"/>
                          <w:rPr>
                            <w:rFonts w:ascii="Times New Roman" w:hAnsi="Times New Roman" w:cs="Times New Roman" w:eastAsia="Times New Roman" w:hint="default"/>
                            <w:sz w:val="21"/>
                            <w:szCs w:val="21"/>
                          </w:rPr>
                        </w:pPr>
                        <w:r>
                          <w:rPr>
                            <w:rFonts w:ascii="Times New Roman"/>
                            <w:sz w:val="21"/>
                          </w:rPr>
                          <w:t>119,360,749.46</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 w:right="0"/>
                          <w:jc w:val="center"/>
                          <w:rPr>
                            <w:rFonts w:ascii="Times New Roman" w:hAnsi="Times New Roman" w:cs="Times New Roman" w:eastAsia="Times New Roman" w:hint="default"/>
                            <w:sz w:val="21"/>
                            <w:szCs w:val="21"/>
                          </w:rPr>
                        </w:pPr>
                        <w:r>
                          <w:rPr>
                            <w:rFonts w:ascii="Times New Roman"/>
                            <w:sz w:val="21"/>
                          </w:rPr>
                          <w:t>69,342,803.94</w:t>
                        </w:r>
                      </w:p>
                    </w:tc>
                  </w:tr>
                </w:tbl>
                <w:p>
                  <w:pPr/>
                </w:p>
              </w:txbxContent>
            </v:textbox>
            <w10:wrap type="none"/>
          </v:shape>
        </w:pict>
      </w:r>
      <w:r>
        <w:rPr>
          <w:rFonts w:ascii="宋体" w:hAnsi="宋体" w:cs="宋体" w:eastAsia="宋体" w:hint="default"/>
          <w:spacing w:val="-1"/>
          <w:position w:val="-13"/>
          <w:sz w:val="21"/>
          <w:szCs w:val="21"/>
        </w:rPr>
        <w:t>地区名称</w:t>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tab/>
      </w:r>
      <w:r>
        <w:rPr>
          <w:rFonts w:ascii="Times New Roman" w:hAnsi="Times New Roman" w:cs="Times New Roman" w:eastAsia="Times New Roman" w:hint="default"/>
          <w:sz w:val="21"/>
          <w:szCs w:val="21"/>
          <w:u w:val="single" w:color="000000"/>
        </w:rPr>
        <w:t>2010</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tab/>
      </w: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t> 2009</w:t>
      </w:r>
      <w:r>
        <w:rPr>
          <w:rFonts w:ascii="Times New Roman" w:hAnsi="Times New Roman" w:cs="Times New Roman" w:eastAsia="Times New Roman" w:hint="default"/>
          <w:spacing w:val="2"/>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r>
      <w:r>
        <w:rPr>
          <w:rFonts w:ascii="宋体" w:hAnsi="宋体" w:cs="宋体" w:eastAsia="宋体" w:hint="default"/>
          <w:sz w:val="21"/>
          <w:szCs w:val="21"/>
        </w:rPr>
        <w:t>营业收入</w:t>
      </w:r>
    </w:p>
    <w:p>
      <w:pPr>
        <w:spacing w:line="240" w:lineRule="auto" w:before="1"/>
        <w:rPr>
          <w:rFonts w:ascii="宋体" w:hAnsi="宋体" w:cs="宋体" w:eastAsia="宋体" w:hint="default"/>
          <w:sz w:val="3"/>
          <w:szCs w:val="3"/>
        </w:rPr>
      </w:pPr>
    </w:p>
    <w:p>
      <w:pPr>
        <w:tabs>
          <w:tab w:pos="2859" w:val="left" w:leader="none"/>
        </w:tabs>
        <w:spacing w:line="20" w:lineRule="exact"/>
        <w:ind w:left="591" w:right="0" w:firstLine="0"/>
        <w:rPr>
          <w:rFonts w:ascii="宋体" w:hAnsi="宋体" w:cs="宋体" w:eastAsia="宋体" w:hint="default"/>
          <w:sz w:val="2"/>
          <w:szCs w:val="2"/>
        </w:rPr>
      </w:pPr>
      <w:r>
        <w:rPr>
          <w:rFonts w:ascii="宋体"/>
          <w:sz w:val="2"/>
        </w:rPr>
        <w:pict>
          <v:group style="width:99.75pt;height:.5pt;mso-position-horizontal-relative:char;mso-position-vertical-relative:line" coordorigin="0,0" coordsize="1995,10">
            <v:group style="position:absolute;left:5;top:5;width:1985;height:2" coordorigin="5,5" coordsize="1985,2">
              <v:shape style="position:absolute;left:5;top:5;width:1985;height:2" coordorigin="5,5" coordsize="1985,0" path="m5,5l1990,5e" filled="false" stroked="true" strokeweight=".48pt" strokecolor="#000000">
                <v:path arrowok="t"/>
              </v:shape>
            </v:group>
          </v:group>
        </w:pict>
      </w:r>
      <w:r>
        <w:rPr>
          <w:rFonts w:ascii="宋体"/>
          <w:sz w:val="2"/>
        </w:rPr>
      </w:r>
      <w:r>
        <w:rPr>
          <w:rFonts w:ascii="宋体"/>
          <w:sz w:val="2"/>
        </w:rPr>
        <w:tab/>
      </w:r>
      <w:r>
        <w:rPr>
          <w:rFonts w:ascii="宋体"/>
          <w:sz w:val="2"/>
        </w:rPr>
        <w:pict>
          <v:group style="width:85.55pt;height:.5pt;mso-position-horizontal-relative:char;mso-position-vertical-relative:line" coordorigin="0,0" coordsize="1711,10">
            <v:group style="position:absolute;left:5;top:5;width:1702;height:2" coordorigin="5,5" coordsize="1702,2">
              <v:shape style="position:absolute;left:5;top:5;width:1702;height:2" coordorigin="5,5" coordsize="1702,0" path="m5,5l1706,5e" filled="false" stroked="true" strokeweight=".48pt" strokecolor="#000000">
                <v:path arrowok="t"/>
              </v:shape>
            </v:group>
          </v:group>
        </w:pict>
      </w:r>
      <w:r>
        <w:rPr>
          <w:rFonts w:ascii="宋体"/>
          <w:sz w:val="2"/>
        </w:rPr>
      </w:r>
    </w:p>
    <w:p>
      <w:pPr>
        <w:spacing w:line="236" w:lineRule="exact" w:before="0"/>
        <w:ind w:left="704" w:right="567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日本国</w:t>
      </w:r>
    </w:p>
    <w:p>
      <w:pPr>
        <w:tabs>
          <w:tab w:pos="3144" w:val="left" w:leader="none"/>
        </w:tabs>
        <w:spacing w:line="237" w:lineRule="auto" w:before="0"/>
        <w:ind w:left="704" w:right="5679" w:firstLine="0"/>
        <w:jc w:val="left"/>
        <w:rPr>
          <w:rFonts w:ascii="宋体" w:hAnsi="宋体" w:cs="宋体" w:eastAsia="宋体" w:hint="default"/>
          <w:sz w:val="21"/>
          <w:szCs w:val="21"/>
        </w:rPr>
      </w:pPr>
      <w:r>
        <w:rPr>
          <w:rFonts w:ascii="宋体" w:hAnsi="宋体" w:cs="宋体" w:eastAsia="宋体" w:hint="default"/>
          <w:spacing w:val="-1"/>
          <w:position w:val="-1"/>
          <w:sz w:val="21"/>
          <w:szCs w:val="21"/>
        </w:rPr>
        <w:t>其中：软件销售</w:t>
        <w:tab/>
      </w:r>
      <w:r>
        <w:rPr>
          <w:rFonts w:ascii="Times New Roman" w:hAnsi="Times New Roman" w:cs="Times New Roman" w:eastAsia="Times New Roman" w:hint="default"/>
          <w:spacing w:val="-1"/>
          <w:sz w:val="21"/>
          <w:szCs w:val="21"/>
        </w:rPr>
        <w:t>161,447,039.90</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spacing w:val="-39"/>
          <w:sz w:val="21"/>
          <w:szCs w:val="21"/>
        </w:rPr>
      </w:r>
      <w:r>
        <w:rPr>
          <w:rFonts w:ascii="Times New Roman" w:hAnsi="Times New Roman" w:cs="Times New Roman" w:eastAsia="Times New Roman" w:hint="default"/>
          <w:sz w:val="21"/>
          <w:szCs w:val="21"/>
        </w:rPr>
        <w:t>(2)</w:t>
      </w:r>
      <w:r>
        <w:rPr>
          <w:rFonts w:ascii="宋体" w:hAnsi="宋体" w:cs="宋体" w:eastAsia="宋体" w:hint="default"/>
          <w:sz w:val="21"/>
          <w:szCs w:val="21"/>
        </w:rPr>
        <w:t>美国</w:t>
      </w:r>
    </w:p>
    <w:p>
      <w:pPr>
        <w:tabs>
          <w:tab w:pos="3250" w:val="left" w:leader="none"/>
          <w:tab w:pos="5199" w:val="left" w:leader="none"/>
          <w:tab w:pos="7042" w:val="left" w:leader="none"/>
          <w:tab w:pos="8782" w:val="left" w:leader="none"/>
        </w:tabs>
        <w:spacing w:line="264" w:lineRule="exact" w:before="0"/>
        <w:ind w:left="704" w:right="0" w:firstLine="0"/>
        <w:jc w:val="left"/>
        <w:rPr>
          <w:rFonts w:ascii="Times New Roman" w:hAnsi="Times New Roman" w:cs="Times New Roman" w:eastAsia="Times New Roman" w:hint="default"/>
          <w:sz w:val="21"/>
          <w:szCs w:val="21"/>
        </w:rPr>
      </w:pPr>
      <w:r>
        <w:rPr/>
        <w:pict>
          <v:shape style="position:absolute;margin-left:86.449997pt;margin-top:15.132154pt;width:466.15pt;height:81pt;mso-position-horizontal-relative:page;mso-position-vertical-relative:paragraph;z-index:10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5"/>
                    <w:gridCol w:w="1701"/>
                    <w:gridCol w:w="283"/>
                    <w:gridCol w:w="1560"/>
                    <w:gridCol w:w="283"/>
                    <w:gridCol w:w="1557"/>
                    <w:gridCol w:w="286"/>
                    <w:gridCol w:w="1457"/>
                  </w:tblGrid>
                  <w:tr>
                    <w:trPr>
                      <w:trHeight w:val="528"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中国</w:t>
                        </w:r>
                      </w:p>
                      <w:p>
                        <w:pPr>
                          <w:pStyle w:val="TableParagraph"/>
                          <w:spacing w:line="266" w:lineRule="exact"/>
                          <w:ind w:left="35" w:right="0"/>
                          <w:jc w:val="left"/>
                          <w:rPr>
                            <w:rFonts w:ascii="宋体" w:hAnsi="宋体" w:cs="宋体" w:eastAsia="宋体" w:hint="default"/>
                            <w:sz w:val="21"/>
                            <w:szCs w:val="21"/>
                          </w:rPr>
                        </w:pPr>
                        <w:r>
                          <w:rPr>
                            <w:rFonts w:ascii="宋体" w:hAnsi="宋体" w:cs="宋体" w:eastAsia="宋体" w:hint="default"/>
                            <w:sz w:val="21"/>
                            <w:szCs w:val="21"/>
                          </w:rPr>
                          <w:t>其中：软件销售</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1,654,477.00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849,426.03</w:t>
                        </w:r>
                      </w:p>
                    </w:tc>
                    <w:tc>
                      <w:tcPr>
                        <w:tcW w:w="28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510,710.00</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309,414.47</w:t>
                        </w:r>
                      </w:p>
                    </w:tc>
                  </w:tr>
                  <w:tr>
                    <w:trPr>
                      <w:trHeight w:val="282"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4" w:lineRule="exact"/>
                          <w:ind w:left="666" w:right="0"/>
                          <w:jc w:val="left"/>
                          <w:rPr>
                            <w:rFonts w:ascii="宋体" w:hAnsi="宋体" w:cs="宋体" w:eastAsia="宋体" w:hint="default"/>
                            <w:sz w:val="21"/>
                            <w:szCs w:val="21"/>
                          </w:rPr>
                        </w:pPr>
                        <w:r>
                          <w:rPr>
                            <w:rFonts w:ascii="宋体" w:hAnsi="宋体" w:cs="宋体" w:eastAsia="宋体" w:hint="default"/>
                            <w:sz w:val="21"/>
                            <w:szCs w:val="21"/>
                          </w:rPr>
                          <w:t>硬件销售</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spacing w:val="-1"/>
                            <w:sz w:val="21"/>
                          </w:rPr>
                          <w:t>1,683,987.19</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38" w:lineRule="exact"/>
                          <w:ind w:right="104"/>
                          <w:jc w:val="right"/>
                          <w:rPr>
                            <w:rFonts w:ascii="Times New Roman" w:hAnsi="Times New Roman" w:cs="Times New Roman" w:eastAsia="Times New Roman" w:hint="default"/>
                            <w:sz w:val="21"/>
                            <w:szCs w:val="21"/>
                          </w:rPr>
                        </w:pPr>
                        <w:r>
                          <w:rPr>
                            <w:rFonts w:ascii="Times New Roman"/>
                            <w:spacing w:val="-1"/>
                            <w:sz w:val="21"/>
                          </w:rPr>
                          <w:t>366,418.80</w:t>
                        </w:r>
                      </w:p>
                    </w:tc>
                    <w:tc>
                      <w:tcPr>
                        <w:tcW w:w="28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1,728,437.74</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4"/>
                          <w:jc w:val="right"/>
                          <w:rPr>
                            <w:rFonts w:ascii="Times New Roman" w:hAnsi="Times New Roman" w:cs="Times New Roman" w:eastAsia="Times New Roman" w:hint="default"/>
                            <w:sz w:val="21"/>
                            <w:szCs w:val="21"/>
                          </w:rPr>
                        </w:pPr>
                        <w:r>
                          <w:rPr>
                            <w:rFonts w:ascii="Times New Roman"/>
                            <w:spacing w:val="-1"/>
                            <w:sz w:val="21"/>
                          </w:rPr>
                          <w:t>476,946.21</w:t>
                        </w:r>
                      </w:p>
                    </w:tc>
                  </w:tr>
                  <w:tr>
                    <w:trPr>
                      <w:trHeight w:val="290" w:hRule="exact"/>
                    </w:trPr>
                    <w:tc>
                      <w:tcPr>
                        <w:tcW w:w="219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1"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176,888,577.87</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91,818,054.54</w:t>
                        </w:r>
                      </w:p>
                    </w:tc>
                    <w:tc>
                      <w:tcPr>
                        <w:tcW w:w="283" w:type="dxa"/>
                        <w:tcBorders>
                          <w:top w:val="nil" w:sz="6" w:space="0" w:color="auto"/>
                          <w:left w:val="nil" w:sz="6" w:space="0" w:color="auto"/>
                          <w:bottom w:val="nil" w:sz="6" w:space="0" w:color="auto"/>
                          <w:right w:val="nil" w:sz="6" w:space="0" w:color="auto"/>
                        </w:tcBorders>
                      </w:tcPr>
                      <w:p>
                        <w:pPr/>
                      </w:p>
                    </w:tc>
                    <w:tc>
                      <w:tcPr>
                        <w:tcW w:w="155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2"/>
                          <w:jc w:val="right"/>
                          <w:rPr>
                            <w:rFonts w:ascii="Times New Roman" w:hAnsi="Times New Roman" w:cs="Times New Roman" w:eastAsia="Times New Roman" w:hint="default"/>
                            <w:sz w:val="21"/>
                            <w:szCs w:val="21"/>
                          </w:rPr>
                        </w:pPr>
                        <w:r>
                          <w:rPr>
                            <w:rFonts w:ascii="Times New Roman"/>
                            <w:spacing w:val="-1"/>
                            <w:sz w:val="21"/>
                          </w:rPr>
                          <w:t>124,833,250.78</w:t>
                        </w:r>
                      </w:p>
                    </w:tc>
                    <w:tc>
                      <w:tcPr>
                        <w:tcW w:w="286"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72,007,586.16</w:t>
                        </w:r>
                      </w:p>
                    </w:tc>
                  </w:tr>
                  <w:tr>
                    <w:trPr>
                      <w:trHeight w:val="520" w:hRule="exact"/>
                    </w:trPr>
                    <w:tc>
                      <w:tcPr>
                        <w:tcW w:w="9323" w:type="dxa"/>
                        <w:gridSpan w:val="8"/>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公司前五名客户的营业收入情况</w:t>
                        </w:r>
                      </w:p>
                    </w:tc>
                  </w:tr>
                </w:tbl>
                <w:p>
                  <w:pPr/>
                </w:p>
              </w:txbxContent>
            </v:textbox>
            <w10:wrap type="none"/>
          </v:shape>
        </w:pict>
      </w:r>
      <w:r>
        <w:rPr>
          <w:rFonts w:ascii="宋体" w:hAnsi="宋体" w:cs="宋体" w:eastAsia="宋体" w:hint="default"/>
          <w:spacing w:val="-1"/>
          <w:sz w:val="21"/>
          <w:szCs w:val="21"/>
        </w:rPr>
        <w:t>其中：软件销售</w:t>
        <w:tab/>
      </w:r>
      <w:r>
        <w:rPr>
          <w:rFonts w:ascii="Times New Roman" w:hAnsi="Times New Roman" w:cs="Times New Roman" w:eastAsia="Times New Roman" w:hint="default"/>
          <w:spacing w:val="-1"/>
          <w:position w:val="2"/>
          <w:sz w:val="21"/>
          <w:szCs w:val="21"/>
        </w:rPr>
        <w:t>12,103,073.78</w:t>
        <w:tab/>
        <w:t>7,284,171.92</w:t>
        <w:tab/>
      </w:r>
      <w:r>
        <w:rPr>
          <w:rFonts w:ascii="Times New Roman" w:hAnsi="Times New Roman" w:cs="Times New Roman" w:eastAsia="Times New Roman" w:hint="default"/>
          <w:spacing w:val="-1"/>
          <w:position w:val="1"/>
          <w:sz w:val="21"/>
          <w:szCs w:val="21"/>
        </w:rPr>
        <w:t>3,233,353.58</w:t>
        <w:tab/>
        <w:t>1,878,421.54</w:t>
      </w:r>
      <w:r>
        <w:rPr>
          <w:rFonts w:ascii="Times New Roman" w:hAnsi="Times New Roman" w:cs="Times New Roman" w:eastAsia="Times New Roman" w:hint="default"/>
          <w:spacing w:val="-1"/>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595" w:type="dxa"/>
        <w:tblLayout w:type="fixed"/>
        <w:tblCellMar>
          <w:top w:w="0" w:type="dxa"/>
          <w:left w:w="0" w:type="dxa"/>
          <w:bottom w:w="0" w:type="dxa"/>
          <w:right w:w="0" w:type="dxa"/>
        </w:tblCellMar>
        <w:tblLook w:val="01E0"/>
      </w:tblPr>
      <w:tblGrid>
        <w:gridCol w:w="2962"/>
        <w:gridCol w:w="235"/>
        <w:gridCol w:w="2534"/>
        <w:gridCol w:w="238"/>
        <w:gridCol w:w="3427"/>
      </w:tblGrid>
      <w:tr>
        <w:trPr>
          <w:trHeight w:val="346" w:hRule="exact"/>
        </w:trPr>
        <w:tc>
          <w:tcPr>
            <w:tcW w:w="296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5"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pacing w:val="-1"/>
                <w:sz w:val="21"/>
                <w:szCs w:val="21"/>
              </w:rPr>
              <w:t>营业收入总额</w:t>
            </w:r>
          </w:p>
        </w:tc>
        <w:tc>
          <w:tcPr>
            <w:tcW w:w="238" w:type="dxa"/>
            <w:tcBorders>
              <w:top w:val="nil" w:sz="6" w:space="0" w:color="auto"/>
              <w:left w:val="nil" w:sz="6" w:space="0" w:color="auto"/>
              <w:bottom w:val="nil" w:sz="6" w:space="0" w:color="auto"/>
              <w:right w:val="nil" w:sz="6" w:space="0" w:color="auto"/>
            </w:tcBorders>
          </w:tcPr>
          <w:p>
            <w:pPr/>
          </w:p>
        </w:tc>
        <w:tc>
          <w:tcPr>
            <w:tcW w:w="342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8"/>
              <w:jc w:val="right"/>
              <w:rPr>
                <w:rFonts w:ascii="宋体" w:hAnsi="宋体" w:cs="宋体" w:eastAsia="宋体" w:hint="default"/>
                <w:sz w:val="21"/>
                <w:szCs w:val="21"/>
              </w:rPr>
            </w:pPr>
            <w:r>
              <w:rPr>
                <w:rFonts w:ascii="宋体" w:hAnsi="宋体" w:cs="宋体" w:eastAsia="宋体" w:hint="default"/>
                <w:spacing w:val="-2"/>
                <w:sz w:val="21"/>
                <w:szCs w:val="21"/>
              </w:rPr>
              <w:t>占公司全部营业收入的比例</w:t>
            </w:r>
          </w:p>
        </w:tc>
      </w:tr>
      <w:tr>
        <w:trPr>
          <w:trHeight w:val="272" w:hRule="exact"/>
        </w:trPr>
        <w:tc>
          <w:tcPr>
            <w:tcW w:w="2962" w:type="dxa"/>
            <w:tcBorders>
              <w:top w:val="single" w:sz="4" w:space="0" w:color="000000"/>
              <w:left w:val="nil" w:sz="6" w:space="0" w:color="auto"/>
              <w:bottom w:val="nil" w:sz="6" w:space="0" w:color="auto"/>
              <w:right w:val="nil" w:sz="6" w:space="0" w:color="auto"/>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日本海隆株式会社</w:t>
            </w:r>
          </w:p>
        </w:tc>
        <w:tc>
          <w:tcPr>
            <w:tcW w:w="235" w:type="dxa"/>
            <w:tcBorders>
              <w:top w:val="nil" w:sz="6" w:space="0" w:color="auto"/>
              <w:left w:val="nil" w:sz="6" w:space="0" w:color="auto"/>
              <w:bottom w:val="nil" w:sz="6" w:space="0" w:color="auto"/>
              <w:right w:val="nil" w:sz="6" w:space="0" w:color="auto"/>
            </w:tcBorders>
          </w:tcPr>
          <w:p>
            <w:pPr/>
          </w:p>
        </w:tc>
        <w:tc>
          <w:tcPr>
            <w:tcW w:w="2534" w:type="dxa"/>
            <w:tcBorders>
              <w:top w:val="single" w:sz="4" w:space="0" w:color="000000"/>
              <w:left w:val="nil" w:sz="6" w:space="0" w:color="auto"/>
              <w:bottom w:val="nil" w:sz="6" w:space="0" w:color="auto"/>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107,140,711.88</w:t>
            </w:r>
          </w:p>
        </w:tc>
        <w:tc>
          <w:tcPr>
            <w:tcW w:w="238" w:type="dxa"/>
            <w:tcBorders>
              <w:top w:val="nil" w:sz="6" w:space="0" w:color="auto"/>
              <w:left w:val="nil" w:sz="6" w:space="0" w:color="auto"/>
              <w:bottom w:val="nil" w:sz="6" w:space="0" w:color="auto"/>
              <w:right w:val="nil" w:sz="6" w:space="0" w:color="auto"/>
            </w:tcBorders>
          </w:tcPr>
          <w:p>
            <w:pPr/>
          </w:p>
        </w:tc>
        <w:tc>
          <w:tcPr>
            <w:tcW w:w="3427" w:type="dxa"/>
            <w:tcBorders>
              <w:top w:val="single" w:sz="4" w:space="0" w:color="000000"/>
              <w:left w:val="nil" w:sz="6" w:space="0" w:color="auto"/>
              <w:bottom w:val="nil" w:sz="6" w:space="0" w:color="auto"/>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z w:val="21"/>
              </w:rPr>
              <w:t>60.44%</w:t>
            </w:r>
          </w:p>
        </w:tc>
      </w:tr>
      <w:tr>
        <w:trPr>
          <w:trHeight w:val="272"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left"/>
              <w:rPr>
                <w:rFonts w:ascii="宋体" w:hAnsi="宋体" w:cs="宋体" w:eastAsia="宋体" w:hint="default"/>
                <w:sz w:val="21"/>
                <w:szCs w:val="21"/>
              </w:rPr>
            </w:pPr>
            <w:r>
              <w:rPr>
                <w:rFonts w:ascii="宋体" w:hAnsi="宋体" w:cs="宋体" w:eastAsia="宋体" w:hint="default"/>
                <w:sz w:val="21"/>
                <w:szCs w:val="21"/>
              </w:rPr>
              <w:t>日本欧姆龙软件株式会社</w:t>
            </w:r>
          </w:p>
        </w:tc>
        <w:tc>
          <w:tcPr>
            <w:tcW w:w="235"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22,157,207.05</w:t>
            </w:r>
          </w:p>
        </w:tc>
        <w:tc>
          <w:tcPr>
            <w:tcW w:w="238" w:type="dxa"/>
            <w:tcBorders>
              <w:top w:val="nil" w:sz="6" w:space="0" w:color="auto"/>
              <w:left w:val="nil" w:sz="6" w:space="0" w:color="auto"/>
              <w:bottom w:val="nil" w:sz="6" w:space="0" w:color="auto"/>
              <w:right w:val="nil" w:sz="6" w:space="0" w:color="auto"/>
            </w:tcBorders>
          </w:tcPr>
          <w:p>
            <w:pPr/>
          </w:p>
        </w:tc>
        <w:tc>
          <w:tcPr>
            <w:tcW w:w="3427"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z w:val="21"/>
              </w:rPr>
              <w:t>12.50%</w:t>
            </w:r>
          </w:p>
        </w:tc>
      </w:tr>
      <w:tr>
        <w:trPr>
          <w:trHeight w:val="278"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MTI</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株式会社</w:t>
            </w:r>
          </w:p>
        </w:tc>
        <w:tc>
          <w:tcPr>
            <w:tcW w:w="235"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15,622,366.05</w:t>
            </w:r>
          </w:p>
        </w:tc>
        <w:tc>
          <w:tcPr>
            <w:tcW w:w="238" w:type="dxa"/>
            <w:tcBorders>
              <w:top w:val="nil" w:sz="6" w:space="0" w:color="auto"/>
              <w:left w:val="nil" w:sz="6" w:space="0" w:color="auto"/>
              <w:bottom w:val="nil" w:sz="6" w:space="0" w:color="auto"/>
              <w:right w:val="nil" w:sz="6" w:space="0" w:color="auto"/>
            </w:tcBorders>
          </w:tcPr>
          <w:p>
            <w:pPr/>
          </w:p>
        </w:tc>
        <w:tc>
          <w:tcPr>
            <w:tcW w:w="3427"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sz w:val="21"/>
              </w:rPr>
              <w:t>8.81%</w:t>
            </w:r>
          </w:p>
        </w:tc>
      </w:tr>
      <w:tr>
        <w:trPr>
          <w:trHeight w:val="246"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36" w:lineRule="exact"/>
              <w:ind w:left="2" w:right="0"/>
              <w:jc w:val="left"/>
              <w:rPr>
                <w:rFonts w:ascii="Times New Roman" w:hAnsi="Times New Roman" w:cs="Times New Roman" w:eastAsia="Times New Roman" w:hint="default"/>
                <w:sz w:val="21"/>
                <w:szCs w:val="21"/>
              </w:rPr>
            </w:pPr>
            <w:r>
              <w:rPr>
                <w:rFonts w:ascii="Times New Roman"/>
                <w:spacing w:val="-5"/>
                <w:sz w:val="21"/>
              </w:rPr>
              <w:t>Yellow </w:t>
            </w:r>
            <w:r>
              <w:rPr>
                <w:rFonts w:ascii="Times New Roman"/>
                <w:sz w:val="21"/>
              </w:rPr>
              <w:t>Book</w:t>
            </w:r>
            <w:r>
              <w:rPr>
                <w:rFonts w:ascii="Times New Roman"/>
                <w:spacing w:val="8"/>
                <w:sz w:val="21"/>
              </w:rPr>
              <w:t> </w:t>
            </w:r>
            <w:r>
              <w:rPr>
                <w:rFonts w:ascii="Times New Roman"/>
                <w:sz w:val="21"/>
              </w:rPr>
              <w:t>USA</w:t>
            </w:r>
          </w:p>
        </w:tc>
        <w:tc>
          <w:tcPr>
            <w:tcW w:w="235"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nil" w:sz="6" w:space="0" w:color="auto"/>
              <w:right w:val="nil" w:sz="6" w:space="0" w:color="auto"/>
            </w:tcBorders>
          </w:tcPr>
          <w:p>
            <w:pPr>
              <w:pStyle w:val="TableParagraph"/>
              <w:spacing w:line="236" w:lineRule="exact"/>
              <w:ind w:right="108"/>
              <w:jc w:val="right"/>
              <w:rPr>
                <w:rFonts w:ascii="Times New Roman" w:hAnsi="Times New Roman" w:cs="Times New Roman" w:eastAsia="Times New Roman" w:hint="default"/>
                <w:sz w:val="21"/>
                <w:szCs w:val="21"/>
              </w:rPr>
            </w:pPr>
            <w:r>
              <w:rPr>
                <w:rFonts w:ascii="Times New Roman"/>
                <w:spacing w:val="-1"/>
                <w:sz w:val="21"/>
              </w:rPr>
              <w:t>12,103,073.78</w:t>
            </w:r>
          </w:p>
        </w:tc>
        <w:tc>
          <w:tcPr>
            <w:tcW w:w="238" w:type="dxa"/>
            <w:tcBorders>
              <w:top w:val="nil" w:sz="6" w:space="0" w:color="auto"/>
              <w:left w:val="nil" w:sz="6" w:space="0" w:color="auto"/>
              <w:bottom w:val="nil" w:sz="6" w:space="0" w:color="auto"/>
              <w:right w:val="nil" w:sz="6" w:space="0" w:color="auto"/>
            </w:tcBorders>
          </w:tcPr>
          <w:p>
            <w:pPr/>
          </w:p>
        </w:tc>
        <w:tc>
          <w:tcPr>
            <w:tcW w:w="3427" w:type="dxa"/>
            <w:tcBorders>
              <w:top w:val="nil" w:sz="6" w:space="0" w:color="auto"/>
              <w:left w:val="nil" w:sz="6" w:space="0" w:color="auto"/>
              <w:bottom w:val="nil" w:sz="6" w:space="0" w:color="auto"/>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z w:val="21"/>
              </w:rPr>
              <w:t>6.83%</w:t>
            </w:r>
          </w:p>
        </w:tc>
      </w:tr>
      <w:tr>
        <w:trPr>
          <w:trHeight w:val="273"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51" w:lineRule="exact"/>
              <w:ind w:left="2"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4"/>
                <w:sz w:val="21"/>
                <w:szCs w:val="21"/>
              </w:rPr>
              <w:t> </w:t>
            </w:r>
            <w:r>
              <w:rPr>
                <w:rFonts w:ascii="Times New Roman" w:hAnsi="Times New Roman" w:cs="Times New Roman" w:eastAsia="Times New Roman" w:hint="default"/>
                <w:spacing w:val="-6"/>
                <w:sz w:val="21"/>
                <w:szCs w:val="21"/>
              </w:rPr>
              <w:t>JEDAT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株式会社</w:t>
            </w:r>
          </w:p>
        </w:tc>
        <w:tc>
          <w:tcPr>
            <w:tcW w:w="235"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single" w:sz="4" w:space="0" w:color="000000"/>
              <w:right w:val="nil" w:sz="6" w:space="0" w:color="auto"/>
            </w:tcBorders>
          </w:tcPr>
          <w:p>
            <w:pPr>
              <w:pStyle w:val="TableParagraph"/>
              <w:spacing w:line="230" w:lineRule="exact"/>
              <w:ind w:right="104"/>
              <w:jc w:val="right"/>
              <w:rPr>
                <w:rFonts w:ascii="Times New Roman" w:hAnsi="Times New Roman" w:cs="Times New Roman" w:eastAsia="Times New Roman" w:hint="default"/>
                <w:sz w:val="21"/>
                <w:szCs w:val="21"/>
              </w:rPr>
            </w:pPr>
            <w:r>
              <w:rPr>
                <w:rFonts w:ascii="Times New Roman"/>
                <w:spacing w:val="-1"/>
                <w:sz w:val="21"/>
              </w:rPr>
              <w:t>5,410,930.66</w:t>
            </w:r>
          </w:p>
        </w:tc>
        <w:tc>
          <w:tcPr>
            <w:tcW w:w="238" w:type="dxa"/>
            <w:tcBorders>
              <w:top w:val="nil" w:sz="6" w:space="0" w:color="auto"/>
              <w:left w:val="nil" w:sz="6" w:space="0" w:color="auto"/>
              <w:bottom w:val="nil" w:sz="6" w:space="0" w:color="auto"/>
              <w:right w:val="nil" w:sz="6" w:space="0" w:color="auto"/>
            </w:tcBorders>
          </w:tcPr>
          <w:p>
            <w:pPr/>
          </w:p>
        </w:tc>
        <w:tc>
          <w:tcPr>
            <w:tcW w:w="3427" w:type="dxa"/>
            <w:tcBorders>
              <w:top w:val="nil" w:sz="6" w:space="0" w:color="auto"/>
              <w:left w:val="nil" w:sz="6" w:space="0" w:color="auto"/>
              <w:bottom w:val="single" w:sz="4" w:space="0" w:color="000000"/>
              <w:right w:val="nil" w:sz="6" w:space="0" w:color="auto"/>
            </w:tcBorders>
          </w:tcPr>
          <w:p>
            <w:pPr>
              <w:pStyle w:val="TableParagraph"/>
              <w:spacing w:line="230" w:lineRule="exact"/>
              <w:ind w:right="105"/>
              <w:jc w:val="right"/>
              <w:rPr>
                <w:rFonts w:ascii="Times New Roman" w:hAnsi="Times New Roman" w:cs="Times New Roman" w:eastAsia="Times New Roman" w:hint="default"/>
                <w:sz w:val="21"/>
                <w:szCs w:val="21"/>
              </w:rPr>
            </w:pPr>
            <w:r>
              <w:rPr>
                <w:rFonts w:ascii="Times New Roman"/>
                <w:sz w:val="21"/>
              </w:rPr>
              <w:t>3.05%</w:t>
            </w:r>
          </w:p>
        </w:tc>
      </w:tr>
      <w:tr>
        <w:trPr>
          <w:trHeight w:val="293"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46" w:lineRule="exact"/>
              <w:ind w:left="90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5" w:type="dxa"/>
            <w:tcBorders>
              <w:top w:val="nil" w:sz="6" w:space="0" w:color="auto"/>
              <w:left w:val="nil" w:sz="6" w:space="0" w:color="auto"/>
              <w:bottom w:val="nil" w:sz="6" w:space="0" w:color="auto"/>
              <w:right w:val="nil" w:sz="6" w:space="0" w:color="auto"/>
            </w:tcBorders>
          </w:tcPr>
          <w:p>
            <w:pPr/>
          </w:p>
        </w:tc>
        <w:tc>
          <w:tcPr>
            <w:tcW w:w="2534"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162,434,289.42</w:t>
            </w:r>
          </w:p>
        </w:tc>
        <w:tc>
          <w:tcPr>
            <w:tcW w:w="238" w:type="dxa"/>
            <w:tcBorders>
              <w:top w:val="nil" w:sz="6" w:space="0" w:color="auto"/>
              <w:left w:val="nil" w:sz="6" w:space="0" w:color="auto"/>
              <w:bottom w:val="nil" w:sz="6" w:space="0" w:color="auto"/>
              <w:right w:val="nil" w:sz="6" w:space="0" w:color="auto"/>
            </w:tcBorders>
          </w:tcPr>
          <w:p>
            <w:pPr/>
          </w:p>
        </w:tc>
        <w:tc>
          <w:tcPr>
            <w:tcW w:w="3427"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z w:val="21"/>
              </w:rPr>
              <w:t>91.63%</w:t>
            </w:r>
          </w:p>
        </w:tc>
      </w:tr>
    </w:tbl>
    <w:p>
      <w:pPr>
        <w:spacing w:line="240" w:lineRule="auto" w:before="8"/>
        <w:rPr>
          <w:rFonts w:ascii="Times New Roman" w:hAnsi="Times New Roman" w:cs="Times New Roman" w:eastAsia="Times New Roman" w:hint="default"/>
          <w:sz w:val="13"/>
          <w:szCs w:val="13"/>
        </w:rPr>
      </w:pPr>
    </w:p>
    <w:p>
      <w:pPr>
        <w:spacing w:line="272" w:lineRule="exact" w:before="63"/>
        <w:ind w:left="704" w:right="0" w:firstLine="0"/>
        <w:jc w:val="left"/>
        <w:rPr>
          <w:rFonts w:ascii="宋体" w:hAnsi="宋体" w:cs="宋体" w:eastAsia="宋体" w:hint="default"/>
          <w:sz w:val="21"/>
          <w:szCs w:val="21"/>
        </w:rPr>
      </w:pPr>
      <w:r>
        <w:rPr>
          <w:rFonts w:ascii="宋体" w:hAnsi="宋体" w:cs="宋体" w:eastAsia="宋体" w:hint="default"/>
          <w:sz w:val="21"/>
          <w:szCs w:val="21"/>
        </w:rPr>
        <w:t>营业收入本年发生数比上年发生数增加</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52,122,827.09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元，增加比例为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41.65%</w:t>
      </w:r>
      <w:r>
        <w:rPr>
          <w:rFonts w:ascii="宋体" w:hAnsi="宋体" w:cs="宋体" w:eastAsia="宋体" w:hint="default"/>
          <w:sz w:val="21"/>
          <w:szCs w:val="21"/>
        </w:rPr>
        <w:t>，增加原因为：本年主</w:t>
      </w:r>
      <w:r>
        <w:rPr>
          <w:rFonts w:ascii="宋体" w:hAnsi="宋体" w:cs="宋体" w:eastAsia="宋体" w:hint="default"/>
          <w:w w:val="100"/>
          <w:sz w:val="21"/>
          <w:szCs w:val="21"/>
        </w:rPr>
        <w:t> </w:t>
      </w:r>
      <w:r>
        <w:rPr>
          <w:rFonts w:ascii="宋体" w:hAnsi="宋体" w:cs="宋体" w:eastAsia="宋体" w:hint="default"/>
          <w:sz w:val="21"/>
          <w:szCs w:val="21"/>
        </w:rPr>
        <w:t>要业务市场日本经济有所复苏，来自日本企业的订单增加及新开拓美国市场业务所致。</w:t>
      </w:r>
    </w:p>
    <w:p>
      <w:pPr>
        <w:spacing w:after="0" w:line="272" w:lineRule="exact"/>
        <w:jc w:val="left"/>
        <w:rPr>
          <w:rFonts w:ascii="宋体" w:hAnsi="宋体" w:cs="宋体" w:eastAsia="宋体" w:hint="default"/>
          <w:sz w:val="21"/>
          <w:szCs w:val="21"/>
        </w:rPr>
        <w:sectPr>
          <w:footerReference w:type="default" r:id="rId43"/>
          <w:pgSz w:w="11900" w:h="16840"/>
          <w:pgMar w:footer="983" w:header="0" w:top="1740" w:bottom="1180" w:left="1060" w:right="700"/>
          <w:pgNumType w:start="127"/>
        </w:sectPr>
      </w:pPr>
    </w:p>
    <w:p>
      <w:pPr>
        <w:spacing w:line="240" w:lineRule="auto" w:before="9"/>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552"/>
        <w:gridCol w:w="4396"/>
        <w:gridCol w:w="283"/>
        <w:gridCol w:w="1843"/>
        <w:gridCol w:w="283"/>
        <w:gridCol w:w="2681"/>
      </w:tblGrid>
      <w:tr>
        <w:trPr>
          <w:trHeight w:val="468"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Times New Roman" w:hAnsi="Times New Roman" w:cs="Times New Roman" w:eastAsia="Times New Roman" w:hint="default"/>
                <w:sz w:val="21"/>
                <w:szCs w:val="21"/>
              </w:rPr>
            </w:pPr>
            <w:r>
              <w:rPr>
                <w:rFonts w:ascii="Times New Roman"/>
                <w:b/>
                <w:sz w:val="21"/>
              </w:rPr>
              <w:t>12</w:t>
            </w:r>
            <w:r>
              <w:rPr>
                <w:rFonts w:ascii="Times New Roman"/>
                <w:sz w:val="21"/>
              </w:rPr>
            </w:r>
          </w:p>
        </w:tc>
        <w:tc>
          <w:tcPr>
            <w:tcW w:w="439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1"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090" w:type="dxa"/>
            <w:gridSpan w:val="4"/>
            <w:vMerge w:val="restart"/>
            <w:tcBorders>
              <w:top w:val="nil" w:sz="6" w:space="0" w:color="auto"/>
              <w:left w:val="nil" w:sz="6" w:space="0" w:color="auto"/>
              <w:right w:val="nil" w:sz="6" w:space="0" w:color="auto"/>
            </w:tcBorders>
          </w:tcPr>
          <w:p>
            <w:pPr/>
          </w:p>
        </w:tc>
      </w:tr>
      <w:tr>
        <w:trPr>
          <w:trHeight w:val="513" w:hRule="exact"/>
        </w:trPr>
        <w:tc>
          <w:tcPr>
            <w:tcW w:w="55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31" w:right="0"/>
              <w:jc w:val="left"/>
              <w:rPr>
                <w:rFonts w:ascii="Times New Roman" w:hAnsi="Times New Roman" w:cs="Times New Roman" w:eastAsia="Times New Roman" w:hint="default"/>
                <w:sz w:val="21"/>
                <w:szCs w:val="21"/>
              </w:rPr>
            </w:pPr>
            <w:r>
              <w:rPr>
                <w:rFonts w:ascii="Times New Roman"/>
                <w:sz w:val="21"/>
              </w:rPr>
              <w:t>12.5</w:t>
            </w:r>
          </w:p>
        </w:tc>
        <w:tc>
          <w:tcPr>
            <w:tcW w:w="439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5090" w:type="dxa"/>
            <w:gridSpan w:val="4"/>
            <w:vMerge/>
            <w:tcBorders>
              <w:left w:val="nil" w:sz="6" w:space="0" w:color="auto"/>
              <w:right w:val="nil" w:sz="6" w:space="0" w:color="auto"/>
            </w:tcBorders>
          </w:tcPr>
          <w:p>
            <w:pPr/>
          </w:p>
        </w:tc>
      </w:tr>
      <w:tr>
        <w:trPr>
          <w:trHeight w:val="519" w:hRule="exact"/>
        </w:trPr>
        <w:tc>
          <w:tcPr>
            <w:tcW w:w="552" w:type="dxa"/>
            <w:tcBorders>
              <w:top w:val="nil" w:sz="6" w:space="0" w:color="auto"/>
              <w:left w:val="nil" w:sz="6" w:space="0" w:color="auto"/>
              <w:bottom w:val="nil" w:sz="6" w:space="0" w:color="auto"/>
              <w:right w:val="nil" w:sz="6" w:space="0" w:color="auto"/>
            </w:tcBorders>
          </w:tcPr>
          <w:p>
            <w:pPr/>
          </w:p>
        </w:tc>
        <w:tc>
          <w:tcPr>
            <w:tcW w:w="43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投资收益明细情况</w:t>
            </w:r>
          </w:p>
        </w:tc>
        <w:tc>
          <w:tcPr>
            <w:tcW w:w="5090" w:type="dxa"/>
            <w:gridSpan w:val="4"/>
            <w:vMerge/>
            <w:tcBorders>
              <w:left w:val="nil" w:sz="6" w:space="0" w:color="auto"/>
              <w:bottom w:val="nil" w:sz="6" w:space="0" w:color="auto"/>
              <w:right w:val="nil" w:sz="6" w:space="0" w:color="auto"/>
            </w:tcBorders>
          </w:tcPr>
          <w:p>
            <w:pPr/>
          </w:p>
        </w:tc>
      </w:tr>
      <w:tr>
        <w:trPr>
          <w:trHeight w:val="394" w:hRule="exact"/>
        </w:trPr>
        <w:tc>
          <w:tcPr>
            <w:tcW w:w="552" w:type="dxa"/>
            <w:tcBorders>
              <w:top w:val="nil" w:sz="6" w:space="0" w:color="auto"/>
              <w:left w:val="nil" w:sz="6" w:space="0" w:color="auto"/>
              <w:bottom w:val="single" w:sz="4" w:space="0" w:color="000000"/>
              <w:right w:val="nil" w:sz="6" w:space="0" w:color="auto"/>
            </w:tcBorders>
          </w:tcPr>
          <w:p>
            <w:pPr/>
          </w:p>
        </w:tc>
        <w:tc>
          <w:tcPr>
            <w:tcW w:w="439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52"/>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r>
      <w:tr>
        <w:trPr>
          <w:trHeight w:val="278" w:hRule="exact"/>
        </w:trPr>
        <w:tc>
          <w:tcPr>
            <w:tcW w:w="552" w:type="dxa"/>
            <w:tcBorders>
              <w:top w:val="single" w:sz="4" w:space="0" w:color="000000"/>
              <w:left w:val="nil" w:sz="6" w:space="0" w:color="auto"/>
              <w:bottom w:val="nil" w:sz="6" w:space="0" w:color="auto"/>
              <w:right w:val="nil" w:sz="6" w:space="0" w:color="auto"/>
            </w:tcBorders>
          </w:tcPr>
          <w:p>
            <w:pPr/>
          </w:p>
        </w:tc>
        <w:tc>
          <w:tcPr>
            <w:tcW w:w="4396" w:type="dxa"/>
            <w:tcBorders>
              <w:top w:val="single" w:sz="4" w:space="0" w:color="000000"/>
              <w:left w:val="nil" w:sz="6" w:space="0" w:color="auto"/>
              <w:bottom w:val="nil" w:sz="6" w:space="0" w:color="auto"/>
              <w:right w:val="nil" w:sz="6" w:space="0" w:color="auto"/>
            </w:tcBorders>
          </w:tcPr>
          <w:p>
            <w:pPr>
              <w:pStyle w:val="TableParagraph"/>
              <w:spacing w:line="241" w:lineRule="exact"/>
              <w:ind w:left="5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253,499.10</w:t>
            </w:r>
          </w:p>
        </w:tc>
        <w:tc>
          <w:tcPr>
            <w:tcW w:w="283"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445,009.00</w:t>
            </w:r>
          </w:p>
        </w:tc>
      </w:tr>
      <w:tr>
        <w:trPr>
          <w:trHeight w:val="277" w:hRule="exact"/>
        </w:trPr>
        <w:tc>
          <w:tcPr>
            <w:tcW w:w="552" w:type="dxa"/>
            <w:tcBorders>
              <w:top w:val="nil" w:sz="6" w:space="0" w:color="auto"/>
              <w:left w:val="nil" w:sz="6" w:space="0" w:color="auto"/>
              <w:bottom w:val="nil" w:sz="6" w:space="0" w:color="auto"/>
              <w:right w:val="nil" w:sz="6" w:space="0" w:color="auto"/>
            </w:tcBorders>
          </w:tcPr>
          <w:p>
            <w:pPr/>
          </w:p>
        </w:tc>
        <w:tc>
          <w:tcPr>
            <w:tcW w:w="4396" w:type="dxa"/>
            <w:tcBorders>
              <w:top w:val="nil" w:sz="6" w:space="0" w:color="auto"/>
              <w:left w:val="nil" w:sz="6" w:space="0" w:color="auto"/>
              <w:bottom w:val="nil" w:sz="6" w:space="0" w:color="auto"/>
              <w:right w:val="nil" w:sz="6" w:space="0" w:color="auto"/>
            </w:tcBorders>
          </w:tcPr>
          <w:p>
            <w:pPr>
              <w:pStyle w:val="TableParagraph"/>
              <w:spacing w:line="239" w:lineRule="exact"/>
              <w:ind w:left="5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-436,776.92</w:t>
            </w:r>
          </w:p>
        </w:tc>
        <w:tc>
          <w:tcPr>
            <w:tcW w:w="283"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90" w:hRule="exact"/>
        </w:trPr>
        <w:tc>
          <w:tcPr>
            <w:tcW w:w="552" w:type="dxa"/>
            <w:tcBorders>
              <w:top w:val="nil" w:sz="6" w:space="0" w:color="auto"/>
              <w:left w:val="nil" w:sz="6" w:space="0" w:color="auto"/>
              <w:bottom w:val="nil" w:sz="6" w:space="0" w:color="auto"/>
              <w:right w:val="nil" w:sz="6" w:space="0" w:color="auto"/>
            </w:tcBorders>
          </w:tcPr>
          <w:p>
            <w:pPr/>
          </w:p>
        </w:tc>
        <w:tc>
          <w:tcPr>
            <w:tcW w:w="4396" w:type="dxa"/>
            <w:tcBorders>
              <w:top w:val="nil" w:sz="6" w:space="0" w:color="auto"/>
              <w:left w:val="nil" w:sz="6" w:space="0" w:color="auto"/>
              <w:bottom w:val="nil" w:sz="6" w:space="0" w:color="auto"/>
              <w:right w:val="nil" w:sz="6" w:space="0" w:color="auto"/>
            </w:tcBorders>
          </w:tcPr>
          <w:p>
            <w:pPr>
              <w:pStyle w:val="TableParagraph"/>
              <w:spacing w:line="245" w:lineRule="exact"/>
              <w:ind w:left="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-183,277.82</w:t>
            </w:r>
          </w:p>
        </w:tc>
        <w:tc>
          <w:tcPr>
            <w:tcW w:w="283"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4"/>
              <w:jc w:val="right"/>
              <w:rPr>
                <w:rFonts w:ascii="Times New Roman" w:hAnsi="Times New Roman" w:cs="Times New Roman" w:eastAsia="Times New Roman" w:hint="default"/>
                <w:sz w:val="21"/>
                <w:szCs w:val="21"/>
              </w:rPr>
            </w:pPr>
            <w:r>
              <w:rPr>
                <w:rFonts w:ascii="Times New Roman"/>
                <w:spacing w:val="-1"/>
                <w:sz w:val="21"/>
              </w:rPr>
              <w:t>445,009.00</w:t>
            </w:r>
          </w:p>
        </w:tc>
      </w:tr>
    </w:tbl>
    <w:p>
      <w:pPr>
        <w:spacing w:line="240" w:lineRule="auto" w:before="1"/>
        <w:rPr>
          <w:rFonts w:ascii="宋体" w:hAnsi="宋体" w:cs="宋体" w:eastAsia="宋体" w:hint="default"/>
          <w:sz w:val="12"/>
          <w:szCs w:val="12"/>
        </w:rPr>
      </w:pPr>
    </w:p>
    <w:p>
      <w:pPr>
        <w:spacing w:line="274" w:lineRule="exact" w:before="62"/>
        <w:ind w:left="704" w:right="0" w:firstLine="0"/>
        <w:jc w:val="left"/>
        <w:rPr>
          <w:rFonts w:ascii="宋体" w:hAnsi="宋体" w:cs="宋体" w:eastAsia="宋体" w:hint="default"/>
          <w:sz w:val="21"/>
          <w:szCs w:val="21"/>
        </w:rPr>
      </w:pPr>
      <w:r>
        <w:rPr>
          <w:rFonts w:ascii="宋体" w:hAnsi="宋体" w:cs="宋体" w:eastAsia="宋体" w:hint="default"/>
          <w:sz w:val="21"/>
          <w:szCs w:val="21"/>
        </w:rPr>
        <w:t>投资收益本年发生数比上年发生数减少</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628,286.82</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元，减少比例为</w:t>
      </w:r>
      <w:r>
        <w:rPr>
          <w:rFonts w:ascii="宋体" w:hAnsi="宋体" w:cs="宋体" w:eastAsia="宋体" w:hint="default"/>
          <w:spacing w:val="-41"/>
          <w:sz w:val="21"/>
          <w:szCs w:val="21"/>
        </w:rPr>
        <w:t> </w:t>
      </w:r>
      <w:r>
        <w:rPr>
          <w:rFonts w:ascii="Times New Roman" w:hAnsi="Times New Roman" w:cs="Times New Roman" w:eastAsia="Times New Roman" w:hint="default"/>
          <w:spacing w:val="-5"/>
          <w:sz w:val="21"/>
          <w:szCs w:val="21"/>
        </w:rPr>
        <w:t>141.19%</w:t>
      </w:r>
      <w:r>
        <w:rPr>
          <w:rFonts w:ascii="宋体" w:hAnsi="宋体" w:cs="宋体" w:eastAsia="宋体" w:hint="default"/>
          <w:spacing w:val="-5"/>
          <w:sz w:val="21"/>
          <w:szCs w:val="21"/>
        </w:rPr>
        <w:t>，原因为：本年处置子公司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股权发生损失所致。</w:t>
      </w:r>
    </w:p>
    <w:p>
      <w:pPr>
        <w:spacing w:line="240" w:lineRule="auto" w:before="10"/>
        <w:rPr>
          <w:rFonts w:ascii="宋体" w:hAnsi="宋体" w:cs="宋体" w:eastAsia="宋体" w:hint="default"/>
          <w:sz w:val="12"/>
          <w:szCs w:val="12"/>
        </w:rPr>
      </w:pPr>
    </w:p>
    <w:tbl>
      <w:tblPr>
        <w:tblW w:w="0" w:type="auto"/>
        <w:jc w:val="left"/>
        <w:tblInd w:w="198" w:type="dxa"/>
        <w:tblLayout w:type="fixed"/>
        <w:tblCellMar>
          <w:top w:w="0" w:type="dxa"/>
          <w:left w:w="0" w:type="dxa"/>
          <w:bottom w:w="0" w:type="dxa"/>
          <w:right w:w="0" w:type="dxa"/>
        </w:tblCellMar>
        <w:tblLook w:val="01E0"/>
      </w:tblPr>
      <w:tblGrid>
        <w:gridCol w:w="6352"/>
        <w:gridCol w:w="283"/>
        <w:gridCol w:w="1560"/>
        <w:gridCol w:w="283"/>
        <w:gridCol w:w="1560"/>
      </w:tblGrid>
      <w:tr>
        <w:trPr>
          <w:trHeight w:val="599" w:hRule="exact"/>
        </w:trPr>
        <w:tc>
          <w:tcPr>
            <w:tcW w:w="635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35" w:right="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12.6</w:t>
            </w:r>
            <w:r>
              <w:rPr>
                <w:rFonts w:ascii="Times New Roman" w:hAnsi="Times New Roman" w:cs="Times New Roman" w:eastAsia="Times New Roman" w:hint="default"/>
                <w:spacing w:val="49"/>
                <w:position w:val="2"/>
                <w:sz w:val="21"/>
                <w:szCs w:val="21"/>
              </w:rPr>
              <w:t> </w:t>
            </w:r>
            <w:r>
              <w:rPr>
                <w:rFonts w:ascii="宋体" w:hAnsi="宋体" w:cs="宋体" w:eastAsia="宋体" w:hint="default"/>
                <w:sz w:val="21"/>
                <w:szCs w:val="21"/>
              </w:rPr>
              <w:t>现金流量表补充资料</w:t>
            </w:r>
          </w:p>
          <w:p>
            <w:pPr>
              <w:pStyle w:val="TableParagraph"/>
              <w:spacing w:line="240" w:lineRule="auto"/>
              <w:ind w:left="39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3" w:hRule="exact"/>
        </w:trPr>
        <w:tc>
          <w:tcPr>
            <w:tcW w:w="6352" w:type="dxa"/>
            <w:tcBorders>
              <w:top w:val="single" w:sz="4" w:space="0" w:color="000000"/>
              <w:left w:val="nil" w:sz="6" w:space="0" w:color="auto"/>
              <w:bottom w:val="nil" w:sz="6" w:space="0" w:color="auto"/>
              <w:right w:val="nil" w:sz="6" w:space="0" w:color="auto"/>
            </w:tcBorders>
          </w:tcPr>
          <w:p>
            <w:pPr>
              <w:pStyle w:val="TableParagraph"/>
              <w:spacing w:line="219" w:lineRule="exact"/>
              <w:ind w:left="5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r>
      <w:tr>
        <w:trPr>
          <w:trHeight w:val="236"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0" w:lineRule="exact"/>
              <w:ind w:left="50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pacing w:val="-1"/>
                <w:sz w:val="18"/>
              </w:rPr>
              <w:t>41,515,915.95</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Times New Roman" w:hAnsi="Times New Roman" w:cs="Times New Roman" w:eastAsia="Times New Roman" w:hint="default"/>
                <w:sz w:val="18"/>
                <w:szCs w:val="18"/>
              </w:rPr>
            </w:pPr>
            <w:r>
              <w:rPr>
                <w:rFonts w:ascii="Times New Roman"/>
                <w:spacing w:val="-1"/>
                <w:sz w:val="18"/>
              </w:rPr>
              <w:t>19,017,667.29</w:t>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3" w:lineRule="exact"/>
              <w:ind w:left="50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Times New Roman" w:hAnsi="Times New Roman" w:cs="Times New Roman" w:eastAsia="Times New Roman" w:hint="default"/>
                <w:sz w:val="18"/>
                <w:szCs w:val="18"/>
              </w:rPr>
            </w:pPr>
            <w:r>
              <w:rPr>
                <w:rFonts w:ascii="Times New Roman"/>
                <w:spacing w:val="-1"/>
                <w:sz w:val="18"/>
              </w:rPr>
              <w:t>440,675.00</w:t>
            </w:r>
          </w:p>
        </w:tc>
      </w:tr>
      <w:tr>
        <w:trPr>
          <w:trHeight w:val="242"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5" w:lineRule="exact"/>
              <w:ind w:left="86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3,811,830.62</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Times New Roman" w:hAnsi="Times New Roman" w:cs="Times New Roman" w:eastAsia="Times New Roman" w:hint="default"/>
                <w:sz w:val="18"/>
                <w:szCs w:val="18"/>
              </w:rPr>
            </w:pPr>
            <w:r>
              <w:rPr>
                <w:rFonts w:ascii="Times New Roman"/>
                <w:spacing w:val="-1"/>
                <w:sz w:val="18"/>
              </w:rPr>
              <w:t>3,448,344.74</w:t>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5" w:lineRule="exact"/>
              <w:ind w:left="86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1,230,061.17</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Times New Roman" w:hAnsi="Times New Roman" w:cs="Times New Roman" w:eastAsia="Times New Roman" w:hint="default"/>
                <w:sz w:val="18"/>
                <w:szCs w:val="18"/>
              </w:rPr>
            </w:pPr>
            <w:r>
              <w:rPr>
                <w:rFonts w:ascii="Times New Roman"/>
                <w:spacing w:val="-1"/>
                <w:sz w:val="18"/>
              </w:rPr>
              <w:t>883,150.64</w:t>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3" w:lineRule="exact"/>
              <w:ind w:left="86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4"/>
              <w:jc w:val="right"/>
              <w:rPr>
                <w:rFonts w:ascii="Times New Roman" w:hAnsi="Times New Roman" w:cs="Times New Roman" w:eastAsia="Times New Roman" w:hint="default"/>
                <w:sz w:val="18"/>
                <w:szCs w:val="18"/>
              </w:rPr>
            </w:pPr>
            <w:r>
              <w:rPr>
                <w:rFonts w:ascii="Times New Roman"/>
                <w:spacing w:val="-1"/>
                <w:sz w:val="18"/>
              </w:rPr>
              <w:t>1,284,659.82</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Times New Roman" w:hAnsi="Times New Roman" w:cs="Times New Roman" w:eastAsia="Times New Roman" w:hint="default"/>
                <w:sz w:val="18"/>
                <w:szCs w:val="18"/>
              </w:rPr>
            </w:pPr>
            <w:r>
              <w:rPr>
                <w:rFonts w:ascii="Times New Roman"/>
                <w:spacing w:val="-1"/>
                <w:sz w:val="18"/>
              </w:rPr>
              <w:t>680,420.91</w:t>
            </w:r>
          </w:p>
        </w:tc>
      </w:tr>
      <w:tr>
        <w:trPr>
          <w:trHeight w:val="247"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8" w:lineRule="exact"/>
              <w:ind w:left="865" w:right="0"/>
              <w:jc w:val="left"/>
              <w:rPr>
                <w:rFonts w:ascii="宋体" w:hAnsi="宋体" w:cs="宋体" w:eastAsia="宋体" w:hint="default"/>
                <w:sz w:val="18"/>
                <w:szCs w:val="18"/>
              </w:rPr>
            </w:pPr>
            <w:r>
              <w:rPr>
                <w:rFonts w:ascii="宋体" w:hAnsi="宋体" w:cs="宋体" w:eastAsia="宋体" w:hint="default"/>
                <w:spacing w:val="-6"/>
                <w:sz w:val="18"/>
                <w:szCs w:val="18"/>
              </w:rPr>
              <w:t>处置固定资产、无形资产和其他长期资产的损失（收益以“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4"/>
              <w:jc w:val="right"/>
              <w:rPr>
                <w:rFonts w:ascii="Times New Roman" w:hAnsi="Times New Roman" w:cs="Times New Roman" w:eastAsia="Times New Roman" w:hint="default"/>
                <w:sz w:val="18"/>
                <w:szCs w:val="18"/>
              </w:rPr>
            </w:pPr>
            <w:r>
              <w:rPr>
                <w:rFonts w:ascii="Times New Roman"/>
                <w:spacing w:val="-1"/>
                <w:sz w:val="18"/>
              </w:rPr>
              <w:t>50,059.90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Times New Roman" w:hAnsi="Times New Roman" w:cs="Times New Roman" w:eastAsia="Times New Roman" w:hint="default"/>
                <w:sz w:val="18"/>
                <w:szCs w:val="18"/>
              </w:rPr>
            </w:pPr>
            <w:r>
              <w:rPr>
                <w:rFonts w:ascii="Times New Roman"/>
                <w:spacing w:val="-1"/>
                <w:sz w:val="18"/>
              </w:rPr>
              <w:t>126,832.38</w:t>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3" w:lineRule="exact"/>
              <w:ind w:left="86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2" w:lineRule="exact"/>
              <w:ind w:left="86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3" w:lineRule="exact"/>
              <w:ind w:left="86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pacing w:val="-1"/>
                <w:sz w:val="18"/>
              </w:rPr>
              <w:t>-727,402.16</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Times New Roman" w:hAnsi="Times New Roman" w:cs="Times New Roman" w:eastAsia="Times New Roman" w:hint="default"/>
                <w:sz w:val="18"/>
                <w:szCs w:val="18"/>
              </w:rPr>
            </w:pPr>
            <w:r>
              <w:rPr>
                <w:rFonts w:ascii="Times New Roman"/>
                <w:spacing w:val="-1"/>
                <w:sz w:val="18"/>
              </w:rPr>
              <w:t>4,539,598.00</w:t>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2" w:lineRule="exact"/>
              <w:ind w:left="86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183,878.68</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7"/>
              <w:jc w:val="right"/>
              <w:rPr>
                <w:rFonts w:ascii="Times New Roman" w:hAnsi="Times New Roman" w:cs="Times New Roman" w:eastAsia="Times New Roman" w:hint="default"/>
                <w:sz w:val="18"/>
                <w:szCs w:val="18"/>
              </w:rPr>
            </w:pPr>
            <w:r>
              <w:rPr>
                <w:rFonts w:ascii="Times New Roman"/>
                <w:spacing w:val="-1"/>
                <w:sz w:val="18"/>
              </w:rPr>
              <w:t>-445,009.00</w:t>
            </w:r>
          </w:p>
        </w:tc>
      </w:tr>
      <w:tr>
        <w:trPr>
          <w:trHeight w:val="242"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3" w:lineRule="exact"/>
              <w:ind w:left="86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pacing w:val="-1"/>
                <w:sz w:val="18"/>
              </w:rPr>
              <w:t>24,067.50</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Times New Roman" w:hAnsi="Times New Roman" w:cs="Times New Roman" w:eastAsia="Times New Roman" w:hint="default"/>
                <w:sz w:val="18"/>
                <w:szCs w:val="18"/>
              </w:rPr>
            </w:pPr>
            <w:r>
              <w:rPr>
                <w:rFonts w:ascii="Times New Roman"/>
                <w:spacing w:val="-1"/>
                <w:sz w:val="18"/>
              </w:rPr>
              <w:t>121,476.71</w:t>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3" w:lineRule="exact"/>
              <w:ind w:left="86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2" w:lineRule="exact"/>
              <w:ind w:left="86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3" w:lineRule="exact"/>
              <w:ind w:left="86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pacing w:val="-1"/>
                <w:sz w:val="18"/>
              </w:rPr>
              <w:t>-22,060,262.87</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7" w:lineRule="exact"/>
              <w:ind w:right="107"/>
              <w:jc w:val="right"/>
              <w:rPr>
                <w:rFonts w:ascii="Times New Roman" w:hAnsi="Times New Roman" w:cs="Times New Roman" w:eastAsia="Times New Roman" w:hint="default"/>
                <w:sz w:val="18"/>
                <w:szCs w:val="18"/>
              </w:rPr>
            </w:pPr>
            <w:r>
              <w:rPr>
                <w:rFonts w:ascii="Times New Roman"/>
                <w:spacing w:val="-1"/>
                <w:sz w:val="18"/>
              </w:rPr>
              <w:t>1,848,885.38</w:t>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22" w:lineRule="exact"/>
              <w:ind w:left="86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7,160,850.51</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5" w:lineRule="exact"/>
              <w:ind w:right="107"/>
              <w:jc w:val="right"/>
              <w:rPr>
                <w:rFonts w:ascii="Times New Roman" w:hAnsi="Times New Roman" w:cs="Times New Roman" w:eastAsia="Times New Roman" w:hint="default"/>
                <w:sz w:val="18"/>
                <w:szCs w:val="18"/>
              </w:rPr>
            </w:pPr>
            <w:r>
              <w:rPr>
                <w:rFonts w:ascii="Times New Roman"/>
                <w:spacing w:val="-1"/>
                <w:sz w:val="18"/>
              </w:rPr>
              <w:t>-3,533,265.66</w:t>
            </w:r>
          </w:p>
        </w:tc>
      </w:tr>
      <w:tr>
        <w:trPr>
          <w:trHeight w:val="252"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0" w:lineRule="exact"/>
              <w:ind w:left="8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07" w:lineRule="exact"/>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07" w:lineRule="exact"/>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9"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0" w:lineRule="exact"/>
              <w:ind w:left="86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32,473,659.12</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27,128,776.39</w:t>
            </w:r>
          </w:p>
        </w:tc>
      </w:tr>
      <w:tr>
        <w:trPr>
          <w:trHeight w:val="49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42" w:lineRule="exact" w:before="3"/>
              <w:ind w:left="865" w:right="2366"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不涉及现金收支的重大投资和筹资活动：</w:t>
            </w:r>
            <w:r>
              <w:rPr>
                <w:rFonts w:ascii="宋体" w:hAnsi="宋体" w:cs="宋体" w:eastAsia="宋体" w:hint="default"/>
                <w:b/>
                <w:bCs/>
                <w:w w:val="99"/>
                <w:sz w:val="18"/>
                <w:szCs w:val="18"/>
              </w:rPr>
              <w:t> </w:t>
            </w:r>
            <w:r>
              <w:rPr>
                <w:rFonts w:ascii="宋体" w:hAnsi="宋体" w:cs="宋体" w:eastAsia="宋体" w:hint="default"/>
                <w:sz w:val="18"/>
                <w:szCs w:val="18"/>
              </w:rPr>
              <w:t>债务转为资本</w:t>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1"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3" w:lineRule="exact"/>
              <w:ind w:left="86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5"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15" w:lineRule="exact"/>
              <w:ind w:left="86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Times New Roman" w:hAnsi="Times New Roman" w:cs="Times New Roman" w:eastAsia="Times New Roman" w:hint="default"/>
                <w:sz w:val="18"/>
                <w:szCs w:val="18"/>
              </w:rPr>
            </w:pPr>
            <w:r>
              <w:rPr>
                <w:rFonts w:ascii="Times New Roman"/>
                <w:sz w:val="18"/>
              </w:rPr>
              <w:t>--</w:t>
            </w:r>
          </w:p>
        </w:tc>
        <w:tc>
          <w:tcPr>
            <w:tcW w:w="18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3" w:hRule="exact"/>
        </w:trPr>
        <w:tc>
          <w:tcPr>
            <w:tcW w:w="63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r>
      <w:tr>
        <w:trPr>
          <w:trHeight w:val="250" w:hRule="exact"/>
        </w:trPr>
        <w:tc>
          <w:tcPr>
            <w:tcW w:w="6635"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865"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560" w:type="dxa"/>
            <w:tcBorders>
              <w:top w:val="nil" w:sz="6" w:space="0" w:color="auto"/>
              <w:left w:val="nil" w:sz="6" w:space="0" w:color="auto"/>
              <w:bottom w:val="nil" w:sz="6" w:space="0" w:color="auto"/>
              <w:right w:val="nil" w:sz="6" w:space="0" w:color="auto"/>
            </w:tcBorders>
          </w:tcPr>
          <w:p>
            <w:pPr>
              <w:pStyle w:val="TableParagraph"/>
              <w:spacing w:line="239" w:lineRule="exact"/>
              <w:ind w:right="104"/>
              <w:jc w:val="right"/>
              <w:rPr>
                <w:rFonts w:ascii="Times New Roman" w:hAnsi="Times New Roman" w:cs="Times New Roman" w:eastAsia="Times New Roman" w:hint="default"/>
                <w:sz w:val="21"/>
                <w:szCs w:val="21"/>
              </w:rPr>
            </w:pPr>
            <w:r>
              <w:rPr>
                <w:rFonts w:ascii="Times New Roman"/>
                <w:spacing w:val="-1"/>
                <w:sz w:val="21"/>
              </w:rPr>
              <w:t>246,645,739.02</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Times New Roman" w:hAnsi="Times New Roman" w:cs="Times New Roman" w:eastAsia="Times New Roman" w:hint="default"/>
                <w:sz w:val="21"/>
                <w:szCs w:val="21"/>
              </w:rPr>
            </w:pPr>
            <w:r>
              <w:rPr>
                <w:rFonts w:ascii="Times New Roman"/>
                <w:spacing w:val="-1"/>
                <w:sz w:val="21"/>
              </w:rPr>
              <w:t>242,064,061.70</w:t>
            </w:r>
          </w:p>
        </w:tc>
      </w:tr>
      <w:tr>
        <w:trPr>
          <w:trHeight w:val="726" w:hRule="exact"/>
        </w:trPr>
        <w:tc>
          <w:tcPr>
            <w:tcW w:w="6635" w:type="dxa"/>
            <w:gridSpan w:val="2"/>
            <w:tcBorders>
              <w:top w:val="nil" w:sz="6" w:space="0" w:color="auto"/>
              <w:left w:val="nil" w:sz="6" w:space="0" w:color="auto"/>
              <w:bottom w:val="nil" w:sz="6" w:space="0" w:color="auto"/>
              <w:right w:val="nil" w:sz="6" w:space="0" w:color="auto"/>
            </w:tcBorders>
          </w:tcPr>
          <w:p>
            <w:pPr>
              <w:pStyle w:val="TableParagraph"/>
              <w:spacing w:line="201" w:lineRule="exact"/>
              <w:ind w:left="865"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p>
            <w:pPr>
              <w:pStyle w:val="TableParagraph"/>
              <w:spacing w:line="247" w:lineRule="auto" w:before="4"/>
              <w:ind w:left="865" w:right="3607"/>
              <w:jc w:val="left"/>
              <w:rPr>
                <w:rFonts w:ascii="宋体" w:hAnsi="宋体" w:cs="宋体" w:eastAsia="宋体" w:hint="default"/>
                <w:sz w:val="18"/>
                <w:szCs w:val="18"/>
              </w:rPr>
            </w:pPr>
            <w:r>
              <w:rPr>
                <w:rFonts w:ascii="宋体" w:hAnsi="宋体" w:cs="宋体" w:eastAsia="宋体" w:hint="default"/>
                <w:sz w:val="18"/>
                <w:szCs w:val="18"/>
              </w:rPr>
              <w:t>加：现金等价物的年末余额 减：现金等价物的年初余额</w:t>
            </w:r>
          </w:p>
        </w:tc>
        <w:tc>
          <w:tcPr>
            <w:tcW w:w="1560" w:type="dxa"/>
            <w:tcBorders>
              <w:top w:val="nil" w:sz="6" w:space="0" w:color="auto"/>
              <w:left w:val="nil" w:sz="6" w:space="0" w:color="auto"/>
              <w:bottom w:val="nil" w:sz="6" w:space="0" w:color="auto"/>
              <w:right w:val="nil" w:sz="6" w:space="0" w:color="auto"/>
            </w:tcBorders>
          </w:tcPr>
          <w:p>
            <w:pPr>
              <w:pStyle w:val="TableParagraph"/>
              <w:spacing w:line="230" w:lineRule="exact"/>
              <w:ind w:right="104"/>
              <w:jc w:val="right"/>
              <w:rPr>
                <w:rFonts w:ascii="Times New Roman" w:hAnsi="Times New Roman" w:cs="Times New Roman" w:eastAsia="Times New Roman" w:hint="default"/>
                <w:sz w:val="21"/>
                <w:szCs w:val="21"/>
              </w:rPr>
            </w:pPr>
            <w:r>
              <w:rPr>
                <w:rFonts w:ascii="Times New Roman"/>
                <w:spacing w:val="-1"/>
                <w:sz w:val="21"/>
              </w:rPr>
              <w:t>242,064,061.70</w:t>
            </w:r>
          </w:p>
          <w:p>
            <w:pPr>
              <w:pStyle w:val="TableParagraph"/>
              <w:spacing w:line="241" w:lineRule="exact"/>
              <w:ind w:right="105"/>
              <w:jc w:val="right"/>
              <w:rPr>
                <w:rFonts w:ascii="Times New Roman" w:hAnsi="Times New Roman" w:cs="Times New Roman" w:eastAsia="Times New Roman" w:hint="default"/>
                <w:sz w:val="21"/>
                <w:szCs w:val="21"/>
              </w:rPr>
            </w:pPr>
            <w:r>
              <w:rPr>
                <w:rFonts w:ascii="Times New Roman"/>
                <w:w w:val="100"/>
                <w:sz w:val="21"/>
              </w:rPr>
              <w:t>-</w:t>
            </w:r>
          </w:p>
          <w:p>
            <w:pPr>
              <w:pStyle w:val="TableParagraph"/>
              <w:tabs>
                <w:tab w:pos="1382" w:val="left" w:leader="none"/>
                <w:tab w:pos="1559" w:val="left" w:leader="none"/>
              </w:tabs>
              <w:spacing w:line="240" w:lineRule="auto" w:before="1"/>
              <w:ind w:right="0"/>
              <w:jc w:val="center"/>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w:t>
              <w:tab/>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31" w:lineRule="exact"/>
              <w:ind w:right="107"/>
              <w:jc w:val="right"/>
              <w:rPr>
                <w:rFonts w:ascii="Times New Roman" w:hAnsi="Times New Roman" w:cs="Times New Roman" w:eastAsia="Times New Roman" w:hint="default"/>
                <w:sz w:val="21"/>
                <w:szCs w:val="21"/>
              </w:rPr>
            </w:pPr>
            <w:r>
              <w:rPr>
                <w:rFonts w:ascii="Times New Roman"/>
                <w:spacing w:val="-1"/>
                <w:sz w:val="21"/>
              </w:rPr>
              <w:t>231,044,533.20</w:t>
            </w: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2" w:hRule="exact"/>
        </w:trPr>
        <w:tc>
          <w:tcPr>
            <w:tcW w:w="663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86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exact"/>
              <w:ind w:right="104"/>
              <w:jc w:val="right"/>
              <w:rPr>
                <w:rFonts w:ascii="Times New Roman" w:hAnsi="Times New Roman" w:cs="Times New Roman" w:eastAsia="Times New Roman" w:hint="default"/>
                <w:sz w:val="21"/>
                <w:szCs w:val="21"/>
              </w:rPr>
            </w:pPr>
            <w:r>
              <w:rPr>
                <w:rFonts w:ascii="Times New Roman"/>
                <w:spacing w:val="-1"/>
                <w:sz w:val="21"/>
              </w:rPr>
              <w:t>4,581,677.32</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2"/>
                <w:sz w:val="21"/>
              </w:rPr>
              <w:t>11,019,528.50</w:t>
            </w:r>
          </w:p>
        </w:tc>
      </w:tr>
    </w:tbl>
    <w:p>
      <w:pPr>
        <w:spacing w:after="0" w:line="235" w:lineRule="exact"/>
        <w:jc w:val="right"/>
        <w:rPr>
          <w:rFonts w:ascii="Times New Roman" w:hAnsi="Times New Roman" w:cs="Times New Roman" w:eastAsia="Times New Roman" w:hint="default"/>
          <w:sz w:val="21"/>
          <w:szCs w:val="21"/>
        </w:rPr>
        <w:sectPr>
          <w:pgSz w:w="11900" w:h="16840"/>
          <w:pgMar w:header="0" w:footer="983" w:top="1740" w:bottom="1180" w:left="1060" w:right="500"/>
        </w:sectPr>
      </w:pPr>
    </w:p>
    <w:p>
      <w:pPr>
        <w:spacing w:line="240" w:lineRule="auto" w:before="0"/>
        <w:rPr>
          <w:rFonts w:ascii="宋体" w:hAnsi="宋体" w:cs="宋体" w:eastAsia="宋体" w:hint="default"/>
          <w:sz w:val="23"/>
          <w:szCs w:val="23"/>
        </w:rPr>
      </w:pPr>
    </w:p>
    <w:p>
      <w:pPr>
        <w:tabs>
          <w:tab w:pos="663" w:val="left" w:leader="none"/>
        </w:tabs>
        <w:spacing w:before="41"/>
        <w:ind w:left="104"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13</w:t>
        <w:tab/>
      </w:r>
      <w:r>
        <w:rPr>
          <w:rFonts w:ascii="宋体" w:hAnsi="宋体" w:cs="宋体" w:eastAsia="宋体" w:hint="default"/>
          <w:b/>
          <w:bCs/>
          <w:sz w:val="21"/>
          <w:szCs w:val="21"/>
        </w:rPr>
        <w:t>补充资料</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00" w:h="16840"/>
          <w:pgMar w:header="0" w:footer="983" w:top="1740" w:bottom="1180" w:left="1100" w:right="580"/>
        </w:sectPr>
      </w:pPr>
    </w:p>
    <w:p>
      <w:pPr>
        <w:spacing w:before="46"/>
        <w:ind w:left="193" w:right="-14"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13.1</w:t>
      </w:r>
      <w:r>
        <w:rPr>
          <w:rFonts w:ascii="Times New Roman" w:hAnsi="Times New Roman" w:cs="Times New Roman" w:eastAsia="Times New Roman" w:hint="default"/>
          <w:spacing w:val="48"/>
          <w:position w:val="2"/>
          <w:sz w:val="21"/>
          <w:szCs w:val="21"/>
        </w:rPr>
        <w:t> </w:t>
      </w:r>
      <w:r>
        <w:rPr>
          <w:rFonts w:ascii="宋体" w:hAnsi="宋体" w:cs="宋体" w:eastAsia="宋体" w:hint="default"/>
          <w:sz w:val="21"/>
          <w:szCs w:val="21"/>
        </w:rPr>
        <w:t>当期非经常性损益明细表</w:t>
      </w:r>
    </w:p>
    <w:p>
      <w:pPr>
        <w:spacing w:line="240" w:lineRule="auto" w:before="9"/>
        <w:rPr>
          <w:rFonts w:ascii="宋体" w:hAnsi="宋体" w:cs="宋体" w:eastAsia="宋体" w:hint="default"/>
          <w:sz w:val="24"/>
          <w:szCs w:val="24"/>
        </w:rPr>
      </w:pPr>
      <w:r>
        <w:rPr/>
        <w:br w:type="column"/>
      </w:r>
      <w:r>
        <w:rPr>
          <w:rFonts w:ascii="宋体"/>
          <w:sz w:val="24"/>
        </w:rPr>
      </w:r>
    </w:p>
    <w:p>
      <w:pPr>
        <w:tabs>
          <w:tab w:pos="4176" w:val="left" w:leader="none"/>
          <w:tab w:pos="6610" w:val="left" w:leader="none"/>
        </w:tabs>
        <w:spacing w:before="0"/>
        <w:ind w:left="192" w:right="0" w:firstLine="0"/>
        <w:jc w:val="left"/>
        <w:rPr>
          <w:rFonts w:ascii="宋体" w:hAnsi="宋体" w:cs="宋体" w:eastAsia="宋体" w:hint="default"/>
          <w:sz w:val="18"/>
          <w:szCs w:val="18"/>
        </w:rPr>
      </w:pPr>
      <w:r>
        <w:rPr/>
        <w:pict>
          <v:group style="position:absolute;margin-left:82.800003pt;margin-top:13.401726pt;width:283.6pt;height:.1pt;mso-position-horizontal-relative:page;mso-position-vertical-relative:paragraph;z-index:-545104" coordorigin="1656,268" coordsize="5672,2">
            <v:shape style="position:absolute;left:1656;top:268;width:5672;height:2" coordorigin="1656,268" coordsize="5672,0" path="m1656,268l7327,268e" filled="false" stroked="true" strokeweight=".48pt" strokecolor="#000000">
              <v:path arrowok="t"/>
            </v:shape>
            <w10:wrap type="none"/>
          </v:group>
        </w:pict>
      </w:r>
      <w:r>
        <w:rPr/>
        <w:pict>
          <v:group style="position:absolute;margin-left:380.519989pt;margin-top:13.401726pt;width:77.9pt;height:.1pt;mso-position-horizontal-relative:page;mso-position-vertical-relative:paragraph;z-index:-545080" coordorigin="7610,268" coordsize="1558,2">
            <v:shape style="position:absolute;left:7610;top:268;width:1558;height:2" coordorigin="7610,268" coordsize="1558,0" path="m7610,268l9168,268e" filled="false" stroked="true" strokeweight=".48pt" strokecolor="#000000">
              <v:path arrowok="t"/>
            </v:shape>
            <w10:wrap type="none"/>
          </v:group>
        </w:pict>
      </w:r>
      <w:r>
        <w:rPr/>
        <w:pict>
          <v:group style="position:absolute;margin-left:472.679993pt;margin-top:13.401726pt;width:87.15pt;height:.1pt;mso-position-horizontal-relative:page;mso-position-vertical-relative:paragraph;z-index:10552" coordorigin="9454,268" coordsize="1743,2">
            <v:shape style="position:absolute;left:9454;top:268;width:1743;height:2" coordorigin="9454,268" coordsize="1743,0" path="m9454,268l11196,268e" filled="false" stroked="true" strokeweight=".48pt" strokecolor="#000000">
              <v:path arrowok="t"/>
            </v:shape>
            <w10:wrap type="none"/>
          </v:group>
        </w:pict>
      </w:r>
      <w:r>
        <w:rPr>
          <w:rFonts w:ascii="宋体" w:hAnsi="宋体" w:cs="宋体" w:eastAsia="宋体" w:hint="default"/>
          <w:sz w:val="18"/>
          <w:szCs w:val="18"/>
        </w:rPr>
        <w:t>项目</w:t>
        <w:tab/>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tab/>
        <w:t>说明</w:t>
      </w:r>
    </w:p>
    <w:p>
      <w:pPr>
        <w:spacing w:after="0"/>
        <w:jc w:val="left"/>
        <w:rPr>
          <w:rFonts w:ascii="宋体" w:hAnsi="宋体" w:cs="宋体" w:eastAsia="宋体" w:hint="default"/>
          <w:sz w:val="18"/>
          <w:szCs w:val="18"/>
        </w:rPr>
        <w:sectPr>
          <w:type w:val="continuous"/>
          <w:pgSz w:w="11900" w:h="16840"/>
          <w:pgMar w:top="1040" w:bottom="1180" w:left="1100" w:right="580"/>
          <w:cols w:num="2" w:equalWidth="0">
            <w:col w:w="2978" w:space="40"/>
            <w:col w:w="7202"/>
          </w:cols>
        </w:sectPr>
      </w:pPr>
    </w:p>
    <w:p>
      <w:pPr>
        <w:tabs>
          <w:tab w:pos="7179" w:val="left" w:leader="none"/>
        </w:tabs>
        <w:spacing w:line="227"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非流动性资产处置损益，包括已计提资产减值准备的冲销部分</w:t>
        <w:tab/>
      </w:r>
      <w:r>
        <w:rPr>
          <w:rFonts w:ascii="Times New Roman" w:hAnsi="Times New Roman" w:cs="Times New Roman" w:eastAsia="Times New Roman" w:hint="default"/>
          <w:position w:val="2"/>
          <w:sz w:val="18"/>
          <w:szCs w:val="18"/>
        </w:rPr>
        <w:t>-47,352.73</w:t>
      </w:r>
      <w:r>
        <w:rPr>
          <w:rFonts w:ascii="Times New Roman" w:hAnsi="Times New Roman" w:cs="Times New Roman" w:eastAsia="Times New Roman" w:hint="default"/>
          <w:sz w:val="18"/>
          <w:szCs w:val="18"/>
        </w:rPr>
      </w:r>
    </w:p>
    <w:p>
      <w:pPr>
        <w:tabs>
          <w:tab w:pos="7899"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越权审批，或无正式批准文件，或偶发性的税收返还、减免</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014" w:val="left" w:leader="none"/>
        </w:tabs>
        <w:spacing w:line="158" w:lineRule="auto" w:before="71"/>
        <w:ind w:left="664" w:right="225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计入当期损益的政府补助，但与公司正常经营业务密切相关，符合国</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家政策规定、按照一定标准定额或定量持续享受的政府补助除外</w:t>
        <w:tab/>
      </w:r>
      <w:r>
        <w:rPr>
          <w:rFonts w:ascii="Times New Roman" w:hAnsi="Times New Roman" w:cs="Times New Roman" w:eastAsia="Times New Roman" w:hint="default"/>
          <w:position w:val="12"/>
          <w:sz w:val="18"/>
          <w:szCs w:val="18"/>
        </w:rPr>
        <w:t>9,386,179.00</w:t>
      </w:r>
      <w:r>
        <w:rPr>
          <w:rFonts w:ascii="Times New Roman" w:hAnsi="Times New Roman" w:cs="Times New Roman" w:eastAsia="Times New Roman" w:hint="default"/>
          <w:sz w:val="18"/>
          <w:szCs w:val="18"/>
        </w:rPr>
      </w:r>
    </w:p>
    <w:p>
      <w:pPr>
        <w:tabs>
          <w:tab w:pos="7899" w:val="left" w:leader="none"/>
        </w:tabs>
        <w:spacing w:line="241" w:lineRule="exact" w:before="6"/>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计入当期损益的对非金融企业收取的资金占用费；</w:t>
        <w:tab/>
      </w:r>
      <w:r>
        <w:rPr>
          <w:rFonts w:ascii="Times New Roman" w:hAnsi="Times New Roman" w:cs="Times New Roman" w:eastAsia="Times New Roman" w:hint="default"/>
          <w:sz w:val="18"/>
          <w:szCs w:val="18"/>
        </w:rPr>
        <w:t>-</w:t>
      </w:r>
    </w:p>
    <w:p>
      <w:pPr>
        <w:tabs>
          <w:tab w:pos="7899" w:val="left" w:leader="none"/>
        </w:tabs>
        <w:spacing w:line="160" w:lineRule="auto" w:before="61"/>
        <w:ind w:left="664" w:right="225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企业取得子公司、联营企业及合营企业的投资成本小于取得投资时应</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享有被投资单位可辨认净资产公允价值产生的收益</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p>
      <w:pPr>
        <w:tabs>
          <w:tab w:pos="7899" w:val="left" w:leader="none"/>
        </w:tabs>
        <w:spacing w:line="241" w:lineRule="exact" w:before="5"/>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非货币性资产交换损益</w:t>
        <w:tab/>
      </w:r>
      <w:r>
        <w:rPr>
          <w:rFonts w:ascii="Times New Roman" w:hAnsi="Times New Roman" w:cs="Times New Roman" w:eastAsia="Times New Roman" w:hint="default"/>
          <w:sz w:val="18"/>
          <w:szCs w:val="18"/>
        </w:rPr>
        <w:t>-</w:t>
      </w:r>
    </w:p>
    <w:p>
      <w:pPr>
        <w:tabs>
          <w:tab w:pos="7899" w:val="left" w:leader="none"/>
        </w:tabs>
        <w:spacing w:line="227"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因不可抗力因素，如遭受自然灾害而计提的各项资产减值准备</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3"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债务重组损益</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3"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企业重组费用，如安置职工的支出、整合费用等</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交易价格显失公允的交易产生的超过公允价值部分的损益</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同一控制下企业合并产生的子公司期初至合并日的当期净损益</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与公司正常经营业务无关的或有事项产生的损益</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7" w:lineRule="auto" w:before="0"/>
        <w:ind w:left="664" w:right="2258" w:firstLine="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w:t>
        <w:tab/>
      </w:r>
      <w:r>
        <w:rPr>
          <w:rFonts w:ascii="Times New Roman" w:hAnsi="Times New Roman" w:cs="Times New Roman" w:eastAsia="Times New Roman" w:hint="default"/>
          <w:position w:val="2"/>
          <w:sz w:val="18"/>
          <w:szCs w:val="18"/>
        </w:rPr>
        <w:t>- </w:t>
      </w:r>
      <w:r>
        <w:rPr>
          <w:rFonts w:ascii="宋体" w:hAnsi="宋体" w:cs="宋体" w:eastAsia="宋体" w:hint="default"/>
          <w:sz w:val="18"/>
          <w:szCs w:val="18"/>
        </w:rPr>
        <w:t>资产、交易性金融负债产生的公允价值变动损益，以及处置交易性金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融资产、交易性金融负债和可供出售金融资产取得的投资收益</w:t>
      </w:r>
    </w:p>
    <w:p>
      <w:pPr>
        <w:tabs>
          <w:tab w:pos="7899" w:val="left" w:leader="none"/>
        </w:tabs>
        <w:spacing w:line="232"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单独进行减值测试的应收款项减值准备转回</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对外委托贷款取得的损益</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899" w:val="left" w:leader="none"/>
        </w:tabs>
        <w:spacing w:line="233"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采用公允价值模式进行后续计量的投资性房地产公允价值变动产生的</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234" w:lineRule="exact" w:before="0"/>
        <w:ind w:left="664" w:right="0" w:firstLine="0"/>
        <w:jc w:val="left"/>
        <w:rPr>
          <w:rFonts w:ascii="宋体" w:hAnsi="宋体" w:cs="宋体" w:eastAsia="宋体" w:hint="default"/>
          <w:sz w:val="18"/>
          <w:szCs w:val="18"/>
        </w:rPr>
      </w:pPr>
      <w:r>
        <w:rPr>
          <w:rFonts w:ascii="宋体" w:hAnsi="宋体" w:cs="宋体" w:eastAsia="宋体" w:hint="default"/>
          <w:sz w:val="18"/>
          <w:szCs w:val="18"/>
        </w:rPr>
        <w:t>损益</w:t>
      </w:r>
    </w:p>
    <w:p>
      <w:pPr>
        <w:tabs>
          <w:tab w:pos="7899" w:val="left" w:leader="none"/>
        </w:tabs>
        <w:spacing w:line="233"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根据税收、会计等法律、法规的要求对当期损益进行一次性调整对当</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234" w:lineRule="exact" w:before="0"/>
        <w:ind w:left="664" w:right="0" w:firstLine="0"/>
        <w:jc w:val="left"/>
        <w:rPr>
          <w:rFonts w:ascii="宋体" w:hAnsi="宋体" w:cs="宋体" w:eastAsia="宋体" w:hint="default"/>
          <w:sz w:val="18"/>
          <w:szCs w:val="18"/>
        </w:rPr>
      </w:pPr>
      <w:r>
        <w:rPr>
          <w:rFonts w:ascii="宋体" w:hAnsi="宋体" w:cs="宋体" w:eastAsia="宋体" w:hint="default"/>
          <w:sz w:val="18"/>
          <w:szCs w:val="18"/>
        </w:rPr>
        <w:t>期损益的影响</w:t>
      </w:r>
    </w:p>
    <w:p>
      <w:pPr>
        <w:tabs>
          <w:tab w:pos="7899"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受托经营取得的托管费收入</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088" w:val="left" w:leader="none"/>
        </w:tabs>
        <w:spacing w:line="233"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除上述各项之外的其他营业收外收入和支出</w:t>
        <w:tab/>
      </w:r>
      <w:r>
        <w:rPr>
          <w:rFonts w:ascii="Times New Roman" w:hAnsi="Times New Roman" w:cs="Times New Roman" w:eastAsia="Times New Roman" w:hint="default"/>
          <w:position w:val="2"/>
          <w:sz w:val="18"/>
          <w:szCs w:val="18"/>
        </w:rPr>
        <w:t>-225,871.85</w:t>
      </w:r>
      <w:r>
        <w:rPr>
          <w:rFonts w:ascii="Times New Roman" w:hAnsi="Times New Roman" w:cs="Times New Roman" w:eastAsia="Times New Roman" w:hint="default"/>
          <w:sz w:val="18"/>
          <w:szCs w:val="18"/>
        </w:rPr>
      </w:r>
    </w:p>
    <w:p>
      <w:pPr>
        <w:tabs>
          <w:tab w:pos="7899" w:val="left" w:leader="none"/>
        </w:tabs>
        <w:spacing w:line="233"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其他符合非经常性损益定义的损益项目</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7088" w:val="left" w:leader="none"/>
        </w:tabs>
        <w:spacing w:line="234" w:lineRule="exact"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所得税影响额</w:t>
        <w:tab/>
      </w:r>
      <w:r>
        <w:rPr>
          <w:rFonts w:ascii="Times New Roman" w:hAnsi="Times New Roman" w:cs="Times New Roman" w:eastAsia="Times New Roman" w:hint="default"/>
          <w:position w:val="2"/>
          <w:sz w:val="18"/>
          <w:szCs w:val="18"/>
        </w:rPr>
        <w:t>-996,242.37</w:t>
      </w:r>
      <w:r>
        <w:rPr>
          <w:rFonts w:ascii="Times New Roman" w:hAnsi="Times New Roman" w:cs="Times New Roman" w:eastAsia="Times New Roman" w:hint="default"/>
          <w:sz w:val="18"/>
          <w:szCs w:val="18"/>
        </w:rPr>
      </w:r>
    </w:p>
    <w:p>
      <w:pPr>
        <w:tabs>
          <w:tab w:pos="7088" w:val="left" w:leader="none"/>
        </w:tabs>
        <w:spacing w:before="0"/>
        <w:ind w:left="66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少数股东权益影响额（税后）</w:t>
        <w:tab/>
      </w:r>
      <w:r>
        <w:rPr>
          <w:rFonts w:ascii="Times New Roman" w:hAnsi="Times New Roman" w:cs="Times New Roman" w:eastAsia="Times New Roman" w:hint="default"/>
          <w:position w:val="2"/>
          <w:sz w:val="18"/>
          <w:szCs w:val="18"/>
        </w:rPr>
        <w:t>-331,980.13</w:t>
      </w:r>
      <w:r>
        <w:rPr>
          <w:rFonts w:ascii="Times New Roman" w:hAnsi="Times New Roman" w:cs="Times New Roman" w:eastAsia="Times New Roman" w:hint="default"/>
          <w:sz w:val="18"/>
          <w:szCs w:val="18"/>
        </w:rPr>
      </w:r>
    </w:p>
    <w:p>
      <w:pPr>
        <w:tabs>
          <w:tab w:pos="7014" w:val="left" w:leader="none"/>
        </w:tabs>
        <w:spacing w:before="7"/>
        <w:ind w:left="664" w:right="0" w:firstLine="0"/>
        <w:jc w:val="left"/>
        <w:rPr>
          <w:rFonts w:ascii="Times New Roman" w:hAnsi="Times New Roman" w:cs="Times New Roman" w:eastAsia="Times New Roman" w:hint="default"/>
          <w:sz w:val="18"/>
          <w:szCs w:val="18"/>
        </w:rPr>
      </w:pPr>
      <w:r>
        <w:rPr/>
        <w:pict>
          <v:group style="position:absolute;margin-left:380.519989pt;margin-top:1.631731pt;width:77.9pt;height:.1pt;mso-position-horizontal-relative:page;mso-position-vertical-relative:paragraph;z-index:-545032" coordorigin="7610,33" coordsize="1558,2">
            <v:shape style="position:absolute;left:7610;top:33;width:1558;height:2" coordorigin="7610,33" coordsize="1558,0" path="m7610,33l9168,33e" filled="false" stroked="true" strokeweight=".48pt" strokecolor="#000000">
              <v:path arrowok="t"/>
            </v:shape>
            <w10:wrap type="none"/>
          </v:group>
        </w:pict>
      </w:r>
      <w:r>
        <w:rPr>
          <w:rFonts w:ascii="宋体" w:hAnsi="宋体" w:cs="宋体" w:eastAsia="宋体" w:hint="default"/>
          <w:sz w:val="18"/>
          <w:szCs w:val="18"/>
        </w:rPr>
        <w:t>合计</w:t>
        <w:tab/>
      </w:r>
      <w:r>
        <w:rPr>
          <w:rFonts w:ascii="Times New Roman" w:hAnsi="Times New Roman" w:cs="Times New Roman" w:eastAsia="Times New Roman" w:hint="default"/>
          <w:position w:val="2"/>
          <w:sz w:val="18"/>
          <w:szCs w:val="18"/>
        </w:rPr>
        <w:t>7,784,731.92</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2"/>
          <w:szCs w:val="2"/>
        </w:rPr>
      </w:pPr>
    </w:p>
    <w:p>
      <w:pPr>
        <w:spacing w:line="28" w:lineRule="exact"/>
        <w:ind w:left="65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8.350pt;height:1.45pt;mso-position-horizontal-relative:char;mso-position-vertical-relative:line" coordorigin="0,0" coordsize="1567,29">
            <v:group style="position:absolute;left:5;top:5;width:1558;height:2" coordorigin="5,5" coordsize="1558,2">
              <v:shape style="position:absolute;left:5;top:5;width:1558;height:2" coordorigin="5,5" coordsize="1558,0" path="m5,5l1562,5e" filled="false" stroked="true" strokeweight=".48pt" strokecolor="#000000">
                <v:path arrowok="t"/>
              </v:shape>
            </v:group>
            <v:group style="position:absolute;left:5;top:24;width:1558;height:2" coordorigin="5,24" coordsize="1558,2">
              <v:shape style="position:absolute;left:5;top:24;width:1558;height:2" coordorigin="5,24" coordsize="1558,0" path="m5,24l1562,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00" w:h="16840"/>
          <w:pgMar w:top="1040" w:bottom="1180" w:left="1100" w:right="580"/>
        </w:sectPr>
      </w:pPr>
    </w:p>
    <w:p>
      <w:pPr>
        <w:spacing w:line="240" w:lineRule="auto" w:before="2"/>
        <w:rPr>
          <w:rFonts w:ascii="Times New Roman" w:hAnsi="Times New Roman" w:cs="Times New Roman" w:eastAsia="Times New Roman" w:hint="default"/>
          <w:sz w:val="20"/>
          <w:szCs w:val="20"/>
        </w:rPr>
      </w:pPr>
    </w:p>
    <w:p>
      <w:pPr>
        <w:tabs>
          <w:tab w:pos="683" w:val="left" w:leader="none"/>
        </w:tabs>
        <w:spacing w:before="41"/>
        <w:ind w:left="115" w:right="0" w:firstLine="0"/>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13</w:t>
        <w:tab/>
      </w:r>
      <w:r>
        <w:rPr>
          <w:rFonts w:ascii="宋体" w:hAnsi="宋体" w:cs="宋体" w:eastAsia="宋体" w:hint="default"/>
          <w:b/>
          <w:bCs/>
          <w:sz w:val="21"/>
          <w:szCs w:val="21"/>
        </w:rPr>
        <w:t>补充资料（续）</w:t>
      </w:r>
      <w:r>
        <w:rPr>
          <w:rFonts w:ascii="宋体" w:hAnsi="宋体" w:cs="宋体" w:eastAsia="宋体" w:hint="default"/>
          <w:sz w:val="21"/>
          <w:szCs w:val="21"/>
        </w:rPr>
      </w:r>
    </w:p>
    <w:p>
      <w:pPr>
        <w:spacing w:line="240" w:lineRule="auto" w:before="9"/>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footerReference w:type="default" r:id="rId44"/>
          <w:pgSz w:w="11900" w:h="16840"/>
          <w:pgMar w:footer="983" w:header="0" w:top="1740" w:bottom="1180" w:left="1080" w:right="580"/>
          <w:pgNumType w:start="130"/>
        </w:sectPr>
      </w:pPr>
    </w:p>
    <w:p>
      <w:pPr>
        <w:spacing w:before="46"/>
        <w:ind w:left="211" w:right="0" w:firstLine="0"/>
        <w:jc w:val="left"/>
        <w:rPr>
          <w:rFonts w:ascii="宋体" w:hAnsi="宋体" w:cs="宋体" w:eastAsia="宋体" w:hint="default"/>
          <w:sz w:val="21"/>
          <w:szCs w:val="21"/>
        </w:rPr>
      </w:pPr>
      <w:r>
        <w:rPr>
          <w:rFonts w:ascii="Times New Roman" w:hAnsi="Times New Roman" w:cs="Times New Roman" w:eastAsia="Times New Roman" w:hint="default"/>
          <w:position w:val="2"/>
          <w:sz w:val="21"/>
          <w:szCs w:val="21"/>
        </w:rPr>
        <w:t>13.2</w:t>
      </w:r>
      <w:r>
        <w:rPr>
          <w:rFonts w:ascii="Times New Roman" w:hAnsi="Times New Roman" w:cs="Times New Roman" w:eastAsia="Times New Roman" w:hint="default"/>
          <w:spacing w:val="51"/>
          <w:position w:val="2"/>
          <w:sz w:val="21"/>
          <w:szCs w:val="21"/>
        </w:rPr>
        <w:t> </w:t>
      </w:r>
      <w:r>
        <w:rPr>
          <w:rFonts w:ascii="宋体" w:hAnsi="宋体" w:cs="宋体" w:eastAsia="宋体" w:hint="default"/>
          <w:sz w:val="21"/>
          <w:szCs w:val="21"/>
        </w:rPr>
        <w:t>净资产收益率及每股收益</w:t>
      </w:r>
    </w:p>
    <w:p>
      <w:pPr>
        <w:spacing w:line="240" w:lineRule="auto" w:before="13"/>
        <w:rPr>
          <w:rFonts w:ascii="宋体" w:hAnsi="宋体" w:cs="宋体" w:eastAsia="宋体" w:hint="default"/>
          <w:sz w:val="24"/>
          <w:szCs w:val="24"/>
        </w:rPr>
      </w:pPr>
    </w:p>
    <w:p>
      <w:pPr>
        <w:tabs>
          <w:tab w:pos="4598" w:val="left" w:leader="none"/>
        </w:tabs>
        <w:spacing w:line="158" w:lineRule="auto" w:before="0"/>
        <w:ind w:left="5018" w:right="0" w:hanging="3252"/>
        <w:jc w:val="left"/>
        <w:rPr>
          <w:rFonts w:ascii="宋体" w:hAnsi="宋体" w:cs="宋体" w:eastAsia="宋体" w:hint="default"/>
          <w:sz w:val="21"/>
          <w:szCs w:val="21"/>
        </w:rPr>
      </w:pPr>
      <w:r>
        <w:rPr/>
        <w:pict>
          <v:group style="position:absolute;margin-left:82.800003pt;margin-top:25.264023pt;width:182.05pt;height:.1pt;mso-position-horizontal-relative:page;mso-position-vertical-relative:paragraph;z-index:-544984" coordorigin="1656,505" coordsize="3641,2">
            <v:shape style="position:absolute;left:1656;top:505;width:3641;height:2" coordorigin="1656,505" coordsize="3641,0" path="m1656,505l5297,505e" filled="false" stroked="true" strokeweight=".48pt" strokecolor="#000000">
              <v:path arrowok="t"/>
            </v:shape>
            <w10:wrap type="none"/>
          </v:group>
        </w:pict>
      </w:r>
      <w:r>
        <w:rPr/>
        <w:pict>
          <v:group style="position:absolute;margin-left:276.720001pt;margin-top:25.264023pt;width:88.2pt;height:.1pt;mso-position-horizontal-relative:page;mso-position-vertical-relative:paragraph;z-index:-544960" coordorigin="5534,505" coordsize="1764,2">
            <v:shape style="position:absolute;left:5534;top:505;width:1764;height:2" coordorigin="5534,505" coordsize="1764,0" path="m5534,505l7298,505e" filled="false" stroked="true" strokeweight=".48pt" strokecolor="#000000">
              <v:path arrowok="t"/>
            </v:shape>
            <w10:wrap type="none"/>
          </v:group>
        </w:pict>
      </w:r>
      <w:r>
        <w:rPr>
          <w:rFonts w:ascii="宋体" w:hAnsi="宋体" w:cs="宋体" w:eastAsia="宋体" w:hint="default"/>
          <w:spacing w:val="-1"/>
          <w:position w:val="-13"/>
          <w:sz w:val="21"/>
          <w:szCs w:val="21"/>
        </w:rPr>
        <w:t>报告期净利润</w:t>
        <w:tab/>
      </w:r>
      <w:r>
        <w:rPr>
          <w:rFonts w:ascii="宋体" w:hAnsi="宋体" w:cs="宋体" w:eastAsia="宋体" w:hint="default"/>
          <w:spacing w:val="-1"/>
          <w:sz w:val="21"/>
          <w:szCs w:val="21"/>
        </w:rPr>
        <w:t>加权平均净资产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收益率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2"/>
          <w:szCs w:val="22"/>
        </w:rPr>
      </w:pPr>
    </w:p>
    <w:p>
      <w:pPr>
        <w:spacing w:before="0"/>
        <w:ind w:left="0" w:right="110" w:firstLine="0"/>
        <w:jc w:val="center"/>
        <w:rPr>
          <w:rFonts w:ascii="宋体" w:hAnsi="宋体" w:cs="宋体" w:eastAsia="宋体" w:hint="default"/>
          <w:sz w:val="21"/>
          <w:szCs w:val="21"/>
        </w:rPr>
      </w:pPr>
      <w:r>
        <w:rPr>
          <w:rFonts w:ascii="宋体" w:hAnsi="宋体" w:cs="宋体" w:eastAsia="宋体" w:hint="default"/>
          <w:sz w:val="21"/>
          <w:szCs w:val="21"/>
        </w:rPr>
        <w:t>每股收益</w:t>
      </w:r>
    </w:p>
    <w:p>
      <w:pPr>
        <w:tabs>
          <w:tab w:pos="1948" w:val="left" w:leader="none"/>
        </w:tabs>
        <w:spacing w:before="8"/>
        <w:ind w:left="0" w:right="160" w:firstLine="0"/>
        <w:jc w:val="center"/>
        <w:rPr>
          <w:rFonts w:ascii="宋体" w:hAnsi="宋体" w:cs="宋体" w:eastAsia="宋体" w:hint="default"/>
          <w:sz w:val="21"/>
          <w:szCs w:val="21"/>
        </w:rPr>
      </w:pPr>
      <w:r>
        <w:rPr/>
        <w:pict>
          <v:group style="position:absolute;margin-left:376.440002pt;margin-top:1.513689pt;width:183.75pt;height:.5pt;mso-position-horizontal-relative:page;mso-position-vertical-relative:paragraph;z-index:-545008" coordorigin="7529,30" coordsize="3675,10">
            <v:group style="position:absolute;left:7534;top:35;width:1664;height:2" coordorigin="7534,35" coordsize="1664,2">
              <v:shape style="position:absolute;left:7534;top:35;width:1664;height:2" coordorigin="7534,35" coordsize="1664,0" path="m7534,35l9197,35e" filled="false" stroked="true" strokeweight=".48pt" strokecolor="#000000">
                <v:path arrowok="t"/>
              </v:shape>
            </v:group>
            <v:group style="position:absolute;left:9197;top:35;width:10;height:2" coordorigin="9197,35" coordsize="10,2">
              <v:shape style="position:absolute;left:9197;top:35;width:10;height:2" coordorigin="9197,35" coordsize="10,0" path="m9197,35l9206,35e" filled="false" stroked="true" strokeweight=".48pt" strokecolor="#000000">
                <v:path arrowok="t"/>
              </v:shape>
            </v:group>
            <v:group style="position:absolute;left:9206;top:35;width:228;height:2" coordorigin="9206,35" coordsize="228,2">
              <v:shape style="position:absolute;left:9206;top:35;width:228;height:2" coordorigin="9206,35" coordsize="228,0" path="m9206,35l9434,35e" filled="false" stroked="true" strokeweight=".48pt" strokecolor="#000000">
                <v:path arrowok="t"/>
              </v:shape>
            </v:group>
            <v:group style="position:absolute;left:9434;top:35;width:10;height:2" coordorigin="9434,35" coordsize="10,2">
              <v:shape style="position:absolute;left:9434;top:35;width:10;height:2" coordorigin="9434,35" coordsize="10,0" path="m9434,35l9444,35e" filled="false" stroked="true" strokeweight=".48pt" strokecolor="#000000">
                <v:path arrowok="t"/>
              </v:shape>
            </v:group>
            <v:group style="position:absolute;left:9444;top:35;width:1755;height:2" coordorigin="9444,35" coordsize="1755,2">
              <v:shape style="position:absolute;left:9444;top:35;width:1755;height:2" coordorigin="9444,35" coordsize="1755,0" path="m9444,35l11198,35e" filled="false" stroked="true" strokeweight=".48pt" strokecolor="#000000">
                <v:path arrowok="t"/>
              </v:shape>
            </v:group>
            <w10:wrap type="none"/>
          </v:group>
        </w:pict>
      </w:r>
      <w:r>
        <w:rPr/>
        <w:pict>
          <v:group style="position:absolute;margin-left:376.679993pt;margin-top:15.913689pt;width:83.2pt;height:.1pt;mso-position-horizontal-relative:page;mso-position-vertical-relative:paragraph;z-index:-544936" coordorigin="7534,318" coordsize="1664,2">
            <v:shape style="position:absolute;left:7534;top:318;width:1664;height:2" coordorigin="7534,318" coordsize="1664,0" path="m7534,318l9197,318e" filled="false" stroked="true" strokeweight=".48pt" strokecolor="#000000">
              <v:path arrowok="t"/>
            </v:shape>
            <w10:wrap type="none"/>
          </v:group>
        </w:pict>
      </w:r>
      <w:r>
        <w:rPr/>
        <w:pict>
          <v:group style="position:absolute;margin-left:471.720001pt;margin-top:15.913689pt;width:88.2pt;height:.1pt;mso-position-horizontal-relative:page;mso-position-vertical-relative:paragraph;z-index:-544912" coordorigin="9434,318" coordsize="1764,2">
            <v:shape style="position:absolute;left:9434;top:318;width:1764;height:2" coordorigin="9434,318" coordsize="1764,0" path="m9434,318l11198,318e" filled="false" stroked="true" strokeweight=".48pt" strokecolor="#000000">
              <v:path arrowok="t"/>
            </v:shape>
            <w10:wrap type="none"/>
          </v:group>
        </w:pict>
      </w:r>
      <w:r>
        <w:rPr>
          <w:rFonts w:ascii="宋体" w:hAnsi="宋体" w:cs="宋体" w:eastAsia="宋体" w:hint="default"/>
          <w:spacing w:val="-1"/>
          <w:sz w:val="21"/>
          <w:szCs w:val="21"/>
        </w:rPr>
        <w:t>基本每股收益</w:t>
        <w:tab/>
        <w:t>稀释每股收益</w:t>
      </w:r>
    </w:p>
    <w:p>
      <w:pPr>
        <w:spacing w:after="0"/>
        <w:jc w:val="center"/>
        <w:rPr>
          <w:rFonts w:ascii="宋体" w:hAnsi="宋体" w:cs="宋体" w:eastAsia="宋体" w:hint="default"/>
          <w:sz w:val="21"/>
          <w:szCs w:val="21"/>
        </w:rPr>
        <w:sectPr>
          <w:type w:val="continuous"/>
          <w:pgSz w:w="11900" w:h="16840"/>
          <w:pgMar w:top="1040" w:bottom="1180" w:left="1080" w:right="580"/>
          <w:cols w:num="2" w:equalWidth="0">
            <w:col w:w="6072" w:space="372"/>
            <w:col w:w="3796"/>
          </w:cols>
        </w:sectPr>
      </w:pPr>
    </w:p>
    <w:p>
      <w:pPr>
        <w:tabs>
          <w:tab w:pos="5459" w:val="left" w:leader="none"/>
          <w:tab w:pos="7641" w:val="left" w:leader="none"/>
          <w:tab w:pos="10009" w:val="right" w:leader="none"/>
        </w:tabs>
        <w:spacing w:line="282" w:lineRule="exact" w:before="6"/>
        <w:ind w:left="684" w:right="0"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归属于公司普通股股东的净利润</w:t>
        <w:tab/>
      </w:r>
      <w:r>
        <w:rPr>
          <w:rFonts w:ascii="Times New Roman" w:hAnsi="Times New Roman" w:cs="Times New Roman" w:eastAsia="Times New Roman" w:hint="default"/>
          <w:sz w:val="21"/>
          <w:szCs w:val="21"/>
        </w:rPr>
        <w:t>15.81%</w:t>
        <w:tab/>
        <w:t>0.61</w:t>
        <w:tab/>
        <w:t>0.61</w:t>
      </w:r>
    </w:p>
    <w:p>
      <w:pPr>
        <w:spacing w:line="218" w:lineRule="exact" w:before="0"/>
        <w:ind w:left="684" w:right="0" w:firstLine="0"/>
        <w:jc w:val="both"/>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w:t>
      </w:r>
    </w:p>
    <w:p>
      <w:pPr>
        <w:tabs>
          <w:tab w:pos="5459" w:val="left" w:leader="none"/>
          <w:tab w:pos="7641" w:val="left" w:leader="none"/>
          <w:tab w:pos="10009" w:val="right" w:leader="none"/>
        </w:tabs>
        <w:spacing w:line="318" w:lineRule="exact" w:before="0"/>
        <w:ind w:left="684"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股股东的净利润</w:t>
        <w:tab/>
      </w:r>
      <w:r>
        <w:rPr>
          <w:rFonts w:ascii="Times New Roman" w:hAnsi="Times New Roman" w:cs="Times New Roman" w:eastAsia="Times New Roman" w:hint="default"/>
          <w:sz w:val="21"/>
          <w:szCs w:val="21"/>
        </w:rPr>
        <w:t>13.09%</w:t>
        <w:tab/>
        <w:t>0.50</w:t>
        <w:tab/>
        <w:t>0.50</w:t>
      </w:r>
    </w:p>
    <w:p>
      <w:pPr>
        <w:spacing w:line="240" w:lineRule="auto" w:before="11"/>
        <w:rPr>
          <w:rFonts w:ascii="Times New Roman" w:hAnsi="Times New Roman" w:cs="Times New Roman" w:eastAsia="Times New Roman" w:hint="default"/>
          <w:sz w:val="49"/>
          <w:szCs w:val="49"/>
        </w:rPr>
      </w:pPr>
    </w:p>
    <w:p>
      <w:pPr>
        <w:spacing w:before="0"/>
        <w:ind w:left="998"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=P0/(E0</w:t>
      </w:r>
      <w:r>
        <w:rPr>
          <w:rFonts w:ascii="宋体" w:hAnsi="宋体" w:cs="宋体" w:eastAsia="宋体" w:hint="default"/>
          <w:sz w:val="21"/>
          <w:szCs w:val="21"/>
        </w:rPr>
        <w:t>＋</w:t>
      </w:r>
      <w:r>
        <w:rPr>
          <w:rFonts w:ascii="Times New Roman" w:hAnsi="Times New Roman" w:cs="Times New Roman" w:eastAsia="Times New Roman" w:hint="default"/>
          <w:sz w:val="21"/>
          <w:szCs w:val="21"/>
        </w:rPr>
        <w:t>NP</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Ei</w:t>
      </w:r>
      <w:r>
        <w:rPr>
          <w:rFonts w:ascii="宋体" w:hAnsi="宋体" w:cs="宋体" w:eastAsia="宋体" w:hint="default"/>
          <w:sz w:val="21"/>
          <w:szCs w:val="21"/>
        </w:rPr>
        <w:t>×</w:t>
      </w:r>
      <w:r>
        <w:rPr>
          <w:rFonts w:ascii="Times New Roman" w:hAnsi="Times New Roman" w:cs="Times New Roman" w:eastAsia="Times New Roman" w:hint="default"/>
          <w:sz w:val="21"/>
          <w:szCs w:val="21"/>
        </w:rPr>
        <w:t>Mi</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Ej</w:t>
      </w:r>
      <w:r>
        <w:rPr>
          <w:rFonts w:ascii="宋体" w:hAnsi="宋体" w:cs="宋体" w:eastAsia="宋体" w:hint="default"/>
          <w:sz w:val="21"/>
          <w:szCs w:val="21"/>
        </w:rPr>
        <w:t>×</w:t>
      </w:r>
      <w:r>
        <w:rPr>
          <w:rFonts w:ascii="Times New Roman" w:hAnsi="Times New Roman" w:cs="Times New Roman" w:eastAsia="Times New Roman" w:hint="default"/>
          <w:sz w:val="21"/>
          <w:szCs w:val="21"/>
        </w:rPr>
        <w:t>Mj</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r>
        <w:rPr>
          <w:rFonts w:ascii="宋体" w:hAnsi="宋体" w:cs="宋体" w:eastAsia="宋体" w:hint="default"/>
          <w:sz w:val="21"/>
          <w:szCs w:val="21"/>
        </w:rPr>
        <w:t>±</w:t>
      </w:r>
      <w:r>
        <w:rPr>
          <w:rFonts w:ascii="Times New Roman" w:hAnsi="Times New Roman" w:cs="Times New Roman" w:eastAsia="Times New Roman" w:hint="default"/>
          <w:sz w:val="21"/>
          <w:szCs w:val="21"/>
        </w:rPr>
        <w:t>Ek</w:t>
      </w:r>
      <w:r>
        <w:rPr>
          <w:rFonts w:ascii="宋体" w:hAnsi="宋体" w:cs="宋体" w:eastAsia="宋体" w:hint="default"/>
          <w:sz w:val="21"/>
          <w:szCs w:val="21"/>
        </w:rPr>
        <w:t>×</w:t>
      </w:r>
      <w:r>
        <w:rPr>
          <w:rFonts w:ascii="Times New Roman" w:hAnsi="Times New Roman" w:cs="Times New Roman" w:eastAsia="Times New Roman" w:hint="default"/>
          <w:sz w:val="21"/>
          <w:szCs w:val="21"/>
        </w:rPr>
        <w:t>Mk</w:t>
      </w:r>
      <w:r>
        <w:rPr>
          <w:rFonts w:ascii="宋体" w:hAnsi="宋体" w:cs="宋体" w:eastAsia="宋体" w:hint="default"/>
          <w:sz w:val="21"/>
          <w:szCs w:val="21"/>
        </w:rPr>
        <w:t>÷</w:t>
      </w:r>
      <w:r>
        <w:rPr>
          <w:rFonts w:ascii="Times New Roman" w:hAnsi="Times New Roman" w:cs="Times New Roman" w:eastAsia="Times New Roman" w:hint="default"/>
          <w:sz w:val="21"/>
          <w:szCs w:val="21"/>
        </w:rPr>
        <w:t>M0)</w:t>
      </w:r>
    </w:p>
    <w:p>
      <w:pPr>
        <w:spacing w:line="256" w:lineRule="auto" w:before="21"/>
        <w:ind w:left="684" w:right="0" w:firstLine="422"/>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P0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分别对应于归属于公司普通股股东的净利润、扣除非经常性损益后归属于公司普通股股</w:t>
      </w:r>
      <w:r>
        <w:rPr>
          <w:rFonts w:ascii="宋体" w:hAnsi="宋体" w:cs="宋体" w:eastAsia="宋体" w:hint="default"/>
          <w:w w:val="100"/>
          <w:sz w:val="21"/>
          <w:szCs w:val="21"/>
        </w:rPr>
        <w:t> </w:t>
      </w:r>
      <w:r>
        <w:rPr>
          <w:rFonts w:ascii="宋体" w:hAnsi="宋体" w:cs="宋体" w:eastAsia="宋体" w:hint="default"/>
          <w:sz w:val="21"/>
          <w:szCs w:val="21"/>
        </w:rPr>
        <w:t>东的净利润；</w:t>
      </w:r>
      <w:r>
        <w:rPr>
          <w:rFonts w:ascii="Times New Roman" w:hAnsi="Times New Roman" w:cs="Times New Roman" w:eastAsia="Times New Roman" w:hint="default"/>
          <w:sz w:val="21"/>
          <w:szCs w:val="21"/>
        </w:rPr>
        <w:t>NP</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为归属于公司普通股股东的净利润；</w:t>
      </w:r>
      <w:r>
        <w:rPr>
          <w:rFonts w:ascii="Times New Roman" w:hAnsi="Times New Roman" w:cs="Times New Roman" w:eastAsia="Times New Roman" w:hint="default"/>
          <w:sz w:val="21"/>
          <w:szCs w:val="21"/>
        </w:rPr>
        <w:t>E0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为归属于公司普通股股东的期初净资产；</w:t>
      </w:r>
      <w:r>
        <w:rPr>
          <w:rFonts w:ascii="Times New Roman" w:hAnsi="Times New Roman" w:cs="Times New Roman" w:eastAsia="Times New Roman" w:hint="default"/>
          <w:sz w:val="21"/>
          <w:szCs w:val="21"/>
        </w:rPr>
        <w:t>Ei</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为报告期发行新股或债转股等新增的、归属于公司普通股股东的净资产；</w:t>
      </w:r>
      <w:r>
        <w:rPr>
          <w:rFonts w:ascii="Times New Roman" w:hAnsi="Times New Roman" w:cs="Times New Roman" w:eastAsia="Times New Roman" w:hint="default"/>
          <w:sz w:val="21"/>
          <w:szCs w:val="21"/>
        </w:rPr>
        <w:t>Ej</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为报告期回购或现金分红</w:t>
      </w:r>
      <w:r>
        <w:rPr>
          <w:rFonts w:ascii="宋体" w:hAnsi="宋体" w:cs="宋体" w:eastAsia="宋体" w:hint="default"/>
          <w:w w:val="100"/>
          <w:sz w:val="21"/>
          <w:szCs w:val="21"/>
        </w:rPr>
        <w:t> </w:t>
      </w:r>
      <w:r>
        <w:rPr>
          <w:rFonts w:ascii="宋体" w:hAnsi="宋体" w:cs="宋体" w:eastAsia="宋体" w:hint="default"/>
          <w:sz w:val="21"/>
          <w:szCs w:val="21"/>
        </w:rPr>
        <w:t>等减少的、归属于公司普通股股东的净资产；</w:t>
      </w:r>
      <w:r>
        <w:rPr>
          <w:rFonts w:ascii="Times New Roman" w:hAnsi="Times New Roman" w:cs="Times New Roman" w:eastAsia="Times New Roman" w:hint="default"/>
          <w:sz w:val="21"/>
          <w:szCs w:val="21"/>
        </w:rPr>
        <w:t>M0 </w:t>
      </w:r>
      <w:r>
        <w:rPr>
          <w:rFonts w:ascii="宋体" w:hAnsi="宋体" w:cs="宋体" w:eastAsia="宋体" w:hint="default"/>
          <w:sz w:val="21"/>
          <w:szCs w:val="21"/>
        </w:rPr>
        <w:t>为报告期月份数；</w:t>
      </w:r>
      <w:r>
        <w:rPr>
          <w:rFonts w:ascii="Times New Roman" w:hAnsi="Times New Roman" w:cs="Times New Roman" w:eastAsia="Times New Roman" w:hint="default"/>
          <w:sz w:val="21"/>
          <w:szCs w:val="21"/>
        </w:rPr>
        <w:t>Mi</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为新增净资产次月起至报告期</w:t>
      </w:r>
      <w:r>
        <w:rPr>
          <w:rFonts w:ascii="宋体" w:hAnsi="宋体" w:cs="宋体" w:eastAsia="宋体" w:hint="default"/>
          <w:w w:val="100"/>
          <w:sz w:val="21"/>
          <w:szCs w:val="21"/>
        </w:rPr>
        <w:t> </w:t>
      </w:r>
      <w:r>
        <w:rPr>
          <w:rFonts w:ascii="宋体" w:hAnsi="宋体" w:cs="宋体" w:eastAsia="宋体" w:hint="default"/>
          <w:sz w:val="21"/>
          <w:szCs w:val="21"/>
        </w:rPr>
        <w:t>期末的累计月数；</w:t>
      </w:r>
      <w:r>
        <w:rPr>
          <w:rFonts w:ascii="Times New Roman" w:hAnsi="Times New Roman" w:cs="Times New Roman" w:eastAsia="Times New Roman" w:hint="default"/>
          <w:sz w:val="21"/>
          <w:szCs w:val="21"/>
        </w:rPr>
        <w:t>Mj </w:t>
      </w:r>
      <w:r>
        <w:rPr>
          <w:rFonts w:ascii="宋体" w:hAnsi="宋体" w:cs="宋体" w:eastAsia="宋体" w:hint="default"/>
          <w:sz w:val="21"/>
          <w:szCs w:val="21"/>
        </w:rPr>
        <w:t>为减少净资产次月起至报告期期末的累计月数；</w:t>
      </w:r>
      <w:r>
        <w:rPr>
          <w:rFonts w:ascii="Times New Roman" w:hAnsi="Times New Roman" w:cs="Times New Roman" w:eastAsia="Times New Roman" w:hint="default"/>
          <w:sz w:val="21"/>
          <w:szCs w:val="21"/>
        </w:rPr>
        <w:t>Ek</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为因其他交易或事项引起的、</w:t>
      </w:r>
      <w:r>
        <w:rPr>
          <w:rFonts w:ascii="宋体" w:hAnsi="宋体" w:cs="宋体" w:eastAsia="宋体" w:hint="default"/>
          <w:w w:val="100"/>
          <w:sz w:val="21"/>
          <w:szCs w:val="21"/>
        </w:rPr>
        <w:t> </w:t>
      </w:r>
      <w:r>
        <w:rPr>
          <w:rFonts w:ascii="宋体" w:hAnsi="宋体" w:cs="宋体" w:eastAsia="宋体" w:hint="default"/>
          <w:spacing w:val="-4"/>
          <w:sz w:val="21"/>
          <w:szCs w:val="21"/>
        </w:rPr>
        <w:t>归属于公司普通股股东的净资产增减变动；</w:t>
      </w:r>
      <w:r>
        <w:rPr>
          <w:rFonts w:ascii="Times New Roman" w:hAnsi="Times New Roman" w:cs="Times New Roman" w:eastAsia="Times New Roman" w:hint="default"/>
          <w:spacing w:val="-4"/>
          <w:sz w:val="21"/>
          <w:szCs w:val="21"/>
        </w:rPr>
        <w:t>Mk </w:t>
      </w:r>
      <w:r>
        <w:rPr>
          <w:rFonts w:ascii="宋体" w:hAnsi="宋体" w:cs="宋体" w:eastAsia="宋体" w:hint="default"/>
          <w:sz w:val="21"/>
          <w:szCs w:val="21"/>
        </w:rPr>
        <w:t>为发生其他净资产增减变动次月起至报告期期末的累计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月数。</w:t>
      </w:r>
    </w:p>
    <w:p>
      <w:pPr>
        <w:spacing w:line="240" w:lineRule="auto" w:before="7"/>
        <w:rPr>
          <w:rFonts w:ascii="宋体" w:hAnsi="宋体" w:cs="宋体" w:eastAsia="宋体" w:hint="default"/>
          <w:sz w:val="25"/>
          <w:szCs w:val="25"/>
        </w:rPr>
      </w:pPr>
    </w:p>
    <w:p>
      <w:pPr>
        <w:spacing w:line="273" w:lineRule="auto" w:before="0"/>
        <w:ind w:left="998" w:right="0" w:hanging="315"/>
        <w:jc w:val="left"/>
        <w:rPr>
          <w:rFonts w:ascii="宋体" w:hAnsi="宋体" w:cs="宋体" w:eastAsia="宋体" w:hint="default"/>
          <w:sz w:val="21"/>
          <w:szCs w:val="21"/>
        </w:rPr>
      </w:pPr>
      <w:r>
        <w:rPr>
          <w:rFonts w:ascii="宋体" w:hAnsi="宋体" w:cs="宋体" w:eastAsia="宋体" w:hint="default"/>
          <w:sz w:val="21"/>
          <w:szCs w:val="21"/>
        </w:rPr>
        <w:t>注：如报告期内存在同一控制下企业合并的，还应在上述内容后添加以下内容；</w:t>
      </w:r>
      <w:r>
        <w:rPr>
          <w:rFonts w:ascii="宋体" w:hAnsi="宋体" w:cs="宋体" w:eastAsia="宋体" w:hint="default"/>
          <w:w w:val="100"/>
          <w:sz w:val="21"/>
          <w:szCs w:val="21"/>
        </w:rPr>
        <w:t> </w:t>
      </w:r>
      <w:r>
        <w:rPr>
          <w:rFonts w:ascii="宋体" w:hAnsi="宋体" w:cs="宋体" w:eastAsia="宋体" w:hint="default"/>
          <w:spacing w:val="-2"/>
          <w:sz w:val="21"/>
          <w:szCs w:val="21"/>
        </w:rPr>
        <w:t>本报告期发生同一控制下企业合并，计算加权平均净资产收益率时，被合并方的净资产从报告期期</w:t>
      </w:r>
    </w:p>
    <w:p>
      <w:pPr>
        <w:spacing w:line="273" w:lineRule="auto" w:before="7"/>
        <w:ind w:left="684" w:right="225" w:firstLine="0"/>
        <w:jc w:val="both"/>
        <w:rPr>
          <w:rFonts w:ascii="宋体" w:hAnsi="宋体" w:cs="宋体" w:eastAsia="宋体" w:hint="default"/>
          <w:sz w:val="21"/>
          <w:szCs w:val="21"/>
        </w:rPr>
      </w:pPr>
      <w:r>
        <w:rPr>
          <w:rFonts w:ascii="宋体" w:hAnsi="宋体" w:cs="宋体" w:eastAsia="宋体" w:hint="default"/>
          <w:sz w:val="21"/>
          <w:szCs w:val="21"/>
        </w:rPr>
        <w:t>初起进行加权；计算扣除非经常性损益后的加权平均净资产收益率时，被合并方的净资产从合并日的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次月起进行加权。计算比较期间的加权平均净资产收益率时，被合并方的净利润、净资产均从比较期</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间期初起进行加权；计算比较期间扣除非经常性损益后的加权平均净资产收益率时，被合并方的净资</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产不予加权计算</w:t>
      </w:r>
      <w:r>
        <w:rPr>
          <w:rFonts w:ascii="Times New Roman" w:hAnsi="Times New Roman" w:cs="Times New Roman" w:eastAsia="Times New Roman" w:hint="default"/>
          <w:sz w:val="21"/>
          <w:szCs w:val="21"/>
        </w:rPr>
        <w:t>(</w:t>
      </w:r>
      <w:r>
        <w:rPr>
          <w:rFonts w:ascii="宋体" w:hAnsi="宋体" w:cs="宋体" w:eastAsia="宋体" w:hint="default"/>
          <w:sz w:val="21"/>
          <w:szCs w:val="21"/>
        </w:rPr>
        <w:t>权重为零</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tabs>
          <w:tab w:pos="683" w:val="left" w:leader="none"/>
        </w:tabs>
        <w:spacing w:line="451" w:lineRule="auto" w:before="161"/>
        <w:ind w:left="684" w:right="5769" w:hanging="569"/>
        <w:jc w:val="left"/>
        <w:rPr>
          <w:rFonts w:ascii="宋体" w:hAnsi="宋体" w:cs="宋体" w:eastAsia="宋体" w:hint="default"/>
          <w:sz w:val="21"/>
          <w:szCs w:val="21"/>
        </w:rPr>
      </w:pPr>
      <w:r>
        <w:rPr>
          <w:rFonts w:ascii="Times New Roman" w:hAnsi="Times New Roman" w:cs="Times New Roman" w:eastAsia="Times New Roman" w:hint="default"/>
          <w:b/>
          <w:bCs/>
          <w:position w:val="2"/>
          <w:sz w:val="21"/>
          <w:szCs w:val="21"/>
        </w:rPr>
        <w:t>14</w:t>
        <w:tab/>
      </w:r>
      <w:r>
        <w:rPr>
          <w:rFonts w:ascii="宋体" w:hAnsi="宋体" w:cs="宋体" w:eastAsia="宋体" w:hint="default"/>
          <w:b/>
          <w:bCs/>
          <w:sz w:val="21"/>
          <w:szCs w:val="21"/>
        </w:rPr>
        <w:t>财务报表之批准</w:t>
      </w:r>
      <w:r>
        <w:rPr>
          <w:rFonts w:ascii="宋体" w:hAnsi="宋体" w:cs="宋体" w:eastAsia="宋体" w:hint="default"/>
          <w:b/>
          <w:bCs/>
          <w:w w:val="100"/>
          <w:sz w:val="21"/>
          <w:szCs w:val="21"/>
        </w:rPr>
        <w:t> </w:t>
      </w:r>
      <w:r>
        <w:rPr>
          <w:rFonts w:ascii="宋体" w:hAnsi="宋体" w:cs="宋体" w:eastAsia="宋体" w:hint="default"/>
          <w:spacing w:val="-2"/>
          <w:sz w:val="21"/>
          <w:szCs w:val="21"/>
        </w:rPr>
        <w:t>本财务报表业经本公司董事会批准通过。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48" w:lineRule="auto" w:before="0"/>
        <w:ind w:left="5292" w:right="633" w:hanging="51"/>
        <w:jc w:val="left"/>
        <w:rPr>
          <w:rFonts w:ascii="宋体" w:hAnsi="宋体" w:cs="宋体" w:eastAsia="宋体" w:hint="default"/>
          <w:sz w:val="21"/>
          <w:szCs w:val="21"/>
        </w:rPr>
      </w:pPr>
      <w:r>
        <w:rPr>
          <w:rFonts w:ascii="宋体" w:hAnsi="宋体" w:cs="宋体" w:eastAsia="宋体" w:hint="default"/>
          <w:spacing w:val="-2"/>
          <w:sz w:val="21"/>
          <w:szCs w:val="21"/>
        </w:rPr>
        <w:t>上海海隆软件股份有限公司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法定代表人：</w:t>
      </w:r>
      <w:r>
        <w:rPr>
          <w:rFonts w:ascii="宋体" w:hAnsi="宋体" w:cs="宋体" w:eastAsia="宋体" w:hint="default"/>
          <w:sz w:val="21"/>
          <w:szCs w:val="21"/>
          <w:u w:val="single" w:color="000000"/>
        </w:rPr>
        <w:t>包叔平</w:t>
      </w:r>
      <w:r>
        <w:rPr>
          <w:rFonts w:ascii="宋体" w:hAnsi="宋体" w:cs="宋体" w:eastAsia="宋体" w:hint="default"/>
          <w:sz w:val="21"/>
          <w:szCs w:val="21"/>
        </w:rPr>
      </w:r>
    </w:p>
    <w:p>
      <w:pPr>
        <w:spacing w:before="56"/>
        <w:ind w:left="5294" w:right="0" w:firstLine="0"/>
        <w:jc w:val="left"/>
        <w:rPr>
          <w:rFonts w:ascii="宋体" w:hAnsi="宋体" w:cs="宋体" w:eastAsia="宋体" w:hint="default"/>
          <w:sz w:val="21"/>
          <w:szCs w:val="21"/>
        </w:rPr>
      </w:pPr>
      <w:r>
        <w:rPr>
          <w:rFonts w:ascii="宋体" w:hAnsi="宋体" w:cs="宋体" w:eastAsia="宋体" w:hint="default"/>
          <w:sz w:val="21"/>
          <w:szCs w:val="21"/>
        </w:rPr>
        <w:t>主管会计工作的负责人：</w:t>
      </w:r>
      <w:r>
        <w:rPr>
          <w:rFonts w:ascii="宋体" w:hAnsi="宋体" w:cs="宋体" w:eastAsia="宋体" w:hint="default"/>
          <w:sz w:val="21"/>
          <w:szCs w:val="21"/>
          <w:u w:val="single" w:color="000000"/>
        </w:rPr>
        <w:t>包叔平</w:t>
      </w:r>
      <w:r>
        <w:rPr>
          <w:rFonts w:ascii="宋体" w:hAnsi="宋体" w:cs="宋体" w:eastAsia="宋体" w:hint="default"/>
          <w:sz w:val="21"/>
          <w:szCs w:val="21"/>
        </w:rPr>
      </w:r>
    </w:p>
    <w:p>
      <w:pPr>
        <w:spacing w:line="240" w:lineRule="auto" w:before="6"/>
        <w:rPr>
          <w:rFonts w:ascii="宋体" w:hAnsi="宋体" w:cs="宋体" w:eastAsia="宋体" w:hint="default"/>
          <w:sz w:val="15"/>
          <w:szCs w:val="15"/>
        </w:rPr>
      </w:pPr>
    </w:p>
    <w:p>
      <w:pPr>
        <w:spacing w:before="36"/>
        <w:ind w:left="5294" w:right="0" w:firstLine="0"/>
        <w:jc w:val="left"/>
        <w:rPr>
          <w:rFonts w:ascii="宋体" w:hAnsi="宋体" w:cs="宋体" w:eastAsia="宋体" w:hint="default"/>
          <w:sz w:val="21"/>
          <w:szCs w:val="21"/>
        </w:rPr>
      </w:pPr>
      <w:r>
        <w:rPr>
          <w:rFonts w:ascii="宋体" w:hAnsi="宋体" w:cs="宋体" w:eastAsia="宋体" w:hint="default"/>
          <w:sz w:val="21"/>
          <w:szCs w:val="21"/>
        </w:rPr>
        <w:t>会计机构负责人：</w:t>
      </w:r>
      <w:r>
        <w:rPr>
          <w:rFonts w:ascii="宋体" w:hAnsi="宋体" w:cs="宋体" w:eastAsia="宋体" w:hint="default"/>
          <w:sz w:val="21"/>
          <w:szCs w:val="21"/>
          <w:u w:val="single" w:color="000000"/>
        </w:rPr>
        <w:t>董樑</w:t>
      </w:r>
      <w:r>
        <w:rPr>
          <w:rFonts w:ascii="宋体" w:hAnsi="宋体" w:cs="宋体" w:eastAsia="宋体" w:hint="default"/>
          <w:sz w:val="21"/>
          <w:szCs w:val="21"/>
        </w:rPr>
      </w:r>
    </w:p>
    <w:p>
      <w:pPr>
        <w:spacing w:line="240" w:lineRule="auto" w:before="6"/>
        <w:rPr>
          <w:rFonts w:ascii="宋体" w:hAnsi="宋体" w:cs="宋体" w:eastAsia="宋体" w:hint="default"/>
          <w:sz w:val="15"/>
          <w:szCs w:val="15"/>
        </w:rPr>
      </w:pPr>
    </w:p>
    <w:p>
      <w:pPr>
        <w:spacing w:before="36"/>
        <w:ind w:left="5380" w:right="0" w:firstLine="0"/>
        <w:jc w:val="left"/>
        <w:rPr>
          <w:rFonts w:ascii="宋体" w:hAnsi="宋体" w:cs="宋体" w:eastAsia="宋体" w:hint="default"/>
          <w:sz w:val="21"/>
          <w:szCs w:val="21"/>
        </w:rPr>
      </w:pPr>
      <w:r>
        <w:rPr>
          <w:rFonts w:ascii="宋体" w:hAnsi="宋体" w:cs="宋体" w:eastAsia="宋体" w:hint="default"/>
          <w:spacing w:val="-3"/>
          <w:sz w:val="21"/>
          <w:szCs w:val="21"/>
        </w:rPr>
        <w:t>日期：</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type w:val="continuous"/>
          <w:pgSz w:w="11900" w:h="16840"/>
          <w:pgMar w:top="1040" w:bottom="1180" w:left="1080" w:right="580"/>
        </w:sectPr>
      </w:pPr>
    </w:p>
    <w:p>
      <w:pPr>
        <w:tabs>
          <w:tab w:pos="6943" w:val="left" w:leader="none"/>
        </w:tabs>
        <w:spacing w:before="22"/>
        <w:ind w:left="140" w:right="0" w:firstLine="0"/>
        <w:jc w:val="left"/>
        <w:rPr>
          <w:rFonts w:ascii="宋体" w:hAnsi="宋体" w:cs="宋体" w:eastAsia="宋体" w:hint="default"/>
          <w:sz w:val="18"/>
          <w:szCs w:val="18"/>
        </w:rPr>
      </w:pPr>
      <w:r>
        <w:rPr/>
        <w:drawing>
          <wp:inline distT="0" distB="0" distL="0" distR="0">
            <wp:extent cx="484631" cy="100584"/>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47" cstate="print"/>
                    <a:stretch>
                      <a:fillRect/>
                    </a:stretch>
                  </pic:blipFill>
                  <pic:spPr>
                    <a:xfrm>
                      <a:off x="0" y="0"/>
                      <a:ext cx="484631" cy="100584"/>
                    </a:xfrm>
                    <a:prstGeom prst="rect">
                      <a:avLst/>
                    </a:prstGeom>
                  </pic:spPr>
                </pic:pic>
              </a:graphicData>
            </a:graphic>
          </wp:inline>
        </w:drawing>
      </w:r>
      <w:r>
        <w:rPr/>
      </w:r>
      <w:r>
        <w:rPr>
          <w:rFonts w:ascii="Times New Roman" w:hAnsi="Times New Roman" w:cs="Times New Roman" w:eastAsia="Times New Roman" w:hint="default"/>
          <w:sz w:val="20"/>
          <w:szCs w:val="20"/>
        </w:rPr>
        <w:t> </w:t>
      </w:r>
      <w:r>
        <w:rPr>
          <w:rFonts w:ascii="宋体" w:hAnsi="宋体" w:cs="宋体" w:eastAsia="宋体" w:hint="default"/>
          <w:b/>
          <w:bCs/>
          <w:w w:val="95"/>
          <w:sz w:val="18"/>
          <w:szCs w:val="18"/>
        </w:rPr>
        <w:t>上海海隆软件股份有限公司</w:t>
        <w:tab/>
      </w: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p>
      <w:pPr>
        <w:spacing w:line="240" w:lineRule="auto" w:before="7"/>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8.95pt;height:.5pt;mso-position-horizontal-relative:char;mso-position-vertical-relative:line" coordorigin="0,0" coordsize="8379,10">
            <v:group style="position:absolute;left:5;top:5;width:8369;height:2" coordorigin="5,5" coordsize="8369,2">
              <v:shape style="position:absolute;left:5;top:5;width:8369;height:2" coordorigin="5,5" coordsize="8369,0" path="m5,5l8374,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7"/>
          <w:szCs w:val="27"/>
        </w:rPr>
      </w:pPr>
    </w:p>
    <w:p>
      <w:pPr>
        <w:pStyle w:val="Heading1"/>
        <w:tabs>
          <w:tab w:pos="4133" w:val="left" w:leader="none"/>
        </w:tabs>
        <w:spacing w:line="240" w:lineRule="auto"/>
        <w:ind w:left="2525" w:right="0"/>
        <w:jc w:val="left"/>
        <w:rPr>
          <w:b w:val="0"/>
          <w:bCs w:val="0"/>
        </w:rPr>
      </w:pPr>
      <w:bookmarkStart w:name="_TOC_250000" w:id="11"/>
      <w:r>
        <w:rPr>
          <w:w w:val="95"/>
        </w:rPr>
        <w:t>第十一节</w:t>
        <w:tab/>
      </w:r>
      <w:r>
        <w:rPr/>
        <w:t>备查文件目录</w:t>
      </w:r>
      <w:bookmarkEnd w:id="11"/>
      <w:r>
        <w:rPr>
          <w:b w:val="0"/>
          <w:bCs w:val="0"/>
        </w:rPr>
      </w:r>
    </w:p>
    <w:p>
      <w:pPr>
        <w:spacing w:line="240" w:lineRule="auto" w:before="0"/>
        <w:rPr>
          <w:rFonts w:ascii="宋体" w:hAnsi="宋体" w:cs="宋体" w:eastAsia="宋体" w:hint="default"/>
          <w:b/>
          <w:bCs/>
          <w:sz w:val="32"/>
          <w:szCs w:val="32"/>
        </w:rPr>
      </w:pPr>
    </w:p>
    <w:p>
      <w:pPr>
        <w:pStyle w:val="BodyText"/>
        <w:spacing w:line="357" w:lineRule="auto" w:before="242"/>
        <w:ind w:left="380" w:right="160"/>
        <w:jc w:val="left"/>
      </w:pPr>
      <w:r>
        <w:rPr/>
        <w:t>公司在办公地点备置有完整、齐备的下列文件： 1、载有公司法定代表人、主管会计工作负责人、会计机构负责人签名并盖章</w:t>
      </w:r>
    </w:p>
    <w:p>
      <w:pPr>
        <w:pStyle w:val="BodyText"/>
        <w:spacing w:line="357" w:lineRule="auto"/>
        <w:ind w:left="380" w:right="160" w:hanging="243"/>
        <w:jc w:val="left"/>
      </w:pPr>
      <w:r>
        <w:rPr/>
        <w:t>的会计报表。 2、载有上海众华沪银会计师事务所有限公司盖章、注册会计师签名并盖章的</w:t>
      </w:r>
    </w:p>
    <w:p>
      <w:pPr>
        <w:pStyle w:val="BodyText"/>
        <w:spacing w:line="357" w:lineRule="auto"/>
        <w:ind w:left="380" w:right="160" w:hanging="243"/>
        <w:jc w:val="left"/>
      </w:pPr>
      <w:r>
        <w:rPr/>
        <w:t>审计报告原件。 3、报告期内在中国证监会指定信息披露报纸上公开披露过的所有公司文件的</w:t>
      </w:r>
    </w:p>
    <w:p>
      <w:pPr>
        <w:pStyle w:val="BodyText"/>
        <w:spacing w:line="240" w:lineRule="auto"/>
        <w:ind w:left="137" w:right="0"/>
        <w:jc w:val="left"/>
      </w:pPr>
      <w:r>
        <w:rPr/>
        <w:t>正本及公告原稿。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Heading2"/>
        <w:spacing w:line="240" w:lineRule="auto"/>
        <w:ind w:right="149" w:firstLine="0"/>
        <w:jc w:val="right"/>
        <w:rPr>
          <w:b w:val="0"/>
          <w:bCs w:val="0"/>
        </w:rPr>
      </w:pPr>
      <w:r>
        <w:rPr>
          <w:w w:val="95"/>
        </w:rPr>
        <w:t>上海海隆软件股份有限公司</w:t>
      </w:r>
      <w:r>
        <w:rPr>
          <w:b w:val="0"/>
          <w:bCs w:val="0"/>
        </w:rPr>
      </w:r>
    </w:p>
    <w:p>
      <w:pPr>
        <w:spacing w:line="240" w:lineRule="auto" w:before="9"/>
        <w:rPr>
          <w:rFonts w:ascii="宋体" w:hAnsi="宋体" w:cs="宋体" w:eastAsia="宋体" w:hint="default"/>
          <w:b/>
          <w:bCs/>
          <w:sz w:val="19"/>
          <w:szCs w:val="19"/>
        </w:rPr>
      </w:pPr>
    </w:p>
    <w:p>
      <w:pPr>
        <w:pStyle w:val="Heading2"/>
        <w:spacing w:line="408" w:lineRule="auto"/>
        <w:ind w:left="6615" w:right="149"/>
        <w:jc w:val="right"/>
        <w:rPr>
          <w:b w:val="0"/>
          <w:bCs w:val="0"/>
        </w:rPr>
      </w:pPr>
      <w:r>
        <w:rPr>
          <w:w w:val="95"/>
        </w:rPr>
        <w:t>董事长：包叔平</w:t>
      </w:r>
      <w:r>
        <w:rPr>
          <w:spacing w:val="-42"/>
          <w:w w:val="95"/>
        </w:rPr>
        <w:t> </w:t>
      </w:r>
      <w:r>
        <w:rPr>
          <w:spacing w:val="-42"/>
          <w:w w:val="95"/>
        </w:rPr>
      </w:r>
      <w:r>
        <w:rPr>
          <w:w w:val="95"/>
        </w:rPr>
        <w:t>2011年4月11日</w:t>
      </w:r>
      <w:r>
        <w:rPr>
          <w:b w:val="0"/>
          <w:bCs w:val="0"/>
        </w:rPr>
      </w:r>
    </w:p>
    <w:sectPr>
      <w:headerReference w:type="default" r:id="rId45"/>
      <w:footerReference w:type="default" r:id="rId46"/>
      <w:pgSz w:w="11900" w:h="16840"/>
      <w:pgMar w:header="0" w:footer="983" w:top="800" w:bottom="1180" w:left="1660" w:right="1640"/>
      <w:pgNumType w:start="13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Malgun Gothic">
    <w:altName w:val="Malgun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20007pt;margin-top:781.837952pt;width:8.5pt;height:11pt;mso-position-horizontal-relative:page;mso-position-vertical-relative:page;z-index:-554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237915pt;width:13.1pt;height:11pt;mso-position-horizontal-relative:page;mso-position-vertical-relative:page;z-index:-553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959991pt;margin-top:781.837952pt;width:13.1pt;height:11pt;mso-position-horizontal-relative:page;mso-position-vertical-relative:page;z-index:-553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959991pt;margin-top:781.837952pt;width:13.1pt;height:11pt;mso-position-horizontal-relative:page;mso-position-vertical-relative:page;z-index:-553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959991pt;margin-top:781.837952pt;width:13.1pt;height:11pt;mso-position-horizontal-relative:page;mso-position-vertical-relative:page;z-index:-553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237915pt;width:13.1pt;height:11pt;mso-position-horizontal-relative:page;mso-position-vertical-relative:page;z-index:-553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0.959991pt;margin-top:781.837952pt;width:13.1pt;height:11pt;mso-position-horizontal-relative:page;mso-position-vertical-relative:page;z-index:-553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679993pt;margin-top:781.837952pt;width:17.650pt;height:11pt;mso-position-horizontal-relative:page;mso-position-vertical-relative:page;z-index:-553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920013pt;margin-top:781.837952pt;width:17.3pt;height:11pt;mso-position-horizontal-relative:page;mso-position-vertical-relative:page;z-index:-553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679993pt;margin-top:781.837952pt;width:17.650pt;height:11pt;mso-position-horizontal-relative:page;mso-position-vertical-relative:page;z-index:-553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19995pt;margin-top:535.237915pt;width:17.650pt;height:11pt;mso-position-horizontal-relative:page;mso-position-vertical-relative:page;z-index:-553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37952pt;width:20.4pt;height:11pt;mso-position-horizontal-relative:page;mso-position-vertical-relative:page;z-index:-554464" type="#_x0000_t202" filled="false" stroked="false">
          <v:textbox inset="0,0,0,0">
            <w:txbxContent>
              <w:p>
                <w:pPr>
                  <w:spacing w:line="204" w:lineRule="exact" w:before="0"/>
                  <w:ind w:left="186"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6.200012pt;margin-top:781.837952pt;width:17.650pt;height:11pt;mso-position-horizontal-relative:page;mso-position-vertical-relative:page;z-index:-553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37952pt;width:17.650pt;height:11pt;mso-position-horizontal-relative:page;mso-position-vertical-relative:page;z-index:-553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37952pt;width:17.650pt;height:11pt;mso-position-horizontal-relative:page;mso-position-vertical-relative:page;z-index:-553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37952pt;width:17.650pt;height:11pt;mso-position-horizontal-relative:page;mso-position-vertical-relative:page;z-index:-553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37952pt;width:13.2pt;height:11pt;mso-position-horizontal-relative:page;mso-position-vertical-relative:page;z-index:-554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079987pt;margin-top:781.837952pt;width:20.3pt;height:11pt;mso-position-horizontal-relative:page;mso-position-vertical-relative:page;z-index:-554416" type="#_x0000_t202" filled="false" stroked="false">
          <v:textbox inset="0,0,0,0">
            <w:txbxContent>
              <w:p>
                <w:pPr>
                  <w:spacing w:line="204" w:lineRule="exact" w:before="0"/>
                  <w:ind w:left="183"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079987pt;margin-top:781.837952pt;width:13.1pt;height:11pt;mso-position-horizontal-relative:page;mso-position-vertical-relative:page;z-index:-554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9994pt;margin-top:535.237915pt;width:13.1pt;height:11pt;mso-position-horizontal-relative:page;mso-position-vertical-relative:page;z-index:-554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279999pt;margin-top:781.837952pt;width:13.1pt;height:11pt;mso-position-horizontal-relative:page;mso-position-vertical-relative:page;z-index:-554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37952pt;width:16.9pt;height:11pt;mso-position-horizontal-relative:page;mso-position-vertical-relative:page;z-index:-554032" type="#_x0000_t202" filled="false" stroked="false">
          <v:textbox inset="0,0,0,0">
            <w:txbxContent>
              <w:p>
                <w:pPr>
                  <w:spacing w:line="204" w:lineRule="exact" w:before="0"/>
                  <w:ind w:left="102"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37952pt;width:13.1pt;height:11pt;mso-position-horizontal-relative:page;mso-position-vertical-relative:page;z-index:-554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90pt;margin-top:43.689999pt;width:38.28pt;height:7.92pt;mso-position-horizontal-relative:page;mso-position-vertical-relative:page;z-index:-554584" type="#_x0000_t75" stroked="false">
          <v:imagedata r:id="rId1" o:title=""/>
        </v:shape>
      </w:pict>
    </w:r>
    <w:r>
      <w:rPr/>
      <w:pict>
        <v:group style="position:absolute;margin-left:88.559998pt;margin-top:55.564999pt;width:418.2pt;height:.1pt;mso-position-horizontal-relative:page;mso-position-vertical-relative:page;z-index:-554560" coordorigin="1771,1111" coordsize="8364,2">
          <v:shape style="position:absolute;left:1771;top:1111;width:8364;height:2" coordorigin="1771,1111" coordsize="8364,0" path="m1771,1111l10135,1111e" filled="false" stroked="true" strokeweight=".71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31.839996pt;margin-top:42.865623pt;width:110.4pt;height:11pt;mso-position-horizontal-relative:page;mso-position-vertical-relative:page;z-index:-5545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29.320007pt;margin-top:42.865623pt;width:67.55pt;height:11pt;mso-position-horizontal-relative:page;mso-position-vertical-relative:page;z-index:-554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40002pt;margin-top:90.489998pt;width:493.1pt;height:.1pt;mso-position-horizontal-relative:page;mso-position-vertical-relative:page;z-index:-553456" coordorigin="1769,1810" coordsize="9862,2">
          <v:shape style="position:absolute;left:1769;top:1810;width:9862;height:2" coordorigin="1769,1810" coordsize="9862,0" path="m1769,1810l11630,1810e" filled="false" stroked="true" strokeweight=".48pt" strokecolor="#000000">
            <v:path arrowok="t"/>
          </v:shape>
          <w10:wrap type="none"/>
        </v:group>
      </w:pict>
    </w:r>
    <w:r>
      <w:rPr/>
      <w:pict>
        <v:shape style="position:absolute;margin-left:88.879997pt;margin-top:43.287498pt;width:206pt;height:45.2pt;mso-position-horizontal-relative:page;mso-position-vertical-relative:page;z-index:-553432"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314" w:lineRule="exact" w:before="27"/>
                  <w:ind w:left="20" w:right="18"/>
                  <w:jc w:val="left"/>
                </w:pPr>
                <w:r>
                  <w:rPr>
                    <w:rFonts w:ascii="Arial" w:hAnsi="Arial" w:cs="Arial" w:eastAsia="Arial" w:hint="default"/>
                  </w:rPr>
                  <w:t>2010</w:t>
                </w:r>
                <w:r>
                  <w:rPr>
                    <w:rFonts w:ascii="Arial" w:hAnsi="Arial" w:cs="Arial" w:eastAsia="Arial" w:hint="default"/>
                    <w:spacing w:val="-7"/>
                  </w:rPr>
                  <w:t> </w:t>
                </w:r>
                <w:r>
                  <w:rPr/>
                  <w:t>年度财务报表附注 (除特别注明外，金额单位为人民币元)</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040001pt;margin-top:43.689999pt;width:38.160pt;height:7.92pt;mso-position-horizontal-relative:page;mso-position-vertical-relative:page;z-index:-554392" type="#_x0000_t75" stroked="false">
          <v:imagedata r:id="rId1" o:title=""/>
        </v:shape>
      </w:pict>
    </w:r>
    <w:r>
      <w:rPr/>
      <w:pict>
        <v:group style="position:absolute;margin-left:69.480003pt;margin-top:55.564999pt;width:442.35pt;height:.1pt;mso-position-horizontal-relative:page;mso-position-vertical-relative:page;z-index:-554368" coordorigin="1390,1111" coordsize="8847,2">
          <v:shape style="position:absolute;left:1390;top:1111;width:8847;height:2" coordorigin="1390,1111" coordsize="8847,0" path="m1390,1111l10236,1111e" filled="false" stroked="true" strokeweight=".71pt" strokecolor="#000000">
            <v:path arrowok="t"/>
          </v:shape>
          <w10:wrap type="none"/>
        </v:group>
      </w:pict>
    </w:r>
    <w:r>
      <w:rPr/>
      <w:pict>
        <v:shape style="position:absolute;margin-left:112.760002pt;margin-top:42.865623pt;width:110.4pt;height:11pt;mso-position-horizontal-relative:page;mso-position-vertical-relative:page;z-index:-5543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10.23999pt;margin-top:42.865623pt;width:67.55pt;height:11pt;mso-position-horizontal-relative:page;mso-position-vertical-relative:page;z-index:-554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3.689999pt;width:38.28pt;height:7.92pt;mso-position-horizontal-relative:page;mso-position-vertical-relative:page;z-index:-554272" type="#_x0000_t75" stroked="false">
          <v:imagedata r:id="rId1" o:title=""/>
        </v:shape>
      </w:pict>
    </w:r>
    <w:r>
      <w:rPr/>
      <w:pict>
        <v:group style="position:absolute;margin-left:70.559998pt;margin-top:55.564999pt;width:700.8pt;height:.1pt;mso-position-horizontal-relative:page;mso-position-vertical-relative:page;z-index:-554248" coordorigin="1411,1111" coordsize="14016,2">
          <v:shape style="position:absolute;left:1411;top:1111;width:14016;height:2" coordorigin="1411,1111" coordsize="14016,0" path="m1411,1111l15427,1111e" filled="false" stroked="true" strokeweight=".71pt" strokecolor="#000000">
            <v:path arrowok="t"/>
          </v:shape>
          <w10:wrap type="none"/>
        </v:group>
      </w:pict>
    </w:r>
    <w:r>
      <w:rPr/>
      <w:pict>
        <v:shape style="position:absolute;margin-left:113.839996pt;margin-top:42.865623pt;width:110.4pt;height:11pt;mso-position-horizontal-relative:page;mso-position-vertical-relative:page;z-index:-5542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11.320007pt;margin-top:42.865623pt;width:67.55pt;height:11pt;mso-position-horizontal-relative:page;mso-position-vertical-relative:page;z-index:-554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90pt;margin-top:43.689999pt;width:38.28pt;height:7.92pt;mso-position-horizontal-relative:page;mso-position-vertical-relative:page;z-index:-554152" type="#_x0000_t75" stroked="false">
          <v:imagedata r:id="rId1" o:title=""/>
        </v:shape>
      </w:pict>
    </w:r>
    <w:r>
      <w:rPr/>
      <w:pict>
        <v:group style="position:absolute;margin-left:88.559998pt;margin-top:55.564999pt;width:424.55pt;height:.1pt;mso-position-horizontal-relative:page;mso-position-vertical-relative:page;z-index:-554128" coordorigin="1771,1111" coordsize="8491,2">
          <v:shape style="position:absolute;left:1771;top:1111;width:8491;height:2" coordorigin="1771,1111" coordsize="8491,0" path="m1771,1111l10262,1111e" filled="false" stroked="true" strokeweight=".71pt" strokecolor="#000000">
            <v:path arrowok="t"/>
          </v:shape>
          <w10:wrap type="none"/>
        </v:group>
      </w:pict>
    </w:r>
    <w:r>
      <w:rPr/>
      <w:pict>
        <v:shape style="position:absolute;margin-left:131.839996pt;margin-top:42.865623pt;width:110.4pt;height:11pt;mso-position-horizontal-relative:page;mso-position-vertical-relative:page;z-index:-554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29.320007pt;margin-top:42.865623pt;width:67.55pt;height:11pt;mso-position-horizontal-relative:page;mso-position-vertical-relative:page;z-index:-554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3.689999pt;width:38.28pt;height:7.92pt;mso-position-horizontal-relative:page;mso-position-vertical-relative:page;z-index:-553984" type="#_x0000_t75" stroked="false">
          <v:imagedata r:id="rId1" o:title=""/>
        </v:shape>
      </w:pict>
    </w:r>
    <w:r>
      <w:rPr/>
      <w:pict>
        <v:group style="position:absolute;margin-left:70.559998pt;margin-top:55.564999pt;width:700.8pt;height:.1pt;mso-position-horizontal-relative:page;mso-position-vertical-relative:page;z-index:-553960" coordorigin="1411,1111" coordsize="14016,2">
          <v:shape style="position:absolute;left:1411;top:1111;width:14016;height:2" coordorigin="1411,1111" coordsize="14016,0" path="m1411,1111l15427,1111e" filled="false" stroked="true" strokeweight=".71pt" strokecolor="#000000">
            <v:path arrowok="t"/>
          </v:shape>
          <w10:wrap type="none"/>
        </v:group>
      </w:pict>
    </w:r>
    <w:r>
      <w:rPr/>
      <w:pict>
        <v:shape style="position:absolute;margin-left:113.839996pt;margin-top:42.865623pt;width:110.4pt;height:11pt;mso-position-horizontal-relative:page;mso-position-vertical-relative:page;z-index:-5539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上海海隆软件股份有限公司</w:t>
                </w:r>
                <w:r>
                  <w:rPr>
                    <w:rFonts w:ascii="宋体" w:hAnsi="宋体" w:cs="宋体" w:eastAsia="宋体" w:hint="default"/>
                    <w:sz w:val="18"/>
                    <w:szCs w:val="18"/>
                  </w:rPr>
                </w:r>
              </w:p>
            </w:txbxContent>
          </v:textbox>
          <w10:wrap type="none"/>
        </v:shape>
      </w:pict>
    </w:r>
    <w:r>
      <w:rPr/>
      <w:pict>
        <v:shape style="position:absolute;margin-left:411.320007pt;margin-top:42.865623pt;width:67.55pt;height:11pt;mso-position-horizontal-relative:page;mso-position-vertical-relative:page;z-index:-5539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8"/>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59998pt;margin-top:90.489998pt;width:457.95pt;height:.1pt;mso-position-horizontal-relative:page;mso-position-vertical-relative:page;z-index:-553864" coordorigin="1771,1810" coordsize="9159,2">
          <v:shape style="position:absolute;left:1771;top:1810;width:9159;height:2" coordorigin="1771,1810" coordsize="9159,0" path="m1771,1810l10929,1810e" filled="false" stroked="true" strokeweight=".48pt" strokecolor="#000000">
            <v:path arrowok="t"/>
          </v:shape>
          <w10:wrap type="none"/>
        </v:group>
      </w:pict>
    </w:r>
    <w:r>
      <w:rPr/>
      <w:pict>
        <v:shape style="position:absolute;margin-left:89pt;margin-top:43.287498pt;width:206pt;height:45.2pt;mso-position-horizontal-relative:page;mso-position-vertical-relative:page;z-index:-553840"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314" w:lineRule="exact" w:before="27"/>
                  <w:ind w:left="20" w:right="18"/>
                  <w:jc w:val="left"/>
                </w:pPr>
                <w:r>
                  <w:rPr>
                    <w:rFonts w:ascii="Arial" w:hAnsi="Arial" w:cs="Arial" w:eastAsia="Arial" w:hint="default"/>
                  </w:rPr>
                  <w:t>2010</w:t>
                </w:r>
                <w:r>
                  <w:rPr>
                    <w:rFonts w:ascii="Arial" w:hAnsi="Arial" w:cs="Arial" w:eastAsia="Arial" w:hint="default"/>
                    <w:spacing w:val="-7"/>
                  </w:rPr>
                  <w:t> </w:t>
                </w:r>
                <w:r>
                  <w:rPr/>
                  <w:t>年度财务报表附注 (除特别注明外，金额单位为人民币元)</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90.489998pt;width:700.8pt;height:.1pt;mso-position-horizontal-relative:page;mso-position-vertical-relative:page;z-index:-553744" coordorigin="1411,1810" coordsize="14016,2">
          <v:shape style="position:absolute;left:1411;top:1810;width:14016;height:2" coordorigin="1411,1810" coordsize="14016,0" path="m1411,1810l15427,1810e" filled="false" stroked="true" strokeweight=".48pt" strokecolor="#000000">
            <v:path arrowok="t"/>
          </v:shape>
          <w10:wrap type="none"/>
        </v:group>
      </w:pict>
    </w:r>
    <w:r>
      <w:rPr/>
      <w:pict>
        <v:shape style="position:absolute;margin-left:71pt;margin-top:43.287498pt;width:206pt;height:45.2pt;mso-position-horizontal-relative:page;mso-position-vertical-relative:page;z-index:-553720"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314" w:lineRule="exact" w:before="27"/>
                  <w:ind w:left="20" w:right="18"/>
                  <w:jc w:val="left"/>
                </w:pPr>
                <w:r>
                  <w:rPr>
                    <w:rFonts w:ascii="Arial" w:hAnsi="Arial" w:cs="Arial" w:eastAsia="Arial" w:hint="default"/>
                  </w:rPr>
                  <w:t>2010</w:t>
                </w:r>
                <w:r>
                  <w:rPr>
                    <w:rFonts w:ascii="Arial" w:hAnsi="Arial" w:cs="Arial" w:eastAsia="Arial" w:hint="default"/>
                    <w:spacing w:val="-7"/>
                  </w:rPr>
                  <w:t> </w:t>
                </w:r>
                <w:r>
                  <w:rPr/>
                  <w:t>年度财务报表附注 (除特别注明外，金额单位为人民币元)</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59998pt;margin-top:90.489998pt;width:457.95pt;height:.1pt;mso-position-horizontal-relative:page;mso-position-vertical-relative:page;z-index:-553672" coordorigin="1771,1810" coordsize="9159,2">
          <v:shape style="position:absolute;left:1771;top:1810;width:9159;height:2" coordorigin="1771,1810" coordsize="9159,0" path="m1771,1810l10929,1810e" filled="false" stroked="true" strokeweight=".48pt" strokecolor="#000000">
            <v:path arrowok="t"/>
          </v:shape>
          <w10:wrap type="none"/>
        </v:group>
      </w:pict>
    </w:r>
    <w:r>
      <w:rPr/>
      <w:pict>
        <v:shape style="position:absolute;margin-left:89pt;margin-top:43.287498pt;width:206pt;height:45.2pt;mso-position-horizontal-relative:page;mso-position-vertical-relative:page;z-index:-553648"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314" w:lineRule="exact" w:before="27"/>
                  <w:ind w:left="20" w:right="18"/>
                  <w:jc w:val="left"/>
                </w:pPr>
                <w:r>
                  <w:rPr>
                    <w:rFonts w:ascii="Arial" w:hAnsi="Arial" w:cs="Arial" w:eastAsia="Arial" w:hint="default"/>
                  </w:rPr>
                  <w:t>2010</w:t>
                </w:r>
                <w:r>
                  <w:rPr>
                    <w:rFonts w:ascii="Arial" w:hAnsi="Arial" w:cs="Arial" w:eastAsia="Arial" w:hint="default"/>
                    <w:spacing w:val="-7"/>
                  </w:rPr>
                  <w:t> </w:t>
                </w:r>
                <w:r>
                  <w:rPr/>
                  <w:t>年度财务报表附注 (除特别注明外，金额单位为人民币元)</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90.489998pt;width:700.8pt;height:.1pt;mso-position-horizontal-relative:page;mso-position-vertical-relative:page;z-index:-553528" coordorigin="1411,1810" coordsize="14016,2">
          <v:shape style="position:absolute;left:1411;top:1810;width:14016;height:2" coordorigin="1411,1810" coordsize="14016,0" path="m1411,1810l15427,1810e" filled="false" stroked="true" strokeweight=".48pt" strokecolor="#000000">
            <v:path arrowok="t"/>
          </v:shape>
          <w10:wrap type="none"/>
        </v:group>
      </w:pict>
    </w:r>
    <w:r>
      <w:rPr/>
      <w:pict>
        <v:shape style="position:absolute;margin-left:71pt;margin-top:43.287498pt;width:206pt;height:45.2pt;mso-position-horizontal-relative:page;mso-position-vertical-relative:page;z-index:-553504" type="#_x0000_t202" filled="false" stroked="false">
          <v:textbox inset="0,0,0,0">
            <w:txbxContent>
              <w:p>
                <w:pPr>
                  <w:pStyle w:val="BodyText"/>
                  <w:spacing w:line="258" w:lineRule="exact" w:before="0"/>
                  <w:ind w:left="20" w:right="0"/>
                  <w:jc w:val="left"/>
                </w:pPr>
                <w:r>
                  <w:rPr/>
                  <w:t>上海海隆软件股份有限公司</w:t>
                </w:r>
              </w:p>
              <w:p>
                <w:pPr>
                  <w:pStyle w:val="BodyText"/>
                  <w:spacing w:line="314" w:lineRule="exact" w:before="27"/>
                  <w:ind w:left="20" w:right="18"/>
                  <w:jc w:val="left"/>
                </w:pPr>
                <w:r>
                  <w:rPr>
                    <w:rFonts w:ascii="Arial" w:hAnsi="Arial" w:cs="Arial" w:eastAsia="Arial" w:hint="default"/>
                  </w:rPr>
                  <w:t>2010</w:t>
                </w:r>
                <w:r>
                  <w:rPr>
                    <w:rFonts w:ascii="Arial" w:hAnsi="Arial" w:cs="Arial" w:eastAsia="Arial" w:hint="default"/>
                    <w:spacing w:val="-7"/>
                  </w:rPr>
                  <w:t> </w:t>
                </w:r>
                <w:r>
                  <w:rPr/>
                  <w:t>年度财务报表附注 (除特别注明外，金额单位为人民币元)</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9"/>
      <w:ind w:left="140"/>
    </w:pPr>
    <w:rPr>
      <w:rFonts w:ascii="宋体" w:hAnsi="宋体" w:eastAsia="宋体"/>
      <w:b/>
      <w:bCs/>
      <w:sz w:val="24"/>
      <w:szCs w:val="24"/>
    </w:rPr>
  </w:style>
  <w:style w:styleId="BodyText" w:type="paragraph">
    <w:name w:val="Body Text"/>
    <w:basedOn w:val="Normal"/>
    <w:uiPriority w:val="1"/>
    <w:qFormat/>
    <w:pPr>
      <w:spacing w:before="36"/>
      <w:ind w:left="140"/>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hanging="135"/>
      <w:outlineLvl w:val="2"/>
    </w:pPr>
    <w:rPr>
      <w:rFonts w:ascii="宋体" w:hAnsi="宋体" w:eastAsia="宋体"/>
      <w:b/>
      <w:bCs/>
      <w:sz w:val="28"/>
      <w:szCs w:val="28"/>
    </w:rPr>
  </w:style>
  <w:style w:styleId="Heading3" w:type="paragraph">
    <w:name w:val="Heading 3"/>
    <w:basedOn w:val="Normal"/>
    <w:uiPriority w:val="1"/>
    <w:qFormat/>
    <w:pPr>
      <w:spacing w:before="26"/>
      <w:ind w:left="140"/>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hyron.com/"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footer" Target="footer4.xml"/><Relationship Id="rId15" Type="http://schemas.openxmlformats.org/officeDocument/2006/relationships/image" Target="media/image1.png"/><Relationship Id="rId16" Type="http://schemas.openxmlformats.org/officeDocument/2006/relationships/header" Target="header2.xml"/><Relationship Id="rId17" Type="http://schemas.openxmlformats.org/officeDocument/2006/relationships/footer" Target="footer5.xml"/><Relationship Id="rId18" Type="http://schemas.openxmlformats.org/officeDocument/2006/relationships/header" Target="header3.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5.xml"/><Relationship Id="rId25" Type="http://schemas.openxmlformats.org/officeDocument/2006/relationships/footer" Target="footer10.xml"/><Relationship Id="rId26" Type="http://schemas.openxmlformats.org/officeDocument/2006/relationships/header" Target="header6.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7.xml"/><Relationship Id="rId31" Type="http://schemas.openxmlformats.org/officeDocument/2006/relationships/footer" Target="footer14.xml"/><Relationship Id="rId32" Type="http://schemas.openxmlformats.org/officeDocument/2006/relationships/header" Target="header8.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footer" Target="footer18.xml"/><Relationship Id="rId37" Type="http://schemas.openxmlformats.org/officeDocument/2006/relationships/header" Target="header9.xml"/><Relationship Id="rId38" Type="http://schemas.openxmlformats.org/officeDocument/2006/relationships/footer" Target="footer19.xml"/><Relationship Id="rId39" Type="http://schemas.openxmlformats.org/officeDocument/2006/relationships/header" Target="header10.xml"/><Relationship Id="rId40" Type="http://schemas.openxmlformats.org/officeDocument/2006/relationships/footer" Target="footer20.xml"/><Relationship Id="rId41" Type="http://schemas.openxmlformats.org/officeDocument/2006/relationships/header" Target="header11.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header" Target="header12.xml"/><Relationship Id="rId46" Type="http://schemas.openxmlformats.org/officeDocument/2006/relationships/footer" Target="footer24.xml"/><Relationship Id="rId47"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wk</dc:creator>
  <dc:title>Microsoft Word - 上海海隆软件股份有限公司2010年年度报告</dc:title>
  <dcterms:created xsi:type="dcterms:W3CDTF">2020-04-29T01:58:11Z</dcterms:created>
  <dcterms:modified xsi:type="dcterms:W3CDTF">2020-04-29T01:58:11Z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2011-04-11T00:00:00Z</vt:filetime>
  </property>
  <property fmtid="{D5CDD505-2E9C-101B-9397-08002B2CF9AE}" pid="3" name="Creator">
    <vt:lpwstr>Microsoft Word - 上海海隆软件股份有限公司2010年年度报告</vt:lpwstr>
  </property>
  <property fmtid="{D5CDD505-2E9C-101B-9397-08002B2CF9AE}" pid="4" name="LastSaved">
    <vt:filetime>2020-04-28T00:00:00Z</vt:filetime>
  </property>
</Properties>
</file>