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line="621" w:lineRule="exact" w:before="0"/>
        <w:ind w:left="26" w:right="0" w:firstLine="0"/>
        <w:jc w:val="center"/>
        <w:rPr>
          <w:rFonts w:ascii="宋体" w:hAnsi="宋体" w:cs="宋体" w:eastAsia="宋体" w:hint="default"/>
          <w:sz w:val="52"/>
          <w:szCs w:val="52"/>
        </w:rPr>
      </w:pPr>
      <w:r>
        <w:rPr>
          <w:rFonts w:ascii="宋体" w:hAnsi="宋体" w:cs="宋体" w:eastAsia="宋体" w:hint="default"/>
          <w:sz w:val="52"/>
          <w:szCs w:val="52"/>
        </w:rPr>
        <w:t>上海海隆软件股份有限公司</w:t>
      </w:r>
    </w:p>
    <w:p>
      <w:pPr>
        <w:spacing w:before="255"/>
        <w:ind w:left="26" w:right="0" w:firstLine="0"/>
        <w:jc w:val="center"/>
        <w:rPr>
          <w:rFonts w:ascii="宋体" w:hAnsi="宋体" w:cs="宋体" w:eastAsia="宋体" w:hint="default"/>
          <w:sz w:val="52"/>
          <w:szCs w:val="52"/>
        </w:rPr>
      </w:pPr>
      <w:r>
        <w:rPr>
          <w:rFonts w:ascii="宋体"/>
          <w:sz w:val="52"/>
        </w:rPr>
        <w:t>SHANGHAI HYRON SOFTWARE</w:t>
      </w:r>
      <w:r>
        <w:rPr>
          <w:rFonts w:ascii="宋体"/>
          <w:spacing w:val="-4"/>
          <w:sz w:val="52"/>
        </w:rPr>
        <w:t> </w:t>
      </w:r>
      <w:r>
        <w:rPr>
          <w:rFonts w:ascii="宋体"/>
          <w:sz w:val="52"/>
        </w:rPr>
        <w:t>Co.,LTD.</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1173" w:lineRule="exact"/>
        <w:ind w:left="2422"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2882822" cy="74542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882822" cy="745426"/>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1"/>
        <w:rPr>
          <w:rFonts w:ascii="宋体" w:hAnsi="宋体" w:cs="宋体" w:eastAsia="宋体" w:hint="default"/>
          <w:sz w:val="11"/>
          <w:szCs w:val="11"/>
        </w:rPr>
      </w:pPr>
    </w:p>
    <w:p>
      <w:pPr>
        <w:spacing w:line="621" w:lineRule="exact" w:before="0"/>
        <w:ind w:left="28" w:right="0" w:firstLine="0"/>
        <w:jc w:val="center"/>
        <w:rPr>
          <w:rFonts w:ascii="宋体" w:hAnsi="宋体" w:cs="宋体" w:eastAsia="宋体" w:hint="default"/>
          <w:sz w:val="52"/>
          <w:szCs w:val="52"/>
        </w:rPr>
      </w:pPr>
      <w:r>
        <w:rPr>
          <w:rFonts w:ascii="宋体" w:hAnsi="宋体" w:cs="宋体" w:eastAsia="宋体" w:hint="default"/>
          <w:sz w:val="52"/>
          <w:szCs w:val="52"/>
        </w:rPr>
        <w:t>股票代码：</w:t>
      </w:r>
      <w:r>
        <w:rPr>
          <w:rFonts w:ascii="宋体" w:hAnsi="宋体" w:cs="宋体" w:eastAsia="宋体" w:hint="default"/>
          <w:sz w:val="52"/>
          <w:szCs w:val="52"/>
        </w:rPr>
        <w:t>002195</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8"/>
        <w:rPr>
          <w:rFonts w:ascii="宋体" w:hAnsi="宋体" w:cs="宋体" w:eastAsia="宋体" w:hint="default"/>
          <w:sz w:val="58"/>
          <w:szCs w:val="58"/>
        </w:rPr>
      </w:pPr>
    </w:p>
    <w:p>
      <w:pPr>
        <w:spacing w:before="0"/>
        <w:ind w:left="28" w:right="0" w:firstLine="0"/>
        <w:jc w:val="center"/>
        <w:rPr>
          <w:rFonts w:ascii="宋体" w:hAnsi="宋体" w:cs="宋体" w:eastAsia="宋体" w:hint="default"/>
          <w:sz w:val="52"/>
          <w:szCs w:val="52"/>
        </w:rPr>
      </w:pPr>
      <w:r>
        <w:rPr>
          <w:rFonts w:ascii="宋体" w:hAnsi="宋体" w:cs="宋体" w:eastAsia="宋体" w:hint="default"/>
          <w:sz w:val="52"/>
          <w:szCs w:val="52"/>
        </w:rPr>
        <w:t>二○一一年年度报告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before="348"/>
        <w:ind w:left="25" w:right="0" w:firstLine="0"/>
        <w:jc w:val="center"/>
        <w:rPr>
          <w:rFonts w:ascii="宋体" w:hAnsi="宋体" w:cs="宋体" w:eastAsia="宋体" w:hint="default"/>
          <w:sz w:val="32"/>
          <w:szCs w:val="32"/>
        </w:rPr>
      </w:pPr>
      <w:r>
        <w:rPr>
          <w:rFonts w:ascii="宋体" w:hAnsi="宋体" w:cs="宋体" w:eastAsia="宋体" w:hint="default"/>
          <w:sz w:val="32"/>
          <w:szCs w:val="32"/>
        </w:rPr>
        <w:t>二</w:t>
      </w:r>
      <w:r>
        <w:rPr>
          <w:rFonts w:ascii="Arial" w:hAnsi="Arial" w:cs="Arial" w:eastAsia="Arial" w:hint="default"/>
          <w:sz w:val="32"/>
          <w:szCs w:val="32"/>
        </w:rPr>
        <w:t>Ο</w:t>
      </w:r>
      <w:r>
        <w:rPr>
          <w:rFonts w:ascii="Arial" w:hAnsi="Arial" w:cs="Arial" w:eastAsia="Arial" w:hint="default"/>
          <w:spacing w:val="-23"/>
          <w:sz w:val="32"/>
          <w:szCs w:val="32"/>
        </w:rPr>
        <w:t> </w:t>
      </w:r>
      <w:r>
        <w:rPr>
          <w:rFonts w:ascii="宋体" w:hAnsi="宋体" w:cs="宋体" w:eastAsia="宋体" w:hint="default"/>
          <w:sz w:val="32"/>
          <w:szCs w:val="32"/>
        </w:rPr>
        <w:t>一二年四月</w:t>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76" w:footer="1186" w:top="1100" w:bottom="1380" w:left="1300" w:right="1240"/>
          <w:pgNumType w:start="1"/>
        </w:sectPr>
      </w:pPr>
    </w:p>
    <w:p>
      <w:pPr>
        <w:spacing w:line="240" w:lineRule="auto" w:before="5"/>
        <w:rPr>
          <w:rFonts w:ascii="宋体" w:hAnsi="宋体" w:cs="宋体" w:eastAsia="宋体" w:hint="default"/>
          <w:sz w:val="27"/>
          <w:szCs w:val="27"/>
        </w:rPr>
      </w:pPr>
    </w:p>
    <w:p>
      <w:pPr>
        <w:tabs>
          <w:tab w:pos="755" w:val="left" w:leader="none"/>
        </w:tabs>
        <w:spacing w:line="460" w:lineRule="exact" w:before="0"/>
        <w:ind w:left="3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30"/>
          <w:szCs w:val="30"/>
        </w:rPr>
      </w:pPr>
    </w:p>
    <w:sdt>
      <w:sdtPr>
        <w:docPartObj>
          <w:docPartGallery w:val="Table of Contents"/>
          <w:docPartUnique/>
        </w:docPartObj>
      </w:sdtPr>
      <w:sdtEndPr/>
      <w:sdtContent>
        <w:p>
          <w:pPr>
            <w:pStyle w:val="TOC1"/>
            <w:tabs>
              <w:tab w:pos="1148" w:val="left" w:leader="none"/>
              <w:tab w:pos="9004" w:val="right" w:leader="dot"/>
            </w:tabs>
            <w:spacing w:line="240" w:lineRule="auto" w:before="0"/>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2">
            <w:r>
              <w:rPr>
                <w:w w:val="95"/>
              </w:rPr>
              <w:t>第一节</w:t>
              <w:tab/>
            </w:r>
            <w:r>
              <w:rPr/>
              <w:t>重要提示</w:t>
            </w:r>
            <w:r>
              <w:rPr>
                <w:rFonts w:ascii="Calibri" w:hAnsi="Calibri" w:cs="Calibri" w:eastAsia="Calibri" w:hint="default"/>
              </w:rPr>
              <w:tab/>
              <w:t>3</w:t>
            </w:r>
            <w:r>
              <w:rPr>
                <w:rFonts w:ascii="Calibri" w:hAnsi="Calibri" w:cs="Calibri" w:eastAsia="Calibri" w:hint="default"/>
                <w:b w:val="0"/>
                <w:bCs w:val="0"/>
              </w:rPr>
            </w:r>
          </w:hyperlink>
        </w:p>
        <w:p>
          <w:pPr>
            <w:pStyle w:val="TOC1"/>
            <w:tabs>
              <w:tab w:pos="1148" w:val="left" w:leader="none"/>
              <w:tab w:pos="9004" w:val="right" w:leader="dot"/>
            </w:tabs>
            <w:spacing w:line="240" w:lineRule="auto"/>
            <w:ind w:right="0"/>
            <w:jc w:val="left"/>
            <w:rPr>
              <w:rFonts w:ascii="Calibri" w:hAnsi="Calibri" w:cs="Calibri" w:eastAsia="Calibri" w:hint="default"/>
              <w:b w:val="0"/>
              <w:bCs w:val="0"/>
            </w:rPr>
          </w:pPr>
          <w:hyperlink w:history="true" w:anchor="_TOC_250011">
            <w:r>
              <w:rPr>
                <w:w w:val="95"/>
              </w:rPr>
              <w:t>第二节</w:t>
              <w:tab/>
            </w:r>
            <w:r>
              <w:rPr/>
              <w:t>公司基本情况简介</w:t>
            </w:r>
            <w:r>
              <w:rPr>
                <w:rFonts w:ascii="Calibri" w:hAnsi="Calibri" w:cs="Calibri" w:eastAsia="Calibri" w:hint="default"/>
              </w:rPr>
              <w:tab/>
              <w:t>4</w:t>
            </w:r>
            <w:r>
              <w:rPr>
                <w:rFonts w:ascii="Calibri" w:hAnsi="Calibri" w:cs="Calibri" w:eastAsia="Calibri" w:hint="default"/>
                <w:b w:val="0"/>
                <w:bCs w:val="0"/>
              </w:rPr>
            </w:r>
          </w:hyperlink>
        </w:p>
        <w:p>
          <w:pPr>
            <w:pStyle w:val="TOC1"/>
            <w:tabs>
              <w:tab w:pos="1148" w:val="left" w:leader="none"/>
              <w:tab w:pos="9004" w:val="right" w:leader="dot"/>
            </w:tabs>
            <w:spacing w:line="240" w:lineRule="auto"/>
            <w:ind w:right="0"/>
            <w:jc w:val="left"/>
            <w:rPr>
              <w:rFonts w:ascii="Calibri" w:hAnsi="Calibri" w:cs="Calibri" w:eastAsia="Calibri" w:hint="default"/>
              <w:b w:val="0"/>
              <w:bCs w:val="0"/>
            </w:rPr>
          </w:pPr>
          <w:hyperlink w:history="true" w:anchor="_TOC_250010">
            <w:r>
              <w:rPr>
                <w:w w:val="95"/>
              </w:rPr>
              <w:t>第三节</w:t>
              <w:tab/>
            </w:r>
            <w:r>
              <w:rPr/>
              <w:t>会计数据和业务数据摘要</w:t>
            </w:r>
            <w:r>
              <w:rPr>
                <w:rFonts w:ascii="Calibri" w:hAnsi="Calibri" w:cs="Calibri" w:eastAsia="Calibri" w:hint="default"/>
              </w:rPr>
              <w:tab/>
              <w:t>6</w:t>
            </w:r>
            <w:r>
              <w:rPr>
                <w:rFonts w:ascii="Calibri" w:hAnsi="Calibri" w:cs="Calibri" w:eastAsia="Calibri" w:hint="default"/>
                <w:b w:val="0"/>
                <w:bCs w:val="0"/>
              </w:rPr>
            </w:r>
          </w:hyperlink>
        </w:p>
        <w:p>
          <w:pPr>
            <w:pStyle w:val="TOC1"/>
            <w:tabs>
              <w:tab w:pos="1148" w:val="left" w:leader="none"/>
              <w:tab w:pos="9004" w:val="right" w:leader="dot"/>
            </w:tabs>
            <w:spacing w:line="240" w:lineRule="auto"/>
            <w:ind w:right="0"/>
            <w:jc w:val="left"/>
            <w:rPr>
              <w:rFonts w:ascii="Calibri" w:hAnsi="Calibri" w:cs="Calibri" w:eastAsia="Calibri" w:hint="default"/>
              <w:b w:val="0"/>
              <w:bCs w:val="0"/>
            </w:rPr>
          </w:pPr>
          <w:hyperlink w:history="true" w:anchor="_TOC_250009">
            <w:r>
              <w:rPr>
                <w:w w:val="95"/>
              </w:rPr>
              <w:t>第四节</w:t>
              <w:tab/>
            </w:r>
            <w:r>
              <w:rPr/>
              <w:t>股本变动及股东情况</w:t>
            </w:r>
            <w:r>
              <w:rPr>
                <w:rFonts w:ascii="Calibri" w:hAnsi="Calibri" w:cs="Calibri" w:eastAsia="Calibri" w:hint="default"/>
              </w:rPr>
              <w:tab/>
              <w:t>8</w:t>
            </w:r>
            <w:r>
              <w:rPr>
                <w:rFonts w:ascii="Calibri" w:hAnsi="Calibri" w:cs="Calibri" w:eastAsia="Calibri" w:hint="default"/>
                <w:b w:val="0"/>
                <w:bCs w:val="0"/>
              </w:rPr>
            </w:r>
          </w:hyperlink>
        </w:p>
        <w:p>
          <w:pPr>
            <w:pStyle w:val="TOC1"/>
            <w:tabs>
              <w:tab w:pos="1148" w:val="left" w:leader="none"/>
              <w:tab w:pos="9007" w:val="right" w:leader="dot"/>
            </w:tabs>
            <w:spacing w:line="240" w:lineRule="auto" w:before="280"/>
            <w:ind w:right="0"/>
            <w:jc w:val="left"/>
            <w:rPr>
              <w:rFonts w:ascii="Calibri" w:hAnsi="Calibri" w:cs="Calibri" w:eastAsia="Calibri" w:hint="default"/>
              <w:b w:val="0"/>
              <w:bCs w:val="0"/>
            </w:rPr>
          </w:pPr>
          <w:hyperlink w:history="true" w:anchor="_TOC_250008">
            <w:r>
              <w:rPr>
                <w:w w:val="95"/>
              </w:rPr>
              <w:t>第五节</w:t>
              <w:tab/>
            </w:r>
            <w:r>
              <w:rPr/>
              <w:t>董事、监事、高级管理人员和员工情况</w:t>
            </w:r>
            <w:r>
              <w:rPr>
                <w:rFonts w:ascii="Calibri" w:hAnsi="Calibri" w:cs="Calibri" w:eastAsia="Calibri" w:hint="default"/>
              </w:rPr>
              <w:tab/>
              <w:t>14</w:t>
            </w:r>
            <w:r>
              <w:rPr>
                <w:rFonts w:ascii="Calibri" w:hAnsi="Calibri" w:cs="Calibri" w:eastAsia="Calibri" w:hint="default"/>
                <w:b w:val="0"/>
                <w:bCs w:val="0"/>
              </w:rPr>
            </w:r>
          </w:hyperlink>
        </w:p>
        <w:p>
          <w:pPr>
            <w:pStyle w:val="TOC1"/>
            <w:tabs>
              <w:tab w:pos="1148" w:val="left" w:leader="none"/>
              <w:tab w:pos="9007" w:val="right" w:leader="dot"/>
            </w:tabs>
            <w:spacing w:line="240" w:lineRule="auto"/>
            <w:ind w:right="0"/>
            <w:jc w:val="left"/>
            <w:rPr>
              <w:rFonts w:ascii="Calibri" w:hAnsi="Calibri" w:cs="Calibri" w:eastAsia="Calibri" w:hint="default"/>
              <w:b w:val="0"/>
              <w:bCs w:val="0"/>
            </w:rPr>
          </w:pPr>
          <w:hyperlink w:history="true" w:anchor="_TOC_250007">
            <w:r>
              <w:rPr>
                <w:w w:val="95"/>
              </w:rPr>
              <w:t>第六节</w:t>
              <w:tab/>
            </w:r>
            <w:r>
              <w:rPr/>
              <w:t>公司治理</w:t>
            </w:r>
            <w:r>
              <w:rPr>
                <w:rFonts w:ascii="Calibri" w:hAnsi="Calibri" w:cs="Calibri" w:eastAsia="Calibri" w:hint="default"/>
              </w:rPr>
              <w:tab/>
              <w:t>20</w:t>
            </w:r>
            <w:r>
              <w:rPr>
                <w:rFonts w:ascii="Calibri" w:hAnsi="Calibri" w:cs="Calibri" w:eastAsia="Calibri" w:hint="default"/>
                <w:b w:val="0"/>
                <w:bCs w:val="0"/>
              </w:rPr>
            </w:r>
          </w:hyperlink>
        </w:p>
        <w:p>
          <w:pPr>
            <w:pStyle w:val="TOC1"/>
            <w:tabs>
              <w:tab w:pos="1148" w:val="left" w:leader="none"/>
              <w:tab w:pos="9007" w:val="right" w:leader="dot"/>
            </w:tabs>
            <w:spacing w:line="240" w:lineRule="auto"/>
            <w:ind w:right="0"/>
            <w:jc w:val="left"/>
            <w:rPr>
              <w:rFonts w:ascii="Calibri" w:hAnsi="Calibri" w:cs="Calibri" w:eastAsia="Calibri" w:hint="default"/>
              <w:b w:val="0"/>
              <w:bCs w:val="0"/>
            </w:rPr>
          </w:pPr>
          <w:hyperlink w:history="true" w:anchor="_TOC_250006">
            <w:r>
              <w:rPr>
                <w:w w:val="95"/>
              </w:rPr>
              <w:t>第七节</w:t>
              <w:tab/>
            </w:r>
            <w:r>
              <w:rPr/>
              <w:t>内部控制</w:t>
            </w:r>
            <w:r>
              <w:rPr>
                <w:rFonts w:ascii="Calibri" w:hAnsi="Calibri" w:cs="Calibri" w:eastAsia="Calibri" w:hint="default"/>
              </w:rPr>
              <w:tab/>
              <w:t>29</w:t>
            </w:r>
            <w:r>
              <w:rPr>
                <w:rFonts w:ascii="Calibri" w:hAnsi="Calibri" w:cs="Calibri" w:eastAsia="Calibri" w:hint="default"/>
                <w:b w:val="0"/>
                <w:bCs w:val="0"/>
              </w:rPr>
            </w:r>
          </w:hyperlink>
        </w:p>
        <w:p>
          <w:pPr>
            <w:pStyle w:val="TOC1"/>
            <w:tabs>
              <w:tab w:pos="1148" w:val="left" w:leader="none"/>
              <w:tab w:pos="9007" w:val="right" w:leader="dot"/>
            </w:tabs>
            <w:spacing w:line="240" w:lineRule="auto"/>
            <w:ind w:right="0"/>
            <w:jc w:val="left"/>
            <w:rPr>
              <w:rFonts w:ascii="Calibri" w:hAnsi="Calibri" w:cs="Calibri" w:eastAsia="Calibri" w:hint="default"/>
              <w:b w:val="0"/>
              <w:bCs w:val="0"/>
            </w:rPr>
          </w:pPr>
          <w:hyperlink w:history="true" w:anchor="_TOC_250005">
            <w:r>
              <w:rPr>
                <w:w w:val="95"/>
              </w:rPr>
              <w:t>第八节</w:t>
              <w:tab/>
            </w:r>
            <w:r>
              <w:rPr/>
              <w:t>股东大会情况介绍</w:t>
            </w:r>
            <w:r>
              <w:rPr>
                <w:rFonts w:ascii="Calibri" w:hAnsi="Calibri" w:cs="Calibri" w:eastAsia="Calibri" w:hint="default"/>
              </w:rPr>
              <w:tab/>
              <w:t>36</w:t>
            </w:r>
            <w:r>
              <w:rPr>
                <w:rFonts w:ascii="Calibri" w:hAnsi="Calibri" w:cs="Calibri" w:eastAsia="Calibri" w:hint="default"/>
                <w:b w:val="0"/>
                <w:bCs w:val="0"/>
              </w:rPr>
            </w:r>
          </w:hyperlink>
        </w:p>
        <w:p>
          <w:pPr>
            <w:pStyle w:val="TOC1"/>
            <w:tabs>
              <w:tab w:pos="1148" w:val="left" w:leader="none"/>
              <w:tab w:pos="9002" w:val="right" w:leader="dot"/>
            </w:tabs>
            <w:spacing w:line="240" w:lineRule="auto"/>
            <w:ind w:right="0"/>
            <w:jc w:val="left"/>
            <w:rPr>
              <w:rFonts w:ascii="Calibri" w:hAnsi="Calibri" w:cs="Calibri" w:eastAsia="Calibri" w:hint="default"/>
              <w:b w:val="0"/>
              <w:bCs w:val="0"/>
            </w:rPr>
          </w:pPr>
          <w:hyperlink w:history="true" w:anchor="_TOC_250004">
            <w:r>
              <w:rPr>
                <w:w w:val="95"/>
              </w:rPr>
              <w:t>第九节</w:t>
              <w:tab/>
            </w:r>
            <w:r>
              <w:rPr/>
              <w:t>董事会报告</w:t>
            </w:r>
            <w:r>
              <w:rPr>
                <w:rFonts w:ascii="Calibri" w:hAnsi="Calibri" w:cs="Calibri" w:eastAsia="Calibri" w:hint="default"/>
              </w:rPr>
              <w:tab/>
            </w:r>
            <w:r>
              <w:rPr>
                <w:rFonts w:ascii="Calibri" w:hAnsi="Calibri" w:cs="Calibri" w:eastAsia="Calibri" w:hint="default"/>
                <w:spacing w:val="-5"/>
              </w:rPr>
              <w:t>37</w:t>
            </w:r>
            <w:r>
              <w:rPr>
                <w:rFonts w:ascii="Calibri" w:hAnsi="Calibri" w:cs="Calibri" w:eastAsia="Calibri" w:hint="default"/>
                <w:b w:val="0"/>
                <w:bCs w:val="0"/>
              </w:rPr>
            </w:r>
          </w:hyperlink>
        </w:p>
        <w:p>
          <w:pPr>
            <w:pStyle w:val="TOC1"/>
            <w:tabs>
              <w:tab w:pos="1148" w:val="left" w:leader="none"/>
              <w:tab w:pos="9005" w:val="right" w:leader="dot"/>
            </w:tabs>
            <w:spacing w:line="240" w:lineRule="auto"/>
            <w:ind w:right="0"/>
            <w:jc w:val="left"/>
            <w:rPr>
              <w:rFonts w:ascii="Calibri" w:hAnsi="Calibri" w:cs="Calibri" w:eastAsia="Calibri" w:hint="default"/>
              <w:b w:val="0"/>
              <w:bCs w:val="0"/>
            </w:rPr>
          </w:pPr>
          <w:hyperlink w:history="true" w:anchor="_TOC_250003">
            <w:r>
              <w:rPr>
                <w:w w:val="95"/>
              </w:rPr>
              <w:t>第十节</w:t>
              <w:tab/>
            </w:r>
            <w:r>
              <w:rPr/>
              <w:t>监事会报告</w:t>
            </w:r>
            <w:r>
              <w:rPr>
                <w:rFonts w:ascii="Calibri" w:hAnsi="Calibri" w:cs="Calibri" w:eastAsia="Calibri" w:hint="default"/>
              </w:rPr>
              <w:tab/>
              <w:t>67</w:t>
            </w:r>
            <w:r>
              <w:rPr>
                <w:rFonts w:ascii="Calibri" w:hAnsi="Calibri" w:cs="Calibri" w:eastAsia="Calibri" w:hint="default"/>
                <w:b w:val="0"/>
                <w:bCs w:val="0"/>
              </w:rPr>
            </w:r>
          </w:hyperlink>
        </w:p>
        <w:p>
          <w:pPr>
            <w:pStyle w:val="TOC1"/>
            <w:tabs>
              <w:tab w:pos="1388" w:val="left" w:leader="none"/>
              <w:tab w:pos="9005" w:val="right" w:leader="dot"/>
            </w:tabs>
            <w:spacing w:line="240" w:lineRule="auto"/>
            <w:ind w:right="0"/>
            <w:jc w:val="left"/>
            <w:rPr>
              <w:rFonts w:ascii="Calibri" w:hAnsi="Calibri" w:cs="Calibri" w:eastAsia="Calibri" w:hint="default"/>
              <w:b w:val="0"/>
              <w:bCs w:val="0"/>
            </w:rPr>
          </w:pPr>
          <w:hyperlink w:history="true" w:anchor="_TOC_250002">
            <w:r>
              <w:rPr/>
              <w:t>第十一节</w:t>
              <w:tab/>
              <w:t>重要事项</w:t>
            </w:r>
            <w:r>
              <w:rPr>
                <w:rFonts w:ascii="Calibri" w:hAnsi="Calibri" w:cs="Calibri" w:eastAsia="Calibri" w:hint="default"/>
              </w:rPr>
              <w:tab/>
              <w:t>70</w:t>
            </w:r>
            <w:r>
              <w:rPr>
                <w:rFonts w:ascii="Calibri" w:hAnsi="Calibri" w:cs="Calibri" w:eastAsia="Calibri" w:hint="default"/>
                <w:b w:val="0"/>
                <w:bCs w:val="0"/>
              </w:rPr>
            </w:r>
          </w:hyperlink>
        </w:p>
        <w:p>
          <w:pPr>
            <w:pStyle w:val="TOC1"/>
            <w:tabs>
              <w:tab w:pos="1388" w:val="left" w:leader="none"/>
              <w:tab w:pos="9005" w:val="right" w:leader="dot"/>
            </w:tabs>
            <w:spacing w:line="240" w:lineRule="auto"/>
            <w:ind w:right="0"/>
            <w:jc w:val="left"/>
            <w:rPr>
              <w:rFonts w:ascii="Calibri" w:hAnsi="Calibri" w:cs="Calibri" w:eastAsia="Calibri" w:hint="default"/>
              <w:b w:val="0"/>
              <w:bCs w:val="0"/>
            </w:rPr>
          </w:pPr>
          <w:hyperlink w:history="true" w:anchor="_TOC_250001">
            <w:r>
              <w:rPr/>
              <w:t>第十二节</w:t>
              <w:tab/>
              <w:t>财务报告</w:t>
            </w:r>
            <w:r>
              <w:rPr>
                <w:rFonts w:ascii="Calibri" w:hAnsi="Calibri" w:cs="Calibri" w:eastAsia="Calibri" w:hint="default"/>
              </w:rPr>
              <w:tab/>
              <w:t>78</w:t>
            </w:r>
            <w:r>
              <w:rPr>
                <w:rFonts w:ascii="Calibri" w:hAnsi="Calibri" w:cs="Calibri" w:eastAsia="Calibri" w:hint="default"/>
                <w:b w:val="0"/>
                <w:bCs w:val="0"/>
              </w:rPr>
            </w:r>
          </w:hyperlink>
        </w:p>
        <w:p>
          <w:pPr>
            <w:pStyle w:val="TOC1"/>
            <w:tabs>
              <w:tab w:pos="1388" w:val="left" w:leader="none"/>
              <w:tab w:pos="9006" w:val="right" w:leader="dot"/>
            </w:tabs>
            <w:spacing w:line="240" w:lineRule="auto"/>
            <w:ind w:right="0"/>
            <w:jc w:val="left"/>
            <w:rPr>
              <w:rFonts w:ascii="Calibri" w:hAnsi="Calibri" w:cs="Calibri" w:eastAsia="Calibri" w:hint="default"/>
              <w:b w:val="0"/>
              <w:bCs w:val="0"/>
            </w:rPr>
          </w:pPr>
          <w:hyperlink w:history="true" w:anchor="_TOC_250000">
            <w:r>
              <w:rPr/>
              <w:t>第十三节</w:t>
              <w:tab/>
              <w:t>备查文件目录</w:t>
            </w:r>
            <w:r>
              <w:rPr>
                <w:rFonts w:ascii="Calibri" w:hAnsi="Calibri" w:cs="Calibri" w:eastAsia="Calibri" w:hint="default"/>
              </w:rPr>
              <w:tab/>
              <w:t>152</w:t>
            </w:r>
            <w:r>
              <w:rPr>
                <w:rFonts w:ascii="Calibri" w:hAnsi="Calibri" w:cs="Calibri" w:eastAsia="Calibri" w:hint="default"/>
                <w:b w:val="0"/>
                <w:bCs w:val="0"/>
              </w:rPr>
            </w:r>
          </w:hyperlink>
        </w:p>
        <w:p>
          <w:pPr/>
          <w:r>
            <w:fldChar w:fldCharType="end"/>
          </w:r>
        </w:p>
      </w:sdtContent>
    </w:sdt>
    <w:p>
      <w:pPr>
        <w:spacing w:after="0"/>
        <w:sectPr>
          <w:pgSz w:w="11910" w:h="16840"/>
          <w:pgMar w:header="876" w:footer="1186" w:top="1100" w:bottom="1380" w:left="1300" w:right="1240"/>
        </w:sectPr>
      </w:pPr>
    </w:p>
    <w:p>
      <w:pPr>
        <w:spacing w:line="240" w:lineRule="auto" w:before="0"/>
        <w:rPr>
          <w:rFonts w:ascii="Calibri" w:hAnsi="Calibri" w:cs="Calibri" w:eastAsia="Calibri" w:hint="default"/>
          <w:b/>
          <w:bCs/>
          <w:sz w:val="32"/>
          <w:szCs w:val="32"/>
        </w:rPr>
      </w:pPr>
    </w:p>
    <w:p>
      <w:pPr>
        <w:spacing w:line="240" w:lineRule="auto" w:before="6"/>
        <w:rPr>
          <w:rFonts w:ascii="Calibri" w:hAnsi="Calibri" w:cs="Calibri" w:eastAsia="Calibri" w:hint="default"/>
          <w:b/>
          <w:bCs/>
          <w:sz w:val="24"/>
          <w:szCs w:val="24"/>
        </w:rPr>
      </w:pPr>
    </w:p>
    <w:p>
      <w:pPr>
        <w:pStyle w:val="Heading1"/>
        <w:tabs>
          <w:tab w:pos="1311" w:val="left" w:leader="none"/>
        </w:tabs>
        <w:spacing w:line="240" w:lineRule="auto"/>
        <w:ind w:left="25" w:right="0"/>
        <w:jc w:val="center"/>
        <w:rPr>
          <w:b w:val="0"/>
          <w:bCs w:val="0"/>
        </w:rPr>
      </w:pPr>
      <w:bookmarkStart w:name="_TOC_250012" w:id="1"/>
      <w:r>
        <w:rPr>
          <w:w w:val="95"/>
        </w:rPr>
        <w:t>第一节</w:t>
        <w:tab/>
      </w:r>
      <w:r>
        <w:rPr/>
        <w:t>重要提示</w:t>
      </w:r>
      <w:bookmarkEnd w:id="1"/>
      <w:r>
        <w:rPr>
          <w:b w:val="0"/>
          <w:bCs w:val="0"/>
        </w:rPr>
      </w:r>
    </w:p>
    <w:p>
      <w:pPr>
        <w:spacing w:line="240" w:lineRule="auto" w:before="8"/>
        <w:rPr>
          <w:rFonts w:ascii="宋体" w:hAnsi="宋体" w:cs="宋体" w:eastAsia="宋体" w:hint="default"/>
          <w:b/>
          <w:bCs/>
          <w:sz w:val="38"/>
          <w:szCs w:val="38"/>
        </w:rPr>
      </w:pPr>
    </w:p>
    <w:p>
      <w:pPr>
        <w:pStyle w:val="BodyText"/>
        <w:spacing w:line="357" w:lineRule="auto" w:before="0"/>
        <w:ind w:right="150" w:firstLine="420"/>
        <w:jc w:val="both"/>
      </w:pPr>
      <w:r>
        <w:rPr>
          <w:spacing w:val="-1"/>
        </w:rPr>
        <w:t>本公司董事会、监事会及董事、监事、高级管理人员保证本报告所载资料不存在任</w:t>
      </w:r>
      <w:r>
        <w:rPr/>
        <w:t> </w:t>
      </w:r>
      <w:r>
        <w:rPr>
          <w:spacing w:val="-3"/>
        </w:rPr>
        <w:t>何虚假记载、误导性陈述或重大遗漏，并对其内容的真实性、准确性和完整性承担个别</w:t>
      </w:r>
      <w:r>
        <w:rPr>
          <w:spacing w:val="-103"/>
        </w:rPr>
        <w:t> </w:t>
      </w:r>
      <w:r>
        <w:rPr>
          <w:spacing w:val="-103"/>
        </w:rPr>
      </w:r>
      <w:r>
        <w:rPr/>
        <w:t>及连带责任。</w:t>
      </w:r>
    </w:p>
    <w:p>
      <w:pPr>
        <w:pStyle w:val="BodyText"/>
        <w:spacing w:line="357" w:lineRule="auto"/>
        <w:ind w:right="148" w:firstLine="420"/>
        <w:jc w:val="both"/>
      </w:pPr>
      <w:r>
        <w:rPr>
          <w:spacing w:val="-1"/>
        </w:rPr>
        <w:t>没有董事、监事、高级管理人员对本报告内容的真实性、准确性、完整性无法保证</w:t>
      </w:r>
      <w:r>
        <w:rPr/>
        <w:t> 或存在异议。</w:t>
      </w:r>
    </w:p>
    <w:p>
      <w:pPr>
        <w:pStyle w:val="BodyText"/>
        <w:spacing w:line="357" w:lineRule="auto"/>
        <w:ind w:right="151" w:firstLine="420"/>
        <w:jc w:val="both"/>
      </w:pPr>
      <w:r>
        <w:rPr>
          <w:spacing w:val="-1"/>
        </w:rPr>
        <w:t>本年度报告已经过本公司第四届董事会第十五次会议审议通过。全体董事均出席会</w:t>
      </w:r>
      <w:r>
        <w:rPr/>
        <w:t> 议并表决。</w:t>
      </w:r>
    </w:p>
    <w:p>
      <w:pPr>
        <w:pStyle w:val="BodyText"/>
        <w:spacing w:line="357" w:lineRule="auto"/>
        <w:ind w:left="603" w:right="103"/>
        <w:jc w:val="left"/>
      </w:pPr>
      <w:r>
        <w:rPr/>
        <w:t>上海众华沪银会计师事务所有限公司为本公司出具了标准无保留意见的审计报告。 </w:t>
      </w:r>
      <w:r>
        <w:rPr>
          <w:spacing w:val="-1"/>
        </w:rPr>
        <w:t>公司负责人董事长包叔平先生、主管会计工作负责人包叔平先生及会计机构负责人</w:t>
      </w:r>
    </w:p>
    <w:p>
      <w:pPr>
        <w:pStyle w:val="BodyText"/>
        <w:spacing w:line="240" w:lineRule="auto"/>
        <w:ind w:right="0"/>
        <w:jc w:val="left"/>
      </w:pPr>
      <w:r>
        <w:rPr/>
        <w:t>（会计主管人员）董樑先生声明：保证本年度报告中财务报告的真实、完整。</w:t>
      </w:r>
    </w:p>
    <w:p>
      <w:pPr>
        <w:spacing w:after="0" w:line="240" w:lineRule="auto"/>
        <w:jc w:val="left"/>
        <w:sectPr>
          <w:pgSz w:w="11910" w:h="16840"/>
          <w:pgMar w:header="876" w:footer="1186" w:top="1100" w:bottom="138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57" w:val="left" w:leader="none"/>
        </w:tabs>
        <w:spacing w:line="240" w:lineRule="auto" w:before="166"/>
        <w:ind w:left="2771" w:right="0"/>
        <w:jc w:val="left"/>
        <w:rPr>
          <w:b w:val="0"/>
          <w:bCs w:val="0"/>
        </w:rPr>
      </w:pPr>
      <w:bookmarkStart w:name="_TOC_250011" w:id="2"/>
      <w:r>
        <w:rPr>
          <w:w w:val="95"/>
        </w:rPr>
        <w:t>第二节</w:t>
        <w:tab/>
      </w:r>
      <w:r>
        <w:rPr/>
        <w:t>公司基本情况简介</w:t>
      </w:r>
      <w:bookmarkEnd w:id="2"/>
      <w:r>
        <w:rPr>
          <w:b w:val="0"/>
          <w:bCs w:val="0"/>
        </w:rPr>
      </w:r>
    </w:p>
    <w:p>
      <w:pPr>
        <w:spacing w:line="357" w:lineRule="auto" w:before="193"/>
        <w:ind w:left="663" w:right="2563" w:hanging="480"/>
        <w:jc w:val="left"/>
        <w:rPr>
          <w:rFonts w:ascii="宋体" w:hAnsi="宋体" w:cs="宋体" w:eastAsia="宋体" w:hint="default"/>
          <w:sz w:val="24"/>
          <w:szCs w:val="24"/>
        </w:rPr>
      </w:pPr>
      <w:r>
        <w:rPr>
          <w:rFonts w:ascii="宋体" w:hAnsi="宋体" w:cs="宋体" w:eastAsia="宋体" w:hint="default"/>
          <w:b/>
          <w:bCs/>
          <w:sz w:val="24"/>
          <w:szCs w:val="24"/>
        </w:rPr>
        <w:t>一、公司法定中文名称：上海海隆软件股份有限公司</w:t>
      </w:r>
      <w:r>
        <w:rPr>
          <w:rFonts w:ascii="宋体" w:hAnsi="宋体" w:cs="宋体" w:eastAsia="宋体" w:hint="default"/>
          <w:b/>
          <w:bCs/>
          <w:w w:val="99"/>
          <w:sz w:val="24"/>
          <w:szCs w:val="24"/>
        </w:rPr>
        <w:t> </w:t>
      </w:r>
      <w:r>
        <w:rPr>
          <w:rFonts w:ascii="宋体" w:hAnsi="宋体" w:cs="宋体" w:eastAsia="宋体" w:hint="default"/>
          <w:sz w:val="24"/>
          <w:szCs w:val="24"/>
        </w:rPr>
        <w:t>公司法定英文名称：</w:t>
      </w:r>
      <w:r>
        <w:rPr>
          <w:rFonts w:ascii="宋体" w:hAnsi="宋体" w:cs="宋体" w:eastAsia="宋体" w:hint="default"/>
          <w:sz w:val="24"/>
          <w:szCs w:val="24"/>
        </w:rPr>
        <w:t>SHANGHAI HYRON SOFTWARE Co., LTD.</w:t>
      </w:r>
    </w:p>
    <w:p>
      <w:pPr>
        <w:pStyle w:val="BodyText"/>
        <w:spacing w:line="357" w:lineRule="auto"/>
        <w:ind w:left="663" w:right="6043"/>
        <w:jc w:val="left"/>
        <w:rPr>
          <w:rFonts w:ascii="宋体" w:hAnsi="宋体" w:cs="宋体" w:eastAsia="宋体" w:hint="default"/>
        </w:rPr>
      </w:pPr>
      <w:r>
        <w:rPr/>
        <w:t>中文名称简称：海隆软件 英文名称简称：</w:t>
      </w:r>
      <w:r>
        <w:rPr>
          <w:rFonts w:ascii="宋体" w:hAnsi="宋体" w:cs="宋体" w:eastAsia="宋体" w:hint="default"/>
        </w:rPr>
        <w:t>HYRON</w:t>
      </w:r>
    </w:p>
    <w:p>
      <w:pPr>
        <w:spacing w:line="240" w:lineRule="auto" w:before="0"/>
        <w:rPr>
          <w:rFonts w:ascii="宋体" w:hAnsi="宋体" w:cs="宋体" w:eastAsia="宋体" w:hint="default"/>
          <w:sz w:val="24"/>
          <w:szCs w:val="24"/>
        </w:rPr>
      </w:pPr>
    </w:p>
    <w:p>
      <w:pPr>
        <w:pStyle w:val="Heading3"/>
        <w:spacing w:line="357" w:lineRule="auto" w:before="190"/>
        <w:ind w:right="6031"/>
        <w:jc w:val="left"/>
        <w:rPr>
          <w:b w:val="0"/>
          <w:bCs w:val="0"/>
        </w:rPr>
      </w:pPr>
      <w:r>
        <w:rPr/>
        <w:t>二、公司法定代表人：包叔平</w:t>
      </w:r>
      <w:r>
        <w:rPr>
          <w:w w:val="99"/>
        </w:rPr>
        <w:t> </w:t>
      </w:r>
      <w:r>
        <w:rPr/>
        <w:t>三、公司联系人及联系方式</w:t>
      </w:r>
      <w:r>
        <w:rPr>
          <w:b w:val="0"/>
          <w:bCs w:val="0"/>
        </w:rPr>
      </w:r>
    </w:p>
    <w:tbl>
      <w:tblPr>
        <w:tblW w:w="0" w:type="auto"/>
        <w:jc w:val="left"/>
        <w:tblInd w:w="190" w:type="dxa"/>
        <w:tblLayout w:type="fixed"/>
        <w:tblCellMar>
          <w:top w:w="0" w:type="dxa"/>
          <w:left w:w="0" w:type="dxa"/>
          <w:bottom w:w="0" w:type="dxa"/>
          <w:right w:w="0" w:type="dxa"/>
        </w:tblCellMar>
        <w:tblLook w:val="01E0"/>
      </w:tblPr>
      <w:tblGrid>
        <w:gridCol w:w="1537"/>
        <w:gridCol w:w="3415"/>
        <w:gridCol w:w="3401"/>
      </w:tblGrid>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15" w:type="dxa"/>
            <w:tcBorders>
              <w:top w:val="single" w:sz="4" w:space="0" w:color="000000"/>
              <w:left w:val="single" w:sz="9" w:space="0" w:color="DCDCDC"/>
              <w:bottom w:val="single" w:sz="4" w:space="0" w:color="000000"/>
              <w:right w:val="single" w:sz="4" w:space="0" w:color="000000"/>
            </w:tcBorders>
          </w:tcPr>
          <w:p>
            <w:pPr>
              <w:pStyle w:val="TableParagraph"/>
              <w:tabs>
                <w:tab w:pos="427" w:val="left" w:leader="none"/>
              </w:tabs>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李</w:t>
              <w:tab/>
              <w:t>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高冬冬</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816" w:type="dxa"/>
            <w:gridSpan w:val="2"/>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1145" w:right="0"/>
              <w:jc w:val="left"/>
              <w:rPr>
                <w:rFonts w:ascii="宋体" w:hAnsi="宋体" w:cs="宋体" w:eastAsia="宋体" w:hint="default"/>
                <w:sz w:val="21"/>
                <w:szCs w:val="21"/>
              </w:rPr>
            </w:pPr>
            <w:r>
              <w:rPr>
                <w:rFonts w:ascii="宋体" w:hAnsi="宋体" w:cs="宋体" w:eastAsia="宋体" w:hint="default"/>
                <w:sz w:val="21"/>
                <w:szCs w:val="21"/>
              </w:rPr>
              <w:t>上海市宜山路</w:t>
            </w:r>
            <w:r>
              <w:rPr>
                <w:rFonts w:ascii="宋体" w:hAnsi="宋体" w:cs="宋体" w:eastAsia="宋体" w:hint="default"/>
                <w:spacing w:val="-54"/>
                <w:sz w:val="21"/>
                <w:szCs w:val="21"/>
              </w:rPr>
              <w:t> </w:t>
            </w:r>
            <w:r>
              <w:rPr>
                <w:rFonts w:ascii="宋体" w:hAnsi="宋体" w:cs="宋体" w:eastAsia="宋体" w:hint="default"/>
                <w:sz w:val="21"/>
                <w:szCs w:val="21"/>
              </w:rPr>
              <w:t>700</w:t>
            </w:r>
            <w:r>
              <w:rPr>
                <w:rFonts w:ascii="宋体" w:hAnsi="宋体" w:cs="宋体" w:eastAsia="宋体" w:hint="default"/>
                <w:spacing w:val="-54"/>
                <w:sz w:val="21"/>
                <w:szCs w:val="21"/>
              </w:rPr>
              <w:t> </w:t>
            </w:r>
            <w:r>
              <w:rPr>
                <w:rFonts w:ascii="宋体" w:hAnsi="宋体" w:cs="宋体" w:eastAsia="宋体" w:hint="default"/>
                <w:sz w:val="21"/>
                <w:szCs w:val="21"/>
              </w:rPr>
              <w:t>号普天信息产业园</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32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6816" w:type="dxa"/>
            <w:gridSpan w:val="2"/>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021-6468-9626</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6816" w:type="dxa"/>
            <w:gridSpan w:val="2"/>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sz w:val="21"/>
              </w:rPr>
              <w:t>021-6468-9489</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816" w:type="dxa"/>
            <w:gridSpan w:val="2"/>
            <w:tcBorders>
              <w:top w:val="single" w:sz="4" w:space="0" w:color="000000"/>
              <w:left w:val="single" w:sz="9" w:space="0" w:color="DCDCDC"/>
              <w:bottom w:val="single" w:sz="4" w:space="0" w:color="000000"/>
              <w:right w:val="single" w:sz="4" w:space="0" w:color="000000"/>
            </w:tcBorders>
          </w:tcPr>
          <w:p>
            <w:pPr>
              <w:pStyle w:val="TableParagraph"/>
              <w:spacing w:line="260" w:lineRule="exact"/>
              <w:ind w:left="2038" w:right="0"/>
              <w:jc w:val="left"/>
              <w:rPr>
                <w:rFonts w:ascii="宋体" w:hAnsi="宋体" w:cs="宋体" w:eastAsia="宋体" w:hint="default"/>
                <w:sz w:val="21"/>
                <w:szCs w:val="21"/>
              </w:rPr>
            </w:pPr>
            <w:r>
              <w:rPr>
                <w:rFonts w:ascii="宋体"/>
                <w:sz w:val="21"/>
              </w:rPr>
              <w:t>zhengquan AT hyron DOT</w:t>
            </w:r>
            <w:r>
              <w:rPr>
                <w:rFonts w:ascii="宋体"/>
                <w:spacing w:val="-2"/>
                <w:sz w:val="21"/>
              </w:rPr>
              <w:t> </w:t>
            </w:r>
            <w:r>
              <w:rPr>
                <w:rFonts w:ascii="宋体"/>
                <w:sz w:val="21"/>
              </w:rPr>
              <w:t>com</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26"/>
        <w:ind w:left="183" w:right="0" w:firstLine="0"/>
        <w:jc w:val="left"/>
        <w:rPr>
          <w:rFonts w:ascii="宋体" w:hAnsi="宋体" w:cs="宋体" w:eastAsia="宋体" w:hint="default"/>
          <w:sz w:val="24"/>
          <w:szCs w:val="24"/>
        </w:rPr>
      </w:pPr>
      <w:r>
        <w:rPr>
          <w:rFonts w:ascii="宋体" w:hAnsi="宋体" w:cs="宋体" w:eastAsia="宋体" w:hint="default"/>
          <w:b/>
          <w:bCs/>
          <w:sz w:val="24"/>
          <w:szCs w:val="24"/>
        </w:rPr>
        <w:t>四、公司注册地址：</w:t>
      </w:r>
      <w:r>
        <w:rPr>
          <w:rFonts w:ascii="宋体" w:hAnsi="宋体" w:cs="宋体" w:eastAsia="宋体" w:hint="default"/>
          <w:sz w:val="24"/>
          <w:szCs w:val="24"/>
        </w:rPr>
        <w:t>上海市徐汇区宜山路</w:t>
      </w:r>
      <w:r>
        <w:rPr>
          <w:rFonts w:ascii="宋体" w:hAnsi="宋体" w:cs="宋体" w:eastAsia="宋体" w:hint="default"/>
          <w:spacing w:val="-61"/>
          <w:sz w:val="24"/>
          <w:szCs w:val="24"/>
        </w:rPr>
        <w:t> </w:t>
      </w:r>
      <w:r>
        <w:rPr>
          <w:rFonts w:ascii="宋体" w:hAnsi="宋体" w:cs="宋体" w:eastAsia="宋体" w:hint="default"/>
          <w:sz w:val="24"/>
          <w:szCs w:val="24"/>
        </w:rPr>
        <w:t>700</w:t>
      </w:r>
      <w:r>
        <w:rPr>
          <w:rFonts w:ascii="宋体" w:hAnsi="宋体" w:cs="宋体" w:eastAsia="宋体" w:hint="default"/>
          <w:spacing w:val="-61"/>
          <w:sz w:val="24"/>
          <w:szCs w:val="24"/>
        </w:rPr>
        <w:t> </w:t>
      </w:r>
      <w:r>
        <w:rPr>
          <w:rFonts w:ascii="宋体" w:hAnsi="宋体" w:cs="宋体" w:eastAsia="宋体" w:hint="default"/>
          <w:sz w:val="24"/>
          <w:szCs w:val="24"/>
        </w:rPr>
        <w:t>号</w:t>
      </w:r>
      <w:r>
        <w:rPr>
          <w:rFonts w:ascii="宋体" w:hAnsi="宋体" w:cs="宋体" w:eastAsia="宋体" w:hint="default"/>
          <w:spacing w:val="-61"/>
          <w:sz w:val="24"/>
          <w:szCs w:val="24"/>
        </w:rPr>
        <w:t> </w:t>
      </w:r>
      <w:r>
        <w:rPr>
          <w:rFonts w:ascii="宋体" w:hAnsi="宋体" w:cs="宋体" w:eastAsia="宋体" w:hint="default"/>
          <w:sz w:val="24"/>
          <w:szCs w:val="24"/>
        </w:rPr>
        <w:t>85</w:t>
      </w:r>
      <w:r>
        <w:rPr>
          <w:rFonts w:ascii="宋体" w:hAnsi="宋体" w:cs="宋体" w:eastAsia="宋体" w:hint="default"/>
          <w:spacing w:val="-61"/>
          <w:sz w:val="24"/>
          <w:szCs w:val="24"/>
        </w:rPr>
        <w:t> </w:t>
      </w:r>
      <w:r>
        <w:rPr>
          <w:rFonts w:ascii="宋体" w:hAnsi="宋体" w:cs="宋体" w:eastAsia="宋体" w:hint="default"/>
          <w:sz w:val="24"/>
          <w:szCs w:val="24"/>
        </w:rPr>
        <w:t>幢</w:t>
      </w:r>
      <w:r>
        <w:rPr>
          <w:rFonts w:ascii="宋体" w:hAnsi="宋体" w:cs="宋体" w:eastAsia="宋体" w:hint="default"/>
          <w:spacing w:val="-61"/>
          <w:sz w:val="24"/>
          <w:szCs w:val="24"/>
        </w:rPr>
        <w:t> </w:t>
      </w:r>
      <w:r>
        <w:rPr>
          <w:rFonts w:ascii="宋体" w:hAnsi="宋体" w:cs="宋体" w:eastAsia="宋体" w:hint="default"/>
          <w:sz w:val="24"/>
          <w:szCs w:val="24"/>
        </w:rPr>
        <w:t>6</w:t>
      </w:r>
      <w:r>
        <w:rPr>
          <w:rFonts w:ascii="宋体" w:hAnsi="宋体" w:cs="宋体" w:eastAsia="宋体" w:hint="default"/>
          <w:spacing w:val="-61"/>
          <w:sz w:val="24"/>
          <w:szCs w:val="24"/>
        </w:rPr>
        <w:t> </w:t>
      </w:r>
      <w:r>
        <w:rPr>
          <w:rFonts w:ascii="宋体" w:hAnsi="宋体" w:cs="宋体" w:eastAsia="宋体" w:hint="default"/>
          <w:sz w:val="24"/>
          <w:szCs w:val="24"/>
        </w:rPr>
        <w:t>楼</w:t>
      </w:r>
    </w:p>
    <w:p>
      <w:pPr>
        <w:pStyle w:val="BodyText"/>
        <w:spacing w:line="357" w:lineRule="auto" w:before="154"/>
        <w:ind w:left="663" w:right="1849"/>
        <w:jc w:val="left"/>
        <w:rPr>
          <w:rFonts w:ascii="宋体" w:hAnsi="宋体" w:cs="宋体" w:eastAsia="宋体" w:hint="default"/>
        </w:rPr>
      </w:pPr>
      <w:r>
        <w:rPr/>
        <w:t>公司办公地址：上海市宜山路</w:t>
      </w:r>
      <w:r>
        <w:rPr>
          <w:spacing w:val="-61"/>
        </w:rPr>
        <w:t> </w:t>
      </w:r>
      <w:r>
        <w:rPr>
          <w:rFonts w:ascii="宋体" w:hAnsi="宋体" w:cs="宋体" w:eastAsia="宋体" w:hint="default"/>
        </w:rPr>
        <w:t>700</w:t>
      </w:r>
      <w:r>
        <w:rPr>
          <w:rFonts w:ascii="宋体" w:hAnsi="宋体" w:cs="宋体" w:eastAsia="宋体" w:hint="default"/>
          <w:spacing w:val="-61"/>
        </w:rPr>
        <w:t> </w:t>
      </w:r>
      <w:r>
        <w:rPr/>
        <w:t>号普天信息产业园</w:t>
      </w:r>
      <w:r>
        <w:rPr>
          <w:spacing w:val="-61"/>
        </w:rPr>
        <w:t> </w:t>
      </w:r>
      <w:r>
        <w:rPr>
          <w:rFonts w:ascii="宋体" w:hAnsi="宋体" w:cs="宋体" w:eastAsia="宋体" w:hint="default"/>
        </w:rPr>
        <w:t>2</w:t>
      </w:r>
      <w:r>
        <w:rPr>
          <w:rFonts w:ascii="宋体" w:hAnsi="宋体" w:cs="宋体" w:eastAsia="宋体" w:hint="default"/>
          <w:spacing w:val="-61"/>
        </w:rPr>
        <w:t> </w:t>
      </w:r>
      <w:r>
        <w:rPr/>
        <w:t>号楼</w:t>
      </w:r>
      <w:r>
        <w:rPr>
          <w:spacing w:val="-61"/>
        </w:rPr>
        <w:t> </w:t>
      </w:r>
      <w:r>
        <w:rPr>
          <w:rFonts w:ascii="宋体" w:hAnsi="宋体" w:cs="宋体" w:eastAsia="宋体" w:hint="default"/>
        </w:rPr>
        <w:t>12</w:t>
      </w:r>
      <w:r>
        <w:rPr>
          <w:rFonts w:ascii="宋体" w:hAnsi="宋体" w:cs="宋体" w:eastAsia="宋体" w:hint="default"/>
          <w:spacing w:val="-61"/>
        </w:rPr>
        <w:t> </w:t>
      </w:r>
      <w:r>
        <w:rPr/>
        <w:t>楼 邮政编码：</w:t>
      </w:r>
      <w:r>
        <w:rPr>
          <w:rFonts w:ascii="宋体" w:hAnsi="宋体" w:cs="宋体" w:eastAsia="宋体" w:hint="default"/>
        </w:rPr>
        <w:t>200233</w:t>
      </w:r>
    </w:p>
    <w:p>
      <w:pPr>
        <w:pStyle w:val="BodyText"/>
        <w:spacing w:line="357" w:lineRule="auto"/>
        <w:ind w:left="663" w:right="4243"/>
        <w:jc w:val="left"/>
        <w:rPr>
          <w:rFonts w:ascii="宋体" w:hAnsi="宋体" w:cs="宋体" w:eastAsia="宋体" w:hint="default"/>
        </w:rPr>
      </w:pPr>
      <w:r>
        <w:rPr/>
        <w:t>国际互联网网址：</w:t>
      </w:r>
      <w:r>
        <w:rPr>
          <w:rFonts w:ascii="宋体" w:hAnsi="宋体" w:cs="宋体" w:eastAsia="宋体" w:hint="default"/>
          <w:color w:val="0000FF"/>
        </w:rPr>
      </w:r>
      <w:hyperlink r:id="rId8">
        <w:r>
          <w:rPr>
            <w:rFonts w:ascii="宋体" w:hAnsi="宋体" w:cs="宋体" w:eastAsia="宋体" w:hint="default"/>
            <w:color w:val="0000FF"/>
            <w:u w:val="single" w:color="0000FF"/>
          </w:rPr>
          <w:t>http://www.hyron.com/</w:t>
        </w:r>
        <w:r>
          <w:rPr>
            <w:rFonts w:ascii="宋体" w:hAnsi="宋体" w:cs="宋体" w:eastAsia="宋体" w:hint="default"/>
            <w:color w:val="0000FF"/>
          </w:rPr>
        </w:r>
      </w:hyperlink>
      <w:r>
        <w:rPr>
          <w:rFonts w:ascii="宋体" w:hAnsi="宋体" w:cs="宋体" w:eastAsia="宋体" w:hint="default"/>
          <w:color w:val="0000FF"/>
        </w:rPr>
        <w:t> </w:t>
      </w:r>
      <w:r>
        <w:rPr/>
        <w:t>电子信箱：</w:t>
      </w:r>
      <w:hyperlink r:id="rId9">
        <w:r>
          <w:rPr>
            <w:rFonts w:ascii="宋体" w:hAnsi="宋体" w:cs="宋体" w:eastAsia="宋体" w:hint="default"/>
            <w:color w:val="0000FF"/>
          </w:rPr>
        </w:r>
        <w:r>
          <w:rPr>
            <w:rFonts w:ascii="宋体" w:hAnsi="宋体" w:cs="宋体" w:eastAsia="宋体" w:hint="default"/>
            <w:color w:val="0000FF"/>
            <w:u w:val="single" w:color="0000FF"/>
          </w:rPr>
          <w:t>zhengquan AT hyron DOT</w:t>
        </w:r>
        <w:r>
          <w:rPr>
            <w:rFonts w:ascii="宋体" w:hAnsi="宋体" w:cs="宋体" w:eastAsia="宋体" w:hint="default"/>
            <w:color w:val="0000FF"/>
            <w:spacing w:val="-1"/>
            <w:u w:val="single" w:color="0000FF"/>
          </w:rPr>
          <w:t> </w:t>
        </w:r>
        <w:r>
          <w:rPr>
            <w:rFonts w:ascii="宋体" w:hAnsi="宋体" w:cs="宋体" w:eastAsia="宋体" w:hint="default"/>
            <w:color w:val="0000FF"/>
            <w:u w:val="single" w:color="0000FF"/>
          </w:rPr>
          <w:t>com</w:t>
        </w:r>
        <w:r>
          <w:rPr>
            <w:rFonts w:ascii="宋体" w:hAnsi="宋体" w:cs="宋体" w:eastAsia="宋体" w:hint="default"/>
            <w:color w:val="0000FF"/>
          </w:rPr>
        </w:r>
        <w:r>
          <w:rPr>
            <w:rFonts w:ascii="宋体" w:hAnsi="宋体" w:cs="宋体" w:eastAsia="宋体" w:hint="default"/>
          </w:rPr>
        </w:r>
      </w:hyperlink>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57" w:lineRule="auto" w:before="26"/>
        <w:ind w:left="663" w:right="1843" w:hanging="480"/>
        <w:jc w:val="left"/>
      </w:pPr>
      <w:r>
        <w:rPr>
          <w:rFonts w:ascii="宋体" w:hAnsi="宋体" w:cs="宋体" w:eastAsia="宋体" w:hint="default"/>
          <w:b/>
          <w:bCs/>
          <w:spacing w:val="-6"/>
          <w:w w:val="99"/>
        </w:rPr>
        <w:t>五、公司指定信息披露报纸：</w:t>
      </w:r>
      <w:r>
        <w:rPr>
          <w:spacing w:val="-6"/>
          <w:w w:val="99"/>
        </w:rPr>
        <w:t>《中国证券报》</w:t>
      </w:r>
      <w:r>
        <w:rPr>
          <w:spacing w:val="-107"/>
          <w:w w:val="99"/>
        </w:rPr>
        <w:t> </w:t>
      </w:r>
      <w:r>
        <w:rPr/>
        <w:t>登载年度报告的中国证监会指定网站的网址：</w:t>
      </w:r>
      <w:hyperlink r:id="rId10">
        <w:r>
          <w:rPr>
            <w:rFonts w:ascii="宋体" w:hAnsi="宋体" w:cs="宋体" w:eastAsia="宋体" w:hint="default"/>
          </w:rPr>
          <w:t>www.cninfo.com.cn</w:t>
        </w:r>
      </w:hyperlink>
      <w:r>
        <w:rPr>
          <w:rFonts w:ascii="宋体" w:hAnsi="宋体" w:cs="宋体" w:eastAsia="宋体" w:hint="default"/>
        </w:rPr>
        <w:t> </w:t>
      </w:r>
      <w:r>
        <w:rPr/>
        <w:t>公司年度报告备置地点：公司董事会办公室</w:t>
      </w:r>
    </w:p>
    <w:p>
      <w:pPr>
        <w:spacing w:line="240" w:lineRule="auto" w:before="0"/>
        <w:rPr>
          <w:rFonts w:ascii="宋体" w:hAnsi="宋体" w:cs="宋体" w:eastAsia="宋体" w:hint="default"/>
          <w:sz w:val="24"/>
          <w:szCs w:val="24"/>
        </w:rPr>
      </w:pPr>
    </w:p>
    <w:p>
      <w:pPr>
        <w:spacing w:line="357" w:lineRule="auto" w:before="190"/>
        <w:ind w:left="663" w:right="4585" w:hanging="480"/>
        <w:jc w:val="left"/>
        <w:rPr>
          <w:rFonts w:ascii="宋体" w:hAnsi="宋体" w:cs="宋体" w:eastAsia="宋体" w:hint="default"/>
          <w:sz w:val="24"/>
          <w:szCs w:val="24"/>
        </w:rPr>
      </w:pPr>
      <w:r>
        <w:rPr>
          <w:rFonts w:ascii="宋体" w:hAnsi="宋体" w:cs="宋体" w:eastAsia="宋体" w:hint="default"/>
          <w:b/>
          <w:bCs/>
          <w:sz w:val="24"/>
          <w:szCs w:val="24"/>
        </w:rPr>
        <w:t>六、公司股票上市交易所：深圳证券交易所</w:t>
      </w:r>
      <w:r>
        <w:rPr>
          <w:rFonts w:ascii="宋体" w:hAnsi="宋体" w:cs="宋体" w:eastAsia="宋体" w:hint="default"/>
          <w:b/>
          <w:bCs/>
          <w:w w:val="99"/>
          <w:sz w:val="24"/>
          <w:szCs w:val="24"/>
        </w:rPr>
        <w:t> </w:t>
      </w:r>
      <w:r>
        <w:rPr>
          <w:rFonts w:ascii="宋体" w:hAnsi="宋体" w:cs="宋体" w:eastAsia="宋体" w:hint="default"/>
          <w:sz w:val="24"/>
          <w:szCs w:val="24"/>
        </w:rPr>
        <w:t>股票简称：海隆软件</w:t>
      </w:r>
    </w:p>
    <w:p>
      <w:pPr>
        <w:spacing w:line="357" w:lineRule="auto" w:before="36"/>
        <w:ind w:left="183" w:right="6763" w:firstLine="480"/>
        <w:jc w:val="left"/>
        <w:rPr>
          <w:rFonts w:ascii="宋体" w:hAnsi="宋体" w:cs="宋体" w:eastAsia="宋体" w:hint="default"/>
          <w:sz w:val="24"/>
          <w:szCs w:val="24"/>
        </w:rPr>
      </w:pPr>
      <w:r>
        <w:rPr>
          <w:rFonts w:ascii="宋体" w:hAnsi="宋体" w:cs="宋体" w:eastAsia="宋体" w:hint="default"/>
          <w:sz w:val="24"/>
          <w:szCs w:val="24"/>
        </w:rPr>
        <w:t>股票代码：</w:t>
      </w:r>
      <w:r>
        <w:rPr>
          <w:rFonts w:ascii="宋体" w:hAnsi="宋体" w:cs="宋体" w:eastAsia="宋体" w:hint="default"/>
          <w:sz w:val="24"/>
          <w:szCs w:val="24"/>
        </w:rPr>
        <w:t>002195 </w:t>
      </w:r>
      <w:r>
        <w:rPr>
          <w:rFonts w:ascii="宋体" w:hAnsi="宋体" w:cs="宋体" w:eastAsia="宋体" w:hint="default"/>
          <w:b/>
          <w:bCs/>
          <w:sz w:val="24"/>
          <w:szCs w:val="24"/>
        </w:rPr>
        <w:t>七、其他有关资料：</w:t>
      </w:r>
      <w:r>
        <w:rPr>
          <w:rFonts w:ascii="宋体" w:hAnsi="宋体" w:cs="宋体" w:eastAsia="宋体" w:hint="default"/>
          <w:sz w:val="24"/>
          <w:szCs w:val="24"/>
        </w:rPr>
      </w:r>
    </w:p>
    <w:p>
      <w:pPr>
        <w:pStyle w:val="BodyText"/>
        <w:spacing w:line="240" w:lineRule="auto"/>
        <w:ind w:left="687" w:right="0"/>
        <w:jc w:val="left"/>
      </w:pPr>
      <w:r>
        <w:rPr/>
        <w:t>股份有限公司首次注册登记日期：</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p>
      <w:pPr>
        <w:spacing w:after="0" w:line="240" w:lineRule="auto"/>
        <w:jc w:val="left"/>
        <w:sectPr>
          <w:pgSz w:w="11910" w:h="16840"/>
          <w:pgMar w:header="876" w:footer="1186" w:top="1100" w:bottom="1380" w:left="1300" w:right="1240"/>
        </w:sectPr>
      </w:pPr>
    </w:p>
    <w:p>
      <w:pPr>
        <w:spacing w:line="240" w:lineRule="auto" w:before="12"/>
        <w:rPr>
          <w:rFonts w:ascii="宋体" w:hAnsi="宋体" w:cs="宋体" w:eastAsia="宋体" w:hint="default"/>
          <w:sz w:val="25"/>
          <w:szCs w:val="25"/>
        </w:rPr>
      </w:pPr>
    </w:p>
    <w:p>
      <w:pPr>
        <w:pStyle w:val="BodyText"/>
        <w:spacing w:line="357" w:lineRule="auto" w:before="26"/>
        <w:ind w:left="687" w:right="879"/>
        <w:jc w:val="left"/>
        <w:rPr>
          <w:rFonts w:ascii="宋体" w:hAnsi="宋体" w:cs="宋体" w:eastAsia="宋体" w:hint="default"/>
        </w:rPr>
      </w:pPr>
      <w:r>
        <w:rPr/>
        <w:t>公司最近一次变更登记日期：</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日（公司公告号：</w:t>
      </w:r>
      <w:r>
        <w:rPr>
          <w:rFonts w:ascii="宋体" w:hAnsi="宋体" w:cs="宋体" w:eastAsia="宋体" w:hint="default"/>
        </w:rPr>
        <w:t>2012-010</w:t>
      </w:r>
      <w:r>
        <w:rPr/>
        <w:t>） 注册登记地点：上海市工商行政管理局 企业法人营业执照注册号：</w:t>
      </w:r>
      <w:r>
        <w:rPr>
          <w:rFonts w:ascii="宋体" w:hAnsi="宋体" w:cs="宋体" w:eastAsia="宋体" w:hint="default"/>
        </w:rPr>
        <w:t>310000000003153 </w:t>
      </w:r>
      <w:r>
        <w:rPr/>
        <w:t>税务登记号码：</w:t>
      </w:r>
      <w:r>
        <w:rPr>
          <w:rFonts w:ascii="宋体" w:hAnsi="宋体" w:cs="宋体" w:eastAsia="宋体" w:hint="default"/>
        </w:rPr>
        <w:t>310104607203699</w:t>
      </w:r>
    </w:p>
    <w:p>
      <w:pPr>
        <w:pStyle w:val="BodyText"/>
        <w:spacing w:line="357" w:lineRule="auto"/>
        <w:ind w:left="687" w:right="1899"/>
        <w:jc w:val="left"/>
      </w:pPr>
      <w:r>
        <w:rPr/>
        <w:t>组织机构代码：</w:t>
      </w:r>
      <w:r>
        <w:rPr>
          <w:rFonts w:ascii="宋体" w:hAnsi="宋体" w:cs="宋体" w:eastAsia="宋体" w:hint="default"/>
        </w:rPr>
        <w:t>60720369-9 </w:t>
      </w:r>
      <w:r>
        <w:rPr/>
        <w:t>公司聘请的会计师事务所：上海众华沪银会计师事务所有限公司 会计师事务所的办公地址：上海市延安东路</w:t>
      </w:r>
      <w:r>
        <w:rPr>
          <w:spacing w:val="-60"/>
        </w:rPr>
        <w:t> </w:t>
      </w:r>
      <w:r>
        <w:rPr>
          <w:rFonts w:ascii="宋体" w:hAnsi="宋体" w:cs="宋体" w:eastAsia="宋体" w:hint="default"/>
        </w:rPr>
        <w:t>550</w:t>
      </w:r>
      <w:r>
        <w:rPr>
          <w:rFonts w:ascii="宋体" w:hAnsi="宋体" w:cs="宋体" w:eastAsia="宋体" w:hint="default"/>
          <w:spacing w:val="-60"/>
        </w:rPr>
        <w:t> </w:t>
      </w:r>
      <w:r>
        <w:rPr/>
        <w:t>号海洋大厦</w:t>
      </w:r>
      <w:r>
        <w:rPr>
          <w:spacing w:val="-60"/>
        </w:rPr>
        <w:t> </w:t>
      </w:r>
      <w:r>
        <w:rPr>
          <w:rFonts w:ascii="宋体" w:hAnsi="宋体" w:cs="宋体" w:eastAsia="宋体" w:hint="default"/>
        </w:rPr>
        <w:t>12</w:t>
      </w:r>
      <w:r>
        <w:rPr>
          <w:rFonts w:ascii="宋体" w:hAnsi="宋体" w:cs="宋体" w:eastAsia="宋体" w:hint="default"/>
          <w:spacing w:val="-60"/>
        </w:rPr>
        <w:t> </w:t>
      </w:r>
      <w:r>
        <w:rPr/>
        <w:t>楼</w:t>
      </w:r>
    </w:p>
    <w:p>
      <w:pPr>
        <w:spacing w:line="240" w:lineRule="auto" w:before="0"/>
        <w:rPr>
          <w:rFonts w:ascii="宋体" w:hAnsi="宋体" w:cs="宋体" w:eastAsia="宋体" w:hint="default"/>
          <w:sz w:val="24"/>
          <w:szCs w:val="24"/>
        </w:rPr>
      </w:pPr>
    </w:p>
    <w:p>
      <w:pPr>
        <w:pStyle w:val="Heading3"/>
        <w:spacing w:line="240" w:lineRule="auto" w:before="190"/>
        <w:ind w:right="879"/>
        <w:jc w:val="left"/>
        <w:rPr>
          <w:b w:val="0"/>
          <w:bCs w:val="0"/>
        </w:rPr>
      </w:pPr>
      <w:r>
        <w:rPr/>
        <w:t>八、公司历史沿革</w:t>
      </w:r>
      <w:r>
        <w:rPr>
          <w:b w:val="0"/>
          <w:bCs w:val="0"/>
        </w:rPr>
      </w:r>
    </w:p>
    <w:p>
      <w:pPr>
        <w:pStyle w:val="BodyText"/>
        <w:spacing w:line="240" w:lineRule="auto" w:before="154"/>
        <w:ind w:left="603" w:right="0"/>
        <w:jc w:val="left"/>
      </w:pPr>
      <w:r>
        <w:rPr>
          <w:rFonts w:ascii="宋体" w:hAnsi="宋体" w:cs="宋体" w:eastAsia="宋体" w:hint="default"/>
        </w:rPr>
        <w:t>2007</w:t>
      </w:r>
      <w:r>
        <w:rPr>
          <w:rFonts w:ascii="宋体" w:hAnsi="宋体" w:cs="宋体" w:eastAsia="宋体" w:hint="default"/>
          <w:spacing w:val="-61"/>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月经中国证券监督管理委员会以证监发行字</w:t>
      </w:r>
      <w:r>
        <w:rPr>
          <w:rFonts w:ascii="宋体" w:hAnsi="宋体" w:cs="宋体" w:eastAsia="宋体" w:hint="default"/>
        </w:rPr>
        <w:t>[2007]413</w:t>
      </w:r>
      <w:r>
        <w:rPr>
          <w:rFonts w:ascii="宋体" w:hAnsi="宋体" w:cs="宋体" w:eastAsia="宋体" w:hint="default"/>
          <w:spacing w:val="-60"/>
        </w:rPr>
        <w:t> </w:t>
      </w:r>
      <w:r>
        <w:rPr/>
        <w:t>号文《关于核准</w:t>
      </w:r>
    </w:p>
    <w:p>
      <w:pPr>
        <w:pStyle w:val="BodyText"/>
        <w:spacing w:line="240" w:lineRule="auto" w:before="154"/>
        <w:ind w:left="171" w:right="0"/>
        <w:jc w:val="left"/>
      </w:pPr>
      <w:r>
        <w:rPr>
          <w:spacing w:val="-3"/>
        </w:rPr>
        <w:t>上海海隆软件股份有限公司首次公开发行股票的通知》的核准，本公司于</w:t>
      </w:r>
      <w:r>
        <w:rPr>
          <w:spacing w:val="-55"/>
        </w:rPr>
        <w:t> </w:t>
      </w:r>
      <w:r>
        <w:rPr>
          <w:rFonts w:ascii="宋体" w:hAnsi="宋体" w:cs="宋体" w:eastAsia="宋体" w:hint="default"/>
        </w:rPr>
        <w:t>2007</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p>
    <w:p>
      <w:pPr>
        <w:pStyle w:val="BodyText"/>
        <w:spacing w:line="240" w:lineRule="auto" w:before="154"/>
        <w:ind w:left="171" w:right="0"/>
        <w:jc w:val="left"/>
        <w:rPr>
          <w:rFonts w:ascii="宋体" w:hAnsi="宋体" w:cs="宋体" w:eastAsia="宋体" w:hint="default"/>
        </w:rPr>
      </w:pPr>
      <w:r>
        <w:rPr/>
        <w:t>向社会公开发行人民币普通股股票</w:t>
      </w:r>
      <w:r>
        <w:rPr>
          <w:spacing w:val="-60"/>
        </w:rPr>
        <w:t> </w:t>
      </w:r>
      <w:r>
        <w:rPr>
          <w:rFonts w:ascii="宋体" w:hAnsi="宋体" w:cs="宋体" w:eastAsia="宋体" w:hint="default"/>
        </w:rPr>
        <w:t>1,450</w:t>
      </w:r>
      <w:r>
        <w:rPr>
          <w:rFonts w:ascii="宋体" w:hAnsi="宋体" w:cs="宋体" w:eastAsia="宋体" w:hint="default"/>
          <w:spacing w:val="-60"/>
        </w:rPr>
        <w:t> </w:t>
      </w:r>
      <w:r>
        <w:rPr>
          <w:spacing w:val="-10"/>
        </w:rPr>
        <w:t>万股，每股面值</w:t>
      </w:r>
      <w:r>
        <w:rPr>
          <w:spacing w:val="-60"/>
        </w:rPr>
        <w:t> </w:t>
      </w:r>
      <w:r>
        <w:rPr>
          <w:rFonts w:ascii="宋体" w:hAnsi="宋体" w:cs="宋体" w:eastAsia="宋体" w:hint="default"/>
        </w:rPr>
        <w:t>1.00</w:t>
      </w:r>
      <w:r>
        <w:rPr>
          <w:rFonts w:ascii="宋体" w:hAnsi="宋体" w:cs="宋体" w:eastAsia="宋体" w:hint="default"/>
          <w:spacing w:val="-60"/>
        </w:rPr>
        <w:t> </w:t>
      </w:r>
      <w:r>
        <w:rPr>
          <w:spacing w:val="-9"/>
        </w:rPr>
        <w:t>元，每股发行价为</w:t>
      </w:r>
      <w:r>
        <w:rPr>
          <w:spacing w:val="-60"/>
        </w:rPr>
        <w:t> </w:t>
      </w:r>
      <w:r>
        <w:rPr>
          <w:rFonts w:ascii="宋体" w:hAnsi="宋体" w:cs="宋体" w:eastAsia="宋体" w:hint="default"/>
        </w:rPr>
        <w:t>10.49</w:t>
      </w:r>
    </w:p>
    <w:p>
      <w:pPr>
        <w:pStyle w:val="BodyText"/>
        <w:spacing w:line="240" w:lineRule="auto" w:before="154"/>
        <w:ind w:left="171" w:right="0"/>
        <w:jc w:val="left"/>
      </w:pPr>
      <w:r>
        <w:rPr/>
        <w:t>元，公司股票于</w:t>
      </w:r>
      <w:r>
        <w:rPr>
          <w:spacing w:val="-61"/>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日在深圳证券交易所上市交易，发行后股本总额变更</w:t>
      </w:r>
    </w:p>
    <w:p>
      <w:pPr>
        <w:pStyle w:val="BodyText"/>
        <w:spacing w:line="357" w:lineRule="auto" w:before="154"/>
        <w:ind w:left="171" w:right="217"/>
        <w:jc w:val="left"/>
      </w:pPr>
      <w:r>
        <w:rPr/>
        <w:t>为</w:t>
      </w:r>
      <w:r>
        <w:rPr>
          <w:spacing w:val="-63"/>
        </w:rPr>
        <w:t> </w:t>
      </w:r>
      <w:r>
        <w:rPr>
          <w:rFonts w:ascii="宋体" w:hAnsi="宋体" w:cs="宋体" w:eastAsia="宋体" w:hint="default"/>
        </w:rPr>
        <w:t>5,740</w:t>
      </w:r>
      <w:r>
        <w:rPr>
          <w:rFonts w:ascii="宋体" w:hAnsi="宋体" w:cs="宋体" w:eastAsia="宋体" w:hint="default"/>
          <w:spacing w:val="-64"/>
        </w:rPr>
        <w:t> </w:t>
      </w:r>
      <w:r>
        <w:rPr/>
        <w:t>万元。注册登记日期：</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29</w:t>
      </w:r>
      <w:r>
        <w:rPr>
          <w:rFonts w:ascii="宋体" w:hAnsi="宋体" w:cs="宋体" w:eastAsia="宋体" w:hint="default"/>
          <w:spacing w:val="-63"/>
        </w:rPr>
        <w:t> </w:t>
      </w:r>
      <w:r>
        <w:rPr/>
        <w:t>日，注册登记地点：上海市工商行政管 理局。</w:t>
      </w:r>
    </w:p>
    <w:p>
      <w:pPr>
        <w:pStyle w:val="BodyText"/>
        <w:spacing w:line="240" w:lineRule="auto"/>
        <w:ind w:left="603" w:right="0"/>
        <w:jc w:val="left"/>
      </w:pPr>
      <w:r>
        <w:rPr>
          <w:rFonts w:ascii="宋体" w:hAnsi="宋体" w:cs="宋体" w:eastAsia="宋体" w:hint="default"/>
        </w:rPr>
        <w:t>2008</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106"/>
        </w:rPr>
        <w:t>，</w:t>
      </w:r>
      <w:r>
        <w:rPr/>
        <w:t>公司依据</w:t>
      </w:r>
      <w:r>
        <w:rPr>
          <w:spacing w:val="-60"/>
        </w:rPr>
        <w:t> </w:t>
      </w:r>
      <w:r>
        <w:rPr>
          <w:rFonts w:ascii="宋体" w:hAnsi="宋体" w:cs="宋体" w:eastAsia="宋体" w:hint="default"/>
        </w:rPr>
        <w:t>2007</w:t>
      </w:r>
      <w:r>
        <w:rPr>
          <w:rFonts w:ascii="宋体" w:hAnsi="宋体" w:cs="宋体" w:eastAsia="宋体" w:hint="default"/>
          <w:spacing w:val="-60"/>
        </w:rPr>
        <w:t> </w:t>
      </w:r>
      <w:r>
        <w:rPr/>
        <w:t>年年度股东大会决议</w:t>
      </w:r>
      <w:r>
        <w:rPr>
          <w:spacing w:val="-106"/>
        </w:rPr>
        <w:t>，</w:t>
      </w:r>
      <w:r>
        <w:rPr/>
        <w:t>实施了</w:t>
      </w:r>
      <w:r>
        <w:rPr>
          <w:spacing w:val="-60"/>
        </w:rPr>
        <w:t> </w:t>
      </w:r>
      <w:r>
        <w:rPr>
          <w:rFonts w:ascii="宋体" w:hAnsi="宋体" w:cs="宋体" w:eastAsia="宋体" w:hint="default"/>
        </w:rPr>
        <w:t>2007</w:t>
      </w:r>
      <w:r>
        <w:rPr>
          <w:rFonts w:ascii="宋体" w:hAnsi="宋体" w:cs="宋体" w:eastAsia="宋体" w:hint="default"/>
          <w:spacing w:val="-60"/>
        </w:rPr>
        <w:t> </w:t>
      </w:r>
      <w:r>
        <w:rPr/>
        <w:t>年度权益分派方案，</w:t>
      </w:r>
    </w:p>
    <w:p>
      <w:pPr>
        <w:pStyle w:val="BodyText"/>
        <w:spacing w:line="240" w:lineRule="auto" w:before="154"/>
        <w:ind w:left="171" w:right="0"/>
        <w:jc w:val="left"/>
      </w:pPr>
      <w:r>
        <w:rPr/>
        <w:t>以</w:t>
      </w:r>
      <w:r>
        <w:rPr>
          <w:spacing w:val="-60"/>
        </w:rPr>
        <w:t> </w:t>
      </w:r>
      <w:r>
        <w:rPr>
          <w:rFonts w:ascii="宋体" w:hAnsi="宋体" w:cs="宋体" w:eastAsia="宋体" w:hint="default"/>
        </w:rPr>
        <w:t>2007</w:t>
      </w:r>
      <w:r>
        <w:rPr>
          <w:rFonts w:ascii="宋体" w:hAnsi="宋体" w:cs="宋体" w:eastAsia="宋体" w:hint="default"/>
          <w:spacing w:val="-61"/>
        </w:rPr>
        <w:t> </w:t>
      </w:r>
      <w:r>
        <w:rPr/>
        <w:t>年末总股本</w:t>
      </w:r>
      <w:r>
        <w:rPr>
          <w:spacing w:val="-60"/>
        </w:rPr>
        <w:t> </w:t>
      </w:r>
      <w:r>
        <w:rPr>
          <w:rFonts w:ascii="宋体" w:hAnsi="宋体" w:cs="宋体" w:eastAsia="宋体" w:hint="default"/>
        </w:rPr>
        <w:t>5,740</w:t>
      </w:r>
      <w:r>
        <w:rPr>
          <w:rFonts w:ascii="宋体" w:hAnsi="宋体" w:cs="宋体" w:eastAsia="宋体" w:hint="default"/>
          <w:spacing w:val="-60"/>
        </w:rPr>
        <w:t> </w:t>
      </w:r>
      <w:r>
        <w:rPr/>
        <w:t>万股为基数，向全体股东每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1</w:t>
      </w:r>
      <w:r>
        <w:rPr>
          <w:rFonts w:ascii="宋体" w:hAnsi="宋体" w:cs="宋体" w:eastAsia="宋体" w:hint="default"/>
          <w:spacing w:val="-60"/>
        </w:rPr>
        <w:t> </w:t>
      </w:r>
      <w:r>
        <w:rPr/>
        <w:t>元人民币现金（含税，</w:t>
      </w:r>
    </w:p>
    <w:p>
      <w:pPr>
        <w:pStyle w:val="BodyText"/>
        <w:spacing w:line="240" w:lineRule="auto" w:before="154"/>
        <w:ind w:left="171" w:right="0"/>
        <w:jc w:val="left"/>
      </w:pPr>
      <w:r>
        <w:rPr/>
        <w:t>扣税后</w:t>
      </w:r>
      <w:r>
        <w:rPr>
          <w:spacing w:val="-27"/>
        </w:rPr>
        <w:t>，</w:t>
      </w:r>
      <w:r>
        <w:rPr/>
        <w:t>个人股东</w:t>
      </w:r>
      <w:r>
        <w:rPr>
          <w:spacing w:val="-27"/>
        </w:rPr>
        <w:t>、</w:t>
      </w:r>
      <w:r>
        <w:rPr/>
        <w:t>投资基金实际每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0.9</w:t>
      </w:r>
      <w:r>
        <w:rPr>
          <w:rFonts w:ascii="宋体" w:hAnsi="宋体" w:cs="宋体" w:eastAsia="宋体" w:hint="default"/>
          <w:spacing w:val="-60"/>
        </w:rPr>
        <w:t> </w:t>
      </w:r>
      <w:r>
        <w:rPr/>
        <w:t>元现金</w:t>
      </w:r>
      <w:r>
        <w:rPr>
          <w:spacing w:val="-120"/>
        </w:rPr>
        <w:t>）</w:t>
      </w:r>
      <w:r>
        <w:rPr>
          <w:spacing w:val="-27"/>
        </w:rPr>
        <w:t>；</w:t>
      </w:r>
      <w:r>
        <w:rPr/>
        <w:t>同时以资本公积向全体股东</w:t>
      </w:r>
    </w:p>
    <w:p>
      <w:pPr>
        <w:pStyle w:val="BodyText"/>
        <w:spacing w:line="240" w:lineRule="auto" w:before="154"/>
        <w:ind w:left="171" w:right="0"/>
        <w:jc w:val="left"/>
        <w:rPr>
          <w:rFonts w:ascii="宋体" w:hAnsi="宋体" w:cs="宋体" w:eastAsia="宋体" w:hint="default"/>
        </w:rPr>
      </w:pPr>
      <w:r>
        <w:rPr/>
        <w:t>每</w:t>
      </w:r>
      <w:r>
        <w:rPr>
          <w:spacing w:val="-60"/>
        </w:rPr>
        <w:t> </w:t>
      </w:r>
      <w:r>
        <w:rPr>
          <w:rFonts w:ascii="宋体" w:hAnsi="宋体" w:cs="宋体" w:eastAsia="宋体" w:hint="default"/>
        </w:rPr>
        <w:t>10</w:t>
      </w:r>
      <w:r>
        <w:rPr>
          <w:rFonts w:ascii="宋体" w:hAnsi="宋体" w:cs="宋体" w:eastAsia="宋体" w:hint="default"/>
          <w:spacing w:val="-61"/>
        </w:rPr>
        <w:t> </w:t>
      </w:r>
      <w:r>
        <w:rPr/>
        <w:t>股转增</w:t>
      </w:r>
      <w:r>
        <w:rPr>
          <w:spacing w:val="-60"/>
        </w:rPr>
        <w:t> </w:t>
      </w:r>
      <w:r>
        <w:rPr>
          <w:rFonts w:ascii="宋体" w:hAnsi="宋体" w:cs="宋体" w:eastAsia="宋体" w:hint="default"/>
        </w:rPr>
        <w:t>3</w:t>
      </w:r>
      <w:r>
        <w:rPr>
          <w:rFonts w:ascii="宋体" w:hAnsi="宋体" w:cs="宋体" w:eastAsia="宋体" w:hint="default"/>
          <w:spacing w:val="-60"/>
        </w:rPr>
        <w:t> </w:t>
      </w:r>
      <w:r>
        <w:rPr/>
        <w:t>股。本次权益分派方案实施后，公司总股本由</w:t>
      </w:r>
      <w:r>
        <w:rPr>
          <w:spacing w:val="-59"/>
        </w:rPr>
        <w:t> </w:t>
      </w:r>
      <w:r>
        <w:rPr>
          <w:rFonts w:ascii="宋体" w:hAnsi="宋体" w:cs="宋体" w:eastAsia="宋体" w:hint="default"/>
        </w:rPr>
        <w:t>5,740</w:t>
      </w:r>
      <w:r>
        <w:rPr>
          <w:rFonts w:ascii="宋体" w:hAnsi="宋体" w:cs="宋体" w:eastAsia="宋体" w:hint="default"/>
          <w:spacing w:val="-60"/>
        </w:rPr>
        <w:t> </w:t>
      </w:r>
      <w:r>
        <w:rPr/>
        <w:t>万股变更为</w:t>
      </w:r>
      <w:r>
        <w:rPr>
          <w:spacing w:val="-60"/>
        </w:rPr>
        <w:t> </w:t>
      </w:r>
      <w:r>
        <w:rPr>
          <w:rFonts w:ascii="宋体" w:hAnsi="宋体" w:cs="宋体" w:eastAsia="宋体" w:hint="default"/>
        </w:rPr>
        <w:t>7,462</w:t>
      </w:r>
    </w:p>
    <w:p>
      <w:pPr>
        <w:pStyle w:val="BodyText"/>
        <w:spacing w:line="240" w:lineRule="auto" w:before="154"/>
        <w:ind w:left="171" w:right="0"/>
        <w:jc w:val="left"/>
      </w:pPr>
      <w:r>
        <w:rPr/>
        <w:t>万股。注册登记日期：</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日，注册登记地点：上海市工商行政管理局。</w:t>
      </w:r>
    </w:p>
    <w:p>
      <w:pPr>
        <w:pStyle w:val="BodyText"/>
        <w:spacing w:line="240" w:lineRule="auto" w:before="154"/>
        <w:ind w:left="603" w:right="0"/>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106"/>
        </w:rPr>
        <w:t>，</w:t>
      </w:r>
      <w:r>
        <w:rPr/>
        <w:t>公司依据</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年年度股东大会决议</w:t>
      </w:r>
      <w:r>
        <w:rPr>
          <w:spacing w:val="-106"/>
        </w:rPr>
        <w:t>，</w:t>
      </w:r>
      <w:r>
        <w:rPr/>
        <w:t>实施了</w:t>
      </w:r>
      <w:r>
        <w:rPr>
          <w:spacing w:val="-60"/>
        </w:rPr>
        <w:t> </w:t>
      </w:r>
      <w:r>
        <w:rPr>
          <w:rFonts w:ascii="宋体" w:hAnsi="宋体" w:cs="宋体" w:eastAsia="宋体" w:hint="default"/>
        </w:rPr>
        <w:t>2010</w:t>
      </w:r>
      <w:r>
        <w:rPr>
          <w:rFonts w:ascii="宋体" w:hAnsi="宋体" w:cs="宋体" w:eastAsia="宋体" w:hint="default"/>
          <w:spacing w:val="-60"/>
        </w:rPr>
        <w:t> </w:t>
      </w:r>
      <w:r>
        <w:rPr/>
        <w:t>年度权益分派方案，</w:t>
      </w:r>
    </w:p>
    <w:p>
      <w:pPr>
        <w:pStyle w:val="BodyText"/>
        <w:spacing w:line="240" w:lineRule="auto" w:before="154"/>
        <w:ind w:left="171" w:right="0"/>
        <w:jc w:val="left"/>
      </w:pPr>
      <w:r>
        <w:rPr/>
        <w:t>以</w:t>
      </w:r>
      <w:r>
        <w:rPr>
          <w:spacing w:val="-60"/>
        </w:rPr>
        <w:t> </w:t>
      </w:r>
      <w:r>
        <w:rPr>
          <w:rFonts w:ascii="宋体" w:hAnsi="宋体" w:cs="宋体" w:eastAsia="宋体" w:hint="default"/>
        </w:rPr>
        <w:t>2010</w:t>
      </w:r>
      <w:r>
        <w:rPr>
          <w:rFonts w:ascii="宋体" w:hAnsi="宋体" w:cs="宋体" w:eastAsia="宋体" w:hint="default"/>
          <w:spacing w:val="-61"/>
        </w:rPr>
        <w:t> </w:t>
      </w:r>
      <w:r>
        <w:rPr/>
        <w:t>年末总股本</w:t>
      </w:r>
      <w:r>
        <w:rPr>
          <w:spacing w:val="-60"/>
        </w:rPr>
        <w:t> </w:t>
      </w:r>
      <w:r>
        <w:rPr>
          <w:rFonts w:ascii="宋体" w:hAnsi="宋体" w:cs="宋体" w:eastAsia="宋体" w:hint="default"/>
        </w:rPr>
        <w:t>7,462</w:t>
      </w:r>
      <w:r>
        <w:rPr>
          <w:rFonts w:ascii="宋体" w:hAnsi="宋体" w:cs="宋体" w:eastAsia="宋体" w:hint="default"/>
          <w:spacing w:val="-60"/>
        </w:rPr>
        <w:t> </w:t>
      </w:r>
      <w:r>
        <w:rPr/>
        <w:t>万股为基数，向全体股东每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1</w:t>
      </w:r>
      <w:r>
        <w:rPr>
          <w:rFonts w:ascii="宋体" w:hAnsi="宋体" w:cs="宋体" w:eastAsia="宋体" w:hint="default"/>
          <w:spacing w:val="-60"/>
        </w:rPr>
        <w:t> </w:t>
      </w:r>
      <w:r>
        <w:rPr/>
        <w:t>元人民币现金（含税，</w:t>
      </w:r>
    </w:p>
    <w:p>
      <w:pPr>
        <w:pStyle w:val="BodyText"/>
        <w:spacing w:line="240" w:lineRule="auto" w:before="154"/>
        <w:ind w:left="171" w:right="0"/>
        <w:jc w:val="left"/>
      </w:pPr>
      <w:r>
        <w:rPr/>
        <w:t>扣税后</w:t>
      </w:r>
      <w:r>
        <w:rPr>
          <w:spacing w:val="-20"/>
        </w:rPr>
        <w:t>，</w:t>
      </w:r>
      <w:r>
        <w:rPr/>
        <w:t>个人</w:t>
      </w:r>
      <w:r>
        <w:rPr>
          <w:spacing w:val="-20"/>
        </w:rPr>
        <w:t>、</w:t>
      </w:r>
      <w:r>
        <w:rPr/>
        <w:t>证券投资基金</w:t>
      </w:r>
      <w:r>
        <w:rPr>
          <w:spacing w:val="-20"/>
        </w:rPr>
        <w:t>、</w:t>
      </w:r>
      <w:r>
        <w:rPr/>
        <w:t>合格境外机构投资者实际每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0.9</w:t>
      </w:r>
      <w:r>
        <w:rPr>
          <w:rFonts w:ascii="宋体" w:hAnsi="宋体" w:cs="宋体" w:eastAsia="宋体" w:hint="default"/>
          <w:spacing w:val="-60"/>
        </w:rPr>
        <w:t> </w:t>
      </w:r>
      <w:r>
        <w:rPr/>
        <w:t>元</w:t>
      </w:r>
      <w:r>
        <w:rPr>
          <w:spacing w:val="-120"/>
        </w:rPr>
        <w:t>）</w:t>
      </w:r>
      <w:r>
        <w:rPr>
          <w:spacing w:val="-20"/>
        </w:rPr>
        <w:t>；</w:t>
      </w:r>
      <w:r>
        <w:rPr/>
        <w:t>同时以资</w:t>
      </w:r>
    </w:p>
    <w:p>
      <w:pPr>
        <w:pStyle w:val="BodyText"/>
        <w:spacing w:line="240" w:lineRule="auto" w:before="154"/>
        <w:ind w:left="171" w:right="0"/>
        <w:jc w:val="left"/>
        <w:rPr>
          <w:rFonts w:ascii="宋体" w:hAnsi="宋体" w:cs="宋体" w:eastAsia="宋体" w:hint="default"/>
        </w:rPr>
      </w:pPr>
      <w:r>
        <w:rPr/>
        <w:t>本公积金向全体股东每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spacing w:val="-7"/>
        </w:rPr>
        <w:t>股。本次权益分派方案实施后，公司总股本由</w:t>
      </w:r>
      <w:r>
        <w:rPr>
          <w:spacing w:val="-59"/>
        </w:rPr>
        <w:t> </w:t>
      </w:r>
      <w:r>
        <w:rPr>
          <w:rFonts w:ascii="宋体" w:hAnsi="宋体" w:cs="宋体" w:eastAsia="宋体" w:hint="default"/>
        </w:rPr>
        <w:t>7,462</w:t>
      </w:r>
    </w:p>
    <w:p>
      <w:pPr>
        <w:pStyle w:val="BodyText"/>
        <w:spacing w:line="357" w:lineRule="auto" w:before="154"/>
        <w:ind w:left="171" w:right="217"/>
        <w:jc w:val="left"/>
      </w:pPr>
      <w:r>
        <w:rPr/>
        <w:t>万股变更为</w:t>
      </w:r>
      <w:r>
        <w:rPr>
          <w:spacing w:val="-64"/>
        </w:rPr>
        <w:t> </w:t>
      </w:r>
      <w:r>
        <w:rPr>
          <w:rFonts w:ascii="宋体" w:hAnsi="宋体" w:cs="宋体" w:eastAsia="宋体" w:hint="default"/>
        </w:rPr>
        <w:t>11,193</w:t>
      </w:r>
      <w:r>
        <w:rPr>
          <w:rFonts w:ascii="宋体" w:hAnsi="宋体" w:cs="宋体" w:eastAsia="宋体" w:hint="default"/>
          <w:spacing w:val="-63"/>
        </w:rPr>
        <w:t> </w:t>
      </w:r>
      <w:r>
        <w:rPr/>
        <w:t>万股。注册登记日期：</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3</w:t>
      </w:r>
      <w:r>
        <w:rPr>
          <w:rFonts w:ascii="宋体" w:hAnsi="宋体" w:cs="宋体" w:eastAsia="宋体" w:hint="default"/>
          <w:spacing w:val="-63"/>
        </w:rPr>
        <w:t> </w:t>
      </w:r>
      <w:r>
        <w:rPr/>
        <w:t>日，注册登记地点：上海市工 商行政管理局。</w:t>
      </w:r>
    </w:p>
    <w:p>
      <w:pPr>
        <w:pStyle w:val="BodyText"/>
        <w:spacing w:line="357" w:lineRule="auto"/>
        <w:ind w:left="171" w:right="95" w:firstLine="446"/>
        <w:jc w:val="left"/>
      </w:pPr>
      <w:r>
        <w:rPr>
          <w:spacing w:val="-4"/>
        </w:rPr>
        <w:t>在上述历史变更中，公司企业法人营业执照注册号：</w:t>
      </w:r>
      <w:r>
        <w:rPr>
          <w:rFonts w:ascii="宋体" w:hAnsi="宋体" w:cs="宋体" w:eastAsia="宋体" w:hint="default"/>
          <w:spacing w:val="-4"/>
        </w:rPr>
        <w:t>310000000003153</w:t>
      </w:r>
      <w:r>
        <w:rPr>
          <w:spacing w:val="-4"/>
        </w:rPr>
        <w:t>（市局）、税</w:t>
      </w:r>
      <w:r>
        <w:rPr/>
        <w:t> </w:t>
      </w:r>
      <w:r>
        <w:rPr>
          <w:spacing w:val="-7"/>
        </w:rPr>
        <w:t>务登记证号码：税沪字</w:t>
      </w:r>
      <w:r>
        <w:rPr>
          <w:spacing w:val="-56"/>
        </w:rPr>
        <w:t> </w:t>
      </w:r>
      <w:r>
        <w:rPr>
          <w:rFonts w:ascii="宋体" w:hAnsi="宋体" w:cs="宋体" w:eastAsia="宋体" w:hint="default"/>
          <w:spacing w:val="-4"/>
        </w:rPr>
        <w:t>310104607203699</w:t>
      </w:r>
      <w:r>
        <w:rPr>
          <w:spacing w:val="-4"/>
        </w:rPr>
        <w:t>、组织机构代码证：</w:t>
      </w:r>
      <w:r>
        <w:rPr>
          <w:rFonts w:ascii="宋体" w:hAnsi="宋体" w:cs="宋体" w:eastAsia="宋体" w:hint="default"/>
          <w:spacing w:val="-4"/>
        </w:rPr>
        <w:t>60720369-9</w:t>
      </w:r>
      <w:r>
        <w:rPr>
          <w:rFonts w:ascii="宋体" w:hAnsi="宋体" w:cs="宋体" w:eastAsia="宋体" w:hint="default"/>
          <w:spacing w:val="-58"/>
        </w:rPr>
        <w:t> </w:t>
      </w:r>
      <w:r>
        <w:rPr/>
        <w:t>均未发生变化。</w:t>
      </w:r>
    </w:p>
    <w:p>
      <w:pPr>
        <w:spacing w:after="0" w:line="357" w:lineRule="auto"/>
        <w:jc w:val="left"/>
        <w:sectPr>
          <w:pgSz w:w="11910" w:h="16840"/>
          <w:pgMar w:header="876" w:footer="1186" w:top="1100" w:bottom="1380" w:left="130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75" w:val="left" w:leader="none"/>
        </w:tabs>
        <w:spacing w:line="240" w:lineRule="auto" w:before="166"/>
        <w:ind w:left="2288" w:right="0"/>
        <w:jc w:val="left"/>
        <w:rPr>
          <w:b w:val="0"/>
          <w:bCs w:val="0"/>
        </w:rPr>
      </w:pPr>
      <w:bookmarkStart w:name="_TOC_250010" w:id="3"/>
      <w:r>
        <w:rPr>
          <w:w w:val="95"/>
        </w:rPr>
        <w:t>第三节</w:t>
        <w:tab/>
      </w:r>
      <w:r>
        <w:rPr/>
        <w:t>会计数据和业务数据摘要</w:t>
      </w:r>
      <w:bookmarkEnd w:id="3"/>
      <w:r>
        <w:rPr>
          <w:b w:val="0"/>
          <w:bCs w:val="0"/>
        </w:rPr>
      </w:r>
    </w:p>
    <w:p>
      <w:pPr>
        <w:spacing w:line="240" w:lineRule="auto" w:before="10"/>
        <w:rPr>
          <w:rFonts w:ascii="宋体" w:hAnsi="宋体" w:cs="宋体" w:eastAsia="宋体" w:hint="default"/>
          <w:b/>
          <w:bCs/>
          <w:sz w:val="12"/>
          <w:szCs w:val="12"/>
        </w:rPr>
      </w:pPr>
    </w:p>
    <w:p>
      <w:pPr>
        <w:pStyle w:val="Heading3"/>
        <w:spacing w:line="240" w:lineRule="auto"/>
        <w:ind w:right="0"/>
        <w:jc w:val="left"/>
        <w:rPr>
          <w:b w:val="0"/>
          <w:bCs w:val="0"/>
        </w:rPr>
      </w:pPr>
      <w:r>
        <w:rPr/>
        <w:t>一、主要财务数据</w:t>
      </w:r>
      <w:r>
        <w:rPr>
          <w:b w:val="0"/>
          <w:bCs w:val="0"/>
        </w:rPr>
      </w:r>
    </w:p>
    <w:p>
      <w:pPr>
        <w:spacing w:line="240" w:lineRule="auto" w:before="12"/>
        <w:rPr>
          <w:rFonts w:ascii="宋体" w:hAnsi="宋体" w:cs="宋体" w:eastAsia="宋体" w:hint="default"/>
          <w:b/>
          <w:bCs/>
          <w:sz w:val="10"/>
          <w:szCs w:val="10"/>
        </w:rPr>
      </w:pPr>
    </w:p>
    <w:p>
      <w:pPr>
        <w:spacing w:before="36"/>
        <w:ind w:left="0" w:right="482"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78" w:type="dxa"/>
        <w:tblLayout w:type="fixed"/>
        <w:tblCellMar>
          <w:top w:w="0" w:type="dxa"/>
          <w:left w:w="0" w:type="dxa"/>
          <w:bottom w:w="0" w:type="dxa"/>
          <w:right w:w="0" w:type="dxa"/>
        </w:tblCellMar>
        <w:tblLook w:val="01E0"/>
      </w:tblPr>
      <w:tblGrid>
        <w:gridCol w:w="2633"/>
        <w:gridCol w:w="162"/>
        <w:gridCol w:w="1475"/>
        <w:gridCol w:w="1685"/>
        <w:gridCol w:w="1450"/>
        <w:gridCol w:w="1639"/>
      </w:tblGrid>
      <w:tr>
        <w:trPr>
          <w:trHeight w:val="161" w:hRule="exact"/>
        </w:trPr>
        <w:tc>
          <w:tcPr>
            <w:tcW w:w="2633"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94" w:right="190"/>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p>
        </w:tc>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633" w:type="dxa"/>
            <w:tcBorders>
              <w:top w:val="nil" w:sz="6" w:space="0" w:color="auto"/>
              <w:left w:val="single" w:sz="4" w:space="0" w:color="000000"/>
              <w:bottom w:val="nil" w:sz="6" w:space="0" w:color="auto"/>
              <w:right w:val="single" w:sz="4" w:space="0" w:color="000000"/>
            </w:tcBorders>
            <w:shd w:val="clear" w:color="auto" w:fill="DCDCDC"/>
          </w:tcPr>
          <w:p>
            <w:pPr/>
          </w:p>
        </w:tc>
        <w:tc>
          <w:tcPr>
            <w:tcW w:w="163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50" w:type="dxa"/>
            <w:vMerge/>
            <w:tcBorders>
              <w:left w:val="single" w:sz="4" w:space="0" w:color="000000"/>
              <w:right w:val="single" w:sz="4" w:space="0" w:color="000000"/>
            </w:tcBorders>
            <w:shd w:val="clear" w:color="auto" w:fill="DCDCDC"/>
          </w:tcPr>
          <w:p>
            <w:pPr/>
          </w:p>
        </w:tc>
        <w:tc>
          <w:tcPr>
            <w:tcW w:w="16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7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633"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0" w:type="dxa"/>
            <w:vMerge/>
            <w:tcBorders>
              <w:left w:val="single" w:sz="4" w:space="0" w:color="000000"/>
              <w:bottom w:val="single" w:sz="4" w:space="0" w:color="000000"/>
              <w:right w:val="single" w:sz="4" w:space="0" w:color="000000"/>
            </w:tcBorders>
            <w:shd w:val="clear" w:color="auto" w:fill="DCDCDC"/>
          </w:tcPr>
          <w:p>
            <w:pPr/>
          </w:p>
        </w:tc>
        <w:tc>
          <w:tcPr>
            <w:tcW w:w="163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390,699,391.77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294,250,120.89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32.78%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192,961,837.63</w:t>
            </w:r>
          </w:p>
        </w:tc>
      </w:tr>
      <w:tr>
        <w:trPr>
          <w:trHeight w:val="322"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227" w:right="0"/>
              <w:jc w:val="left"/>
              <w:rPr>
                <w:rFonts w:ascii="宋体" w:hAnsi="宋体" w:cs="宋体" w:eastAsia="宋体" w:hint="default"/>
                <w:sz w:val="21"/>
                <w:szCs w:val="21"/>
              </w:rPr>
            </w:pPr>
            <w:r>
              <w:rPr>
                <w:rFonts w:ascii="宋体"/>
                <w:sz w:val="21"/>
              </w:rPr>
              <w:t>72,238,297.16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44,813,549.38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61.20%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16,658,797.34</w:t>
            </w:r>
          </w:p>
        </w:tc>
      </w:tr>
      <w:tr>
        <w:trPr>
          <w:trHeight w:val="324"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5" w:lineRule="exact"/>
              <w:ind w:left="227" w:right="0"/>
              <w:jc w:val="left"/>
              <w:rPr>
                <w:rFonts w:ascii="宋体" w:hAnsi="宋体" w:cs="宋体" w:eastAsia="宋体" w:hint="default"/>
                <w:sz w:val="21"/>
                <w:szCs w:val="21"/>
              </w:rPr>
            </w:pPr>
            <w:r>
              <w:rPr>
                <w:rFonts w:ascii="宋体"/>
                <w:sz w:val="21"/>
              </w:rPr>
              <w:t>79,189,253.76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53,926,503.80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46.85%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23,437,064.73</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681" w:right="257" w:hanging="42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27" w:right="0"/>
              <w:jc w:val="left"/>
              <w:rPr>
                <w:rFonts w:ascii="宋体" w:hAnsi="宋体" w:cs="宋体" w:eastAsia="宋体" w:hint="default"/>
                <w:sz w:val="21"/>
                <w:szCs w:val="21"/>
              </w:rPr>
            </w:pPr>
            <w:r>
              <w:rPr>
                <w:rFonts w:ascii="宋体"/>
                <w:sz w:val="21"/>
              </w:rPr>
              <w:t>64,970,176.54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45,202,806.42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43.73%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20,274,036.09</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48" w:firstLine="2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w w:val="100"/>
                <w:sz w:val="21"/>
                <w:szCs w:val="21"/>
              </w:rPr>
              <w:t> </w:t>
            </w:r>
            <w:r>
              <w:rPr>
                <w:rFonts w:ascii="宋体" w:hAnsi="宋体" w:cs="宋体" w:eastAsia="宋体" w:hint="default"/>
                <w:spacing w:val="-6"/>
                <w:sz w:val="21"/>
                <w:szCs w:val="21"/>
              </w:rPr>
              <w:t>非经常性损益的净利润（元</w:t>
            </w:r>
          </w:p>
        </w:tc>
        <w:tc>
          <w:tcPr>
            <w:tcW w:w="162"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82" w:right="0"/>
              <w:jc w:val="left"/>
              <w:rPr>
                <w:rFonts w:ascii="宋体" w:hAnsi="宋体" w:cs="宋体" w:eastAsia="宋体" w:hint="default"/>
                <w:sz w:val="21"/>
                <w:szCs w:val="21"/>
              </w:rPr>
            </w:pPr>
            <w:r>
              <w:rPr>
                <w:rFonts w:ascii="宋体"/>
                <w:sz w:val="21"/>
              </w:rPr>
              <w:t>59,349,124.77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37,418,074.50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z w:val="21"/>
              </w:rPr>
              <w:t>58.61%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14,463,187.89</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64" w:right="363" w:firstLine="211"/>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w w:val="100"/>
                <w:sz w:val="21"/>
                <w:szCs w:val="21"/>
              </w:rPr>
              <w:t> </w:t>
            </w:r>
            <w:r>
              <w:rPr>
                <w:rFonts w:ascii="宋体" w:hAnsi="宋体" w:cs="宋体" w:eastAsia="宋体" w:hint="default"/>
                <w:sz w:val="21"/>
                <w:szCs w:val="21"/>
              </w:rPr>
              <w:t>现金流量净额（元）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27" w:right="0"/>
              <w:jc w:val="left"/>
              <w:rPr>
                <w:rFonts w:ascii="宋体" w:hAnsi="宋体" w:cs="宋体" w:eastAsia="宋体" w:hint="default"/>
                <w:sz w:val="21"/>
                <w:szCs w:val="21"/>
              </w:rPr>
            </w:pPr>
            <w:r>
              <w:rPr>
                <w:rFonts w:ascii="宋体"/>
                <w:sz w:val="21"/>
              </w:rPr>
              <w:t>81,178,243.88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42,890,745.78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89.27%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25,446,412.28</w:t>
            </w:r>
          </w:p>
        </w:tc>
      </w:tr>
      <w:tr>
        <w:trPr>
          <w:trHeight w:val="161" w:hRule="exact"/>
        </w:trPr>
        <w:tc>
          <w:tcPr>
            <w:tcW w:w="2633"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91" w:right="84"/>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633" w:type="dxa"/>
            <w:tcBorders>
              <w:top w:val="nil" w:sz="6" w:space="0" w:color="auto"/>
              <w:left w:val="single" w:sz="4" w:space="0" w:color="000000"/>
              <w:bottom w:val="nil" w:sz="6" w:space="0" w:color="auto"/>
              <w:right w:val="single" w:sz="4" w:space="0" w:color="000000"/>
            </w:tcBorders>
            <w:shd w:val="clear" w:color="auto" w:fill="DCDCDC"/>
          </w:tcPr>
          <w:p>
            <w:pPr/>
          </w:p>
        </w:tc>
        <w:tc>
          <w:tcPr>
            <w:tcW w:w="163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6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50" w:type="dxa"/>
            <w:vMerge/>
            <w:tcBorders>
              <w:left w:val="single" w:sz="4" w:space="0" w:color="000000"/>
              <w:right w:val="single" w:sz="4" w:space="0" w:color="000000"/>
            </w:tcBorders>
            <w:shd w:val="clear" w:color="auto" w:fill="DCDCDC"/>
          </w:tcPr>
          <w:p>
            <w:pPr/>
          </w:p>
        </w:tc>
        <w:tc>
          <w:tcPr>
            <w:tcW w:w="16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33"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0" w:type="dxa"/>
            <w:vMerge/>
            <w:tcBorders>
              <w:left w:val="single" w:sz="4" w:space="0" w:color="000000"/>
              <w:bottom w:val="single" w:sz="4" w:space="0" w:color="000000"/>
              <w:right w:val="single" w:sz="4" w:space="0" w:color="000000"/>
            </w:tcBorders>
            <w:shd w:val="clear" w:color="auto" w:fill="DCDCDC"/>
          </w:tcPr>
          <w:p>
            <w:pPr/>
          </w:p>
        </w:tc>
        <w:tc>
          <w:tcPr>
            <w:tcW w:w="163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424,018,387.73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358,889,318.01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18.15%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314,805,245.41</w:t>
            </w:r>
          </w:p>
        </w:tc>
      </w:tr>
      <w:tr>
        <w:trPr>
          <w:trHeight w:val="324"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5" w:lineRule="exact"/>
              <w:ind w:left="227" w:right="0"/>
              <w:jc w:val="left"/>
              <w:rPr>
                <w:rFonts w:ascii="宋体" w:hAnsi="宋体" w:cs="宋体" w:eastAsia="宋体" w:hint="default"/>
                <w:sz w:val="21"/>
                <w:szCs w:val="21"/>
              </w:rPr>
            </w:pPr>
            <w:r>
              <w:rPr>
                <w:rFonts w:ascii="宋体"/>
                <w:sz w:val="21"/>
              </w:rPr>
              <w:t>40,748,732.50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37,704,471.48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8.07%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37,012,098.86</w:t>
            </w:r>
          </w:p>
        </w:tc>
      </w:tr>
      <w:tr>
        <w:trPr>
          <w:trHeight w:val="634"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70" w:right="257" w:hanging="209"/>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所有者权益（元）</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sz w:val="21"/>
              </w:rPr>
              <w:t>367,214,329.07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305,786,338.42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20.09%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267,686,166.01</w:t>
            </w:r>
          </w:p>
        </w:tc>
      </w:tr>
      <w:tr>
        <w:trPr>
          <w:trHeight w:val="322" w:hRule="exact"/>
        </w:trPr>
        <w:tc>
          <w:tcPr>
            <w:tcW w:w="26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63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sz w:val="21"/>
              </w:rPr>
              <w:t>111,930,000.00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74,620,000.00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50.00%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74,620,000.00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r>
        <w:rPr/>
        <w:t>二、主要财务指标</w:t>
      </w:r>
      <w:r>
        <w:rPr>
          <w:b w:val="0"/>
          <w:bCs w:val="0"/>
        </w:rPr>
      </w:r>
    </w:p>
    <w:p>
      <w:pPr>
        <w:spacing w:line="240" w:lineRule="auto" w:before="10"/>
        <w:rPr>
          <w:rFonts w:ascii="宋体" w:hAnsi="宋体" w:cs="宋体" w:eastAsia="宋体" w:hint="default"/>
          <w:b/>
          <w:bCs/>
          <w:sz w:val="8"/>
          <w:szCs w:val="8"/>
        </w:rPr>
      </w:pPr>
    </w:p>
    <w:tbl>
      <w:tblPr>
        <w:tblW w:w="0" w:type="auto"/>
        <w:jc w:val="left"/>
        <w:tblInd w:w="190" w:type="dxa"/>
        <w:tblLayout w:type="fixed"/>
        <w:tblCellMar>
          <w:top w:w="0" w:type="dxa"/>
          <w:left w:w="0" w:type="dxa"/>
          <w:bottom w:w="0" w:type="dxa"/>
          <w:right w:w="0" w:type="dxa"/>
        </w:tblCellMar>
        <w:tblLook w:val="01E0"/>
      </w:tblPr>
      <w:tblGrid>
        <w:gridCol w:w="4385"/>
        <w:gridCol w:w="1107"/>
        <w:gridCol w:w="1049"/>
        <w:gridCol w:w="1539"/>
        <w:gridCol w:w="982"/>
      </w:tblGrid>
      <w:tr>
        <w:trPr>
          <w:trHeight w:val="161" w:hRule="exact"/>
        </w:trPr>
        <w:tc>
          <w:tcPr>
            <w:tcW w:w="43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9"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98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4385" w:type="dxa"/>
            <w:tcBorders>
              <w:top w:val="nil" w:sz="6" w:space="0" w:color="auto"/>
              <w:left w:val="single" w:sz="4" w:space="0" w:color="000000"/>
              <w:bottom w:val="nil" w:sz="6" w:space="0" w:color="auto"/>
              <w:right w:val="single" w:sz="4" w:space="0" w:color="000000"/>
            </w:tcBorders>
            <w:shd w:val="clear" w:color="auto" w:fill="DCDCDC"/>
          </w:tcPr>
          <w:p>
            <w:pPr/>
          </w:p>
        </w:tc>
        <w:tc>
          <w:tcPr>
            <w:tcW w:w="11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39" w:type="dxa"/>
            <w:vMerge/>
            <w:tcBorders>
              <w:left w:val="single" w:sz="4" w:space="0" w:color="000000"/>
              <w:right w:val="single" w:sz="4" w:space="0" w:color="000000"/>
            </w:tcBorders>
            <w:shd w:val="clear" w:color="auto" w:fill="DCDCDC"/>
          </w:tcPr>
          <w:p>
            <w:pPr/>
          </w:p>
        </w:tc>
        <w:tc>
          <w:tcPr>
            <w:tcW w:w="9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4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43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9" w:type="dxa"/>
            <w:vMerge/>
            <w:tcBorders>
              <w:left w:val="single" w:sz="4" w:space="0" w:color="000000"/>
              <w:bottom w:val="single" w:sz="4" w:space="0" w:color="000000"/>
              <w:right w:val="single" w:sz="4" w:space="0" w:color="000000"/>
            </w:tcBorders>
            <w:shd w:val="clear" w:color="auto" w:fill="DCDCDC"/>
          </w:tcPr>
          <w:p>
            <w:pPr/>
          </w:p>
        </w:tc>
        <w:tc>
          <w:tcPr>
            <w:tcW w:w="98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0.580454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0.403849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43.73%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0.181131</w:t>
            </w:r>
          </w:p>
        </w:tc>
      </w:tr>
      <w:tr>
        <w:trPr>
          <w:trHeight w:val="323"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0.580454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9"/>
              <w:jc w:val="right"/>
              <w:rPr>
                <w:rFonts w:ascii="宋体" w:hAnsi="宋体" w:cs="宋体" w:eastAsia="宋体" w:hint="default"/>
                <w:sz w:val="21"/>
                <w:szCs w:val="21"/>
              </w:rPr>
            </w:pPr>
            <w:r>
              <w:rPr>
                <w:rFonts w:ascii="宋体"/>
                <w:spacing w:val="-1"/>
                <w:sz w:val="21"/>
              </w:rPr>
              <w:t>0.403849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43.73%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9"/>
              <w:jc w:val="right"/>
              <w:rPr>
                <w:rFonts w:ascii="宋体" w:hAnsi="宋体" w:cs="宋体" w:eastAsia="宋体" w:hint="default"/>
                <w:sz w:val="21"/>
                <w:szCs w:val="21"/>
              </w:rPr>
            </w:pPr>
            <w:r>
              <w:rPr>
                <w:rFonts w:ascii="宋体"/>
                <w:spacing w:val="-1"/>
                <w:sz w:val="21"/>
              </w:rPr>
              <w:t>0.181131</w:t>
            </w:r>
          </w:p>
        </w:tc>
      </w:tr>
      <w:tr>
        <w:trPr>
          <w:trHeight w:val="322"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0.570114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100"/>
                <w:sz w:val="21"/>
              </w:rPr>
              <w:t>-</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r>
        <w:trPr>
          <w:trHeight w:val="322"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0.530234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0.334299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58.61%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0.129216</w:t>
            </w:r>
          </w:p>
        </w:tc>
      </w:tr>
      <w:tr>
        <w:trPr>
          <w:trHeight w:val="161" w:hRule="exact"/>
        </w:trPr>
        <w:tc>
          <w:tcPr>
            <w:tcW w:w="43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7" w:type="dxa"/>
            <w:vMerge w:val="restart"/>
            <w:tcBorders>
              <w:top w:val="single" w:sz="4" w:space="0" w:color="000000"/>
              <w:left w:val="single" w:sz="10" w:space="0" w:color="DCDCDC"/>
              <w:right w:val="single" w:sz="4" w:space="0" w:color="000000"/>
            </w:tcBorders>
          </w:tcPr>
          <w:p>
            <w:pPr>
              <w:pStyle w:val="TableParagraph"/>
              <w:spacing w:line="240" w:lineRule="auto" w:before="143"/>
              <w:ind w:left="436" w:right="0"/>
              <w:jc w:val="left"/>
              <w:rPr>
                <w:rFonts w:ascii="宋体" w:hAnsi="宋体" w:cs="宋体" w:eastAsia="宋体" w:hint="default"/>
                <w:sz w:val="21"/>
                <w:szCs w:val="21"/>
              </w:rPr>
            </w:pPr>
            <w:r>
              <w:rPr>
                <w:rFonts w:ascii="宋体"/>
                <w:sz w:val="21"/>
              </w:rPr>
              <w:t>19.46%</w:t>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43"/>
              <w:ind w:left="384" w:right="0"/>
              <w:jc w:val="left"/>
              <w:rPr>
                <w:rFonts w:ascii="宋体" w:hAnsi="宋体" w:cs="宋体" w:eastAsia="宋体" w:hint="default"/>
                <w:sz w:val="21"/>
                <w:szCs w:val="21"/>
              </w:rPr>
            </w:pPr>
            <w:r>
              <w:rPr>
                <w:rFonts w:ascii="宋体"/>
                <w:sz w:val="21"/>
              </w:rPr>
              <w:t>15.81%</w:t>
            </w:r>
          </w:p>
        </w:tc>
        <w:tc>
          <w:tcPr>
            <w:tcW w:w="1539" w:type="dxa"/>
            <w:vMerge w:val="restart"/>
            <w:tcBorders>
              <w:top w:val="single" w:sz="4" w:space="0" w:color="000000"/>
              <w:left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3.65</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40" w:lineRule="auto" w:before="37"/>
              <w:ind w:left="876"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143"/>
              <w:ind w:left="422" w:right="0"/>
              <w:jc w:val="left"/>
              <w:rPr>
                <w:rFonts w:ascii="宋体" w:hAnsi="宋体" w:cs="宋体" w:eastAsia="宋体" w:hint="default"/>
                <w:sz w:val="21"/>
                <w:szCs w:val="21"/>
              </w:rPr>
            </w:pPr>
            <w:r>
              <w:rPr>
                <w:rFonts w:ascii="宋体"/>
                <w:sz w:val="21"/>
              </w:rPr>
              <w:t>7.78%</w:t>
            </w:r>
          </w:p>
        </w:tc>
      </w:tr>
      <w:tr>
        <w:trPr>
          <w:trHeight w:val="312" w:hRule="exact"/>
        </w:trPr>
        <w:tc>
          <w:tcPr>
            <w:tcW w:w="43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107" w:type="dxa"/>
            <w:vMerge/>
            <w:tcBorders>
              <w:left w:val="single" w:sz="10" w:space="0" w:color="DCDCDC"/>
              <w:right w:val="single" w:sz="4" w:space="0" w:color="000000"/>
            </w:tcBorders>
          </w:tcPr>
          <w:p>
            <w:pPr/>
          </w:p>
        </w:tc>
        <w:tc>
          <w:tcPr>
            <w:tcW w:w="1049" w:type="dxa"/>
            <w:vMerge/>
            <w:tcBorders>
              <w:left w:val="single" w:sz="4" w:space="0" w:color="000000"/>
              <w:right w:val="single" w:sz="4" w:space="0" w:color="000000"/>
            </w:tcBorders>
          </w:tcPr>
          <w:p>
            <w:pPr/>
          </w:p>
        </w:tc>
        <w:tc>
          <w:tcPr>
            <w:tcW w:w="1539"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r>
      <w:tr>
        <w:trPr>
          <w:trHeight w:val="161" w:hRule="exact"/>
        </w:trPr>
        <w:tc>
          <w:tcPr>
            <w:tcW w:w="43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7" w:type="dxa"/>
            <w:vMerge/>
            <w:tcBorders>
              <w:left w:val="single" w:sz="10" w:space="0" w:color="DCDCDC"/>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539"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r>
      <w:tr>
        <w:trPr>
          <w:trHeight w:val="634"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17.77%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13.09%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4.68</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40" w:lineRule="auto" w:before="37"/>
              <w:ind w:left="876"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5.55%</w:t>
            </w:r>
          </w:p>
        </w:tc>
      </w:tr>
      <w:tr>
        <w:trPr>
          <w:trHeight w:val="323"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宋体" w:hAnsi="宋体" w:cs="宋体" w:eastAsia="宋体" w:hint="default"/>
                <w:sz w:val="21"/>
                <w:szCs w:val="21"/>
              </w:rPr>
              <w:t>/</w:t>
            </w:r>
            <w:r>
              <w:rPr>
                <w:rFonts w:ascii="宋体" w:hAnsi="宋体" w:cs="宋体" w:eastAsia="宋体" w:hint="default"/>
                <w:sz w:val="21"/>
                <w:szCs w:val="21"/>
              </w:rPr>
              <w:t>股）</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z w:val="21"/>
              </w:rPr>
              <w:t>0.7253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z w:val="21"/>
              </w:rPr>
              <w:t>0.5748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z w:val="21"/>
              </w:rPr>
              <w:t>26.18%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z w:val="21"/>
              </w:rPr>
              <w:t>0.3410</w:t>
            </w:r>
          </w:p>
        </w:tc>
      </w:tr>
      <w:tr>
        <w:trPr>
          <w:trHeight w:val="162" w:hRule="exact"/>
        </w:trPr>
        <w:tc>
          <w:tcPr>
            <w:tcW w:w="43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3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40" w:right="24" w:hanging="212"/>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98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4385" w:type="dxa"/>
            <w:tcBorders>
              <w:top w:val="nil" w:sz="6" w:space="0" w:color="auto"/>
              <w:left w:val="single" w:sz="4" w:space="0" w:color="000000"/>
              <w:bottom w:val="nil" w:sz="6" w:space="0" w:color="auto"/>
              <w:right w:val="single" w:sz="4" w:space="0" w:color="000000"/>
            </w:tcBorders>
            <w:shd w:val="clear" w:color="auto" w:fill="DCDCDC"/>
          </w:tcPr>
          <w:p>
            <w:pPr/>
          </w:p>
        </w:tc>
        <w:tc>
          <w:tcPr>
            <w:tcW w:w="11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049" w:type="dxa"/>
            <w:tcBorders>
              <w:top w:val="nil" w:sz="6" w:space="0" w:color="auto"/>
              <w:left w:val="single" w:sz="10" w:space="0" w:color="DCDCDC"/>
              <w:bottom w:val="nil" w:sz="6" w:space="0" w:color="auto"/>
              <w:right w:val="single" w:sz="23" w:space="0" w:color="DCDCDC"/>
            </w:tcBorders>
          </w:tcPr>
          <w:p>
            <w:pPr>
              <w:pStyle w:val="TableParagraph"/>
              <w:tabs>
                <w:tab w:pos="943" w:val="left" w:leader="none"/>
              </w:tabs>
              <w:spacing w:line="262" w:lineRule="exact"/>
              <w:ind w:right="-1"/>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2010</w:t>
            </w:r>
            <w:r>
              <w:rPr>
                <w:rFonts w:ascii="宋体" w:hAnsi="宋体" w:cs="宋体" w:eastAsia="宋体" w:hint="default"/>
                <w:spacing w:val="-51"/>
                <w:sz w:val="21"/>
                <w:szCs w:val="21"/>
                <w:shd w:fill="DCDCDC" w:color="auto" w:val="clear"/>
              </w:rPr>
              <w:t> </w:t>
            </w:r>
            <w:r>
              <w:rPr>
                <w:rFonts w:ascii="宋体" w:hAnsi="宋体" w:cs="宋体" w:eastAsia="宋体" w:hint="default"/>
                <w:sz w:val="21"/>
                <w:szCs w:val="21"/>
                <w:shd w:fill="DCDCDC" w:color="auto" w:val="clear"/>
              </w:rPr>
              <w:t>年末</w:t>
              <w:tab/>
            </w:r>
            <w:r>
              <w:rPr>
                <w:rFonts w:ascii="宋体" w:hAnsi="宋体" w:cs="宋体" w:eastAsia="宋体" w:hint="default"/>
                <w:sz w:val="21"/>
                <w:szCs w:val="21"/>
              </w:rPr>
            </w:r>
          </w:p>
        </w:tc>
        <w:tc>
          <w:tcPr>
            <w:tcW w:w="1539" w:type="dxa"/>
            <w:vMerge/>
            <w:tcBorders>
              <w:left w:val="single" w:sz="4" w:space="0" w:color="000000"/>
              <w:right w:val="single" w:sz="4" w:space="0" w:color="000000"/>
            </w:tcBorders>
            <w:shd w:val="clear" w:color="auto" w:fill="DCDCDC"/>
          </w:tcPr>
          <w:p>
            <w:pPr/>
          </w:p>
        </w:tc>
        <w:tc>
          <w:tcPr>
            <w:tcW w:w="982" w:type="dxa"/>
            <w:tcBorders>
              <w:top w:val="nil" w:sz="6" w:space="0" w:color="auto"/>
              <w:left w:val="single" w:sz="22" w:space="0" w:color="DCDCDC"/>
              <w:bottom w:val="nil" w:sz="6" w:space="0" w:color="auto"/>
              <w:right w:val="single" w:sz="10" w:space="0" w:color="DCDCDC"/>
            </w:tcBorders>
          </w:tcPr>
          <w:p>
            <w:pPr>
              <w:pStyle w:val="TableParagraph"/>
              <w:spacing w:line="262" w:lineRule="exact"/>
              <w:ind w:right="14"/>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2009</w:t>
            </w:r>
            <w:r>
              <w:rPr>
                <w:rFonts w:ascii="宋体" w:hAnsi="宋体" w:cs="宋体" w:eastAsia="宋体" w:hint="default"/>
                <w:spacing w:val="-49"/>
                <w:sz w:val="21"/>
                <w:szCs w:val="21"/>
                <w:shd w:fill="DCDCDC" w:color="auto" w:val="clear"/>
              </w:rPr>
              <w:t> </w:t>
            </w:r>
            <w:r>
              <w:rPr>
                <w:rFonts w:ascii="宋体" w:hAnsi="宋体" w:cs="宋体" w:eastAsia="宋体" w:hint="default"/>
                <w:spacing w:val="6"/>
                <w:sz w:val="21"/>
                <w:szCs w:val="21"/>
                <w:shd w:fill="DCDCDC" w:color="auto" w:val="clear"/>
              </w:rPr>
              <w:t>年末</w:t>
            </w:r>
            <w:r>
              <w:rPr>
                <w:rFonts w:ascii="宋体" w:hAnsi="宋体" w:cs="宋体" w:eastAsia="宋体" w:hint="default"/>
                <w:spacing w:val="6"/>
                <w:sz w:val="21"/>
                <w:szCs w:val="21"/>
              </w:rPr>
            </w:r>
            <w:r>
              <w:rPr>
                <w:rFonts w:ascii="宋体" w:hAnsi="宋体" w:cs="宋体" w:eastAsia="宋体" w:hint="default"/>
                <w:sz w:val="21"/>
                <w:szCs w:val="21"/>
              </w:rPr>
            </w:r>
          </w:p>
        </w:tc>
      </w:tr>
      <w:tr>
        <w:trPr>
          <w:trHeight w:val="161" w:hRule="exact"/>
        </w:trPr>
        <w:tc>
          <w:tcPr>
            <w:tcW w:w="43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39" w:type="dxa"/>
            <w:vMerge/>
            <w:tcBorders>
              <w:left w:val="single" w:sz="4" w:space="0" w:color="000000"/>
              <w:bottom w:val="single" w:sz="4" w:space="0" w:color="000000"/>
              <w:right w:val="single" w:sz="4" w:space="0" w:color="000000"/>
            </w:tcBorders>
            <w:shd w:val="clear" w:color="auto" w:fill="DCDCDC"/>
          </w:tcPr>
          <w:p>
            <w:pPr/>
          </w:p>
        </w:tc>
        <w:tc>
          <w:tcPr>
            <w:tcW w:w="98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宋体" w:hAnsi="宋体" w:cs="宋体" w:eastAsia="宋体" w:hint="default"/>
                <w:sz w:val="21"/>
                <w:szCs w:val="21"/>
              </w:rPr>
              <w:t>/</w:t>
            </w:r>
            <w:r>
              <w:rPr>
                <w:rFonts w:ascii="宋体" w:hAnsi="宋体" w:cs="宋体" w:eastAsia="宋体" w:hint="default"/>
                <w:sz w:val="21"/>
                <w:szCs w:val="21"/>
              </w:rPr>
              <w:t>股）</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3.2807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4.0979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-19.94%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3.5873</w:t>
            </w:r>
          </w:p>
        </w:tc>
      </w:tr>
      <w:tr>
        <w:trPr>
          <w:trHeight w:val="322" w:hRule="exact"/>
        </w:trPr>
        <w:tc>
          <w:tcPr>
            <w:tcW w:w="4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107"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9.61%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10.51%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-0.90%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11.76%</w:t>
            </w:r>
          </w:p>
        </w:tc>
      </w:tr>
    </w:tbl>
    <w:p>
      <w:pPr>
        <w:spacing w:line="262" w:lineRule="exact" w:before="0"/>
        <w:ind w:left="183" w:right="0" w:firstLine="0"/>
        <w:jc w:val="left"/>
        <w:rPr>
          <w:rFonts w:ascii="宋体" w:hAnsi="宋体" w:cs="宋体" w:eastAsia="宋体" w:hint="default"/>
          <w:sz w:val="21"/>
          <w:szCs w:val="21"/>
        </w:rPr>
      </w:pPr>
      <w:r>
        <w:rPr>
          <w:rFonts w:ascii="宋体" w:hAnsi="宋体" w:cs="宋体" w:eastAsia="宋体" w:hint="default"/>
          <w:spacing w:val="-4"/>
          <w:sz w:val="21"/>
          <w:szCs w:val="21"/>
        </w:rPr>
        <w:t>注：比较所使用的</w:t>
      </w:r>
      <w:r>
        <w:rPr>
          <w:rFonts w:ascii="宋体" w:hAnsi="宋体" w:cs="宋体" w:eastAsia="宋体" w:hint="default"/>
          <w:spacing w:val="-4"/>
          <w:sz w:val="21"/>
          <w:szCs w:val="21"/>
        </w:rPr>
        <w:t>2010</w:t>
      </w:r>
      <w:r>
        <w:rPr>
          <w:rFonts w:ascii="宋体" w:hAnsi="宋体" w:cs="宋体" w:eastAsia="宋体" w:hint="default"/>
          <w:spacing w:val="-4"/>
          <w:sz w:val="21"/>
          <w:szCs w:val="21"/>
        </w:rPr>
        <w:t>年和</w:t>
      </w:r>
      <w:r>
        <w:rPr>
          <w:rFonts w:ascii="宋体" w:hAnsi="宋体" w:cs="宋体" w:eastAsia="宋体" w:hint="default"/>
          <w:spacing w:val="-4"/>
          <w:sz w:val="21"/>
          <w:szCs w:val="21"/>
        </w:rPr>
        <w:t>2009</w:t>
      </w:r>
      <w:r>
        <w:rPr>
          <w:rFonts w:ascii="宋体" w:hAnsi="宋体" w:cs="宋体" w:eastAsia="宋体" w:hint="default"/>
          <w:spacing w:val="-4"/>
          <w:sz w:val="21"/>
          <w:szCs w:val="21"/>
        </w:rPr>
        <w:t>年同期基本每股收益是根据报告期内进行转增资本后的股数（</w:t>
      </w:r>
      <w:r>
        <w:rPr>
          <w:rFonts w:ascii="宋体" w:hAnsi="宋体" w:cs="宋体" w:eastAsia="宋体" w:hint="default"/>
          <w:spacing w:val="-4"/>
          <w:sz w:val="21"/>
          <w:szCs w:val="21"/>
        </w:rPr>
        <w:t>7,462</w:t>
      </w:r>
    </w:p>
    <w:p>
      <w:pPr>
        <w:spacing w:after="0" w:line="262" w:lineRule="exact"/>
        <w:jc w:val="left"/>
        <w:rPr>
          <w:rFonts w:ascii="宋体" w:hAnsi="宋体" w:cs="宋体" w:eastAsia="宋体" w:hint="default"/>
          <w:sz w:val="21"/>
          <w:szCs w:val="21"/>
        </w:rPr>
        <w:sectPr>
          <w:pgSz w:w="11910" w:h="16840"/>
          <w:pgMar w:header="876" w:footer="1186" w:top="1100" w:bottom="1380" w:left="1300" w:right="1220"/>
        </w:sectPr>
      </w:pPr>
    </w:p>
    <w:p>
      <w:pPr>
        <w:spacing w:line="240" w:lineRule="auto" w:before="3"/>
        <w:rPr>
          <w:rFonts w:ascii="宋体" w:hAnsi="宋体" w:cs="宋体" w:eastAsia="宋体" w:hint="default"/>
          <w:sz w:val="21"/>
          <w:szCs w:val="21"/>
        </w:rPr>
      </w:pPr>
    </w:p>
    <w:p>
      <w:pPr>
        <w:spacing w:before="36"/>
        <w:ind w:left="183" w:right="0" w:firstLine="0"/>
        <w:jc w:val="left"/>
        <w:rPr>
          <w:rFonts w:ascii="宋体" w:hAnsi="宋体" w:cs="宋体" w:eastAsia="宋体" w:hint="default"/>
          <w:sz w:val="21"/>
          <w:szCs w:val="21"/>
        </w:rPr>
      </w:pPr>
      <w:r>
        <w:rPr>
          <w:rFonts w:ascii="宋体" w:hAnsi="宋体" w:cs="宋体" w:eastAsia="宋体" w:hint="default"/>
          <w:sz w:val="21"/>
          <w:szCs w:val="21"/>
        </w:rPr>
        <w:t>万股</w:t>
      </w:r>
      <w:r>
        <w:rPr>
          <w:rFonts w:ascii="宋体" w:hAnsi="宋体" w:cs="宋体" w:eastAsia="宋体" w:hint="default"/>
          <w:sz w:val="21"/>
          <w:szCs w:val="21"/>
        </w:rPr>
        <w:t>*1.5=11,193</w:t>
      </w:r>
      <w:r>
        <w:rPr>
          <w:rFonts w:ascii="宋体" w:hAnsi="宋体" w:cs="宋体" w:eastAsia="宋体" w:hint="default"/>
          <w:sz w:val="21"/>
          <w:szCs w:val="21"/>
        </w:rPr>
        <w:t>万股）相应追溯调整后的结果。</w:t>
      </w:r>
    </w:p>
    <w:p>
      <w:pPr>
        <w:pStyle w:val="Heading3"/>
        <w:spacing w:line="240" w:lineRule="auto" w:before="89"/>
        <w:ind w:right="0"/>
        <w:jc w:val="left"/>
        <w:rPr>
          <w:b w:val="0"/>
          <w:bCs w:val="0"/>
        </w:rPr>
      </w:pPr>
      <w:r>
        <w:rPr/>
        <w:t>三、非经常性损益及金额</w:t>
      </w:r>
      <w:r>
        <w:rPr>
          <w:b w:val="0"/>
          <w:bCs w:val="0"/>
        </w:rPr>
      </w:r>
    </w:p>
    <w:p>
      <w:pPr>
        <w:spacing w:line="240" w:lineRule="auto" w:before="12"/>
        <w:rPr>
          <w:rFonts w:ascii="宋体" w:hAnsi="宋体" w:cs="宋体" w:eastAsia="宋体" w:hint="default"/>
          <w:b/>
          <w:bCs/>
          <w:sz w:val="10"/>
          <w:szCs w:val="10"/>
        </w:rPr>
      </w:pPr>
    </w:p>
    <w:p>
      <w:pPr>
        <w:spacing w:before="36"/>
        <w:ind w:left="0" w:right="168"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2"/>
          <w:w w:val="100"/>
          <w:sz w:val="21"/>
          <w:szCs w:val="21"/>
        </w:rPr>
        <w:t>币</w:t>
      </w: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78" w:type="dxa"/>
        <w:tblLayout w:type="fixed"/>
        <w:tblCellMar>
          <w:top w:w="0" w:type="dxa"/>
          <w:left w:w="0" w:type="dxa"/>
          <w:bottom w:w="0" w:type="dxa"/>
          <w:right w:w="0" w:type="dxa"/>
        </w:tblCellMar>
        <w:tblLook w:val="01E0"/>
      </w:tblPr>
      <w:tblGrid>
        <w:gridCol w:w="4424"/>
        <w:gridCol w:w="1568"/>
        <w:gridCol w:w="1472"/>
        <w:gridCol w:w="1610"/>
      </w:tblGrid>
      <w:tr>
        <w:trPr>
          <w:trHeight w:val="322"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36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2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4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-89,129.66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-47,352.73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-130,004.38</w:t>
            </w:r>
          </w:p>
        </w:tc>
      </w:tr>
      <w:tr>
        <w:trPr>
          <w:trHeight w:val="946"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4"/>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计入当期损益的政府补助，但与公司正常经营业</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务密切相关，符合国家政策规定、按照一定标准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定额或定量持续享受的政府补助除外</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6,941,321.00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9,386,179.00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6,850,420.20</w:t>
            </w:r>
          </w:p>
        </w:tc>
      </w:tr>
      <w:tr>
        <w:trPr>
          <w:trHeight w:val="324"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98,765.26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-225,871.85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57,851.57</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-1,105,690.95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-996,242.37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-710,264.51</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-224,213.88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-331,980.13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-257,154.68</w:t>
            </w:r>
          </w:p>
        </w:tc>
      </w:tr>
      <w:tr>
        <w:trPr>
          <w:trHeight w:val="322" w:hRule="exact"/>
        </w:trPr>
        <w:tc>
          <w:tcPr>
            <w:tcW w:w="44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5,621,051.77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7,784,731.92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5,810,848.20</w:t>
            </w:r>
          </w:p>
        </w:tc>
      </w:tr>
    </w:tbl>
    <w:p>
      <w:pPr>
        <w:spacing w:after="0" w:line="262" w:lineRule="exact"/>
        <w:jc w:val="right"/>
        <w:rPr>
          <w:rFonts w:ascii="宋体" w:hAnsi="宋体" w:cs="宋体" w:eastAsia="宋体" w:hint="default"/>
          <w:sz w:val="21"/>
          <w:szCs w:val="21"/>
        </w:rPr>
        <w:sectPr>
          <w:pgSz w:w="11910" w:h="16840"/>
          <w:pgMar w:header="876" w:footer="1186" w:top="110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716" w:val="left" w:leader="none"/>
        </w:tabs>
        <w:spacing w:line="240" w:lineRule="auto" w:before="166"/>
        <w:ind w:left="3430" w:right="293"/>
        <w:jc w:val="left"/>
        <w:rPr>
          <w:b w:val="0"/>
          <w:bCs w:val="0"/>
        </w:rPr>
      </w:pPr>
      <w:bookmarkStart w:name="_TOC_250009" w:id="4"/>
      <w:r>
        <w:rPr>
          <w:w w:val="95"/>
        </w:rPr>
        <w:t>第四节</w:t>
        <w:tab/>
      </w:r>
      <w:r>
        <w:rPr/>
        <w:t>股本变动及股东情况</w:t>
      </w:r>
      <w:bookmarkEnd w:id="4"/>
      <w:r>
        <w:rPr>
          <w:b w:val="0"/>
          <w:bCs w:val="0"/>
        </w:rPr>
      </w:r>
    </w:p>
    <w:p>
      <w:pPr>
        <w:spacing w:line="240" w:lineRule="auto" w:before="10"/>
        <w:rPr>
          <w:rFonts w:ascii="宋体" w:hAnsi="宋体" w:cs="宋体" w:eastAsia="宋体" w:hint="default"/>
          <w:b/>
          <w:bCs/>
          <w:sz w:val="12"/>
          <w:szCs w:val="12"/>
        </w:rPr>
      </w:pPr>
    </w:p>
    <w:p>
      <w:pPr>
        <w:pStyle w:val="Heading3"/>
        <w:spacing w:line="240" w:lineRule="auto"/>
        <w:ind w:left="1003" w:right="293"/>
        <w:jc w:val="left"/>
        <w:rPr>
          <w:b w:val="0"/>
          <w:bCs w:val="0"/>
        </w:rPr>
      </w:pPr>
      <w:r>
        <w:rPr/>
        <w:t>一、股份变动情况</w:t>
      </w:r>
      <w:r>
        <w:rPr>
          <w:b w:val="0"/>
          <w:bCs w:val="0"/>
        </w:rPr>
      </w:r>
    </w:p>
    <w:p>
      <w:pPr>
        <w:pStyle w:val="Heading3"/>
        <w:spacing w:line="240" w:lineRule="auto" w:before="154"/>
        <w:ind w:left="1003" w:right="293"/>
        <w:jc w:val="left"/>
        <w:rPr>
          <w:b w:val="0"/>
          <w:bCs w:val="0"/>
        </w:rPr>
      </w:pPr>
      <w:r>
        <w:rPr/>
        <w:t>（一）股份变动情况表</w:t>
      </w:r>
      <w:r>
        <w:rPr>
          <w:b w:val="0"/>
          <w:bCs w:val="0"/>
        </w:rPr>
      </w:r>
    </w:p>
    <w:p>
      <w:pPr>
        <w:spacing w:line="240" w:lineRule="auto" w:before="12"/>
        <w:rPr>
          <w:rFonts w:ascii="宋体" w:hAnsi="宋体" w:cs="宋体" w:eastAsia="宋体" w:hint="default"/>
          <w:b/>
          <w:bCs/>
          <w:sz w:val="10"/>
          <w:szCs w:val="10"/>
        </w:rPr>
      </w:pPr>
    </w:p>
    <w:p>
      <w:pPr>
        <w:spacing w:before="36"/>
        <w:ind w:left="0" w:right="667"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034"/>
        <w:gridCol w:w="1117"/>
        <w:gridCol w:w="812"/>
        <w:gridCol w:w="607"/>
        <w:gridCol w:w="425"/>
        <w:gridCol w:w="1126"/>
        <w:gridCol w:w="1118"/>
        <w:gridCol w:w="1157"/>
        <w:gridCol w:w="1224"/>
        <w:gridCol w:w="852"/>
      </w:tblGrid>
      <w:tr>
        <w:trPr>
          <w:trHeight w:val="322" w:hRule="exact"/>
        </w:trPr>
        <w:tc>
          <w:tcPr>
            <w:tcW w:w="20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4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434"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6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07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034" w:type="dxa"/>
            <w:vMerge w:val="restart"/>
            <w:tcBorders>
              <w:top w:val="nil" w:sz="6" w:space="0" w:color="auto"/>
              <w:left w:val="single" w:sz="4" w:space="0" w:color="000000"/>
              <w:right w:val="single" w:sz="4" w:space="0" w:color="000000"/>
            </w:tcBorders>
            <w:shd w:val="clear" w:color="auto" w:fill="DCDCDC"/>
          </w:tcPr>
          <w:p>
            <w:pPr/>
          </w:p>
        </w:tc>
        <w:tc>
          <w:tcPr>
            <w:tcW w:w="1117" w:type="dxa"/>
            <w:tcBorders>
              <w:top w:val="single" w:sz="4" w:space="0" w:color="000000"/>
              <w:left w:val="single" w:sz="4" w:space="0" w:color="000000"/>
              <w:bottom w:val="nil" w:sz="6" w:space="0" w:color="auto"/>
              <w:right w:val="single" w:sz="4" w:space="0" w:color="000000"/>
            </w:tcBorders>
            <w:shd w:val="clear" w:color="auto" w:fill="DCDCDC"/>
          </w:tcPr>
          <w:p>
            <w:pPr/>
          </w:p>
        </w:tc>
        <w:tc>
          <w:tcPr>
            <w:tcW w:w="812" w:type="dxa"/>
            <w:tcBorders>
              <w:top w:val="single" w:sz="4" w:space="0" w:color="000000"/>
              <w:left w:val="single" w:sz="4" w:space="0" w:color="000000"/>
              <w:bottom w:val="nil" w:sz="6" w:space="0" w:color="auto"/>
              <w:right w:val="single" w:sz="4" w:space="0" w:color="000000"/>
            </w:tcBorders>
            <w:shd w:val="clear" w:color="auto" w:fill="DCDCDC"/>
          </w:tcPr>
          <w:p>
            <w:pPr/>
          </w:p>
        </w:tc>
        <w:tc>
          <w:tcPr>
            <w:tcW w:w="607"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88" w:right="8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2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24" w:type="dxa"/>
            <w:tcBorders>
              <w:top w:val="single" w:sz="4" w:space="0" w:color="000000"/>
              <w:left w:val="single" w:sz="4" w:space="0" w:color="000000"/>
              <w:bottom w:val="nil" w:sz="6" w:space="0" w:color="auto"/>
              <w:right w:val="single" w:sz="4" w:space="0" w:color="000000"/>
            </w:tcBorders>
            <w:shd w:val="clear" w:color="auto" w:fill="DCDCDC"/>
          </w:tcPr>
          <w:p>
            <w:pPr/>
          </w:p>
        </w:tc>
        <w:tc>
          <w:tcPr>
            <w:tcW w:w="85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2034" w:type="dxa"/>
            <w:vMerge/>
            <w:tcBorders>
              <w:left w:val="single" w:sz="4" w:space="0" w:color="000000"/>
              <w:bottom w:val="nil" w:sz="6" w:space="0" w:color="auto"/>
              <w:right w:val="single" w:sz="4" w:space="0" w:color="000000"/>
            </w:tcBorders>
            <w:shd w:val="clear" w:color="auto" w:fill="DCDCDC"/>
          </w:tcPr>
          <w:p>
            <w:pPr/>
          </w:p>
        </w:tc>
        <w:tc>
          <w:tcPr>
            <w:tcW w:w="1117"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4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2"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07" w:type="dxa"/>
            <w:vMerge/>
            <w:tcBorders>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126"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18"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7"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24"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2"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2034" w:type="dxa"/>
            <w:vMerge w:val="restart"/>
            <w:tcBorders>
              <w:top w:val="nil" w:sz="6" w:space="0" w:color="auto"/>
              <w:left w:val="single" w:sz="4" w:space="0" w:color="000000"/>
              <w:right w:val="single" w:sz="4" w:space="0" w:color="000000"/>
            </w:tcBorders>
            <w:shd w:val="clear" w:color="auto" w:fill="DCDCDC"/>
          </w:tcPr>
          <w:p>
            <w:pPr/>
          </w:p>
        </w:tc>
        <w:tc>
          <w:tcPr>
            <w:tcW w:w="1117" w:type="dxa"/>
            <w:vMerge/>
            <w:tcBorders>
              <w:left w:val="single" w:sz="4" w:space="0" w:color="000000"/>
              <w:bottom w:val="nil" w:sz="6" w:space="0" w:color="auto"/>
              <w:right w:val="single" w:sz="4" w:space="0" w:color="000000"/>
            </w:tcBorders>
            <w:shd w:val="clear" w:color="auto" w:fill="DCDCDC"/>
          </w:tcPr>
          <w:p>
            <w:pPr/>
          </w:p>
        </w:tc>
        <w:tc>
          <w:tcPr>
            <w:tcW w:w="812" w:type="dxa"/>
            <w:vMerge/>
            <w:tcBorders>
              <w:left w:val="single" w:sz="4" w:space="0" w:color="000000"/>
              <w:bottom w:val="nil" w:sz="6" w:space="0" w:color="auto"/>
              <w:right w:val="single" w:sz="4" w:space="0" w:color="000000"/>
            </w:tcBorders>
            <w:shd w:val="clear" w:color="auto" w:fill="DCDCDC"/>
          </w:tcPr>
          <w:p>
            <w:pPr/>
          </w:p>
        </w:tc>
        <w:tc>
          <w:tcPr>
            <w:tcW w:w="607" w:type="dxa"/>
            <w:vMerge/>
            <w:tcBorders>
              <w:left w:val="single" w:sz="4" w:space="0" w:color="000000"/>
              <w:right w:val="single" w:sz="4" w:space="0" w:color="000000"/>
            </w:tcBorders>
            <w:shd w:val="clear" w:color="auto" w:fill="DCDCDC"/>
          </w:tcPr>
          <w:p>
            <w:pPr/>
          </w:p>
        </w:tc>
        <w:tc>
          <w:tcPr>
            <w:tcW w:w="425" w:type="dxa"/>
            <w:vMerge/>
            <w:tcBorders>
              <w:left w:val="single" w:sz="4" w:space="0" w:color="000000"/>
              <w:right w:val="single" w:sz="4" w:space="0" w:color="000000"/>
            </w:tcBorders>
            <w:shd w:val="clear" w:color="auto" w:fill="DCDCDC"/>
          </w:tcPr>
          <w:p>
            <w:pPr/>
          </w:p>
        </w:tc>
        <w:tc>
          <w:tcPr>
            <w:tcW w:w="1126" w:type="dxa"/>
            <w:vMerge/>
            <w:tcBorders>
              <w:left w:val="single" w:sz="4" w:space="0" w:color="000000"/>
              <w:bottom w:val="nil" w:sz="6" w:space="0" w:color="auto"/>
              <w:right w:val="single" w:sz="4" w:space="0" w:color="000000"/>
            </w:tcBorders>
            <w:shd w:val="clear" w:color="auto" w:fill="DCDCDC"/>
          </w:tcPr>
          <w:p>
            <w:pPr/>
          </w:p>
        </w:tc>
        <w:tc>
          <w:tcPr>
            <w:tcW w:w="1118" w:type="dxa"/>
            <w:vMerge/>
            <w:tcBorders>
              <w:left w:val="single" w:sz="4" w:space="0" w:color="000000"/>
              <w:bottom w:val="nil" w:sz="6" w:space="0" w:color="auto"/>
              <w:right w:val="single" w:sz="4" w:space="0" w:color="000000"/>
            </w:tcBorders>
            <w:shd w:val="clear" w:color="auto" w:fill="DCDCDC"/>
          </w:tcPr>
          <w:p>
            <w:pPr/>
          </w:p>
        </w:tc>
        <w:tc>
          <w:tcPr>
            <w:tcW w:w="1157" w:type="dxa"/>
            <w:vMerge/>
            <w:tcBorders>
              <w:left w:val="single" w:sz="4" w:space="0" w:color="000000"/>
              <w:bottom w:val="nil" w:sz="6" w:space="0" w:color="auto"/>
              <w:right w:val="single" w:sz="4" w:space="0" w:color="000000"/>
            </w:tcBorders>
            <w:shd w:val="clear" w:color="auto" w:fill="DCDCDC"/>
          </w:tcPr>
          <w:p>
            <w:pPr/>
          </w:p>
        </w:tc>
        <w:tc>
          <w:tcPr>
            <w:tcW w:w="1224" w:type="dxa"/>
            <w:vMerge/>
            <w:tcBorders>
              <w:left w:val="single" w:sz="4" w:space="0" w:color="000000"/>
              <w:bottom w:val="nil" w:sz="6" w:space="0" w:color="auto"/>
              <w:right w:val="single" w:sz="4" w:space="0" w:color="000000"/>
            </w:tcBorders>
            <w:shd w:val="clear" w:color="auto" w:fill="DCDCDC"/>
          </w:tcPr>
          <w:p>
            <w:pPr/>
          </w:p>
        </w:tc>
        <w:tc>
          <w:tcPr>
            <w:tcW w:w="852"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034" w:type="dxa"/>
            <w:vMerge/>
            <w:tcBorders>
              <w:left w:val="single" w:sz="4" w:space="0" w:color="000000"/>
              <w:bottom w:val="single" w:sz="4" w:space="0" w:color="000000"/>
              <w:right w:val="single" w:sz="4" w:space="0" w:color="000000"/>
            </w:tcBorders>
            <w:shd w:val="clear" w:color="auto" w:fill="DCDCDC"/>
          </w:tcPr>
          <w:p>
            <w:pPr/>
          </w:p>
        </w:tc>
        <w:tc>
          <w:tcPr>
            <w:tcW w:w="1117" w:type="dxa"/>
            <w:tcBorders>
              <w:top w:val="nil" w:sz="6" w:space="0" w:color="auto"/>
              <w:left w:val="single" w:sz="4" w:space="0" w:color="000000"/>
              <w:bottom w:val="single" w:sz="4" w:space="0" w:color="000000"/>
              <w:right w:val="single" w:sz="4" w:space="0" w:color="000000"/>
            </w:tcBorders>
            <w:shd w:val="clear" w:color="auto" w:fill="DCDCDC"/>
          </w:tcPr>
          <w:p>
            <w:pPr/>
          </w:p>
        </w:tc>
        <w:tc>
          <w:tcPr>
            <w:tcW w:w="812" w:type="dxa"/>
            <w:tcBorders>
              <w:top w:val="nil" w:sz="6" w:space="0" w:color="auto"/>
              <w:left w:val="single" w:sz="4" w:space="0" w:color="000000"/>
              <w:bottom w:val="single" w:sz="4" w:space="0" w:color="000000"/>
              <w:right w:val="single" w:sz="4" w:space="0" w:color="000000"/>
            </w:tcBorders>
            <w:shd w:val="clear" w:color="auto" w:fill="DCDCDC"/>
          </w:tcPr>
          <w:p>
            <w:pPr/>
          </w:p>
        </w:tc>
        <w:tc>
          <w:tcPr>
            <w:tcW w:w="607" w:type="dxa"/>
            <w:vMerge/>
            <w:tcBorders>
              <w:left w:val="single" w:sz="4" w:space="0" w:color="000000"/>
              <w:bottom w:val="single" w:sz="4" w:space="0" w:color="000000"/>
              <w:right w:val="single" w:sz="4" w:space="0" w:color="000000"/>
            </w:tcBorders>
            <w:shd w:val="clear" w:color="auto" w:fill="DCDCDC"/>
          </w:tcPr>
          <w:p>
            <w:pPr/>
          </w:p>
        </w:tc>
        <w:tc>
          <w:tcPr>
            <w:tcW w:w="425" w:type="dxa"/>
            <w:vMerge/>
            <w:tcBorders>
              <w:left w:val="single" w:sz="4" w:space="0" w:color="000000"/>
              <w:bottom w:val="single" w:sz="4" w:space="0" w:color="000000"/>
              <w:right w:val="single" w:sz="4" w:space="0" w:color="000000"/>
            </w:tcBorders>
            <w:shd w:val="clear" w:color="auto" w:fill="DCDCDC"/>
          </w:tcPr>
          <w:p>
            <w:pPr/>
          </w:p>
        </w:tc>
        <w:tc>
          <w:tcPr>
            <w:tcW w:w="11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24" w:type="dxa"/>
            <w:tcBorders>
              <w:top w:val="nil" w:sz="6" w:space="0" w:color="auto"/>
              <w:left w:val="single" w:sz="4" w:space="0" w:color="000000"/>
              <w:bottom w:val="single" w:sz="4" w:space="0" w:color="000000"/>
              <w:right w:val="single" w:sz="4" w:space="0" w:color="000000"/>
            </w:tcBorders>
            <w:shd w:val="clear" w:color="auto" w:fill="DCDCDC"/>
          </w:tcPr>
          <w:p>
            <w:pPr/>
          </w:p>
        </w:tc>
        <w:tc>
          <w:tcPr>
            <w:tcW w:w="85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22,168,575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29.71%</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11,084,287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-7,941,458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3,142,829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25,311,404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22.61%</w:t>
            </w:r>
          </w:p>
        </w:tc>
      </w:tr>
      <w:tr>
        <w:trPr>
          <w:trHeight w:val="324"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22,168,575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29.71%</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11,084,287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-9,411,188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1,673,099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23,841,674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21.30%</w:t>
            </w:r>
          </w:p>
        </w:tc>
      </w:tr>
      <w:tr>
        <w:trPr>
          <w:trHeight w:val="634"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13" w:firstLine="105"/>
              <w:jc w:val="left"/>
              <w:rPr>
                <w:rFonts w:ascii="宋体" w:hAnsi="宋体" w:cs="宋体" w:eastAsia="宋体" w:hint="default"/>
                <w:sz w:val="21"/>
                <w:szCs w:val="21"/>
              </w:rPr>
            </w:pPr>
            <w:r>
              <w:rPr>
                <w:rFonts w:ascii="宋体" w:hAnsi="宋体" w:cs="宋体" w:eastAsia="宋体" w:hint="default"/>
                <w:spacing w:val="-2"/>
                <w:sz w:val="21"/>
                <w:szCs w:val="21"/>
              </w:rPr>
              <w:t>其中：境内非国有法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3"/>
              <w:ind w:left="115" w:right="0"/>
              <w:jc w:val="center"/>
              <w:rPr>
                <w:rFonts w:ascii="宋体" w:hAnsi="宋体" w:cs="宋体" w:eastAsia="宋体" w:hint="default"/>
                <w:sz w:val="21"/>
                <w:szCs w:val="21"/>
              </w:rPr>
            </w:pPr>
            <w:r>
              <w:rPr>
                <w:rFonts w:ascii="宋体"/>
                <w:sz w:val="21"/>
              </w:rPr>
              <w:t>8,783,775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11.77%</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4,391,887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-4,391,887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w w:val="100"/>
                <w:sz w:val="21"/>
              </w:rPr>
              <w:t>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8,783,775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7.85%</w:t>
            </w: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13,384,800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17.94%</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6,692,400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-5,019,301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1,673,099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15,057,899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13.45%</w:t>
            </w: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其中：境外法人持股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3"/>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1,469,730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1,469,730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1,469,730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1.31%</w:t>
            </w: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52,451,425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70.29%</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26,225,713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7,941,458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34,167,171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86,618,596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77.39%</w:t>
            </w: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52,451,425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70.29%</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26,225,713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7,941,458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34,167,171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86,618,596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77.39%</w:t>
            </w: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117" w:type="dxa"/>
            <w:tcBorders>
              <w:top w:val="single" w:sz="4" w:space="0" w:color="000000"/>
              <w:left w:val="single" w:sz="9" w:space="0" w:color="DCDCDC"/>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17" w:type="dxa"/>
            <w:tcBorders>
              <w:top w:val="single" w:sz="4" w:space="0" w:color="000000"/>
              <w:left w:val="single" w:sz="9" w:space="0" w:color="DCDCDC"/>
              <w:bottom w:val="single" w:sz="4" w:space="0" w:color="000000"/>
              <w:right w:val="single" w:sz="4" w:space="0" w:color="000000"/>
            </w:tcBorders>
          </w:tcPr>
          <w:p>
            <w:pPr>
              <w:pStyle w:val="TableParagraph"/>
              <w:spacing w:line="262" w:lineRule="exact"/>
              <w:ind w:left="9" w:right="0"/>
              <w:jc w:val="center"/>
              <w:rPr>
                <w:rFonts w:ascii="宋体" w:hAnsi="宋体" w:cs="宋体" w:eastAsia="宋体" w:hint="default"/>
                <w:sz w:val="21"/>
                <w:szCs w:val="21"/>
              </w:rPr>
            </w:pPr>
            <w:r>
              <w:rPr>
                <w:rFonts w:ascii="宋体"/>
                <w:sz w:val="21"/>
              </w:rPr>
              <w:t>74,620,000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100.00%</w:t>
            </w:r>
          </w:p>
        </w:tc>
        <w:tc>
          <w:tcPr>
            <w:tcW w:w="60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37,310,000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37,310,000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111,930,000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100.00%</w:t>
            </w:r>
          </w:p>
        </w:tc>
      </w:tr>
    </w:tbl>
    <w:p>
      <w:pPr>
        <w:spacing w:before="64"/>
        <w:ind w:left="1423" w:right="29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z w:val="21"/>
          <w:szCs w:val="21"/>
        </w:rPr>
        <w:t>：根据公司</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年度股东大会决议，公司以资本公积向全体股东每</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股转增</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股，公司</w:t>
      </w:r>
    </w:p>
    <w:p>
      <w:pPr>
        <w:spacing w:line="240" w:lineRule="auto" w:before="10"/>
        <w:rPr>
          <w:rFonts w:ascii="宋体" w:hAnsi="宋体" w:cs="宋体" w:eastAsia="宋体" w:hint="default"/>
          <w:sz w:val="14"/>
          <w:szCs w:val="14"/>
        </w:rPr>
      </w:pPr>
    </w:p>
    <w:p>
      <w:pPr>
        <w:spacing w:before="0"/>
        <w:ind w:left="991" w:right="293" w:firstLine="0"/>
        <w:jc w:val="left"/>
        <w:rPr>
          <w:rFonts w:ascii="宋体" w:hAnsi="宋体" w:cs="宋体" w:eastAsia="宋体" w:hint="default"/>
          <w:sz w:val="21"/>
          <w:szCs w:val="21"/>
        </w:rPr>
      </w:pPr>
      <w:r>
        <w:rPr>
          <w:rFonts w:ascii="宋体" w:hAnsi="宋体" w:cs="宋体" w:eastAsia="宋体" w:hint="default"/>
          <w:sz w:val="21"/>
          <w:szCs w:val="21"/>
        </w:rPr>
        <w:t>总股本由</w:t>
      </w:r>
      <w:r>
        <w:rPr>
          <w:rFonts w:ascii="宋体" w:hAnsi="宋体" w:cs="宋体" w:eastAsia="宋体" w:hint="default"/>
          <w:spacing w:val="-53"/>
          <w:sz w:val="21"/>
          <w:szCs w:val="21"/>
        </w:rPr>
        <w:t> </w:t>
      </w:r>
      <w:r>
        <w:rPr>
          <w:rFonts w:ascii="宋体" w:hAnsi="宋体" w:cs="宋体" w:eastAsia="宋体" w:hint="default"/>
          <w:sz w:val="21"/>
          <w:szCs w:val="21"/>
        </w:rPr>
        <w:t>7,460</w:t>
      </w:r>
      <w:r>
        <w:rPr>
          <w:rFonts w:ascii="宋体" w:hAnsi="宋体" w:cs="宋体" w:eastAsia="宋体" w:hint="default"/>
          <w:spacing w:val="-55"/>
          <w:sz w:val="21"/>
          <w:szCs w:val="21"/>
        </w:rPr>
        <w:t> </w:t>
      </w:r>
      <w:r>
        <w:rPr>
          <w:rFonts w:ascii="宋体" w:hAnsi="宋体" w:cs="宋体" w:eastAsia="宋体" w:hint="default"/>
          <w:sz w:val="21"/>
          <w:szCs w:val="21"/>
        </w:rPr>
        <w:t>万股增至</w:t>
      </w:r>
      <w:r>
        <w:rPr>
          <w:rFonts w:ascii="宋体" w:hAnsi="宋体" w:cs="宋体" w:eastAsia="宋体" w:hint="default"/>
          <w:spacing w:val="-54"/>
          <w:sz w:val="21"/>
          <w:szCs w:val="21"/>
        </w:rPr>
        <w:t> </w:t>
      </w:r>
      <w:r>
        <w:rPr>
          <w:rFonts w:ascii="宋体" w:hAnsi="宋体" w:cs="宋体" w:eastAsia="宋体" w:hint="default"/>
          <w:sz w:val="21"/>
          <w:szCs w:val="21"/>
        </w:rPr>
        <w:t>11,193</w:t>
      </w:r>
      <w:r>
        <w:rPr>
          <w:rFonts w:ascii="宋体" w:hAnsi="宋体" w:cs="宋体" w:eastAsia="宋体" w:hint="default"/>
          <w:spacing w:val="-53"/>
          <w:sz w:val="21"/>
          <w:szCs w:val="21"/>
        </w:rPr>
        <w:t> </w:t>
      </w:r>
      <w:r>
        <w:rPr>
          <w:rFonts w:ascii="宋体" w:hAnsi="宋体" w:cs="宋体" w:eastAsia="宋体" w:hint="default"/>
          <w:sz w:val="21"/>
          <w:szCs w:val="21"/>
        </w:rPr>
        <w:t>万股。</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IPO</w:t>
      </w:r>
      <w:r>
        <w:rPr>
          <w:rFonts w:ascii="宋体" w:hAnsi="宋体" w:cs="宋体" w:eastAsia="宋体" w:hint="default"/>
          <w:spacing w:val="-55"/>
          <w:sz w:val="21"/>
          <w:szCs w:val="21"/>
        </w:rPr>
        <w:t> </w:t>
      </w:r>
      <w:r>
        <w:rPr>
          <w:rFonts w:ascii="宋体" w:hAnsi="宋体" w:cs="宋体" w:eastAsia="宋体" w:hint="default"/>
          <w:sz w:val="21"/>
          <w:szCs w:val="21"/>
        </w:rPr>
        <w:t>前已发行股份中的部分股份解禁，</w:t>
      </w:r>
    </w:p>
    <w:p>
      <w:pPr>
        <w:spacing w:line="240" w:lineRule="auto" w:before="10"/>
        <w:rPr>
          <w:rFonts w:ascii="宋体" w:hAnsi="宋体" w:cs="宋体" w:eastAsia="宋体" w:hint="default"/>
          <w:sz w:val="14"/>
          <w:szCs w:val="14"/>
        </w:rPr>
      </w:pPr>
    </w:p>
    <w:p>
      <w:pPr>
        <w:spacing w:before="0"/>
        <w:ind w:left="991" w:right="293" w:firstLine="0"/>
        <w:jc w:val="left"/>
        <w:rPr>
          <w:rFonts w:ascii="宋体" w:hAnsi="宋体" w:cs="宋体" w:eastAsia="宋体" w:hint="default"/>
          <w:sz w:val="21"/>
          <w:szCs w:val="21"/>
        </w:rPr>
      </w:pPr>
      <w:r>
        <w:rPr>
          <w:rFonts w:ascii="宋体" w:hAnsi="宋体" w:cs="宋体" w:eastAsia="宋体" w:hint="default"/>
          <w:sz w:val="21"/>
          <w:szCs w:val="21"/>
        </w:rPr>
        <w:t>使得无限售条件的流通股从</w:t>
      </w:r>
      <w:r>
        <w:rPr>
          <w:rFonts w:ascii="宋体" w:hAnsi="宋体" w:cs="宋体" w:eastAsia="宋体" w:hint="default"/>
          <w:spacing w:val="-50"/>
          <w:sz w:val="21"/>
          <w:szCs w:val="21"/>
        </w:rPr>
        <w:t> </w:t>
      </w:r>
      <w:r>
        <w:rPr>
          <w:rFonts w:ascii="宋体" w:hAnsi="宋体" w:cs="宋体" w:eastAsia="宋体" w:hint="default"/>
          <w:sz w:val="21"/>
          <w:szCs w:val="21"/>
        </w:rPr>
        <w:t>78,677,138</w:t>
      </w:r>
      <w:r>
        <w:rPr>
          <w:rFonts w:ascii="宋体" w:hAnsi="宋体" w:cs="宋体" w:eastAsia="宋体" w:hint="default"/>
          <w:spacing w:val="-53"/>
          <w:sz w:val="21"/>
          <w:szCs w:val="21"/>
        </w:rPr>
        <w:t> </w:t>
      </w:r>
      <w:r>
        <w:rPr>
          <w:rFonts w:ascii="宋体" w:hAnsi="宋体" w:cs="宋体" w:eastAsia="宋体" w:hint="default"/>
          <w:sz w:val="21"/>
          <w:szCs w:val="21"/>
        </w:rPr>
        <w:t>股增加到</w:t>
      </w:r>
      <w:r>
        <w:rPr>
          <w:rFonts w:ascii="宋体" w:hAnsi="宋体" w:cs="宋体" w:eastAsia="宋体" w:hint="default"/>
          <w:spacing w:val="-53"/>
          <w:sz w:val="21"/>
          <w:szCs w:val="21"/>
        </w:rPr>
        <w:t> </w:t>
      </w:r>
      <w:r>
        <w:rPr>
          <w:rFonts w:ascii="宋体" w:hAnsi="宋体" w:cs="宋体" w:eastAsia="宋体" w:hint="default"/>
          <w:sz w:val="21"/>
          <w:szCs w:val="21"/>
        </w:rPr>
        <w:t>86,708,598</w:t>
      </w:r>
      <w:r>
        <w:rPr>
          <w:rFonts w:ascii="宋体" w:hAnsi="宋体" w:cs="宋体" w:eastAsia="宋体" w:hint="default"/>
          <w:spacing w:val="-53"/>
          <w:sz w:val="21"/>
          <w:szCs w:val="21"/>
        </w:rPr>
        <w:t> </w:t>
      </w:r>
      <w:r>
        <w:rPr>
          <w:rFonts w:ascii="宋体" w:hAnsi="宋体" w:cs="宋体" w:eastAsia="宋体" w:hint="default"/>
          <w:spacing w:val="-6"/>
          <w:sz w:val="21"/>
          <w:szCs w:val="21"/>
        </w:rPr>
        <w:t>股，占总股本的比例从</w:t>
      </w:r>
      <w:r>
        <w:rPr>
          <w:rFonts w:ascii="宋体" w:hAnsi="宋体" w:cs="宋体" w:eastAsia="宋体" w:hint="default"/>
          <w:spacing w:val="-49"/>
          <w:sz w:val="21"/>
          <w:szCs w:val="21"/>
        </w:rPr>
        <w:t> </w:t>
      </w:r>
      <w:r>
        <w:rPr>
          <w:rFonts w:ascii="宋体" w:hAnsi="宋体" w:cs="宋体" w:eastAsia="宋体" w:hint="default"/>
          <w:sz w:val="21"/>
          <w:szCs w:val="21"/>
        </w:rPr>
        <w:t>70.29%</w:t>
      </w:r>
      <w:r>
        <w:rPr>
          <w:rFonts w:ascii="宋体" w:hAnsi="宋体" w:cs="宋体" w:eastAsia="宋体" w:hint="default"/>
          <w:sz w:val="21"/>
          <w:szCs w:val="21"/>
        </w:rPr>
        <w:t>增长到</w:t>
      </w:r>
    </w:p>
    <w:p>
      <w:pPr>
        <w:spacing w:line="240" w:lineRule="auto" w:before="10"/>
        <w:rPr>
          <w:rFonts w:ascii="宋体" w:hAnsi="宋体" w:cs="宋体" w:eastAsia="宋体" w:hint="default"/>
          <w:sz w:val="14"/>
          <w:szCs w:val="14"/>
        </w:rPr>
      </w:pPr>
    </w:p>
    <w:p>
      <w:pPr>
        <w:spacing w:line="408" w:lineRule="auto" w:before="0"/>
        <w:ind w:left="991" w:right="293" w:firstLine="0"/>
        <w:jc w:val="left"/>
        <w:rPr>
          <w:rFonts w:ascii="宋体" w:hAnsi="宋体" w:cs="宋体" w:eastAsia="宋体" w:hint="default"/>
          <w:sz w:val="21"/>
          <w:szCs w:val="21"/>
        </w:rPr>
      </w:pPr>
      <w:r>
        <w:rPr>
          <w:rFonts w:ascii="宋体" w:hAnsi="宋体" w:cs="宋体" w:eastAsia="宋体" w:hint="default"/>
          <w:spacing w:val="-3"/>
          <w:sz w:val="21"/>
          <w:szCs w:val="21"/>
        </w:rPr>
        <w:t>77.39%</w:t>
      </w:r>
      <w:r>
        <w:rPr>
          <w:rFonts w:ascii="宋体" w:hAnsi="宋体" w:cs="宋体" w:eastAsia="宋体" w:hint="default"/>
          <w:spacing w:val="-3"/>
          <w:sz w:val="21"/>
          <w:szCs w:val="21"/>
        </w:rPr>
        <w:t>；有限售条件的流通股从</w:t>
      </w:r>
      <w:r>
        <w:rPr>
          <w:rFonts w:ascii="宋体" w:hAnsi="宋体" w:cs="宋体" w:eastAsia="宋体" w:hint="default"/>
          <w:spacing w:val="-46"/>
          <w:sz w:val="21"/>
          <w:szCs w:val="21"/>
        </w:rPr>
        <w:t> </w:t>
      </w:r>
      <w:r>
        <w:rPr>
          <w:rFonts w:ascii="宋体" w:hAnsi="宋体" w:cs="宋体" w:eastAsia="宋体" w:hint="default"/>
          <w:sz w:val="21"/>
          <w:szCs w:val="21"/>
        </w:rPr>
        <w:t>33,252,862</w:t>
      </w:r>
      <w:r>
        <w:rPr>
          <w:rFonts w:ascii="宋体" w:hAnsi="宋体" w:cs="宋体" w:eastAsia="宋体" w:hint="default"/>
          <w:spacing w:val="-48"/>
          <w:sz w:val="21"/>
          <w:szCs w:val="21"/>
        </w:rPr>
        <w:t> </w:t>
      </w:r>
      <w:r>
        <w:rPr>
          <w:rFonts w:ascii="宋体" w:hAnsi="宋体" w:cs="宋体" w:eastAsia="宋体" w:hint="default"/>
          <w:sz w:val="21"/>
          <w:szCs w:val="21"/>
        </w:rPr>
        <w:t>股减少到</w:t>
      </w:r>
      <w:r>
        <w:rPr>
          <w:rFonts w:ascii="宋体" w:hAnsi="宋体" w:cs="宋体" w:eastAsia="宋体" w:hint="default"/>
          <w:spacing w:val="-45"/>
          <w:sz w:val="21"/>
          <w:szCs w:val="21"/>
        </w:rPr>
        <w:t> </w:t>
      </w:r>
      <w:r>
        <w:rPr>
          <w:rFonts w:ascii="宋体" w:hAnsi="宋体" w:cs="宋体" w:eastAsia="宋体" w:hint="default"/>
          <w:sz w:val="21"/>
          <w:szCs w:val="21"/>
        </w:rPr>
        <w:t>25,311,404</w:t>
      </w:r>
      <w:r>
        <w:rPr>
          <w:rFonts w:ascii="宋体" w:hAnsi="宋体" w:cs="宋体" w:eastAsia="宋体" w:hint="default"/>
          <w:spacing w:val="-48"/>
          <w:sz w:val="21"/>
          <w:szCs w:val="21"/>
        </w:rPr>
        <w:t> </w:t>
      </w:r>
      <w:r>
        <w:rPr>
          <w:rFonts w:ascii="宋体" w:hAnsi="宋体" w:cs="宋体" w:eastAsia="宋体" w:hint="default"/>
          <w:spacing w:val="-4"/>
          <w:sz w:val="21"/>
          <w:szCs w:val="21"/>
        </w:rPr>
        <w:t>股，占总股本的比例从</w:t>
      </w:r>
      <w:r>
        <w:rPr>
          <w:rFonts w:ascii="宋体" w:hAnsi="宋体" w:cs="宋体" w:eastAsia="宋体" w:hint="default"/>
          <w:spacing w:val="-45"/>
          <w:sz w:val="21"/>
          <w:szCs w:val="21"/>
        </w:rPr>
        <w:t> </w:t>
      </w:r>
      <w:r>
        <w:rPr>
          <w:rFonts w:ascii="宋体" w:hAnsi="宋体" w:cs="宋体" w:eastAsia="宋体" w:hint="default"/>
          <w:sz w:val="21"/>
          <w:szCs w:val="21"/>
        </w:rPr>
        <w:t>29.71%</w:t>
      </w:r>
      <w:r>
        <w:rPr>
          <w:rFonts w:ascii="宋体" w:hAnsi="宋体" w:cs="宋体" w:eastAsia="宋体" w:hint="default"/>
          <w:sz w:val="21"/>
          <w:szCs w:val="21"/>
        </w:rPr>
        <w:t>减</w:t>
      </w:r>
      <w:r>
        <w:rPr>
          <w:rFonts w:ascii="宋体" w:hAnsi="宋体" w:cs="宋体" w:eastAsia="宋体" w:hint="default"/>
          <w:spacing w:val="-102"/>
          <w:sz w:val="21"/>
          <w:szCs w:val="21"/>
        </w:rPr>
        <w:t> </w:t>
      </w:r>
      <w:r>
        <w:rPr>
          <w:rFonts w:ascii="宋体" w:hAnsi="宋体" w:cs="宋体" w:eastAsia="宋体" w:hint="default"/>
          <w:sz w:val="21"/>
          <w:szCs w:val="21"/>
        </w:rPr>
        <w:t>少到</w:t>
      </w:r>
      <w:r>
        <w:rPr>
          <w:rFonts w:ascii="宋体" w:hAnsi="宋体" w:cs="宋体" w:eastAsia="宋体" w:hint="default"/>
          <w:spacing w:val="-53"/>
          <w:sz w:val="21"/>
          <w:szCs w:val="21"/>
        </w:rPr>
        <w:t> </w:t>
      </w:r>
      <w:r>
        <w:rPr>
          <w:rFonts w:ascii="宋体" w:hAnsi="宋体" w:cs="宋体" w:eastAsia="宋体" w:hint="default"/>
          <w:sz w:val="21"/>
          <w:szCs w:val="21"/>
        </w:rPr>
        <w:t>22.61%</w:t>
      </w:r>
      <w:r>
        <w:rPr>
          <w:rFonts w:ascii="宋体" w:hAnsi="宋体" w:cs="宋体" w:eastAsia="宋体" w:hint="default"/>
          <w:sz w:val="21"/>
          <w:szCs w:val="21"/>
        </w:rPr>
        <w:t>。</w:t>
      </w:r>
    </w:p>
    <w:p>
      <w:pPr>
        <w:spacing w:line="408" w:lineRule="auto" w:before="46"/>
        <w:ind w:left="991" w:right="665" w:firstLine="432"/>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日，持有公司</w:t>
      </w:r>
      <w:r>
        <w:rPr>
          <w:rFonts w:ascii="宋体" w:hAnsi="宋体" w:cs="宋体" w:eastAsia="宋体" w:hint="default"/>
          <w:spacing w:val="-54"/>
          <w:sz w:val="21"/>
          <w:szCs w:val="21"/>
        </w:rPr>
        <w:t> </w:t>
      </w:r>
      <w:r>
        <w:rPr>
          <w:rFonts w:ascii="宋体" w:hAnsi="宋体" w:cs="宋体" w:eastAsia="宋体" w:hint="default"/>
          <w:sz w:val="21"/>
          <w:szCs w:val="21"/>
        </w:rPr>
        <w:t>IPO</w:t>
      </w:r>
      <w:r>
        <w:rPr>
          <w:rFonts w:ascii="宋体" w:hAnsi="宋体" w:cs="宋体" w:eastAsia="宋体" w:hint="default"/>
          <w:spacing w:val="-56"/>
          <w:sz w:val="21"/>
          <w:szCs w:val="21"/>
        </w:rPr>
        <w:t> </w:t>
      </w:r>
      <w:r>
        <w:rPr>
          <w:rFonts w:ascii="宋体" w:hAnsi="宋体" w:cs="宋体" w:eastAsia="宋体" w:hint="default"/>
          <w:sz w:val="21"/>
          <w:szCs w:val="21"/>
        </w:rPr>
        <w:t>前发行股份的自然人的股份中已有</w:t>
      </w:r>
      <w:r>
        <w:rPr>
          <w:rFonts w:ascii="宋体" w:hAnsi="宋体" w:cs="宋体" w:eastAsia="宋体" w:hint="default"/>
          <w:spacing w:val="-53"/>
          <w:sz w:val="21"/>
          <w:szCs w:val="21"/>
        </w:rPr>
        <w:t> </w:t>
      </w:r>
      <w:r>
        <w:rPr>
          <w:rFonts w:ascii="宋体" w:hAnsi="宋体" w:cs="宋体" w:eastAsia="宋体" w:hint="default"/>
          <w:sz w:val="21"/>
          <w:szCs w:val="21"/>
        </w:rPr>
        <w:t>40%</w:t>
      </w:r>
      <w:r>
        <w:rPr>
          <w:rFonts w:ascii="宋体" w:hAnsi="宋体" w:cs="宋体" w:eastAsia="宋体" w:hint="default"/>
          <w:sz w:val="21"/>
          <w:szCs w:val="21"/>
        </w:rPr>
        <w:t>解禁。其中</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公司高管持有的无限售条件股份已超过相关法律法规所规定的公司高管可持有本公司无限售条件股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份为所持本公司股份总数的</w:t>
      </w:r>
      <w:r>
        <w:rPr>
          <w:rFonts w:ascii="宋体" w:hAnsi="宋体" w:cs="宋体" w:eastAsia="宋体" w:hint="default"/>
          <w:spacing w:val="13"/>
          <w:sz w:val="21"/>
          <w:szCs w:val="21"/>
        </w:rPr>
        <w:t> </w:t>
      </w:r>
      <w:r>
        <w:rPr>
          <w:rFonts w:ascii="宋体" w:hAnsi="宋体" w:cs="宋体" w:eastAsia="宋体" w:hint="default"/>
          <w:spacing w:val="-2"/>
          <w:sz w:val="21"/>
          <w:szCs w:val="21"/>
        </w:rPr>
        <w:t>25%</w:t>
      </w:r>
      <w:r>
        <w:rPr>
          <w:rFonts w:ascii="宋体" w:hAnsi="宋体" w:cs="宋体" w:eastAsia="宋体" w:hint="default"/>
          <w:spacing w:val="-2"/>
          <w:sz w:val="21"/>
          <w:szCs w:val="21"/>
        </w:rPr>
        <w:t>，因此超出部分按相关规定计入高管股份。</w:t>
      </w:r>
    </w:p>
    <w:p>
      <w:pPr>
        <w:spacing w:after="0" w:line="408" w:lineRule="auto"/>
        <w:jc w:val="both"/>
        <w:rPr>
          <w:rFonts w:ascii="宋体" w:hAnsi="宋体" w:cs="宋体" w:eastAsia="宋体" w:hint="default"/>
          <w:sz w:val="21"/>
          <w:szCs w:val="21"/>
        </w:rPr>
        <w:sectPr>
          <w:pgSz w:w="11910" w:h="16840"/>
          <w:pgMar w:header="876" w:footer="1186" w:top="1100" w:bottom="1380" w:left="480" w:right="720"/>
        </w:sectPr>
      </w:pPr>
    </w:p>
    <w:p>
      <w:pPr>
        <w:spacing w:line="240" w:lineRule="auto" w:before="12"/>
        <w:rPr>
          <w:rFonts w:ascii="宋体" w:hAnsi="宋体" w:cs="宋体" w:eastAsia="宋体" w:hint="default"/>
          <w:sz w:val="25"/>
          <w:szCs w:val="25"/>
        </w:rPr>
      </w:pPr>
    </w:p>
    <w:p>
      <w:pPr>
        <w:pStyle w:val="Heading3"/>
        <w:spacing w:line="240" w:lineRule="auto"/>
        <w:ind w:left="403" w:right="2728"/>
        <w:jc w:val="left"/>
        <w:rPr>
          <w:b w:val="0"/>
          <w:bCs w:val="0"/>
        </w:rPr>
      </w:pPr>
      <w:r>
        <w:rPr/>
        <w:t>（二）限售股份变动情况表</w:t>
      </w:r>
      <w:r>
        <w:rPr>
          <w:b w:val="0"/>
          <w:bCs w:val="0"/>
        </w:rPr>
      </w:r>
    </w:p>
    <w:p>
      <w:pPr>
        <w:spacing w:line="240" w:lineRule="auto" w:before="13"/>
        <w:rPr>
          <w:rFonts w:ascii="宋体" w:hAnsi="宋体" w:cs="宋体" w:eastAsia="宋体" w:hint="default"/>
          <w:b/>
          <w:bCs/>
          <w:sz w:val="10"/>
          <w:szCs w:val="10"/>
        </w:rPr>
      </w:pPr>
    </w:p>
    <w:p>
      <w:pPr>
        <w:spacing w:before="36"/>
        <w:ind w:left="0" w:right="367"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592"/>
        <w:gridCol w:w="1133"/>
        <w:gridCol w:w="1092"/>
        <w:gridCol w:w="1121"/>
        <w:gridCol w:w="1130"/>
        <w:gridCol w:w="1277"/>
        <w:gridCol w:w="1217"/>
      </w:tblGrid>
      <w:tr>
        <w:trPr>
          <w:trHeight w:val="634" w:hRule="exact"/>
        </w:trPr>
        <w:tc>
          <w:tcPr>
            <w:tcW w:w="25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39" w:right="139" w:firstLine="211"/>
              <w:jc w:val="left"/>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2" w:right="115"/>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34" w:right="132"/>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46" w:right="129" w:firstLine="211"/>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18"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93" w:right="177"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上海古德投资咨询有限公司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8,783,775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4,391,887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4,391,887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8,783,775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49"/>
                <w:sz w:val="21"/>
                <w:szCs w:val="21"/>
              </w:rPr>
              <w:t> </w:t>
            </w:r>
            <w:r>
              <w:rPr>
                <w:rFonts w:ascii="宋体" w:hAnsi="宋体" w:cs="宋体" w:eastAsia="宋体" w:hint="default"/>
                <w:spacing w:val="-3"/>
                <w:sz w:val="21"/>
                <w:szCs w:val="21"/>
              </w:rPr>
              <w:t>限售</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right"/>
              <w:rPr>
                <w:rFonts w:ascii="宋体" w:hAnsi="宋体" w:cs="宋体" w:eastAsia="宋体" w:hint="default"/>
                <w:sz w:val="21"/>
                <w:szCs w:val="21"/>
              </w:rPr>
            </w:pPr>
            <w:r>
              <w:rPr>
                <w:rFonts w:ascii="宋体"/>
                <w:spacing w:val="-1"/>
                <w:sz w:val="21"/>
              </w:rPr>
              <w:t>2012-12-12</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名自然人股东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13,384,800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5,019,301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6,692,400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15,057,899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49"/>
                <w:sz w:val="21"/>
                <w:szCs w:val="21"/>
              </w:rPr>
              <w:t> </w:t>
            </w:r>
            <w:r>
              <w:rPr>
                <w:rFonts w:ascii="宋体" w:hAnsi="宋体" w:cs="宋体" w:eastAsia="宋体" w:hint="default"/>
                <w:spacing w:val="-3"/>
                <w:sz w:val="21"/>
                <w:szCs w:val="21"/>
              </w:rPr>
              <w:t>限售</w:t>
            </w:r>
            <w:r>
              <w:rPr>
                <w:rFonts w:ascii="宋体" w:hAnsi="宋体" w:cs="宋体" w:eastAsia="宋体"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right"/>
              <w:rPr>
                <w:rFonts w:ascii="宋体" w:hAnsi="宋体" w:cs="宋体" w:eastAsia="宋体" w:hint="default"/>
                <w:sz w:val="21"/>
                <w:szCs w:val="21"/>
              </w:rPr>
            </w:pPr>
            <w:r>
              <w:rPr>
                <w:rFonts w:ascii="宋体"/>
                <w:spacing w:val="-1"/>
                <w:sz w:val="21"/>
              </w:rPr>
              <w:t>2012-12-12</w:t>
            </w:r>
          </w:p>
        </w:tc>
      </w:tr>
      <w:tr>
        <w:trPr>
          <w:trHeight w:val="324"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643,500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643,500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391,867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391,867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128,700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128,700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128,700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128,700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李静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64,350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64,350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64,350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64,350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r>
      <w:tr>
        <w:trPr>
          <w:trHeight w:val="32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董樑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48,263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48,263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w:t>
            </w:r>
          </w:p>
        </w:tc>
      </w:tr>
      <w:tr>
        <w:trPr>
          <w:trHeight w:val="322" w:hRule="exact"/>
        </w:trPr>
        <w:tc>
          <w:tcPr>
            <w:tcW w:w="25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22,168,575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9,411,188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12,554,017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25,311,404</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415" w:right="2728"/>
        <w:jc w:val="left"/>
        <w:rPr>
          <w:b w:val="0"/>
          <w:bCs w:val="0"/>
        </w:rPr>
      </w:pPr>
      <w:r>
        <w:rPr/>
        <w:t>二、证券发行和上市情况</w:t>
      </w:r>
      <w:r>
        <w:rPr>
          <w:b w:val="0"/>
          <w:bCs w:val="0"/>
        </w:rPr>
      </w:r>
    </w:p>
    <w:p>
      <w:pPr>
        <w:spacing w:line="357" w:lineRule="auto" w:before="154"/>
        <w:ind w:left="818" w:right="2728" w:hanging="404"/>
        <w:jc w:val="left"/>
        <w:rPr>
          <w:rFonts w:ascii="宋体" w:hAnsi="宋体" w:cs="宋体" w:eastAsia="宋体" w:hint="default"/>
          <w:sz w:val="24"/>
          <w:szCs w:val="24"/>
        </w:rPr>
      </w:pPr>
      <w:r>
        <w:rPr>
          <w:rFonts w:ascii="宋体" w:hAnsi="宋体" w:cs="宋体" w:eastAsia="宋体" w:hint="default"/>
          <w:b/>
          <w:bCs/>
          <w:sz w:val="24"/>
          <w:szCs w:val="24"/>
        </w:rPr>
        <w:t>（一）公司前三年证券发行情况</w:t>
      </w:r>
      <w:r>
        <w:rPr>
          <w:rFonts w:ascii="宋体" w:hAnsi="宋体" w:cs="宋体" w:eastAsia="宋体" w:hint="default"/>
          <w:b/>
          <w:bCs/>
          <w:w w:val="99"/>
          <w:sz w:val="24"/>
          <w:szCs w:val="24"/>
        </w:rPr>
        <w:t> </w:t>
      </w:r>
      <w:r>
        <w:rPr>
          <w:rFonts w:ascii="宋体" w:hAnsi="宋体" w:cs="宋体" w:eastAsia="宋体" w:hint="default"/>
          <w:sz w:val="24"/>
          <w:szCs w:val="24"/>
        </w:rPr>
        <w:t>公司报告期末为止的前三年无发行新股及衍生证券的情况。</w:t>
      </w:r>
    </w:p>
    <w:p>
      <w:pPr>
        <w:pStyle w:val="Heading3"/>
        <w:spacing w:line="240" w:lineRule="auto" w:before="36"/>
        <w:ind w:left="415" w:right="2728"/>
        <w:jc w:val="left"/>
        <w:rPr>
          <w:b w:val="0"/>
          <w:bCs w:val="0"/>
        </w:rPr>
      </w:pPr>
      <w:r>
        <w:rPr/>
        <w:t>（二）公司股数及结构变动情况</w:t>
      </w:r>
      <w:r>
        <w:rPr>
          <w:b w:val="0"/>
          <w:bCs w:val="0"/>
        </w:rPr>
      </w:r>
    </w:p>
    <w:p>
      <w:pPr>
        <w:pStyle w:val="BodyText"/>
        <w:spacing w:line="240" w:lineRule="auto" w:before="154"/>
        <w:ind w:left="818" w:right="0"/>
        <w:jc w:val="left"/>
      </w:pPr>
      <w:r>
        <w:rPr>
          <w:rFonts w:ascii="宋体" w:hAnsi="宋体" w:cs="宋体" w:eastAsia="宋体" w:hint="default"/>
        </w:rPr>
        <w:t>1</w:t>
      </w:r>
      <w:r>
        <w:rPr/>
        <w:t>、经</w:t>
      </w:r>
      <w:r>
        <w:rPr>
          <w:spacing w:val="-35"/>
        </w:rPr>
        <w:t> </w:t>
      </w:r>
      <w:r>
        <w:rPr>
          <w:rFonts w:ascii="宋体" w:hAnsi="宋体" w:cs="宋体" w:eastAsia="宋体" w:hint="default"/>
        </w:rPr>
        <w:t>2011</w:t>
      </w:r>
      <w:r>
        <w:rPr>
          <w:rFonts w:ascii="宋体" w:hAnsi="宋体" w:cs="宋体" w:eastAsia="宋体" w:hint="default"/>
          <w:spacing w:val="-35"/>
        </w:rPr>
        <w:t> </w:t>
      </w:r>
      <w:r>
        <w:rPr/>
        <w:t>年</w:t>
      </w:r>
      <w:r>
        <w:rPr>
          <w:spacing w:val="-35"/>
        </w:rPr>
        <w:t> </w:t>
      </w:r>
      <w:r>
        <w:rPr>
          <w:rFonts w:ascii="宋体" w:hAnsi="宋体" w:cs="宋体" w:eastAsia="宋体" w:hint="default"/>
        </w:rPr>
        <w:t>5</w:t>
      </w:r>
      <w:r>
        <w:rPr>
          <w:rFonts w:ascii="宋体" w:hAnsi="宋体" w:cs="宋体" w:eastAsia="宋体" w:hint="default"/>
          <w:spacing w:val="-35"/>
        </w:rPr>
        <w:t> </w:t>
      </w:r>
      <w:r>
        <w:rPr/>
        <w:t>月</w:t>
      </w:r>
      <w:r>
        <w:rPr>
          <w:spacing w:val="-34"/>
        </w:rPr>
        <w:t> </w:t>
      </w:r>
      <w:r>
        <w:rPr>
          <w:rFonts w:ascii="宋体" w:hAnsi="宋体" w:cs="宋体" w:eastAsia="宋体" w:hint="default"/>
        </w:rPr>
        <w:t>12</w:t>
      </w:r>
      <w:r>
        <w:rPr>
          <w:rFonts w:ascii="宋体" w:hAnsi="宋体" w:cs="宋体" w:eastAsia="宋体" w:hint="default"/>
          <w:spacing w:val="-33"/>
        </w:rPr>
        <w:t> </w:t>
      </w:r>
      <w:r>
        <w:rPr/>
        <w:t>日召开的公司</w:t>
      </w:r>
      <w:r>
        <w:rPr>
          <w:spacing w:val="-35"/>
        </w:rPr>
        <w:t> </w:t>
      </w:r>
      <w:r>
        <w:rPr>
          <w:rFonts w:ascii="宋体" w:hAnsi="宋体" w:cs="宋体" w:eastAsia="宋体" w:hint="default"/>
        </w:rPr>
        <w:t>2010</w:t>
      </w:r>
      <w:r>
        <w:rPr>
          <w:rFonts w:ascii="宋体" w:hAnsi="宋体" w:cs="宋体" w:eastAsia="宋体" w:hint="default"/>
          <w:spacing w:val="-35"/>
        </w:rPr>
        <w:t> </w:t>
      </w:r>
      <w:r>
        <w:rPr/>
        <w:t>年度股东大会审议通过，公司以总股本</w:t>
      </w:r>
    </w:p>
    <w:p>
      <w:pPr>
        <w:pStyle w:val="BodyText"/>
        <w:spacing w:line="240" w:lineRule="auto" w:before="154"/>
        <w:ind w:left="403" w:right="0"/>
        <w:jc w:val="left"/>
      </w:pPr>
      <w:r>
        <w:rPr>
          <w:rFonts w:ascii="宋体" w:hAnsi="宋体" w:cs="宋体" w:eastAsia="宋体" w:hint="default"/>
        </w:rPr>
        <w:t>74,620,000</w:t>
      </w:r>
      <w:r>
        <w:rPr>
          <w:rFonts w:ascii="宋体" w:hAnsi="宋体" w:cs="宋体" w:eastAsia="宋体" w:hint="default"/>
          <w:spacing w:val="-67"/>
        </w:rPr>
        <w:t> </w:t>
      </w:r>
      <w:r>
        <w:rPr/>
        <w:t>股为基数，向全体股东每</w:t>
      </w:r>
      <w:r>
        <w:rPr>
          <w:spacing w:val="-66"/>
        </w:rPr>
        <w:t> </w:t>
      </w:r>
      <w:r>
        <w:rPr>
          <w:rFonts w:ascii="宋体" w:hAnsi="宋体" w:cs="宋体" w:eastAsia="宋体" w:hint="default"/>
        </w:rPr>
        <w:t>10</w:t>
      </w:r>
      <w:r>
        <w:rPr>
          <w:rFonts w:ascii="宋体" w:hAnsi="宋体" w:cs="宋体" w:eastAsia="宋体" w:hint="default"/>
          <w:spacing w:val="-66"/>
        </w:rPr>
        <w:t> </w:t>
      </w:r>
      <w:r>
        <w:rPr/>
        <w:t>股派</w:t>
      </w:r>
      <w:r>
        <w:rPr>
          <w:spacing w:val="-66"/>
        </w:rPr>
        <w:t> </w:t>
      </w:r>
      <w:r>
        <w:rPr>
          <w:rFonts w:ascii="宋体" w:hAnsi="宋体" w:cs="宋体" w:eastAsia="宋体" w:hint="default"/>
        </w:rPr>
        <w:t>1</w:t>
      </w:r>
      <w:r>
        <w:rPr>
          <w:rFonts w:ascii="宋体" w:hAnsi="宋体" w:cs="宋体" w:eastAsia="宋体" w:hint="default"/>
          <w:spacing w:val="-66"/>
        </w:rPr>
        <w:t> </w:t>
      </w:r>
      <w:r>
        <w:rPr/>
        <w:t>元人民币现金；同时以资本公积向全体</w:t>
      </w:r>
    </w:p>
    <w:p>
      <w:pPr>
        <w:pStyle w:val="BodyText"/>
        <w:spacing w:line="240" w:lineRule="auto" w:before="154"/>
        <w:ind w:left="403" w:right="0"/>
        <w:jc w:val="left"/>
      </w:pPr>
      <w:r>
        <w:rPr/>
        <w:t>股东每</w:t>
      </w:r>
      <w:r>
        <w:rPr>
          <w:spacing w:val="-61"/>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股。转增后，公司总股本由</w:t>
      </w:r>
      <w:r>
        <w:rPr>
          <w:spacing w:val="-59"/>
        </w:rPr>
        <w:t> </w:t>
      </w:r>
      <w:r>
        <w:rPr>
          <w:rFonts w:ascii="宋体" w:hAnsi="宋体" w:cs="宋体" w:eastAsia="宋体" w:hint="default"/>
        </w:rPr>
        <w:t>74,620,000</w:t>
      </w:r>
      <w:r>
        <w:rPr>
          <w:rFonts w:ascii="宋体" w:hAnsi="宋体" w:cs="宋体" w:eastAsia="宋体" w:hint="default"/>
          <w:spacing w:val="-60"/>
        </w:rPr>
        <w:t> </w:t>
      </w:r>
      <w:r>
        <w:rPr/>
        <w:t>股增至</w:t>
      </w:r>
      <w:r>
        <w:rPr>
          <w:spacing w:val="-60"/>
        </w:rPr>
        <w:t> </w:t>
      </w:r>
      <w:r>
        <w:rPr>
          <w:rFonts w:ascii="宋体" w:hAnsi="宋体" w:cs="宋体" w:eastAsia="宋体" w:hint="default"/>
        </w:rPr>
        <w:t>111,930,000</w:t>
      </w:r>
      <w:r>
        <w:rPr>
          <w:rFonts w:ascii="宋体" w:hAnsi="宋体" w:cs="宋体" w:eastAsia="宋体" w:hint="default"/>
          <w:spacing w:val="-60"/>
        </w:rPr>
        <w:t> </w:t>
      </w:r>
      <w:r>
        <w:rPr/>
        <w:t>股。</w:t>
      </w:r>
    </w:p>
    <w:p>
      <w:pPr>
        <w:pStyle w:val="BodyText"/>
        <w:spacing w:line="240" w:lineRule="auto" w:before="154"/>
        <w:ind w:left="818" w:right="0"/>
        <w:jc w:val="left"/>
        <w:rPr>
          <w:rFonts w:ascii="宋体" w:hAnsi="宋体" w:cs="宋体" w:eastAsia="宋体" w:hint="default"/>
        </w:rPr>
      </w:pPr>
      <w:r>
        <w:rPr>
          <w:rFonts w:ascii="宋体" w:hAnsi="宋体" w:cs="宋体" w:eastAsia="宋体" w:hint="default"/>
        </w:rPr>
        <w:t>2</w:t>
      </w:r>
      <w:r>
        <w:rPr/>
        <w:t>、公司首次公开发行前已发行股份中部分限售股份上市流通日为</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12</w:t>
      </w:r>
    </w:p>
    <w:p>
      <w:pPr>
        <w:pStyle w:val="BodyText"/>
        <w:spacing w:line="240" w:lineRule="auto" w:before="154"/>
        <w:ind w:left="403" w:right="0"/>
        <w:jc w:val="left"/>
      </w:pPr>
      <w:r>
        <w:rPr/>
        <w:t>日，本次解除限售的数量为</w:t>
      </w:r>
      <w:r>
        <w:rPr>
          <w:spacing w:val="-61"/>
        </w:rPr>
        <w:t> </w:t>
      </w:r>
      <w:r>
        <w:rPr>
          <w:rFonts w:ascii="宋体" w:hAnsi="宋体" w:cs="宋体" w:eastAsia="宋体" w:hint="default"/>
        </w:rPr>
        <w:t>9,411,188</w:t>
      </w:r>
      <w:r>
        <w:rPr>
          <w:rFonts w:ascii="宋体" w:hAnsi="宋体" w:cs="宋体" w:eastAsia="宋体" w:hint="default"/>
          <w:spacing w:val="-61"/>
        </w:rPr>
        <w:t> </w:t>
      </w:r>
      <w:r>
        <w:rPr/>
        <w:t>股，占公司总股本</w:t>
      </w:r>
      <w:r>
        <w:rPr>
          <w:spacing w:val="-61"/>
        </w:rPr>
        <w:t> </w:t>
      </w:r>
      <w:r>
        <w:rPr>
          <w:rFonts w:ascii="宋体" w:hAnsi="宋体" w:cs="宋体" w:eastAsia="宋体" w:hint="default"/>
        </w:rPr>
        <w:t>111,930,000</w:t>
      </w:r>
      <w:r>
        <w:rPr>
          <w:rFonts w:ascii="宋体" w:hAnsi="宋体" w:cs="宋体" w:eastAsia="宋体" w:hint="default"/>
          <w:spacing w:val="-61"/>
        </w:rPr>
        <w:t> </w:t>
      </w:r>
      <w:r>
        <w:rPr/>
        <w:t>股的</w:t>
      </w:r>
      <w:r>
        <w:rPr>
          <w:spacing w:val="-61"/>
        </w:rPr>
        <w:t> </w:t>
      </w:r>
      <w:r>
        <w:rPr>
          <w:rFonts w:ascii="宋体" w:hAnsi="宋体" w:cs="宋体" w:eastAsia="宋体" w:hint="default"/>
        </w:rPr>
        <w:t>8.41%</w:t>
      </w:r>
      <w:r>
        <w:rPr/>
        <w:t>。</w:t>
      </w:r>
    </w:p>
    <w:p>
      <w:pPr>
        <w:pStyle w:val="BodyText"/>
        <w:spacing w:line="240" w:lineRule="auto" w:before="154"/>
        <w:ind w:left="818" w:right="0"/>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9"/>
        </w:rPr>
        <w:t> </w:t>
      </w:r>
      <w:r>
        <w:rPr/>
        <w:t>月</w:t>
      </w:r>
      <w:r>
        <w:rPr>
          <w:spacing w:val="-57"/>
        </w:rPr>
        <w:t> </w:t>
      </w:r>
      <w:r>
        <w:rPr>
          <w:rFonts w:ascii="宋体" w:hAnsi="宋体" w:cs="宋体" w:eastAsia="宋体" w:hint="default"/>
        </w:rPr>
        <w:t>26</w:t>
      </w:r>
      <w:r>
        <w:rPr>
          <w:rFonts w:ascii="宋体" w:hAnsi="宋体" w:cs="宋体" w:eastAsia="宋体" w:hint="default"/>
          <w:spacing w:val="-56"/>
        </w:rPr>
        <w:t> </w:t>
      </w:r>
      <w:r>
        <w:rPr/>
        <w:t>日公司以资本公积向全体股东每</w:t>
      </w:r>
      <w:r>
        <w:rPr>
          <w:spacing w:val="-56"/>
        </w:rPr>
        <w:t> </w:t>
      </w:r>
      <w:r>
        <w:rPr>
          <w:rFonts w:ascii="宋体" w:hAnsi="宋体" w:cs="宋体" w:eastAsia="宋体" w:hint="default"/>
        </w:rPr>
        <w:t>10</w:t>
      </w:r>
      <w:r>
        <w:rPr>
          <w:rFonts w:ascii="宋体" w:hAnsi="宋体" w:cs="宋体" w:eastAsia="宋体" w:hint="default"/>
          <w:spacing w:val="-57"/>
        </w:rPr>
        <w:t> </w:t>
      </w:r>
      <w:r>
        <w:rPr/>
        <w:t>股转增</w:t>
      </w:r>
      <w:r>
        <w:rPr>
          <w:spacing w:val="-59"/>
        </w:rPr>
        <w:t> </w:t>
      </w:r>
      <w:r>
        <w:rPr>
          <w:rFonts w:ascii="宋体" w:hAnsi="宋体" w:cs="宋体" w:eastAsia="宋体" w:hint="default"/>
        </w:rPr>
        <w:t>5</w:t>
      </w:r>
      <w:r>
        <w:rPr>
          <w:rFonts w:ascii="宋体" w:hAnsi="宋体" w:cs="宋体" w:eastAsia="宋体" w:hint="default"/>
          <w:spacing w:val="-57"/>
        </w:rPr>
        <w:t> </w:t>
      </w:r>
      <w:r>
        <w:rPr/>
        <w:t>股后，公司股东欧</w:t>
      </w:r>
    </w:p>
    <w:p>
      <w:pPr>
        <w:pStyle w:val="BodyText"/>
        <w:spacing w:line="240" w:lineRule="auto" w:before="154"/>
        <w:ind w:left="403" w:right="0"/>
        <w:jc w:val="left"/>
      </w:pPr>
      <w:r>
        <w:rPr>
          <w:spacing w:val="-4"/>
        </w:rPr>
        <w:t>姆龙（中国）有限公司（以下简称“欧姆龙”）持有公司股票数量增至 </w:t>
      </w:r>
      <w:r>
        <w:rPr>
          <w:rFonts w:ascii="宋体" w:hAnsi="宋体" w:cs="宋体" w:eastAsia="宋体" w:hint="default"/>
        </w:rPr>
        <w:t>20,077,200</w:t>
      </w:r>
      <w:r>
        <w:rPr>
          <w:rFonts w:ascii="宋体" w:hAnsi="宋体" w:cs="宋体" w:eastAsia="宋体" w:hint="default"/>
          <w:spacing w:val="-85"/>
        </w:rPr>
        <w:t> </w:t>
      </w:r>
      <w:r>
        <w:rPr/>
        <w:t>股。</w:t>
      </w:r>
    </w:p>
    <w:p>
      <w:pPr>
        <w:pStyle w:val="BodyText"/>
        <w:spacing w:line="240" w:lineRule="auto" w:before="154"/>
        <w:ind w:left="403" w:right="2728"/>
        <w:jc w:val="left"/>
      </w:pPr>
      <w:r>
        <w:rPr/>
        <w:t>截止报告期末，其持有公司股票数量为</w:t>
      </w:r>
      <w:r>
        <w:rPr>
          <w:spacing w:val="-60"/>
        </w:rPr>
        <w:t> </w:t>
      </w:r>
      <w:r>
        <w:rPr>
          <w:rFonts w:ascii="宋体" w:hAnsi="宋体" w:cs="宋体" w:eastAsia="宋体" w:hint="default"/>
        </w:rPr>
        <w:t>20,077,200</w:t>
      </w:r>
      <w:r>
        <w:rPr>
          <w:rFonts w:ascii="宋体" w:hAnsi="宋体" w:cs="宋体" w:eastAsia="宋体" w:hint="default"/>
          <w:spacing w:val="-60"/>
        </w:rPr>
        <w:t> </w:t>
      </w:r>
      <w:r>
        <w:rPr/>
        <w:t>股。</w:t>
      </w:r>
    </w:p>
    <w:p>
      <w:pPr>
        <w:pStyle w:val="BodyText"/>
        <w:spacing w:line="240" w:lineRule="auto" w:before="154"/>
        <w:ind w:left="818" w:right="0"/>
        <w:jc w:val="left"/>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9"/>
        </w:rPr>
        <w:t> </w:t>
      </w:r>
      <w:r>
        <w:rPr/>
        <w:t>月</w:t>
      </w:r>
      <w:r>
        <w:rPr>
          <w:spacing w:val="-57"/>
        </w:rPr>
        <w:t> </w:t>
      </w:r>
      <w:r>
        <w:rPr>
          <w:rFonts w:ascii="宋体" w:hAnsi="宋体" w:cs="宋体" w:eastAsia="宋体" w:hint="default"/>
        </w:rPr>
        <w:t>26</w:t>
      </w:r>
      <w:r>
        <w:rPr>
          <w:rFonts w:ascii="宋体" w:hAnsi="宋体" w:cs="宋体" w:eastAsia="宋体" w:hint="default"/>
          <w:spacing w:val="-56"/>
        </w:rPr>
        <w:t> </w:t>
      </w:r>
      <w:r>
        <w:rPr/>
        <w:t>日公司以资本公积向全体股东每</w:t>
      </w:r>
      <w:r>
        <w:rPr>
          <w:spacing w:val="-56"/>
        </w:rPr>
        <w:t> </w:t>
      </w:r>
      <w:r>
        <w:rPr>
          <w:rFonts w:ascii="宋体" w:hAnsi="宋体" w:cs="宋体" w:eastAsia="宋体" w:hint="default"/>
        </w:rPr>
        <w:t>10</w:t>
      </w:r>
      <w:r>
        <w:rPr>
          <w:rFonts w:ascii="宋体" w:hAnsi="宋体" w:cs="宋体" w:eastAsia="宋体" w:hint="default"/>
          <w:spacing w:val="-57"/>
        </w:rPr>
        <w:t> </w:t>
      </w:r>
      <w:r>
        <w:rPr/>
        <w:t>股转增</w:t>
      </w:r>
      <w:r>
        <w:rPr>
          <w:spacing w:val="-59"/>
        </w:rPr>
        <w:t> </w:t>
      </w:r>
      <w:r>
        <w:rPr>
          <w:rFonts w:ascii="宋体" w:hAnsi="宋体" w:cs="宋体" w:eastAsia="宋体" w:hint="default"/>
        </w:rPr>
        <w:t>5</w:t>
      </w:r>
      <w:r>
        <w:rPr>
          <w:rFonts w:ascii="宋体" w:hAnsi="宋体" w:cs="宋体" w:eastAsia="宋体" w:hint="default"/>
          <w:spacing w:val="-57"/>
        </w:rPr>
        <w:t> </w:t>
      </w:r>
      <w:r>
        <w:rPr/>
        <w:t>股后，公司股东上</w:t>
      </w:r>
    </w:p>
    <w:p>
      <w:pPr>
        <w:pStyle w:val="BodyText"/>
        <w:spacing w:line="240" w:lineRule="auto" w:before="154"/>
        <w:ind w:left="403" w:right="0"/>
        <w:jc w:val="left"/>
        <w:rPr>
          <w:rFonts w:ascii="宋体" w:hAnsi="宋体" w:cs="宋体" w:eastAsia="宋体" w:hint="default"/>
        </w:rPr>
      </w:pPr>
      <w:r>
        <w:rPr/>
        <w:t>海慧盛创业投资有限公司（以下简称“慧盛创投）持有公司股票数量增至</w:t>
      </w:r>
      <w:r>
        <w:rPr>
          <w:spacing w:val="27"/>
        </w:rPr>
        <w:t> </w:t>
      </w:r>
      <w:r>
        <w:rPr>
          <w:rFonts w:ascii="宋体" w:hAnsi="宋体" w:cs="宋体" w:eastAsia="宋体" w:hint="default"/>
        </w:rPr>
        <w:t>17,488,699</w:t>
      </w:r>
    </w:p>
    <w:p>
      <w:pPr>
        <w:pStyle w:val="BodyText"/>
        <w:spacing w:line="240" w:lineRule="auto" w:before="154"/>
        <w:ind w:left="403" w:right="0"/>
        <w:jc w:val="left"/>
      </w:pPr>
      <w:r>
        <w:rPr/>
        <w:t>股。截止报告期末，慧盛创投持有公司股票数量为 </w:t>
      </w:r>
      <w:r>
        <w:rPr>
          <w:rFonts w:ascii="宋体" w:hAnsi="宋体" w:cs="宋体" w:eastAsia="宋体" w:hint="default"/>
        </w:rPr>
        <w:t>15,245,538</w:t>
      </w:r>
      <w:r>
        <w:rPr>
          <w:rFonts w:ascii="宋体" w:hAnsi="宋体" w:cs="宋体" w:eastAsia="宋体" w:hint="default"/>
          <w:spacing w:val="-92"/>
        </w:rPr>
        <w:t> </w:t>
      </w:r>
      <w:r>
        <w:rPr/>
        <w:t>股，报告期内通过深圳</w:t>
      </w:r>
    </w:p>
    <w:p>
      <w:pPr>
        <w:pStyle w:val="BodyText"/>
        <w:spacing w:line="240" w:lineRule="auto" w:before="154"/>
        <w:ind w:left="403" w:right="2728"/>
        <w:jc w:val="left"/>
      </w:pPr>
      <w:r>
        <w:rPr/>
        <w:t>证券交易所竞价交易系统累计减持公司股份</w:t>
      </w:r>
      <w:r>
        <w:rPr>
          <w:spacing w:val="-60"/>
        </w:rPr>
        <w:t> </w:t>
      </w:r>
      <w:r>
        <w:rPr>
          <w:rFonts w:ascii="宋体" w:hAnsi="宋体" w:cs="宋体" w:eastAsia="宋体" w:hint="default"/>
        </w:rPr>
        <w:t>3,825,378</w:t>
      </w:r>
      <w:r>
        <w:rPr>
          <w:rFonts w:ascii="宋体" w:hAnsi="宋体" w:cs="宋体" w:eastAsia="宋体" w:hint="default"/>
          <w:spacing w:val="-60"/>
        </w:rPr>
        <w:t> </w:t>
      </w:r>
      <w:r>
        <w:rPr/>
        <w:t>股。</w:t>
      </w:r>
    </w:p>
    <w:p>
      <w:pPr>
        <w:pStyle w:val="BodyText"/>
        <w:spacing w:line="240" w:lineRule="auto" w:before="154"/>
        <w:ind w:left="749" w:right="0"/>
        <w:jc w:val="left"/>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5</w:t>
      </w:r>
      <w:r>
        <w:rPr>
          <w:rFonts w:ascii="宋体" w:hAnsi="宋体" w:cs="宋体" w:eastAsia="宋体" w:hint="default"/>
          <w:spacing w:val="-49"/>
        </w:rPr>
        <w:t> </w:t>
      </w:r>
      <w:r>
        <w:rPr/>
        <w:t>月</w:t>
      </w:r>
      <w:r>
        <w:rPr>
          <w:spacing w:val="-49"/>
        </w:rPr>
        <w:t> </w:t>
      </w:r>
      <w:r>
        <w:rPr>
          <w:rFonts w:ascii="宋体" w:hAnsi="宋体" w:cs="宋体" w:eastAsia="宋体" w:hint="default"/>
        </w:rPr>
        <w:t>26</w:t>
      </w:r>
      <w:r>
        <w:rPr>
          <w:rFonts w:ascii="宋体" w:hAnsi="宋体" w:cs="宋体" w:eastAsia="宋体" w:hint="default"/>
          <w:spacing w:val="-49"/>
        </w:rPr>
        <w:t> </w:t>
      </w:r>
      <w:r>
        <w:rPr/>
        <w:t>日公司以资本公积向全体股东每</w:t>
      </w:r>
      <w:r>
        <w:rPr>
          <w:spacing w:val="-49"/>
        </w:rPr>
        <w:t> </w:t>
      </w:r>
      <w:r>
        <w:rPr>
          <w:rFonts w:ascii="宋体" w:hAnsi="宋体" w:cs="宋体" w:eastAsia="宋体" w:hint="default"/>
        </w:rPr>
        <w:t>10</w:t>
      </w:r>
      <w:r>
        <w:rPr>
          <w:rFonts w:ascii="宋体" w:hAnsi="宋体" w:cs="宋体" w:eastAsia="宋体" w:hint="default"/>
          <w:spacing w:val="-49"/>
        </w:rPr>
        <w:t> </w:t>
      </w:r>
      <w:r>
        <w:rPr/>
        <w:t>股转增</w:t>
      </w:r>
      <w:r>
        <w:rPr>
          <w:spacing w:val="-49"/>
        </w:rPr>
        <w:t> </w:t>
      </w:r>
      <w:r>
        <w:rPr>
          <w:rFonts w:ascii="宋体" w:hAnsi="宋体" w:cs="宋体" w:eastAsia="宋体" w:hint="default"/>
        </w:rPr>
        <w:t>5</w:t>
      </w:r>
      <w:r>
        <w:rPr>
          <w:rFonts w:ascii="宋体" w:hAnsi="宋体" w:cs="宋体" w:eastAsia="宋体" w:hint="default"/>
          <w:spacing w:val="-49"/>
        </w:rPr>
        <w:t> </w:t>
      </w:r>
      <w:r>
        <w:rPr/>
        <w:t>股后，公司股东上</w:t>
      </w:r>
    </w:p>
    <w:p>
      <w:pPr>
        <w:pStyle w:val="BodyText"/>
        <w:spacing w:line="240" w:lineRule="auto" w:before="154"/>
        <w:ind w:left="334" w:right="0"/>
        <w:jc w:val="left"/>
        <w:rPr>
          <w:rFonts w:ascii="宋体" w:hAnsi="宋体" w:cs="宋体" w:eastAsia="宋体" w:hint="default"/>
        </w:rPr>
      </w:pPr>
      <w:r>
        <w:rPr>
          <w:spacing w:val="2"/>
        </w:rPr>
        <w:t>海古德投资咨询有限公司（以下简称“古德投资）持有公司股票数量增至</w:t>
      </w:r>
      <w:r>
        <w:rPr>
          <w:spacing w:val="26"/>
        </w:rPr>
        <w:t> </w:t>
      </w:r>
      <w:r>
        <w:rPr>
          <w:rFonts w:ascii="宋体" w:hAnsi="宋体" w:cs="宋体" w:eastAsia="宋体" w:hint="default"/>
        </w:rPr>
        <w:t>13,175,662</w:t>
      </w:r>
    </w:p>
    <w:p>
      <w:pPr>
        <w:spacing w:after="0" w:line="240" w:lineRule="auto"/>
        <w:jc w:val="left"/>
        <w:rPr>
          <w:rFonts w:ascii="宋体" w:hAnsi="宋体" w:cs="宋体" w:eastAsia="宋体" w:hint="default"/>
        </w:rPr>
        <w:sectPr>
          <w:pgSz w:w="11910" w:h="16840"/>
          <w:pgMar w:header="876" w:footer="1186" w:top="1100" w:bottom="1380" w:left="1080" w:right="1020"/>
        </w:sectPr>
      </w:pPr>
    </w:p>
    <w:p>
      <w:pPr>
        <w:spacing w:line="240" w:lineRule="auto" w:before="12"/>
        <w:rPr>
          <w:rFonts w:ascii="宋体" w:hAnsi="宋体" w:cs="宋体" w:eastAsia="宋体" w:hint="default"/>
          <w:sz w:val="25"/>
          <w:szCs w:val="25"/>
        </w:rPr>
      </w:pPr>
    </w:p>
    <w:p>
      <w:pPr>
        <w:pStyle w:val="BodyText"/>
        <w:spacing w:line="240" w:lineRule="auto" w:before="26"/>
        <w:ind w:left="294" w:right="0"/>
        <w:jc w:val="both"/>
      </w:pPr>
      <w:r>
        <w:rPr/>
        <w:t>股。截止报告期末，古德投资持有公司股票数量为 </w:t>
      </w:r>
      <w:r>
        <w:rPr>
          <w:rFonts w:ascii="宋体" w:hAnsi="宋体" w:cs="宋体" w:eastAsia="宋体" w:hint="default"/>
        </w:rPr>
        <w:t>12,215,327</w:t>
      </w:r>
      <w:r>
        <w:rPr>
          <w:rFonts w:ascii="宋体" w:hAnsi="宋体" w:cs="宋体" w:eastAsia="宋体" w:hint="default"/>
          <w:spacing w:val="-22"/>
        </w:rPr>
        <w:t> </w:t>
      </w:r>
      <w:r>
        <w:rPr/>
        <w:t>股，报告期内通过深圳</w:t>
      </w:r>
    </w:p>
    <w:p>
      <w:pPr>
        <w:pStyle w:val="BodyText"/>
        <w:spacing w:line="240" w:lineRule="auto" w:before="154"/>
        <w:ind w:left="294" w:right="0"/>
        <w:jc w:val="both"/>
      </w:pPr>
      <w:r>
        <w:rPr/>
        <w:t>证券交易所竞价交易系统和大宗交易系统累计减持公司股份</w:t>
      </w:r>
      <w:r>
        <w:rPr>
          <w:spacing w:val="-60"/>
        </w:rPr>
        <w:t> </w:t>
      </w:r>
      <w:r>
        <w:rPr>
          <w:rFonts w:ascii="宋体" w:hAnsi="宋体" w:cs="宋体" w:eastAsia="宋体" w:hint="default"/>
        </w:rPr>
        <w:t>960,335</w:t>
      </w:r>
      <w:r>
        <w:rPr>
          <w:rFonts w:ascii="宋体" w:hAnsi="宋体" w:cs="宋体" w:eastAsia="宋体" w:hint="default"/>
          <w:spacing w:val="-60"/>
        </w:rPr>
        <w:t> </w:t>
      </w:r>
      <w:r>
        <w:rPr/>
        <w:t>股。</w:t>
      </w:r>
    </w:p>
    <w:p>
      <w:pPr>
        <w:pStyle w:val="BodyText"/>
        <w:spacing w:line="240" w:lineRule="auto" w:before="154"/>
        <w:ind w:left="0" w:right="331"/>
        <w:jc w:val="right"/>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6"/>
        </w:rPr>
        <w:t> </w:t>
      </w:r>
      <w:r>
        <w:rPr/>
        <w:t>月</w:t>
      </w:r>
      <w:r>
        <w:rPr>
          <w:spacing w:val="-58"/>
        </w:rPr>
        <w:t> </w:t>
      </w:r>
      <w:r>
        <w:rPr>
          <w:rFonts w:ascii="宋体" w:hAnsi="宋体" w:cs="宋体" w:eastAsia="宋体" w:hint="default"/>
        </w:rPr>
        <w:t>26</w:t>
      </w:r>
      <w:r>
        <w:rPr>
          <w:rFonts w:ascii="宋体" w:hAnsi="宋体" w:cs="宋体" w:eastAsia="宋体" w:hint="default"/>
          <w:spacing w:val="-57"/>
        </w:rPr>
        <w:t> </w:t>
      </w:r>
      <w:r>
        <w:rPr/>
        <w:t>日公司以资本公积向全体股东每</w:t>
      </w:r>
      <w:r>
        <w:rPr>
          <w:spacing w:val="-57"/>
        </w:rPr>
        <w:t> </w:t>
      </w:r>
      <w:r>
        <w:rPr>
          <w:rFonts w:ascii="宋体" w:hAnsi="宋体" w:cs="宋体" w:eastAsia="宋体" w:hint="default"/>
        </w:rPr>
        <w:t>10</w:t>
      </w:r>
      <w:r>
        <w:rPr>
          <w:rFonts w:ascii="宋体" w:hAnsi="宋体" w:cs="宋体" w:eastAsia="宋体" w:hint="default"/>
          <w:spacing w:val="-58"/>
        </w:rPr>
        <w:t> </w:t>
      </w:r>
      <w:r>
        <w:rPr/>
        <w:t>股转增</w:t>
      </w:r>
      <w:r>
        <w:rPr>
          <w:spacing w:val="-56"/>
        </w:rPr>
        <w:t> </w:t>
      </w:r>
      <w:r>
        <w:rPr>
          <w:rFonts w:ascii="宋体" w:hAnsi="宋体" w:cs="宋体" w:eastAsia="宋体" w:hint="default"/>
        </w:rPr>
        <w:t>5</w:t>
      </w:r>
      <w:r>
        <w:rPr>
          <w:rFonts w:ascii="宋体" w:hAnsi="宋体" w:cs="宋体" w:eastAsia="宋体" w:hint="default"/>
          <w:spacing w:val="-58"/>
        </w:rPr>
        <w:t> </w:t>
      </w:r>
      <w:r>
        <w:rPr/>
        <w:t>股后，以包叔平先</w:t>
      </w:r>
    </w:p>
    <w:p>
      <w:pPr>
        <w:pStyle w:val="BodyText"/>
        <w:spacing w:line="240" w:lineRule="auto" w:before="154"/>
        <w:ind w:left="363" w:right="0"/>
        <w:jc w:val="both"/>
      </w:pPr>
      <w:r>
        <w:rPr/>
        <w:t>生为代表的</w:t>
      </w:r>
      <w:r>
        <w:rPr>
          <w:spacing w:val="-59"/>
        </w:rPr>
        <w:t> </w:t>
      </w:r>
      <w:r>
        <w:rPr>
          <w:rFonts w:ascii="宋体" w:hAnsi="宋体" w:cs="宋体" w:eastAsia="宋体" w:hint="default"/>
        </w:rPr>
        <w:t>38</w:t>
      </w:r>
      <w:r>
        <w:rPr>
          <w:rFonts w:ascii="宋体" w:hAnsi="宋体" w:cs="宋体" w:eastAsia="宋体" w:hint="default"/>
          <w:spacing w:val="-59"/>
        </w:rPr>
        <w:t> </w:t>
      </w:r>
      <w:r>
        <w:rPr/>
        <w:t>位自然人股东持有公司股票数量增至</w:t>
      </w:r>
      <w:r>
        <w:rPr>
          <w:spacing w:val="-58"/>
        </w:rPr>
        <w:t> </w:t>
      </w:r>
      <w:r>
        <w:rPr>
          <w:rFonts w:ascii="宋体" w:hAnsi="宋体" w:cs="宋体" w:eastAsia="宋体" w:hint="default"/>
        </w:rPr>
        <w:t>23,822,093</w:t>
      </w:r>
      <w:r>
        <w:rPr>
          <w:rFonts w:ascii="宋体" w:hAnsi="宋体" w:cs="宋体" w:eastAsia="宋体" w:hint="default"/>
          <w:spacing w:val="-59"/>
        </w:rPr>
        <w:t> </w:t>
      </w:r>
      <w:r>
        <w:rPr>
          <w:spacing w:val="-10"/>
        </w:rPr>
        <w:t>股。截止报告期末，以</w:t>
      </w:r>
    </w:p>
    <w:p>
      <w:pPr>
        <w:pStyle w:val="BodyText"/>
        <w:spacing w:line="357" w:lineRule="auto" w:before="154"/>
        <w:ind w:left="363" w:right="328"/>
        <w:jc w:val="both"/>
      </w:pPr>
      <w:r>
        <w:rPr/>
        <w:t>包叔平先生为代表的</w:t>
      </w:r>
      <w:r>
        <w:rPr>
          <w:spacing w:val="-60"/>
        </w:rPr>
        <w:t> </w:t>
      </w:r>
      <w:r>
        <w:rPr>
          <w:rFonts w:ascii="宋体" w:hAnsi="宋体" w:cs="宋体" w:eastAsia="宋体" w:hint="default"/>
        </w:rPr>
        <w:t>38</w:t>
      </w:r>
      <w:r>
        <w:rPr>
          <w:rFonts w:ascii="宋体" w:hAnsi="宋体" w:cs="宋体" w:eastAsia="宋体" w:hint="default"/>
          <w:spacing w:val="-59"/>
        </w:rPr>
        <w:t> </w:t>
      </w:r>
      <w:r>
        <w:rPr/>
        <w:t>位自然人股东持有公司股票数量为</w:t>
      </w:r>
      <w:r>
        <w:rPr>
          <w:spacing w:val="-59"/>
        </w:rPr>
        <w:t> </w:t>
      </w:r>
      <w:r>
        <w:rPr>
          <w:rFonts w:ascii="宋体" w:hAnsi="宋体" w:cs="宋体" w:eastAsia="宋体" w:hint="default"/>
        </w:rPr>
        <w:t>23,557,893</w:t>
      </w:r>
      <w:r>
        <w:rPr>
          <w:rFonts w:ascii="宋体" w:hAnsi="宋体" w:cs="宋体" w:eastAsia="宋体" w:hint="default"/>
          <w:spacing w:val="-59"/>
        </w:rPr>
        <w:t> </w:t>
      </w:r>
      <w:r>
        <w:rPr>
          <w:spacing w:val="-14"/>
        </w:rPr>
        <w:t>股，报告期内自</w:t>
      </w:r>
      <w:r>
        <w:rPr/>
        <w:t> </w:t>
      </w:r>
      <w:r>
        <w:rPr>
          <w:spacing w:val="-3"/>
        </w:rPr>
        <w:t>然人股东唐长钧先生、周诚先生、李坚先生、杨晓鸣女士、王洪祥先生、王刚先生、蒋</w:t>
      </w:r>
      <w:r>
        <w:rPr>
          <w:spacing w:val="-98"/>
        </w:rPr>
        <w:t> </w:t>
      </w:r>
      <w:r>
        <w:rPr>
          <w:spacing w:val="-98"/>
        </w:rPr>
      </w:r>
      <w:r>
        <w:rPr>
          <w:spacing w:val="-3"/>
        </w:rPr>
        <w:t>伟成先生、姚斌先生和刘晓民先生通过深圳证券交易所竞价交易系统累计减持公司股份</w:t>
      </w:r>
      <w:r>
        <w:rPr>
          <w:spacing w:val="-98"/>
        </w:rPr>
        <w:t> </w:t>
      </w:r>
      <w:r>
        <w:rPr>
          <w:spacing w:val="-98"/>
        </w:rPr>
      </w:r>
      <w:r>
        <w:rPr>
          <w:rFonts w:ascii="宋体" w:hAnsi="宋体" w:cs="宋体" w:eastAsia="宋体" w:hint="default"/>
        </w:rPr>
        <w:t>613,130</w:t>
      </w:r>
      <w:r>
        <w:rPr>
          <w:rFonts w:ascii="宋体" w:hAnsi="宋体" w:cs="宋体" w:eastAsia="宋体" w:hint="default"/>
          <w:spacing w:val="-61"/>
        </w:rPr>
        <w:t> </w:t>
      </w:r>
      <w:r>
        <w:rPr/>
        <w:t>股。</w:t>
      </w:r>
    </w:p>
    <w:p>
      <w:pPr>
        <w:pStyle w:val="BodyText"/>
        <w:spacing w:line="357" w:lineRule="auto"/>
        <w:ind w:left="363" w:right="330" w:firstLine="417"/>
        <w:jc w:val="both"/>
      </w:pPr>
      <w:r>
        <w:rPr>
          <w:rFonts w:ascii="宋体" w:hAnsi="宋体" w:cs="宋体" w:eastAsia="宋体" w:hint="default"/>
        </w:rPr>
        <w:t>7</w:t>
      </w:r>
      <w:r>
        <w:rPr/>
        <w:t>、截止报告期末，公司无限售条件的流通股从 </w:t>
      </w:r>
      <w:r>
        <w:rPr>
          <w:rFonts w:ascii="宋体" w:hAnsi="宋体" w:cs="宋体" w:eastAsia="宋体" w:hint="default"/>
        </w:rPr>
        <w:t>52,451,425 </w:t>
      </w:r>
      <w:r>
        <w:rPr/>
        <w:t>股增加到</w:t>
      </w:r>
      <w:r>
        <w:rPr>
          <w:spacing w:val="-29"/>
        </w:rPr>
        <w:t> </w:t>
      </w:r>
      <w:r>
        <w:rPr>
          <w:rFonts w:ascii="宋体" w:hAnsi="宋体" w:cs="宋体" w:eastAsia="宋体" w:hint="default"/>
        </w:rPr>
        <w:t>86,708,598 </w:t>
      </w:r>
      <w:r>
        <w:rPr>
          <w:spacing w:val="-5"/>
        </w:rPr>
        <w:t>股，占总股本的比例从</w:t>
      </w:r>
      <w:r>
        <w:rPr>
          <w:spacing w:val="-58"/>
        </w:rPr>
        <w:t> </w:t>
      </w:r>
      <w:r>
        <w:rPr>
          <w:rFonts w:ascii="宋体" w:hAnsi="宋体" w:cs="宋体" w:eastAsia="宋体" w:hint="default"/>
        </w:rPr>
        <w:t>70.29%</w:t>
      </w:r>
      <w:r>
        <w:rPr/>
        <w:t>增长到</w:t>
      </w:r>
      <w:r>
        <w:rPr>
          <w:spacing w:val="-58"/>
        </w:rPr>
        <w:t> </w:t>
      </w:r>
      <w:r>
        <w:rPr>
          <w:rFonts w:ascii="宋体" w:hAnsi="宋体" w:cs="宋体" w:eastAsia="宋体" w:hint="default"/>
          <w:spacing w:val="-3"/>
        </w:rPr>
        <w:t>77.47%</w:t>
      </w:r>
      <w:r>
        <w:rPr>
          <w:spacing w:val="-3"/>
        </w:rPr>
        <w:t>；有限售条件的流通股从</w:t>
      </w:r>
      <w:r>
        <w:rPr>
          <w:spacing w:val="-58"/>
        </w:rPr>
        <w:t> </w:t>
      </w:r>
      <w:r>
        <w:rPr>
          <w:rFonts w:ascii="宋体" w:hAnsi="宋体" w:cs="宋体" w:eastAsia="宋体" w:hint="default"/>
        </w:rPr>
        <w:t>22,168,575</w:t>
      </w:r>
      <w:r>
        <w:rPr>
          <w:rFonts w:ascii="宋体" w:hAnsi="宋体" w:cs="宋体" w:eastAsia="宋体" w:hint="default"/>
          <w:spacing w:val="-58"/>
        </w:rPr>
        <w:t> </w:t>
      </w:r>
      <w:r>
        <w:rPr/>
        <w:t>股增 加到</w:t>
      </w:r>
      <w:r>
        <w:rPr>
          <w:spacing w:val="-61"/>
        </w:rPr>
        <w:t> </w:t>
      </w:r>
      <w:r>
        <w:rPr>
          <w:rFonts w:ascii="宋体" w:hAnsi="宋体" w:cs="宋体" w:eastAsia="宋体" w:hint="default"/>
        </w:rPr>
        <w:t>25,221,402</w:t>
      </w:r>
      <w:r>
        <w:rPr>
          <w:rFonts w:ascii="宋体" w:hAnsi="宋体" w:cs="宋体" w:eastAsia="宋体" w:hint="default"/>
          <w:spacing w:val="-60"/>
        </w:rPr>
        <w:t> </w:t>
      </w:r>
      <w:r>
        <w:rPr/>
        <w:t>股，占总股本的比例从</w:t>
      </w:r>
      <w:r>
        <w:rPr>
          <w:spacing w:val="-60"/>
        </w:rPr>
        <w:t> </w:t>
      </w:r>
      <w:r>
        <w:rPr>
          <w:rFonts w:ascii="宋体" w:hAnsi="宋体" w:cs="宋体" w:eastAsia="宋体" w:hint="default"/>
        </w:rPr>
        <w:t>29.71%</w:t>
      </w:r>
      <w:r>
        <w:rPr/>
        <w:t>减少到</w:t>
      </w:r>
      <w:r>
        <w:rPr>
          <w:spacing w:val="-60"/>
        </w:rPr>
        <w:t> </w:t>
      </w:r>
      <w:r>
        <w:rPr>
          <w:rFonts w:ascii="宋体" w:hAnsi="宋体" w:cs="宋体" w:eastAsia="宋体" w:hint="default"/>
        </w:rPr>
        <w:t>22.53%</w:t>
      </w:r>
      <w:r>
        <w:rPr/>
        <w:t>。</w:t>
      </w:r>
    </w:p>
    <w:p>
      <w:pPr>
        <w:pStyle w:val="Heading3"/>
        <w:spacing w:line="936" w:lineRule="exact" w:before="36"/>
        <w:ind w:left="363" w:right="6452"/>
        <w:jc w:val="left"/>
        <w:rPr>
          <w:b w:val="0"/>
          <w:bCs w:val="0"/>
        </w:rPr>
      </w:pPr>
      <w:r>
        <w:rPr/>
        <w:t>（三）公司无内部职工股</w:t>
      </w:r>
      <w:r>
        <w:rPr>
          <w:w w:val="99"/>
        </w:rPr>
        <w:t> </w:t>
      </w:r>
      <w:r>
        <w:rPr/>
        <w:t>三、股东和实际控制人情况</w:t>
      </w:r>
      <w:r>
        <w:rPr>
          <w:b w:val="0"/>
          <w:bCs w:val="0"/>
        </w:rPr>
      </w:r>
    </w:p>
    <w:p>
      <w:pPr>
        <w:pStyle w:val="Heading3"/>
        <w:spacing w:line="240" w:lineRule="auto" w:before="0"/>
        <w:ind w:left="363" w:right="0"/>
        <w:jc w:val="both"/>
        <w:rPr>
          <w:b w:val="0"/>
          <w:bCs w:val="0"/>
        </w:rPr>
      </w:pPr>
      <w:r>
        <w:rPr/>
        <w:t>（一）股东总数和前</w:t>
      </w:r>
      <w:r>
        <w:rPr>
          <w:spacing w:val="-64"/>
        </w:rPr>
        <w:t> </w:t>
      </w:r>
      <w:r>
        <w:rPr>
          <w:rFonts w:ascii="宋体" w:hAnsi="宋体" w:cs="宋体" w:eastAsia="宋体" w:hint="default"/>
        </w:rPr>
        <w:t>10</w:t>
      </w:r>
      <w:r>
        <w:rPr>
          <w:rFonts w:ascii="宋体" w:hAnsi="宋体" w:cs="宋体" w:eastAsia="宋体" w:hint="default"/>
          <w:spacing w:val="-61"/>
        </w:rPr>
        <w:t> </w:t>
      </w:r>
      <w:r>
        <w:rPr/>
        <w:t>名股东、前</w:t>
      </w:r>
      <w:r>
        <w:rPr>
          <w:spacing w:val="-64"/>
        </w:rPr>
        <w:t> </w:t>
      </w:r>
      <w:r>
        <w:rPr>
          <w:rFonts w:ascii="宋体" w:hAnsi="宋体" w:cs="宋体" w:eastAsia="宋体" w:hint="default"/>
        </w:rPr>
        <w:t>10</w:t>
      </w:r>
      <w:r>
        <w:rPr>
          <w:rFonts w:ascii="宋体" w:hAnsi="宋体" w:cs="宋体" w:eastAsia="宋体" w:hint="default"/>
          <w:spacing w:val="-62"/>
        </w:rPr>
        <w:t> </w:t>
      </w:r>
      <w:r>
        <w:rPr/>
        <w:t>名无限售条件股东持股情况表</w:t>
      </w:r>
      <w:r>
        <w:rPr>
          <w:b w:val="0"/>
          <w:bCs w:val="0"/>
        </w:rPr>
      </w:r>
    </w:p>
    <w:p>
      <w:pPr>
        <w:spacing w:before="179"/>
        <w:ind w:left="0" w:right="327"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187"/>
        <w:gridCol w:w="706"/>
        <w:gridCol w:w="1674"/>
        <w:gridCol w:w="1022"/>
        <w:gridCol w:w="1258"/>
        <w:gridCol w:w="647"/>
        <w:gridCol w:w="837"/>
        <w:gridCol w:w="1164"/>
      </w:tblGrid>
      <w:tr>
        <w:trPr>
          <w:trHeight w:val="161"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2380"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34"/>
              <w:ind w:right="34"/>
              <w:jc w:val="center"/>
              <w:rPr>
                <w:rFonts w:ascii="宋体" w:hAnsi="宋体" w:cs="宋体" w:eastAsia="宋体" w:hint="default"/>
                <w:sz w:val="22"/>
                <w:szCs w:val="22"/>
              </w:rPr>
            </w:pPr>
            <w:r>
              <w:rPr>
                <w:rFonts w:ascii="宋体"/>
                <w:sz w:val="22"/>
              </w:rPr>
              <w:t>11,008</w:t>
            </w:r>
          </w:p>
        </w:tc>
        <w:tc>
          <w:tcPr>
            <w:tcW w:w="2926"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7" w:lineRule="exact"/>
              <w:ind w:right="22"/>
              <w:jc w:val="center"/>
              <w:rPr>
                <w:rFonts w:ascii="宋体" w:hAnsi="宋体" w:cs="宋体" w:eastAsia="宋体" w:hint="default"/>
                <w:sz w:val="22"/>
                <w:szCs w:val="22"/>
              </w:rPr>
            </w:pPr>
            <w:r>
              <w:rPr>
                <w:rFonts w:ascii="宋体" w:hAnsi="宋体" w:cs="宋体" w:eastAsia="宋体" w:hint="default"/>
                <w:sz w:val="22"/>
                <w:szCs w:val="22"/>
              </w:rPr>
              <w:t>本年度报告公布日前一个月末</w:t>
            </w:r>
          </w:p>
          <w:p>
            <w:pPr>
              <w:pStyle w:val="TableParagraph"/>
              <w:spacing w:line="240" w:lineRule="auto" w:before="24"/>
              <w:ind w:right="26"/>
              <w:jc w:val="center"/>
              <w:rPr>
                <w:rFonts w:ascii="宋体" w:hAnsi="宋体" w:cs="宋体" w:eastAsia="宋体" w:hint="default"/>
                <w:sz w:val="22"/>
                <w:szCs w:val="22"/>
              </w:rPr>
            </w:pPr>
            <w:r>
              <w:rPr>
                <w:rFonts w:ascii="宋体" w:hAnsi="宋体" w:cs="宋体" w:eastAsia="宋体" w:hint="default"/>
                <w:sz w:val="22"/>
                <w:szCs w:val="22"/>
              </w:rPr>
              <w:t>股东总数</w:t>
            </w:r>
          </w:p>
        </w:tc>
        <w:tc>
          <w:tcPr>
            <w:tcW w:w="2001" w:type="dxa"/>
            <w:gridSpan w:val="2"/>
            <w:vMerge w:val="restart"/>
            <w:tcBorders>
              <w:top w:val="single" w:sz="4" w:space="0" w:color="000000"/>
              <w:left w:val="single" w:sz="10" w:space="0" w:color="DCDCDC"/>
              <w:right w:val="single" w:sz="4" w:space="0" w:color="000000"/>
            </w:tcBorders>
          </w:tcPr>
          <w:p>
            <w:pPr>
              <w:pStyle w:val="TableParagraph"/>
              <w:spacing w:line="240" w:lineRule="auto" w:before="134"/>
              <w:ind w:left="664" w:right="0"/>
              <w:jc w:val="left"/>
              <w:rPr>
                <w:rFonts w:ascii="宋体" w:hAnsi="宋体" w:cs="宋体" w:eastAsia="宋体" w:hint="default"/>
                <w:sz w:val="22"/>
                <w:szCs w:val="22"/>
              </w:rPr>
            </w:pPr>
            <w:r>
              <w:rPr>
                <w:rFonts w:ascii="宋体"/>
                <w:sz w:val="22"/>
              </w:rPr>
              <w:t>12,015</w:t>
            </w:r>
          </w:p>
        </w:tc>
      </w:tr>
      <w:tr>
        <w:trPr>
          <w:trHeight w:val="312" w:hRule="exact"/>
        </w:trPr>
        <w:tc>
          <w:tcPr>
            <w:tcW w:w="21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80"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年末股东总数</w:t>
            </w:r>
          </w:p>
        </w:tc>
        <w:tc>
          <w:tcPr>
            <w:tcW w:w="2380" w:type="dxa"/>
            <w:gridSpan w:val="2"/>
            <w:vMerge/>
            <w:tcBorders>
              <w:left w:val="single" w:sz="10" w:space="0" w:color="DCDCDC"/>
              <w:right w:val="single" w:sz="10" w:space="0" w:color="DCDCDC"/>
            </w:tcBorders>
          </w:tcPr>
          <w:p>
            <w:pPr/>
          </w:p>
        </w:tc>
        <w:tc>
          <w:tcPr>
            <w:tcW w:w="2926" w:type="dxa"/>
            <w:gridSpan w:val="3"/>
            <w:vMerge/>
            <w:tcBorders>
              <w:left w:val="single" w:sz="4" w:space="0" w:color="000000"/>
              <w:right w:val="single" w:sz="4" w:space="0" w:color="000000"/>
            </w:tcBorders>
            <w:shd w:val="clear" w:color="auto" w:fill="DCDCDC"/>
          </w:tcPr>
          <w:p>
            <w:pPr/>
          </w:p>
        </w:tc>
        <w:tc>
          <w:tcPr>
            <w:tcW w:w="2001" w:type="dxa"/>
            <w:gridSpan w:val="2"/>
            <w:vMerge/>
            <w:tcBorders>
              <w:left w:val="single" w:sz="10" w:space="0" w:color="DCDCDC"/>
              <w:right w:val="single" w:sz="4" w:space="0" w:color="000000"/>
            </w:tcBorders>
          </w:tcPr>
          <w:p>
            <w:pPr/>
          </w:p>
        </w:tc>
      </w:tr>
      <w:tr>
        <w:trPr>
          <w:trHeight w:val="166"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2380" w:type="dxa"/>
            <w:gridSpan w:val="2"/>
            <w:vMerge/>
            <w:tcBorders>
              <w:left w:val="single" w:sz="10" w:space="0" w:color="DCDCDC"/>
              <w:bottom w:val="single" w:sz="4" w:space="0" w:color="000000"/>
              <w:right w:val="single" w:sz="10" w:space="0" w:color="DCDCDC"/>
            </w:tcBorders>
          </w:tcPr>
          <w:p>
            <w:pPr/>
          </w:p>
        </w:tc>
        <w:tc>
          <w:tcPr>
            <w:tcW w:w="2926" w:type="dxa"/>
            <w:gridSpan w:val="3"/>
            <w:vMerge/>
            <w:tcBorders>
              <w:left w:val="single" w:sz="4" w:space="0" w:color="000000"/>
              <w:bottom w:val="single" w:sz="4" w:space="0" w:color="000000"/>
              <w:right w:val="single" w:sz="4" w:space="0" w:color="000000"/>
            </w:tcBorders>
            <w:shd w:val="clear" w:color="auto" w:fill="DCDCDC"/>
          </w:tcPr>
          <w:p>
            <w:pPr/>
          </w:p>
        </w:tc>
        <w:tc>
          <w:tcPr>
            <w:tcW w:w="2001" w:type="dxa"/>
            <w:gridSpan w:val="2"/>
            <w:vMerge/>
            <w:tcBorders>
              <w:left w:val="single" w:sz="10" w:space="0" w:color="DCDCDC"/>
              <w:bottom w:val="single" w:sz="4" w:space="0" w:color="000000"/>
              <w:right w:val="single" w:sz="4" w:space="0" w:color="000000"/>
            </w:tcBorders>
          </w:tcPr>
          <w:p>
            <w:pPr/>
          </w:p>
        </w:tc>
      </w:tr>
      <w:tr>
        <w:trPr>
          <w:trHeight w:val="312" w:hRule="exact"/>
        </w:trPr>
        <w:tc>
          <w:tcPr>
            <w:tcW w:w="9494"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554"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名股东持股情况</w:t>
            </w:r>
          </w:p>
        </w:tc>
      </w:tr>
      <w:tr>
        <w:trPr>
          <w:trHeight w:val="166" w:hRule="exact"/>
        </w:trPr>
        <w:tc>
          <w:tcPr>
            <w:tcW w:w="289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7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22" w:type="dxa"/>
            <w:vMerge w:val="restart"/>
            <w:tcBorders>
              <w:top w:val="single" w:sz="4" w:space="0" w:color="000000"/>
              <w:left w:val="single" w:sz="4" w:space="0" w:color="000000"/>
              <w:right w:val="single" w:sz="4" w:space="0" w:color="000000"/>
            </w:tcBorders>
            <w:shd w:val="clear" w:color="auto" w:fill="DCDCDC"/>
          </w:tcPr>
          <w:p>
            <w:pPr>
              <w:pStyle w:val="TableParagraph"/>
              <w:spacing w:line="271" w:lineRule="exact"/>
              <w:ind w:left="27" w:right="0"/>
              <w:jc w:val="center"/>
              <w:rPr>
                <w:rFonts w:ascii="宋体" w:hAnsi="宋体" w:cs="宋体" w:eastAsia="宋体" w:hint="default"/>
                <w:sz w:val="22"/>
                <w:szCs w:val="22"/>
              </w:rPr>
            </w:pPr>
            <w:r>
              <w:rPr>
                <w:rFonts w:ascii="宋体" w:hAnsi="宋体" w:cs="宋体" w:eastAsia="宋体" w:hint="default"/>
                <w:sz w:val="22"/>
                <w:szCs w:val="22"/>
              </w:rPr>
              <w:t>持股比例</w:t>
            </w:r>
          </w:p>
          <w:p>
            <w:pPr>
              <w:pStyle w:val="TableParagraph"/>
              <w:spacing w:line="240" w:lineRule="auto" w:before="24"/>
              <w:ind w:left="27"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258" w:type="dxa"/>
            <w:tcBorders>
              <w:top w:val="single" w:sz="4" w:space="0" w:color="000000"/>
              <w:left w:val="single" w:sz="4" w:space="0" w:color="000000"/>
              <w:bottom w:val="nil" w:sz="6" w:space="0" w:color="auto"/>
              <w:right w:val="single" w:sz="4" w:space="0" w:color="000000"/>
            </w:tcBorders>
            <w:shd w:val="clear" w:color="auto" w:fill="DCDCDC"/>
          </w:tcPr>
          <w:p>
            <w:pPr/>
          </w:p>
        </w:tc>
        <w:tc>
          <w:tcPr>
            <w:tcW w:w="148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1" w:lineRule="exact"/>
              <w:ind w:left="1" w:right="0"/>
              <w:jc w:val="center"/>
              <w:rPr>
                <w:rFonts w:ascii="宋体" w:hAnsi="宋体" w:cs="宋体" w:eastAsia="宋体" w:hint="default"/>
                <w:sz w:val="22"/>
                <w:szCs w:val="22"/>
              </w:rPr>
            </w:pPr>
            <w:r>
              <w:rPr>
                <w:rFonts w:ascii="宋体" w:hAnsi="宋体" w:cs="宋体" w:eastAsia="宋体" w:hint="default"/>
                <w:sz w:val="22"/>
                <w:szCs w:val="22"/>
              </w:rPr>
              <w:t>持有有限售条</w:t>
            </w:r>
          </w:p>
          <w:p>
            <w:pPr>
              <w:pStyle w:val="TableParagraph"/>
              <w:spacing w:line="240" w:lineRule="auto" w:before="24"/>
              <w:ind w:left="1" w:right="0"/>
              <w:jc w:val="center"/>
              <w:rPr>
                <w:rFonts w:ascii="宋体" w:hAnsi="宋体" w:cs="宋体" w:eastAsia="宋体" w:hint="default"/>
                <w:sz w:val="22"/>
                <w:szCs w:val="22"/>
              </w:rPr>
            </w:pPr>
            <w:r>
              <w:rPr>
                <w:rFonts w:ascii="宋体" w:hAnsi="宋体" w:cs="宋体" w:eastAsia="宋体" w:hint="default"/>
                <w:sz w:val="22"/>
                <w:szCs w:val="22"/>
              </w:rPr>
              <w:t>件股份数量</w:t>
            </w:r>
          </w:p>
        </w:tc>
        <w:tc>
          <w:tcPr>
            <w:tcW w:w="1164" w:type="dxa"/>
            <w:vMerge w:val="restart"/>
            <w:tcBorders>
              <w:top w:val="single" w:sz="4" w:space="0" w:color="000000"/>
              <w:left w:val="single" w:sz="4" w:space="0" w:color="000000"/>
              <w:right w:val="single" w:sz="4" w:space="0" w:color="000000"/>
            </w:tcBorders>
            <w:shd w:val="clear" w:color="auto" w:fill="DCDCDC"/>
          </w:tcPr>
          <w:p>
            <w:pPr>
              <w:pStyle w:val="TableParagraph"/>
              <w:spacing w:line="271" w:lineRule="exact"/>
              <w:ind w:left="26" w:right="0"/>
              <w:jc w:val="left"/>
              <w:rPr>
                <w:rFonts w:ascii="宋体" w:hAnsi="宋体" w:cs="宋体" w:eastAsia="宋体" w:hint="default"/>
                <w:sz w:val="22"/>
                <w:szCs w:val="22"/>
              </w:rPr>
            </w:pPr>
            <w:r>
              <w:rPr>
                <w:rFonts w:ascii="宋体" w:hAnsi="宋体" w:cs="宋体" w:eastAsia="宋体" w:hint="default"/>
                <w:sz w:val="22"/>
                <w:szCs w:val="22"/>
              </w:rPr>
              <w:t>质押或冻结</w:t>
            </w:r>
          </w:p>
          <w:p>
            <w:pPr>
              <w:pStyle w:val="TableParagraph"/>
              <w:spacing w:line="240" w:lineRule="auto" w:before="24"/>
              <w:ind w:left="26" w:right="0"/>
              <w:jc w:val="left"/>
              <w:rPr>
                <w:rFonts w:ascii="宋体" w:hAnsi="宋体" w:cs="宋体" w:eastAsia="宋体" w:hint="default"/>
                <w:sz w:val="22"/>
                <w:szCs w:val="22"/>
              </w:rPr>
            </w:pPr>
            <w:r>
              <w:rPr>
                <w:rFonts w:ascii="宋体" w:hAnsi="宋体" w:cs="宋体" w:eastAsia="宋体" w:hint="default"/>
                <w:sz w:val="22"/>
                <w:szCs w:val="22"/>
              </w:rPr>
              <w:t>的股份数量</w:t>
            </w:r>
          </w:p>
        </w:tc>
      </w:tr>
      <w:tr>
        <w:trPr>
          <w:trHeight w:val="312" w:hRule="exact"/>
        </w:trPr>
        <w:tc>
          <w:tcPr>
            <w:tcW w:w="289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167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405" w:right="0"/>
              <w:jc w:val="left"/>
              <w:rPr>
                <w:rFonts w:ascii="宋体" w:hAnsi="宋体" w:cs="宋体" w:eastAsia="宋体" w:hint="default"/>
                <w:sz w:val="22"/>
                <w:szCs w:val="22"/>
              </w:rPr>
            </w:pPr>
            <w:r>
              <w:rPr>
                <w:rFonts w:ascii="宋体" w:hAnsi="宋体" w:cs="宋体" w:eastAsia="宋体" w:hint="default"/>
                <w:sz w:val="22"/>
                <w:szCs w:val="22"/>
              </w:rPr>
              <w:t>股东性质</w:t>
            </w:r>
          </w:p>
        </w:tc>
        <w:tc>
          <w:tcPr>
            <w:tcW w:w="1022" w:type="dxa"/>
            <w:vMerge/>
            <w:tcBorders>
              <w:left w:val="single" w:sz="4" w:space="0" w:color="000000"/>
              <w:right w:val="single" w:sz="4" w:space="0" w:color="000000"/>
            </w:tcBorders>
            <w:shd w:val="clear" w:color="auto" w:fill="DCDCDC"/>
          </w:tcPr>
          <w:p>
            <w:pPr/>
          </w:p>
        </w:tc>
        <w:tc>
          <w:tcPr>
            <w:tcW w:w="12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82" w:right="0"/>
              <w:jc w:val="left"/>
              <w:rPr>
                <w:rFonts w:ascii="宋体" w:hAnsi="宋体" w:cs="宋体" w:eastAsia="宋体" w:hint="default"/>
                <w:sz w:val="22"/>
                <w:szCs w:val="22"/>
              </w:rPr>
            </w:pPr>
            <w:r>
              <w:rPr>
                <w:rFonts w:ascii="宋体" w:hAnsi="宋体" w:cs="宋体" w:eastAsia="宋体" w:hint="default"/>
                <w:sz w:val="22"/>
                <w:szCs w:val="22"/>
              </w:rPr>
              <w:t>持股总数</w:t>
            </w:r>
          </w:p>
        </w:tc>
        <w:tc>
          <w:tcPr>
            <w:tcW w:w="1484" w:type="dxa"/>
            <w:gridSpan w:val="2"/>
            <w:vMerge/>
            <w:tcBorders>
              <w:left w:val="single" w:sz="4" w:space="0" w:color="000000"/>
              <w:right w:val="single" w:sz="4" w:space="0" w:color="000000"/>
            </w:tcBorders>
            <w:shd w:val="clear" w:color="auto" w:fill="DCDCDC"/>
          </w:tcPr>
          <w:p>
            <w:pPr/>
          </w:p>
        </w:tc>
        <w:tc>
          <w:tcPr>
            <w:tcW w:w="1164" w:type="dxa"/>
            <w:vMerge/>
            <w:tcBorders>
              <w:left w:val="single" w:sz="4" w:space="0" w:color="000000"/>
              <w:right w:val="single" w:sz="4" w:space="0" w:color="000000"/>
            </w:tcBorders>
            <w:shd w:val="clear" w:color="auto" w:fill="DCDCDC"/>
          </w:tcPr>
          <w:p>
            <w:pPr/>
          </w:p>
        </w:tc>
      </w:tr>
      <w:tr>
        <w:trPr>
          <w:trHeight w:val="161" w:hRule="exact"/>
        </w:trPr>
        <w:tc>
          <w:tcPr>
            <w:tcW w:w="289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7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22" w:type="dxa"/>
            <w:vMerge/>
            <w:tcBorders>
              <w:left w:val="single" w:sz="4" w:space="0" w:color="000000"/>
              <w:bottom w:val="single" w:sz="4" w:space="0" w:color="000000"/>
              <w:right w:val="single" w:sz="4" w:space="0" w:color="000000"/>
            </w:tcBorders>
            <w:shd w:val="clear" w:color="auto" w:fill="DCDCDC"/>
          </w:tcPr>
          <w:p>
            <w:pPr/>
          </w:p>
        </w:tc>
        <w:tc>
          <w:tcPr>
            <w:tcW w:w="125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84" w:type="dxa"/>
            <w:gridSpan w:val="2"/>
            <w:vMerge/>
            <w:tcBorders>
              <w:left w:val="single" w:sz="4" w:space="0" w:color="000000"/>
              <w:bottom w:val="single" w:sz="4" w:space="0" w:color="000000"/>
              <w:right w:val="single" w:sz="4" w:space="0" w:color="000000"/>
            </w:tcBorders>
            <w:shd w:val="clear" w:color="auto" w:fill="DCDCDC"/>
          </w:tcPr>
          <w:p>
            <w:pPr/>
          </w:p>
        </w:tc>
        <w:tc>
          <w:tcPr>
            <w:tcW w:w="1164"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2"/>
                <w:szCs w:val="22"/>
              </w:rPr>
            </w:pPr>
            <w:r>
              <w:rPr>
                <w:rFonts w:ascii="宋体" w:hAnsi="宋体" w:cs="宋体" w:eastAsia="宋体" w:hint="default"/>
                <w:sz w:val="22"/>
                <w:szCs w:val="22"/>
              </w:rPr>
              <w:t>欧姆龙</w:t>
            </w:r>
            <w:r>
              <w:rPr>
                <w:rFonts w:ascii="宋体" w:hAnsi="宋体" w:cs="宋体" w:eastAsia="宋体" w:hint="default"/>
                <w:sz w:val="22"/>
                <w:szCs w:val="22"/>
              </w:rPr>
              <w:t>(</w:t>
            </w:r>
            <w:r>
              <w:rPr>
                <w:rFonts w:ascii="宋体" w:hAnsi="宋体" w:cs="宋体" w:eastAsia="宋体" w:hint="default"/>
                <w:sz w:val="22"/>
                <w:szCs w:val="22"/>
              </w:rPr>
              <w:t>中国</w:t>
            </w:r>
            <w:r>
              <w:rPr>
                <w:rFonts w:ascii="宋体" w:hAnsi="宋体" w:cs="宋体" w:eastAsia="宋体" w:hint="default"/>
                <w:sz w:val="22"/>
                <w:szCs w:val="22"/>
              </w:rPr>
              <w:t>)</w:t>
            </w:r>
            <w:r>
              <w:rPr>
                <w:rFonts w:ascii="宋体" w:hAnsi="宋体" w:cs="宋体" w:eastAsia="宋体" w:hint="default"/>
                <w:sz w:val="22"/>
                <w:szCs w:val="22"/>
              </w:rPr>
              <w:t>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2"/>
                <w:szCs w:val="22"/>
              </w:rPr>
            </w:pPr>
            <w:r>
              <w:rPr>
                <w:rFonts w:ascii="宋体" w:hAnsi="宋体" w:cs="宋体" w:eastAsia="宋体" w:hint="default"/>
                <w:sz w:val="22"/>
                <w:szCs w:val="22"/>
              </w:rPr>
              <w:t>境外法人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1"/>
              <w:jc w:val="right"/>
              <w:rPr>
                <w:rFonts w:ascii="宋体" w:hAnsi="宋体" w:cs="宋体" w:eastAsia="宋体" w:hint="default"/>
                <w:sz w:val="22"/>
                <w:szCs w:val="22"/>
              </w:rPr>
            </w:pPr>
            <w:r>
              <w:rPr>
                <w:rFonts w:ascii="宋体"/>
                <w:sz w:val="22"/>
              </w:rPr>
              <w:t>17.94%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20,077,200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w w:val="100"/>
                <w:sz w:val="22"/>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上海慧盛创业投资有限公司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13.62%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15,245,538</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100"/>
                <w:sz w:val="22"/>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上海古德投资咨询有限公司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10.91%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12,215,327</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0" w:right="0"/>
              <w:jc w:val="left"/>
              <w:rPr>
                <w:rFonts w:ascii="宋体" w:hAnsi="宋体" w:cs="宋体" w:eastAsia="宋体" w:hint="default"/>
                <w:sz w:val="22"/>
                <w:szCs w:val="22"/>
              </w:rPr>
            </w:pPr>
            <w:r>
              <w:rPr>
                <w:rFonts w:ascii="宋体"/>
                <w:sz w:val="22"/>
              </w:rPr>
              <w:t>8,783,775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3.83%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4,290,000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0" w:right="0"/>
              <w:jc w:val="left"/>
              <w:rPr>
                <w:rFonts w:ascii="宋体" w:hAnsi="宋体" w:cs="宋体" w:eastAsia="宋体" w:hint="default"/>
                <w:sz w:val="22"/>
                <w:szCs w:val="22"/>
              </w:rPr>
            </w:pPr>
            <w:r>
              <w:rPr>
                <w:rFonts w:ascii="宋体"/>
                <w:sz w:val="22"/>
              </w:rPr>
              <w:t>3,217,500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2.87%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3,212,438</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0" w:right="0"/>
              <w:jc w:val="left"/>
              <w:rPr>
                <w:rFonts w:ascii="宋体" w:hAnsi="宋体" w:cs="宋体" w:eastAsia="宋体" w:hint="default"/>
                <w:sz w:val="22"/>
                <w:szCs w:val="22"/>
              </w:rPr>
            </w:pPr>
            <w:r>
              <w:rPr>
                <w:rFonts w:ascii="宋体"/>
                <w:sz w:val="22"/>
              </w:rPr>
              <w:t>2,499,329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姚钢</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1.74%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1,951,950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0" w:right="0"/>
              <w:jc w:val="left"/>
              <w:rPr>
                <w:rFonts w:ascii="宋体" w:hAnsi="宋体" w:cs="宋体" w:eastAsia="宋体" w:hint="default"/>
                <w:sz w:val="22"/>
                <w:szCs w:val="22"/>
              </w:rPr>
            </w:pPr>
            <w:r>
              <w:rPr>
                <w:rFonts w:ascii="宋体"/>
                <w:sz w:val="22"/>
              </w:rPr>
              <w:t>1,171,170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637"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2"/>
                <w:szCs w:val="22"/>
              </w:rPr>
            </w:pPr>
            <w:r>
              <w:rPr>
                <w:rFonts w:ascii="宋体" w:hAnsi="宋体" w:cs="宋体" w:eastAsia="宋体" w:hint="default"/>
                <w:sz w:val="22"/>
                <w:szCs w:val="22"/>
              </w:rPr>
              <w:t>中国农业银行－益民创新优</w:t>
            </w:r>
          </w:p>
          <w:p>
            <w:pPr>
              <w:pStyle w:val="TableParagraph"/>
              <w:spacing w:line="240" w:lineRule="auto" w:before="24"/>
              <w:ind w:left="24" w:right="0"/>
              <w:jc w:val="left"/>
              <w:rPr>
                <w:rFonts w:ascii="宋体" w:hAnsi="宋体" w:cs="宋体" w:eastAsia="宋体" w:hint="default"/>
                <w:sz w:val="22"/>
                <w:szCs w:val="22"/>
              </w:rPr>
            </w:pPr>
            <w:r>
              <w:rPr>
                <w:rFonts w:ascii="宋体" w:hAnsi="宋体" w:cs="宋体" w:eastAsia="宋体" w:hint="default"/>
                <w:sz w:val="22"/>
                <w:szCs w:val="22"/>
              </w:rPr>
              <w:t>势混合型证券投资基金</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宋体" w:hAnsi="宋体" w:cs="宋体" w:eastAsia="宋体" w:hint="default"/>
                <w:sz w:val="22"/>
                <w:szCs w:val="22"/>
              </w:rPr>
            </w:pPr>
            <w:r>
              <w:rPr>
                <w:rFonts w:ascii="宋体"/>
                <w:sz w:val="22"/>
              </w:rPr>
              <w:t>1.25%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22"/>
                <w:szCs w:val="22"/>
              </w:rPr>
            </w:pPr>
            <w:r>
              <w:rPr>
                <w:rFonts w:ascii="宋体"/>
                <w:sz w:val="22"/>
              </w:rPr>
              <w:t>1,399,725</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9"/>
              <w:jc w:val="right"/>
              <w:rPr>
                <w:rFonts w:ascii="宋体" w:hAnsi="宋体" w:cs="宋体" w:eastAsia="宋体" w:hint="default"/>
                <w:sz w:val="22"/>
                <w:szCs w:val="22"/>
              </w:rPr>
            </w:pPr>
            <w:r>
              <w:rPr>
                <w:rFonts w:ascii="宋体"/>
                <w:w w:val="100"/>
                <w:sz w:val="22"/>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周诚</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1.16%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1,298,820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0" w:right="0"/>
              <w:jc w:val="left"/>
              <w:rPr>
                <w:rFonts w:ascii="宋体" w:hAnsi="宋体" w:cs="宋体" w:eastAsia="宋体" w:hint="default"/>
                <w:sz w:val="22"/>
                <w:szCs w:val="22"/>
              </w:rPr>
            </w:pPr>
            <w:r>
              <w:rPr>
                <w:rFonts w:ascii="宋体"/>
                <w:sz w:val="22"/>
              </w:rPr>
              <w:t>1,087,515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322"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李坚</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1.11%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1,238,100</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60" w:right="0"/>
              <w:jc w:val="left"/>
              <w:rPr>
                <w:rFonts w:ascii="宋体" w:hAnsi="宋体" w:cs="宋体" w:eastAsia="宋体" w:hint="default"/>
                <w:sz w:val="22"/>
                <w:szCs w:val="22"/>
              </w:rPr>
            </w:pPr>
            <w:r>
              <w:rPr>
                <w:rFonts w:ascii="宋体"/>
                <w:sz w:val="22"/>
              </w:rPr>
              <w:t>1,003,860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w w:val="100"/>
                <w:sz w:val="22"/>
              </w:rPr>
              <w:t>0</w:t>
            </w:r>
          </w:p>
        </w:tc>
      </w:tr>
      <w:tr>
        <w:trPr>
          <w:trHeight w:val="634" w:hRule="exact"/>
        </w:trPr>
        <w:tc>
          <w:tcPr>
            <w:tcW w:w="2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招商银行－鹏华新兴产业股</w:t>
            </w:r>
          </w:p>
          <w:p>
            <w:pPr>
              <w:pStyle w:val="TableParagraph"/>
              <w:spacing w:line="240" w:lineRule="auto" w:before="24"/>
              <w:ind w:left="24" w:right="0"/>
              <w:jc w:val="left"/>
              <w:rPr>
                <w:rFonts w:ascii="宋体" w:hAnsi="宋体" w:cs="宋体" w:eastAsia="宋体" w:hint="default"/>
                <w:sz w:val="22"/>
                <w:szCs w:val="22"/>
              </w:rPr>
            </w:pPr>
            <w:r>
              <w:rPr>
                <w:rFonts w:ascii="宋体" w:hAnsi="宋体" w:cs="宋体" w:eastAsia="宋体" w:hint="default"/>
                <w:sz w:val="22"/>
                <w:szCs w:val="22"/>
              </w:rPr>
              <w:t>票型证券投资基金</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4"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z w:val="22"/>
              </w:rPr>
              <w:t>1.04%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z w:val="22"/>
              </w:rPr>
              <w:t>1,164,787</w:t>
            </w: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w w:val="100"/>
                <w:sz w:val="22"/>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22"/>
                <w:szCs w:val="22"/>
              </w:rPr>
            </w:pPr>
            <w:r>
              <w:rPr>
                <w:rFonts w:ascii="宋体"/>
                <w:w w:val="100"/>
                <w:sz w:val="22"/>
              </w:rPr>
              <w:t>0</w:t>
            </w:r>
          </w:p>
        </w:tc>
      </w:tr>
    </w:tbl>
    <w:p>
      <w:pPr>
        <w:spacing w:after="0" w:line="240" w:lineRule="auto"/>
        <w:jc w:val="right"/>
        <w:rPr>
          <w:rFonts w:ascii="宋体" w:hAnsi="宋体" w:cs="宋体" w:eastAsia="宋体" w:hint="default"/>
          <w:sz w:val="22"/>
          <w:szCs w:val="22"/>
        </w:rPr>
        <w:sectPr>
          <w:pgSz w:w="11910" w:h="16840"/>
          <w:pgMar w:header="876" w:footer="1186" w:top="1100" w:bottom="1380" w:left="1120" w:right="10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187"/>
        <w:gridCol w:w="1301"/>
        <w:gridCol w:w="3120"/>
        <w:gridCol w:w="2885"/>
      </w:tblGrid>
      <w:tr>
        <w:trPr>
          <w:trHeight w:val="322" w:hRule="exact"/>
        </w:trPr>
        <w:tc>
          <w:tcPr>
            <w:tcW w:w="949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554"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z w:val="22"/>
                <w:szCs w:val="22"/>
              </w:rPr>
              <w:t>名无限售条件股东持股情况</w:t>
            </w:r>
          </w:p>
        </w:tc>
      </w:tr>
      <w:tr>
        <w:trPr>
          <w:trHeight w:val="322" w:hRule="exact"/>
        </w:trPr>
        <w:tc>
          <w:tcPr>
            <w:tcW w:w="348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3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343" w:right="0"/>
              <w:jc w:val="left"/>
              <w:rPr>
                <w:rFonts w:ascii="宋体" w:hAnsi="宋体" w:cs="宋体" w:eastAsia="宋体" w:hint="default"/>
                <w:sz w:val="22"/>
                <w:szCs w:val="22"/>
              </w:rPr>
            </w:pPr>
            <w:r>
              <w:rPr>
                <w:rFonts w:ascii="宋体" w:hAnsi="宋体" w:cs="宋体" w:eastAsia="宋体" w:hint="default"/>
                <w:sz w:val="22"/>
                <w:szCs w:val="22"/>
              </w:rPr>
              <w:t>持有无限售条件股份数量</w:t>
            </w:r>
          </w:p>
        </w:tc>
        <w:tc>
          <w:tcPr>
            <w:tcW w:w="2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股份种类</w:t>
            </w:r>
          </w:p>
        </w:tc>
      </w:tr>
      <w:tr>
        <w:trPr>
          <w:trHeight w:val="322"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欧姆龙</w:t>
            </w:r>
            <w:r>
              <w:rPr>
                <w:rFonts w:ascii="宋体" w:hAnsi="宋体" w:cs="宋体" w:eastAsia="宋体" w:hint="default"/>
                <w:sz w:val="22"/>
                <w:szCs w:val="22"/>
              </w:rPr>
              <w:t>(</w:t>
            </w:r>
            <w:r>
              <w:rPr>
                <w:rFonts w:ascii="宋体" w:hAnsi="宋体" w:cs="宋体" w:eastAsia="宋体" w:hint="default"/>
                <w:sz w:val="22"/>
                <w:szCs w:val="22"/>
              </w:rPr>
              <w:t>中国</w:t>
            </w:r>
            <w:r>
              <w:rPr>
                <w:rFonts w:ascii="宋体" w:hAnsi="宋体" w:cs="宋体" w:eastAsia="宋体" w:hint="default"/>
                <w:sz w:val="22"/>
                <w:szCs w:val="22"/>
              </w:rPr>
              <w:t>)</w:t>
            </w:r>
            <w:r>
              <w:rPr>
                <w:rFonts w:ascii="宋体" w:hAnsi="宋体" w:cs="宋体" w:eastAsia="宋体" w:hint="default"/>
                <w:sz w:val="22"/>
                <w:szCs w:val="22"/>
              </w:rPr>
              <w:t>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20,077,200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24"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2"/>
                <w:szCs w:val="22"/>
              </w:rPr>
            </w:pPr>
            <w:r>
              <w:rPr>
                <w:rFonts w:ascii="宋体" w:hAnsi="宋体" w:cs="宋体" w:eastAsia="宋体" w:hint="default"/>
                <w:sz w:val="22"/>
                <w:szCs w:val="22"/>
              </w:rPr>
              <w:t>上海慧盛创业投资有限公司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15,245,538</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22"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上海古德投资咨询有限公司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3,431,552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634"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中国农业银行－益民创新优势混合</w:t>
            </w:r>
          </w:p>
          <w:p>
            <w:pPr>
              <w:pStyle w:val="TableParagraph"/>
              <w:spacing w:line="240" w:lineRule="auto" w:before="24"/>
              <w:ind w:left="24" w:right="0"/>
              <w:jc w:val="left"/>
              <w:rPr>
                <w:rFonts w:ascii="宋体" w:hAnsi="宋体" w:cs="宋体" w:eastAsia="宋体" w:hint="default"/>
                <w:sz w:val="22"/>
                <w:szCs w:val="22"/>
              </w:rPr>
            </w:pPr>
            <w:r>
              <w:rPr>
                <w:rFonts w:ascii="宋体" w:hAnsi="宋体" w:cs="宋体" w:eastAsia="宋体" w:hint="default"/>
                <w:sz w:val="22"/>
                <w:szCs w:val="22"/>
              </w:rPr>
              <w:t>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z w:val="22"/>
              </w:rPr>
              <w:t>1,399,725</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634"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招商银行－鹏华新兴产业股票型证</w:t>
            </w:r>
          </w:p>
          <w:p>
            <w:pPr>
              <w:pStyle w:val="TableParagraph"/>
              <w:spacing w:line="240" w:lineRule="auto" w:before="24"/>
              <w:ind w:left="24" w:right="0"/>
              <w:jc w:val="left"/>
              <w:rPr>
                <w:rFonts w:ascii="宋体" w:hAnsi="宋体" w:cs="宋体" w:eastAsia="宋体" w:hint="default"/>
                <w:sz w:val="22"/>
                <w:szCs w:val="22"/>
              </w:rPr>
            </w:pPr>
            <w:r>
              <w:rPr>
                <w:rFonts w:ascii="宋体" w:hAnsi="宋体" w:cs="宋体" w:eastAsia="宋体" w:hint="default"/>
                <w:sz w:val="22"/>
                <w:szCs w:val="22"/>
              </w:rPr>
              <w:t>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z w:val="22"/>
              </w:rPr>
              <w:t>1,164,787</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634"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华夏银行股份有限公司－益民红利</w:t>
            </w:r>
          </w:p>
          <w:p>
            <w:pPr>
              <w:pStyle w:val="TableParagraph"/>
              <w:spacing w:line="240" w:lineRule="auto" w:before="24"/>
              <w:ind w:left="24" w:right="0"/>
              <w:jc w:val="left"/>
              <w:rPr>
                <w:rFonts w:ascii="宋体" w:hAnsi="宋体" w:cs="宋体" w:eastAsia="宋体" w:hint="default"/>
                <w:sz w:val="22"/>
                <w:szCs w:val="22"/>
              </w:rPr>
            </w:pPr>
            <w:r>
              <w:rPr>
                <w:rFonts w:ascii="宋体" w:hAnsi="宋体" w:cs="宋体" w:eastAsia="宋体" w:hint="default"/>
                <w:sz w:val="22"/>
                <w:szCs w:val="22"/>
              </w:rPr>
              <w:t>成长混合型证券投资基金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z w:val="22"/>
              </w:rPr>
              <w:t>1,105,046</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22"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1,072,500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25"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2"/>
                <w:szCs w:val="22"/>
              </w:rPr>
            </w:pPr>
            <w:r>
              <w:rPr>
                <w:rFonts w:ascii="宋体" w:hAnsi="宋体" w:cs="宋体" w:eastAsia="宋体" w:hint="default"/>
                <w:sz w:val="22"/>
                <w:szCs w:val="22"/>
              </w:rPr>
              <w:t>交通银行－普惠证券投资基金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z w:val="22"/>
              </w:rPr>
              <w:t>999,979</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22"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全国社保基金一零四组合</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999,893</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22" w:hRule="exact"/>
        </w:trPr>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姚钢</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780,780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人民币普通股</w:t>
            </w:r>
          </w:p>
        </w:tc>
      </w:tr>
      <w:tr>
        <w:trPr>
          <w:trHeight w:val="3442"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59" w:lineRule="auto"/>
              <w:ind w:left="319" w:right="93" w:hanging="221"/>
              <w:jc w:val="left"/>
              <w:rPr>
                <w:rFonts w:ascii="宋体" w:hAnsi="宋体" w:cs="宋体" w:eastAsia="宋体" w:hint="default"/>
                <w:sz w:val="22"/>
                <w:szCs w:val="22"/>
              </w:rPr>
            </w:pPr>
            <w:r>
              <w:rPr>
                <w:rFonts w:ascii="宋体" w:hAnsi="宋体" w:cs="宋体" w:eastAsia="宋体" w:hint="default"/>
                <w:sz w:val="22"/>
                <w:szCs w:val="22"/>
              </w:rPr>
              <w:t>上述股东关联关系或</w:t>
            </w:r>
            <w:r>
              <w:rPr>
                <w:rFonts w:ascii="宋体" w:hAnsi="宋体" w:cs="宋体" w:eastAsia="宋体" w:hint="default"/>
                <w:w w:val="100"/>
                <w:sz w:val="22"/>
                <w:szCs w:val="22"/>
              </w:rPr>
              <w:t> </w:t>
            </w:r>
            <w:r>
              <w:rPr>
                <w:rFonts w:ascii="宋体" w:hAnsi="宋体" w:cs="宋体" w:eastAsia="宋体" w:hint="default"/>
                <w:sz w:val="22"/>
                <w:szCs w:val="22"/>
              </w:rPr>
              <w:t>一致行动的说明</w:t>
            </w:r>
          </w:p>
        </w:tc>
        <w:tc>
          <w:tcPr>
            <w:tcW w:w="7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pacing w:val="-4"/>
                <w:sz w:val="22"/>
                <w:szCs w:val="22"/>
              </w:rPr>
              <w:t>上述股东关联关系或一致行动的说明：</w:t>
            </w:r>
            <w:r>
              <w:rPr>
                <w:rFonts w:ascii="宋体" w:hAnsi="宋体" w:cs="宋体" w:eastAsia="宋体" w:hint="default"/>
                <w:spacing w:val="-4"/>
                <w:sz w:val="22"/>
                <w:szCs w:val="22"/>
              </w:rPr>
              <w:t>2007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4</w:t>
            </w:r>
            <w:r>
              <w:rPr>
                <w:rFonts w:ascii="宋体" w:hAnsi="宋体" w:cs="宋体" w:eastAsia="宋体" w:hint="default"/>
                <w:spacing w:val="-52"/>
                <w:sz w:val="22"/>
                <w:szCs w:val="22"/>
              </w:rPr>
              <w:t> </w:t>
            </w:r>
            <w:r>
              <w:rPr>
                <w:rFonts w:ascii="宋体" w:hAnsi="宋体" w:cs="宋体" w:eastAsia="宋体" w:hint="default"/>
                <w:sz w:val="22"/>
                <w:szCs w:val="22"/>
              </w:rPr>
              <w:t>日上海古德投资咨询有</w:t>
            </w:r>
          </w:p>
          <w:p>
            <w:pPr>
              <w:pStyle w:val="TableParagraph"/>
              <w:spacing w:line="259" w:lineRule="auto" w:before="24"/>
              <w:ind w:left="24" w:right="21"/>
              <w:jc w:val="both"/>
              <w:rPr>
                <w:rFonts w:ascii="宋体" w:hAnsi="宋体" w:cs="宋体" w:eastAsia="宋体" w:hint="default"/>
                <w:sz w:val="22"/>
                <w:szCs w:val="22"/>
              </w:rPr>
            </w:pPr>
            <w:r>
              <w:rPr>
                <w:rFonts w:ascii="宋体" w:hAnsi="宋体" w:cs="宋体" w:eastAsia="宋体" w:hint="default"/>
                <w:spacing w:val="-2"/>
                <w:sz w:val="22"/>
                <w:szCs w:val="22"/>
              </w:rPr>
              <w:t>限公司与包叔平先生签订协议，约定古德投资授权包叔平先生行使其包括股</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pacing w:val="-2"/>
                <w:sz w:val="22"/>
                <w:szCs w:val="22"/>
              </w:rPr>
              <w:t>东大会的投票权、提案权、董事、独立董事及监事候选人的提名权、临时股</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东大会的召集权的股东权利。</w:t>
            </w:r>
            <w:r>
              <w:rPr>
                <w:rFonts w:ascii="宋体" w:hAnsi="宋体" w:cs="宋体" w:eastAsia="宋体" w:hint="default"/>
                <w:sz w:val="22"/>
                <w:szCs w:val="22"/>
              </w:rPr>
              <w:t>2007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2</w:t>
            </w:r>
            <w:r>
              <w:rPr>
                <w:rFonts w:ascii="宋体" w:hAnsi="宋体" w:cs="宋体" w:eastAsia="宋体" w:hint="default"/>
                <w:spacing w:val="-56"/>
                <w:sz w:val="22"/>
                <w:szCs w:val="22"/>
              </w:rPr>
              <w:t> </w:t>
            </w:r>
            <w:r>
              <w:rPr>
                <w:rFonts w:ascii="宋体" w:hAnsi="宋体" w:cs="宋体" w:eastAsia="宋体" w:hint="default"/>
                <w:sz w:val="22"/>
                <w:szCs w:val="22"/>
              </w:rPr>
              <w:t>日，</w:t>
            </w:r>
            <w:r>
              <w:rPr>
                <w:rFonts w:ascii="宋体" w:hAnsi="宋体" w:cs="宋体" w:eastAsia="宋体" w:hint="default"/>
                <w:sz w:val="22"/>
                <w:szCs w:val="22"/>
              </w:rPr>
              <w:t>37</w:t>
            </w:r>
            <w:r>
              <w:rPr>
                <w:rFonts w:ascii="宋体" w:hAnsi="宋体" w:cs="宋体" w:eastAsia="宋体" w:hint="default"/>
                <w:spacing w:val="-56"/>
                <w:sz w:val="22"/>
                <w:szCs w:val="22"/>
              </w:rPr>
              <w:t> </w:t>
            </w:r>
            <w:r>
              <w:rPr>
                <w:rFonts w:ascii="宋体" w:hAnsi="宋体" w:cs="宋体" w:eastAsia="宋体" w:hint="default"/>
                <w:sz w:val="22"/>
                <w:szCs w:val="22"/>
              </w:rPr>
              <w:t>位自然人股东共同签署</w:t>
            </w:r>
          </w:p>
          <w:p>
            <w:pPr>
              <w:pStyle w:val="TableParagraph"/>
              <w:spacing w:line="259" w:lineRule="auto" w:before="6"/>
              <w:ind w:left="24" w:right="19"/>
              <w:jc w:val="left"/>
              <w:rPr>
                <w:rFonts w:ascii="宋体" w:hAnsi="宋体" w:cs="宋体" w:eastAsia="宋体" w:hint="default"/>
                <w:sz w:val="22"/>
                <w:szCs w:val="22"/>
              </w:rPr>
            </w:pPr>
            <w:r>
              <w:rPr>
                <w:rFonts w:ascii="宋体" w:hAnsi="宋体" w:cs="宋体" w:eastAsia="宋体" w:hint="default"/>
                <w:spacing w:val="-5"/>
                <w:w w:val="100"/>
                <w:sz w:val="22"/>
                <w:szCs w:val="22"/>
              </w:rPr>
              <w:t>《上海海隆软件股份有限公司公开发行股票前的自然人股东持股规则》，约</w:t>
            </w:r>
            <w:r>
              <w:rPr>
                <w:rFonts w:ascii="宋体" w:hAnsi="宋体" w:cs="宋体" w:eastAsia="宋体" w:hint="default"/>
                <w:spacing w:val="-87"/>
                <w:w w:val="100"/>
                <w:sz w:val="22"/>
                <w:szCs w:val="22"/>
              </w:rPr>
              <w:t> </w:t>
            </w:r>
            <w:r>
              <w:rPr>
                <w:rFonts w:ascii="宋体" w:hAnsi="宋体" w:cs="宋体" w:eastAsia="宋体" w:hint="default"/>
                <w:spacing w:val="-87"/>
                <w:w w:val="100"/>
                <w:sz w:val="22"/>
                <w:szCs w:val="22"/>
              </w:rPr>
            </w:r>
            <w:r>
              <w:rPr>
                <w:rFonts w:ascii="宋体" w:hAnsi="宋体" w:cs="宋体" w:eastAsia="宋体" w:hint="default"/>
                <w:spacing w:val="-2"/>
                <w:sz w:val="22"/>
                <w:szCs w:val="22"/>
              </w:rPr>
              <w:t>定由包叔平先生作为受托人，代理本规则的全体参与人，代为行使其作为公</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pacing w:val="-2"/>
                <w:sz w:val="22"/>
                <w:szCs w:val="22"/>
              </w:rPr>
              <w:t>司股东除收益权和依照法律法规、公司章程及本规则的处分权之外的全部股</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pacing w:val="-2"/>
                <w:sz w:val="22"/>
                <w:szCs w:val="22"/>
              </w:rPr>
              <w:t>东权利，包括股东大会的投票权、提案权及董事、独立董事、监事候选人的</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提名权、临时股东大会的召集权。</w:t>
            </w:r>
            <w:r>
              <w:rPr>
                <w:rFonts w:ascii="宋体" w:hAnsi="宋体" w:cs="宋体" w:eastAsia="宋体" w:hint="default"/>
                <w:w w:val="100"/>
                <w:sz w:val="22"/>
                <w:szCs w:val="22"/>
              </w:rPr>
              <w:t> </w:t>
            </w:r>
            <w:r>
              <w:rPr>
                <w:rFonts w:ascii="宋体" w:hAnsi="宋体" w:cs="宋体" w:eastAsia="宋体" w:hint="default"/>
                <w:spacing w:val="-2"/>
                <w:sz w:val="22"/>
                <w:szCs w:val="22"/>
              </w:rPr>
              <w:t>前十名无限售条件股东之间，包叔平和姚钢为一致行动人，其他未知是否属</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于一致行动人。</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357" w:lineRule="auto"/>
        <w:ind w:left="337" w:right="5273"/>
        <w:jc w:val="left"/>
        <w:rPr>
          <w:b w:val="0"/>
          <w:bCs w:val="0"/>
        </w:rPr>
      </w:pPr>
      <w:r>
        <w:rPr/>
        <w:t>（二）公司控股股东或实际控制人介绍</w:t>
      </w:r>
      <w:r>
        <w:rPr>
          <w:w w:val="99"/>
        </w:rPr>
        <w:t> </w:t>
      </w:r>
      <w:r>
        <w:rPr>
          <w:rFonts w:ascii="宋体" w:hAnsi="宋体" w:cs="宋体" w:eastAsia="宋体" w:hint="default"/>
        </w:rPr>
        <w:t>1</w:t>
      </w:r>
      <w:r>
        <w:rPr/>
        <w:t>、公司实际控制人</w:t>
      </w:r>
      <w:r>
        <w:rPr>
          <w:b w:val="0"/>
          <w:bCs w:val="0"/>
        </w:rPr>
      </w:r>
    </w:p>
    <w:p>
      <w:pPr>
        <w:pStyle w:val="BodyText"/>
        <w:spacing w:line="357" w:lineRule="auto"/>
        <w:ind w:left="337" w:right="259" w:firstLine="480"/>
        <w:jc w:val="both"/>
      </w:pPr>
      <w:r>
        <w:rPr/>
        <w:t>公司实际控制人为包叔平先生，中国国籍，</w:t>
      </w:r>
      <w:r>
        <w:rPr>
          <w:rFonts w:ascii="宋体" w:hAnsi="宋体" w:cs="宋体" w:eastAsia="宋体" w:hint="default"/>
        </w:rPr>
        <w:t>1955</w:t>
      </w:r>
      <w:r>
        <w:rPr>
          <w:rFonts w:ascii="宋体" w:hAnsi="宋体" w:cs="宋体" w:eastAsia="宋体" w:hint="default"/>
          <w:spacing w:val="-39"/>
        </w:rPr>
        <w:t> </w:t>
      </w:r>
      <w:r>
        <w:rPr/>
        <w:t>年生，博士学历，自</w:t>
      </w:r>
      <w:r>
        <w:rPr>
          <w:spacing w:val="-38"/>
        </w:rPr>
        <w:t> </w:t>
      </w:r>
      <w:r>
        <w:rPr>
          <w:rFonts w:ascii="宋体" w:hAnsi="宋体" w:cs="宋体" w:eastAsia="宋体" w:hint="default"/>
        </w:rPr>
        <w:t>1989</w:t>
      </w:r>
      <w:r>
        <w:rPr>
          <w:rFonts w:ascii="宋体" w:hAnsi="宋体" w:cs="宋体" w:eastAsia="宋体" w:hint="default"/>
          <w:spacing w:val="-39"/>
        </w:rPr>
        <w:t> </w:t>
      </w:r>
      <w:r>
        <w:rPr/>
        <w:t>年受欧 姆龙委派回国创办上海中立计算机有限公司（公司前身）并经营至今。现任本公司董事</w:t>
      </w:r>
      <w:r>
        <w:rPr>
          <w:spacing w:val="-115"/>
        </w:rPr>
        <w:t> </w:t>
      </w:r>
      <w:r>
        <w:rPr>
          <w:spacing w:val="-115"/>
        </w:rPr>
      </w:r>
      <w:r>
        <w:rPr/>
        <w:t>长、总经理；日本海隆株式会社董事长兼总经理；上海华钟计算机软件开发有限公司董</w:t>
      </w:r>
      <w:r>
        <w:rPr>
          <w:spacing w:val="-115"/>
        </w:rPr>
        <w:t> </w:t>
      </w:r>
      <w:r>
        <w:rPr>
          <w:spacing w:val="-115"/>
        </w:rPr>
      </w:r>
      <w:r>
        <w:rPr/>
        <w:t>事；上海海隆宜通信息技术有限有限公司董事长；江苏海隆软件技术有限公司董事长。</w:t>
      </w:r>
      <w:r>
        <w:rPr>
          <w:spacing w:val="-114"/>
        </w:rPr>
        <w:t> </w:t>
      </w:r>
      <w:r>
        <w:rPr>
          <w:spacing w:val="-114"/>
        </w:rPr>
      </w:r>
      <w:r>
        <w:rPr/>
        <w:t>无其他国家或地区永久居留权。截至报告期末，合计持有公司</w:t>
      </w:r>
      <w:r>
        <w:rPr>
          <w:spacing w:val="-60"/>
        </w:rPr>
        <w:t> </w:t>
      </w:r>
      <w:r>
        <w:rPr>
          <w:rFonts w:ascii="宋体" w:hAnsi="宋体" w:cs="宋体" w:eastAsia="宋体" w:hint="default"/>
        </w:rPr>
        <w:t>31.96%</w:t>
      </w:r>
      <w:r>
        <w:rPr/>
        <w:t>的投票权。</w:t>
      </w:r>
    </w:p>
    <w:p>
      <w:pPr>
        <w:spacing w:after="0" w:line="357" w:lineRule="auto"/>
        <w:jc w:val="both"/>
        <w:sectPr>
          <w:pgSz w:w="11910" w:h="16840"/>
          <w:pgMar w:header="876" w:footer="1186" w:top="1100" w:bottom="1380" w:left="1120" w:right="1060"/>
        </w:sectPr>
      </w:pP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宋体" w:hAnsi="宋体" w:cs="宋体" w:eastAsia="宋体" w:hint="default"/>
        </w:rPr>
        <w:t>2</w:t>
      </w:r>
      <w:r>
        <w:rPr/>
        <w:t>、公司与实际控制人的产权和控制关系如下图：</w:t>
      </w:r>
      <w:r>
        <w:rPr>
          <w:b w:val="0"/>
          <w:bCs w:val="0"/>
        </w:rPr>
      </w:r>
    </w:p>
    <w:p>
      <w:pPr>
        <w:spacing w:line="240" w:lineRule="auto" w:before="4"/>
        <w:rPr>
          <w:rFonts w:ascii="宋体" w:hAnsi="宋体" w:cs="宋体" w:eastAsia="宋体" w:hint="default"/>
          <w:b/>
          <w:bCs/>
          <w:sz w:val="12"/>
          <w:szCs w:val="12"/>
        </w:rPr>
      </w:pPr>
    </w:p>
    <w:p>
      <w:pPr>
        <w:spacing w:line="4275" w:lineRule="exact"/>
        <w:ind w:left="183"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440682" cy="27146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5440682" cy="2714625"/>
                    </a:xfrm>
                    <a:prstGeom prst="rect">
                      <a:avLst/>
                    </a:prstGeom>
                  </pic:spPr>
                </pic:pic>
              </a:graphicData>
            </a:graphic>
          </wp:inline>
        </w:drawing>
      </w:r>
      <w:r>
        <w:rPr>
          <w:rFonts w:ascii="宋体" w:hAnsi="宋体" w:cs="宋体" w:eastAsia="宋体" w:hint="default"/>
          <w:position w:val="-85"/>
          <w:sz w:val="20"/>
          <w:szCs w:val="20"/>
        </w:rPr>
      </w:r>
    </w:p>
    <w:p>
      <w:pPr>
        <w:pStyle w:val="BodyText"/>
        <w:spacing w:line="357" w:lineRule="auto" w:before="87"/>
        <w:ind w:right="151" w:firstLine="420"/>
        <w:jc w:val="both"/>
      </w:pPr>
      <w:r>
        <w:rPr/>
        <w:t>协议</w:t>
      </w:r>
      <w:r>
        <w:rPr>
          <w:position w:val="12"/>
          <w:sz w:val="12"/>
          <w:szCs w:val="12"/>
        </w:rPr>
        <w:t>①</w:t>
      </w:r>
      <w:r>
        <w:rPr/>
        <w:t>：</w:t>
      </w: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t>日上海古德投资咨询有限公司与包叔平先生签订协议，约定 </w:t>
      </w:r>
      <w:r>
        <w:rPr>
          <w:spacing w:val="-3"/>
        </w:rPr>
        <w:t>古德投资授权包叔平先生行使其包括股东大会的投票权、提案权、董事、独立董事及监</w:t>
      </w:r>
      <w:r>
        <w:rPr>
          <w:spacing w:val="-100"/>
        </w:rPr>
        <w:t> </w:t>
      </w:r>
      <w:r>
        <w:rPr>
          <w:spacing w:val="-100"/>
        </w:rPr>
      </w:r>
      <w:r>
        <w:rPr/>
        <w:t>事候选人的提名权、临时股东大会的召集权等股东权利。</w:t>
      </w:r>
    </w:p>
    <w:p>
      <w:pPr>
        <w:pStyle w:val="BodyText"/>
        <w:spacing w:line="357" w:lineRule="auto"/>
        <w:ind w:right="152" w:firstLine="420"/>
        <w:jc w:val="both"/>
      </w:pPr>
      <w:r>
        <w:rPr>
          <w:spacing w:val="-5"/>
        </w:rPr>
        <w:t>协议</w:t>
      </w:r>
      <w:r>
        <w:rPr>
          <w:spacing w:val="-5"/>
          <w:position w:val="12"/>
          <w:sz w:val="12"/>
          <w:szCs w:val="12"/>
        </w:rPr>
        <w:t>②</w:t>
      </w:r>
      <w:r>
        <w:rPr>
          <w:spacing w:val="-5"/>
        </w:rPr>
        <w:t>：</w:t>
      </w:r>
      <w:r>
        <w:rPr>
          <w:rFonts w:ascii="宋体" w:hAnsi="宋体" w:cs="宋体" w:eastAsia="宋体" w:hint="default"/>
          <w:spacing w:val="-5"/>
        </w:rPr>
        <w:t>2007</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2</w:t>
      </w:r>
      <w:r>
        <w:rPr>
          <w:rFonts w:ascii="宋体" w:hAnsi="宋体" w:cs="宋体" w:eastAsia="宋体" w:hint="default"/>
          <w:spacing w:val="-63"/>
        </w:rPr>
        <w:t> </w:t>
      </w:r>
      <w:r>
        <w:rPr>
          <w:spacing w:val="-6"/>
        </w:rPr>
        <w:t>日，唐长钧等</w:t>
      </w:r>
      <w:r>
        <w:rPr>
          <w:spacing w:val="-63"/>
        </w:rPr>
        <w:t> </w:t>
      </w:r>
      <w:r>
        <w:rPr>
          <w:rFonts w:ascii="宋体" w:hAnsi="宋体" w:cs="宋体" w:eastAsia="宋体" w:hint="default"/>
        </w:rPr>
        <w:t>37</w:t>
      </w:r>
      <w:r>
        <w:rPr>
          <w:rFonts w:ascii="宋体" w:hAnsi="宋体" w:cs="宋体" w:eastAsia="宋体" w:hint="default"/>
          <w:spacing w:val="-63"/>
        </w:rPr>
        <w:t> </w:t>
      </w:r>
      <w:r>
        <w:rPr/>
        <w:t>名自然人股东共同签署《上海海隆软件股份 </w:t>
      </w:r>
      <w:r>
        <w:rPr>
          <w:spacing w:val="-3"/>
        </w:rPr>
        <w:t>有限公司公开发行股票前的自然人股东持股规则》，约定由包叔平先生作为受托人，代</w:t>
      </w:r>
      <w:r>
        <w:rPr>
          <w:spacing w:val="-107"/>
        </w:rPr>
        <w:t> </w:t>
      </w:r>
      <w:r>
        <w:rPr>
          <w:spacing w:val="-107"/>
        </w:rPr>
      </w:r>
      <w:r>
        <w:rPr>
          <w:spacing w:val="-3"/>
        </w:rPr>
        <w:t>理本规则的全体参与人，代为行使其作为公司股东除收益权和依照法律法规、公司章程</w:t>
      </w:r>
      <w:r>
        <w:rPr>
          <w:spacing w:val="-98"/>
        </w:rPr>
        <w:t> </w:t>
      </w:r>
      <w:r>
        <w:rPr>
          <w:spacing w:val="-98"/>
        </w:rPr>
      </w:r>
      <w:r>
        <w:rPr>
          <w:spacing w:val="-3"/>
        </w:rPr>
        <w:t>及本规则的处分权之外的全部股东权利，包括股东大会的投票权、提案权及董事、独立</w:t>
      </w:r>
      <w:r>
        <w:rPr>
          <w:spacing w:val="-102"/>
        </w:rPr>
        <w:t> </w:t>
      </w:r>
      <w:r>
        <w:rPr>
          <w:spacing w:val="-102"/>
        </w:rPr>
      </w:r>
      <w:r>
        <w:rPr/>
        <w:t>董事、监事候选人的提名权、临时股东大会的召集权等股东权利。</w:t>
      </w:r>
    </w:p>
    <w:p>
      <w:pPr>
        <w:pStyle w:val="BodyText"/>
        <w:spacing w:line="240" w:lineRule="auto"/>
        <w:ind w:left="603" w:right="0"/>
        <w:jc w:val="left"/>
      </w:pPr>
      <w:r>
        <w:rPr/>
        <w:t>报告期内，公司实际控制人情况未发生变化。</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183" w:right="3984" w:firstLine="0"/>
        <w:jc w:val="left"/>
        <w:rPr>
          <w:rFonts w:ascii="宋体" w:hAnsi="宋体" w:cs="宋体" w:eastAsia="宋体" w:hint="default"/>
          <w:sz w:val="24"/>
          <w:szCs w:val="24"/>
        </w:rPr>
      </w:pPr>
      <w:r>
        <w:rPr>
          <w:rFonts w:ascii="宋体" w:hAnsi="宋体" w:cs="宋体" w:eastAsia="宋体" w:hint="default"/>
          <w:b/>
          <w:bCs/>
          <w:sz w:val="24"/>
          <w:szCs w:val="24"/>
        </w:rPr>
        <w:t>（三）其他持股在</w:t>
      </w:r>
      <w:r>
        <w:rPr>
          <w:rFonts w:ascii="宋体" w:hAnsi="宋体" w:cs="宋体" w:eastAsia="宋体" w:hint="default"/>
          <w:b/>
          <w:bCs/>
          <w:spacing w:val="-61"/>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以上（含</w:t>
      </w:r>
      <w:r>
        <w:rPr>
          <w:rFonts w:ascii="宋体" w:hAnsi="宋体" w:cs="宋体" w:eastAsia="宋体" w:hint="default"/>
          <w:b/>
          <w:bCs/>
          <w:spacing w:val="-64"/>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）的法人股东</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、欧姆龙（中国）有限公司</w:t>
      </w:r>
    </w:p>
    <w:p>
      <w:pPr>
        <w:pStyle w:val="BodyText"/>
        <w:spacing w:line="357" w:lineRule="auto"/>
        <w:ind w:left="608" w:right="6098"/>
        <w:jc w:val="left"/>
      </w:pPr>
      <w:r>
        <w:rPr/>
        <w:t>法定代表人：后藤龙之介 成立日期：</w:t>
      </w:r>
      <w:r>
        <w:rPr>
          <w:rFonts w:ascii="宋体" w:hAnsi="宋体" w:cs="宋体" w:eastAsia="宋体" w:hint="default"/>
        </w:rPr>
        <w:t>1991</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1"/>
        </w:rPr>
        <w:t> </w:t>
      </w:r>
      <w:r>
        <w:rPr/>
        <w:t>月</w:t>
      </w:r>
    </w:p>
    <w:p>
      <w:pPr>
        <w:pStyle w:val="BodyText"/>
        <w:spacing w:line="357" w:lineRule="auto"/>
        <w:ind w:left="608" w:right="818"/>
        <w:jc w:val="left"/>
      </w:pPr>
      <w:r>
        <w:rPr/>
        <w:t>主要经营业务：持有并管理日本欧姆龙株式会社在中国设立的其他公司股权 注册资本：美元 </w:t>
      </w:r>
      <w:r>
        <w:rPr>
          <w:rFonts w:ascii="宋体" w:hAnsi="宋体" w:cs="宋体" w:eastAsia="宋体" w:hint="default"/>
        </w:rPr>
        <w:t>19,660.5657</w:t>
      </w:r>
      <w:r>
        <w:rPr>
          <w:rFonts w:ascii="宋体" w:hAnsi="宋体" w:cs="宋体" w:eastAsia="宋体" w:hint="default"/>
          <w:spacing w:val="-61"/>
        </w:rPr>
        <w:t> </w:t>
      </w:r>
      <w:r>
        <w:rPr/>
        <w:t>万元</w:t>
      </w:r>
    </w:p>
    <w:p>
      <w:pPr>
        <w:spacing w:line="240" w:lineRule="auto" w:before="0"/>
        <w:rPr>
          <w:rFonts w:ascii="宋体" w:hAnsi="宋体" w:cs="宋体" w:eastAsia="宋体" w:hint="default"/>
          <w:sz w:val="24"/>
          <w:szCs w:val="24"/>
        </w:rPr>
      </w:pPr>
    </w:p>
    <w:p>
      <w:pPr>
        <w:pStyle w:val="BodyText"/>
        <w:spacing w:line="357" w:lineRule="auto" w:before="190"/>
        <w:ind w:left="608" w:right="5923" w:hanging="425"/>
        <w:jc w:val="left"/>
      </w:pPr>
      <w:r>
        <w:rPr>
          <w:rFonts w:ascii="宋体" w:hAnsi="宋体" w:cs="宋体" w:eastAsia="宋体" w:hint="default"/>
        </w:rPr>
        <w:t>2</w:t>
      </w:r>
      <w:r>
        <w:rPr/>
        <w:t>、上海慧盛创业投资有限公司 法定代表人：刘文裕</w:t>
      </w:r>
    </w:p>
    <w:p>
      <w:pPr>
        <w:spacing w:after="0" w:line="357" w:lineRule="auto"/>
        <w:jc w:val="left"/>
        <w:sectPr>
          <w:pgSz w:w="11910" w:h="16840"/>
          <w:pgMar w:header="876" w:footer="1186" w:top="1100" w:bottom="1380" w:left="1300" w:right="1240"/>
        </w:sectPr>
      </w:pPr>
    </w:p>
    <w:p>
      <w:pPr>
        <w:spacing w:line="240" w:lineRule="auto" w:before="12"/>
        <w:rPr>
          <w:rFonts w:ascii="宋体" w:hAnsi="宋体" w:cs="宋体" w:eastAsia="宋体" w:hint="default"/>
          <w:sz w:val="25"/>
          <w:szCs w:val="25"/>
        </w:rPr>
      </w:pPr>
    </w:p>
    <w:p>
      <w:pPr>
        <w:pStyle w:val="BodyText"/>
        <w:spacing w:line="357" w:lineRule="auto" w:before="26"/>
        <w:ind w:left="608" w:right="5218"/>
        <w:jc w:val="left"/>
      </w:pPr>
      <w:r>
        <w:rPr/>
        <w:t>成立日期：</w:t>
      </w:r>
      <w:r>
        <w:rPr>
          <w:rFonts w:ascii="宋体" w:hAnsi="宋体" w:cs="宋体" w:eastAsia="宋体" w:hint="default"/>
        </w:rPr>
        <w:t>2001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28</w:t>
      </w:r>
      <w:r>
        <w:rPr>
          <w:rFonts w:ascii="宋体" w:hAnsi="宋体" w:cs="宋体" w:eastAsia="宋体" w:hint="default"/>
          <w:spacing w:val="-61"/>
        </w:rPr>
        <w:t> </w:t>
      </w:r>
      <w:r>
        <w:rPr/>
        <w:t>日 主要经营业务：创业（风险）投资 注册资本：</w:t>
      </w:r>
      <w:r>
        <w:rPr>
          <w:rFonts w:ascii="宋体" w:hAnsi="宋体" w:cs="宋体" w:eastAsia="宋体" w:hint="default"/>
        </w:rPr>
        <w:t>3,000</w:t>
      </w:r>
      <w:r>
        <w:rPr>
          <w:rFonts w:ascii="宋体" w:hAnsi="宋体" w:cs="宋体" w:eastAsia="宋体" w:hint="default"/>
          <w:spacing w:val="-61"/>
        </w:rPr>
        <w:t> </w:t>
      </w:r>
      <w:r>
        <w:rPr/>
        <w:t>万元</w:t>
      </w:r>
    </w:p>
    <w:p>
      <w:pPr>
        <w:spacing w:line="240" w:lineRule="auto" w:before="0"/>
        <w:rPr>
          <w:rFonts w:ascii="宋体" w:hAnsi="宋体" w:cs="宋体" w:eastAsia="宋体" w:hint="default"/>
          <w:sz w:val="24"/>
          <w:szCs w:val="24"/>
        </w:rPr>
      </w:pPr>
    </w:p>
    <w:p>
      <w:pPr>
        <w:pStyle w:val="BodyText"/>
        <w:spacing w:line="357" w:lineRule="auto" w:before="190"/>
        <w:ind w:left="603" w:right="5648" w:hanging="420"/>
        <w:jc w:val="left"/>
      </w:pPr>
      <w:r>
        <w:rPr>
          <w:rFonts w:ascii="宋体" w:hAnsi="宋体" w:cs="宋体" w:eastAsia="宋体" w:hint="default"/>
        </w:rPr>
        <w:t>3</w:t>
      </w:r>
      <w:r>
        <w:rPr/>
        <w:t>、 上海古德投资咨询有限公司 法定代表人：许国平 成立日期：</w:t>
      </w:r>
      <w:r>
        <w:rPr>
          <w:rFonts w:ascii="宋体" w:hAnsi="宋体" w:cs="宋体" w:eastAsia="宋体" w:hint="default"/>
        </w:rPr>
        <w:t>1997</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t>月</w:t>
      </w:r>
      <w:r>
        <w:rPr>
          <w:spacing w:val="-61"/>
        </w:rPr>
        <w:t> </w:t>
      </w:r>
      <w:r>
        <w:rPr>
          <w:rFonts w:ascii="宋体" w:hAnsi="宋体" w:cs="宋体" w:eastAsia="宋体" w:hint="default"/>
        </w:rPr>
        <w:t>22</w:t>
      </w:r>
      <w:r>
        <w:rPr>
          <w:rFonts w:ascii="宋体" w:hAnsi="宋体" w:cs="宋体" w:eastAsia="宋体" w:hint="default"/>
          <w:spacing w:val="-61"/>
        </w:rPr>
        <w:t> </w:t>
      </w:r>
      <w:r>
        <w:rPr/>
        <w:t>日</w:t>
      </w:r>
    </w:p>
    <w:p>
      <w:pPr>
        <w:pStyle w:val="BodyText"/>
        <w:spacing w:line="357" w:lineRule="auto"/>
        <w:ind w:left="1748" w:right="0" w:hanging="1143"/>
        <w:jc w:val="left"/>
      </w:pPr>
      <w:r>
        <w:rPr>
          <w:spacing w:val="-5"/>
        </w:rPr>
        <w:t>经营范围：投资管理、资产管理、企业形象策划（除广告）、实业投资、投资咨询、</w:t>
      </w:r>
      <w:r>
        <w:rPr>
          <w:spacing w:val="-89"/>
        </w:rPr>
        <w:t> </w:t>
      </w:r>
      <w:r>
        <w:rPr>
          <w:spacing w:val="-89"/>
        </w:rPr>
      </w:r>
      <w:r>
        <w:rPr/>
        <w:t>商务咨询、金融管理咨询、财会咨询、企业管理咨询</w:t>
      </w:r>
    </w:p>
    <w:p>
      <w:pPr>
        <w:pStyle w:val="BodyText"/>
        <w:spacing w:line="240" w:lineRule="auto" w:before="37"/>
        <w:ind w:left="603" w:right="879"/>
        <w:jc w:val="left"/>
      </w:pPr>
      <w:r>
        <w:rPr/>
        <w:t>注册资本：</w:t>
      </w:r>
      <w:r>
        <w:rPr>
          <w:rFonts w:ascii="宋体" w:hAnsi="宋体" w:cs="宋体" w:eastAsia="宋体" w:hint="default"/>
        </w:rPr>
        <w:t>3,000</w:t>
      </w:r>
      <w:r>
        <w:rPr>
          <w:rFonts w:ascii="宋体" w:hAnsi="宋体" w:cs="宋体" w:eastAsia="宋体" w:hint="default"/>
          <w:spacing w:val="-61"/>
        </w:rPr>
        <w:t> </w:t>
      </w:r>
      <w:r>
        <w:rPr/>
        <w:t>万元</w:t>
      </w:r>
    </w:p>
    <w:p>
      <w:pPr>
        <w:spacing w:after="0" w:line="240" w:lineRule="auto"/>
        <w:jc w:val="left"/>
        <w:sectPr>
          <w:pgSz w:w="11910" w:h="16840"/>
          <w:pgMar w:header="876" w:footer="1186" w:top="1100" w:bottom="1380" w:left="130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2770" w:val="left" w:leader="none"/>
        </w:tabs>
        <w:spacing w:line="240" w:lineRule="auto" w:before="166"/>
        <w:ind w:left="1483" w:right="0"/>
        <w:jc w:val="left"/>
        <w:rPr>
          <w:b w:val="0"/>
          <w:bCs w:val="0"/>
        </w:rPr>
      </w:pPr>
      <w:bookmarkStart w:name="_TOC_250008" w:id="5"/>
      <w:r>
        <w:rPr>
          <w:w w:val="95"/>
        </w:rPr>
        <w:t>第五节</w:t>
        <w:tab/>
      </w:r>
      <w:r>
        <w:rPr/>
        <w:t>董事、监事、高级管理人员和员工情况</w:t>
      </w:r>
      <w:bookmarkEnd w:id="5"/>
      <w:r>
        <w:rPr>
          <w:b w:val="0"/>
          <w:bCs w:val="0"/>
        </w:rPr>
      </w:r>
    </w:p>
    <w:p>
      <w:pPr>
        <w:pStyle w:val="Heading3"/>
        <w:spacing w:line="240" w:lineRule="auto" w:before="193"/>
        <w:ind w:left="343" w:right="0"/>
        <w:jc w:val="left"/>
        <w:rPr>
          <w:b w:val="0"/>
          <w:bCs w:val="0"/>
        </w:rPr>
      </w:pPr>
      <w:r>
        <w:rPr/>
        <w:t>一、董事、监事、高级管理人员情况</w:t>
      </w:r>
      <w:r>
        <w:rPr>
          <w:b w:val="0"/>
          <w:bCs w:val="0"/>
        </w:rPr>
      </w:r>
    </w:p>
    <w:p>
      <w:pPr>
        <w:pStyle w:val="Heading3"/>
        <w:spacing w:line="240" w:lineRule="auto" w:before="154"/>
        <w:ind w:left="343" w:right="0"/>
        <w:jc w:val="left"/>
        <w:rPr>
          <w:b w:val="0"/>
          <w:bCs w:val="0"/>
        </w:rPr>
      </w:pPr>
      <w:r>
        <w:rPr/>
        <w:pict>
          <v:shape style="position:absolute;margin-left:392.350006pt;margin-top:76.435616pt;width:67.6pt;height:15.6pt;mso-position-horizontal-relative:page;mso-position-vertical-relative:paragraph;z-index:-79708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w:t>
                  </w:r>
                </w:p>
              </w:txbxContent>
            </v:textbox>
            <w10:wrap type="none"/>
          </v:shape>
        </w:pict>
      </w:r>
      <w:r>
        <w:rPr/>
        <w:t>（一）公司董事、监事、高级管理人员持股变动及报酬情况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spacing w:before="36"/>
        <w:ind w:left="1891" w:right="0" w:firstLine="0"/>
        <w:jc w:val="left"/>
        <w:rPr>
          <w:rFonts w:ascii="宋体" w:hAnsi="宋体" w:cs="宋体" w:eastAsia="宋体" w:hint="default"/>
          <w:sz w:val="21"/>
          <w:szCs w:val="21"/>
        </w:rPr>
      </w:pPr>
      <w:r>
        <w:rPr/>
        <w:pict>
          <v:shape style="position:absolute;margin-left:62.759998pt;margin-top:-441.386322pt;width:482.4pt;height:587.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1"/>
                    <w:gridCol w:w="1133"/>
                    <w:gridCol w:w="92"/>
                    <w:gridCol w:w="328"/>
                    <w:gridCol w:w="281"/>
                    <w:gridCol w:w="1176"/>
                    <w:gridCol w:w="1176"/>
                    <w:gridCol w:w="1006"/>
                    <w:gridCol w:w="1176"/>
                    <w:gridCol w:w="143"/>
                    <w:gridCol w:w="683"/>
                    <w:gridCol w:w="912"/>
                    <w:gridCol w:w="756"/>
                  </w:tblGrid>
                  <w:tr>
                    <w:trPr>
                      <w:trHeight w:val="1882" w:hRule="exact"/>
                    </w:trPr>
                    <w:tc>
                      <w:tcPr>
                        <w:tcW w:w="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2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8" w:right="2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63" w:right="158" w:firstLine="211"/>
                          <w:jc w:val="left"/>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63" w:right="158" w:firstLine="211"/>
                          <w:jc w:val="left"/>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10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82" w:right="179"/>
                          <w:jc w:val="center"/>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0"/>
                            <w:sz w:val="21"/>
                            <w:szCs w:val="21"/>
                          </w:rPr>
                          <w:t> </w:t>
                        </w:r>
                        <w:r>
                          <w:rPr>
                            <w:rFonts w:ascii="宋体" w:hAnsi="宋体" w:cs="宋体" w:eastAsia="宋体" w:hint="default"/>
                            <w:sz w:val="21"/>
                            <w:szCs w:val="21"/>
                          </w:rPr>
                          <w:t>持股数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 w:right="367" w:firstLine="350"/>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143" w:type="dxa"/>
                        <w:tcBorders>
                          <w:top w:val="single" w:sz="4" w:space="0" w:color="000000"/>
                          <w:left w:val="single" w:sz="4" w:space="0" w:color="000000"/>
                          <w:bottom w:val="single" w:sz="4" w:space="0" w:color="000000"/>
                          <w:right w:val="nil" w:sz="6" w:space="0" w:color="auto"/>
                        </w:tcBorders>
                        <w:shd w:val="clear" w:color="auto" w:fill="DCDCDC"/>
                      </w:tcPr>
                      <w:p>
                        <w:pPr/>
                      </w:p>
                    </w:tc>
                    <w:tc>
                      <w:tcPr>
                        <w:tcW w:w="683"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61" w:right="194"/>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1" w:right="26"/>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从公司领</w:t>
                        </w:r>
                        <w:r>
                          <w:rPr>
                            <w:rFonts w:ascii="宋体" w:hAnsi="宋体" w:cs="宋体" w:eastAsia="宋体" w:hint="default"/>
                            <w:w w:val="100"/>
                            <w:sz w:val="21"/>
                            <w:szCs w:val="21"/>
                          </w:rPr>
                          <w:t> </w:t>
                        </w:r>
                        <w:r>
                          <w:rPr>
                            <w:rFonts w:ascii="宋体" w:hAnsi="宋体" w:cs="宋体" w:eastAsia="宋体" w:hint="default"/>
                            <w:sz w:val="21"/>
                            <w:szCs w:val="21"/>
                          </w:rPr>
                          <w:t>取的报酬</w:t>
                        </w:r>
                        <w:r>
                          <w:rPr>
                            <w:rFonts w:ascii="宋体" w:hAnsi="宋体" w:cs="宋体" w:eastAsia="宋体" w:hint="default"/>
                            <w:w w:val="100"/>
                            <w:sz w:val="21"/>
                            <w:szCs w:val="21"/>
                          </w:rPr>
                          <w:t> </w:t>
                        </w:r>
                        <w:r>
                          <w:rPr>
                            <w:rFonts w:ascii="宋体" w:hAnsi="宋体" w:cs="宋体" w:eastAsia="宋体" w:hint="default"/>
                            <w:sz w:val="21"/>
                            <w:szCs w:val="21"/>
                          </w:rPr>
                          <w:t>总额</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57" w:right="53"/>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57"/>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 w:right="0"/>
                          <w:jc w:val="left"/>
                          <w:rPr>
                            <w:rFonts w:ascii="宋体" w:hAnsi="宋体" w:cs="宋体" w:eastAsia="宋体" w:hint="default"/>
                            <w:sz w:val="21"/>
                            <w:szCs w:val="21"/>
                          </w:rPr>
                        </w:pPr>
                        <w:r>
                          <w:rPr>
                            <w:rFonts w:ascii="宋体"/>
                            <w:sz w:val="21"/>
                          </w:rPr>
                          <w:t>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2,860,000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4,290,000</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8"/>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116.25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258"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sz w:val="21"/>
                          </w:rPr>
                          <w:t>68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2,221,625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3,212,438</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8"/>
                          <w:jc w:val="both"/>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r>
                          <w:rPr>
                            <w:rFonts w:ascii="宋体" w:hAnsi="宋体" w:cs="宋体" w:eastAsia="宋体" w:hint="default"/>
                            <w:spacing w:val="-102"/>
                            <w:sz w:val="21"/>
                            <w:szCs w:val="21"/>
                          </w:rPr>
                          <w:t> </w:t>
                        </w: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场卖出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15" w:lineRule="exact"/>
                          <w:ind w:left="-171"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352" w:right="0"/>
                          <w:jc w:val="left"/>
                          <w:rPr>
                            <w:rFonts w:ascii="宋体" w:hAnsi="宋体" w:cs="宋体" w:eastAsia="宋体" w:hint="default"/>
                            <w:sz w:val="21"/>
                            <w:szCs w:val="21"/>
                          </w:rPr>
                        </w:pPr>
                        <w:r>
                          <w:rPr>
                            <w:rFonts w:ascii="宋体"/>
                            <w:sz w:val="21"/>
                          </w:rPr>
                          <w:t>47.14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57"/>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副总经理</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5" w:right="0"/>
                          <w:jc w:val="left"/>
                          <w:rPr>
                            <w:rFonts w:ascii="宋体" w:hAnsi="宋体" w:cs="宋体" w:eastAsia="宋体" w:hint="default"/>
                            <w:sz w:val="21"/>
                            <w:szCs w:val="21"/>
                          </w:rPr>
                        </w:pPr>
                        <w:r>
                          <w:rPr>
                            <w:rFonts w:ascii="宋体"/>
                            <w:sz w:val="21"/>
                          </w:rPr>
                          <w:t>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572,000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858,000</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8"/>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z w:val="21"/>
                          </w:rPr>
                          <w:t>60.37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left"/>
                          <w:rPr>
                            <w:rFonts w:ascii="宋体" w:hAnsi="宋体" w:cs="宋体" w:eastAsia="宋体" w:hint="default"/>
                            <w:sz w:val="21"/>
                            <w:szCs w:val="21"/>
                          </w:rPr>
                        </w:pPr>
                        <w:r>
                          <w:rPr>
                            <w:rFonts w:ascii="宋体"/>
                            <w:sz w:val="21"/>
                          </w:rPr>
                          <w:t>42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2011-05-12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53.50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left"/>
                          <w:rPr>
                            <w:rFonts w:ascii="宋体" w:hAnsi="宋体" w:cs="宋体" w:eastAsia="宋体" w:hint="default"/>
                            <w:sz w:val="21"/>
                            <w:szCs w:val="21"/>
                          </w:rPr>
                        </w:pPr>
                        <w:r>
                          <w:rPr>
                            <w:rFonts w:ascii="宋体"/>
                            <w:sz w:val="21"/>
                          </w:rPr>
                          <w:t>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left"/>
                          <w:rPr>
                            <w:rFonts w:ascii="宋体" w:hAnsi="宋体" w:cs="宋体" w:eastAsia="宋体" w:hint="default"/>
                            <w:sz w:val="21"/>
                            <w:szCs w:val="21"/>
                          </w:rPr>
                        </w:pPr>
                        <w:r>
                          <w:rPr>
                            <w:rFonts w:ascii="宋体"/>
                            <w:sz w:val="21"/>
                          </w:rPr>
                          <w:t>50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 w:right="0"/>
                          <w:jc w:val="left"/>
                          <w:rPr>
                            <w:rFonts w:ascii="宋体" w:hAnsi="宋体" w:cs="宋体" w:eastAsia="宋体" w:hint="default"/>
                            <w:sz w:val="21"/>
                            <w:szCs w:val="21"/>
                          </w:rPr>
                        </w:pPr>
                        <w:r>
                          <w:rPr>
                            <w:rFonts w:ascii="宋体"/>
                            <w:sz w:val="21"/>
                          </w:rPr>
                          <w:t>68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z w:val="21"/>
                            <w:szCs w:val="21"/>
                          </w:rPr>
                          <w:t>（税</w:t>
                        </w:r>
                      </w:p>
                      <w:p>
                        <w:pPr>
                          <w:pStyle w:val="TableParagraph"/>
                          <w:spacing w:line="240" w:lineRule="auto" w:before="37"/>
                          <w:ind w:left="458" w:right="0"/>
                          <w:jc w:val="left"/>
                          <w:rPr>
                            <w:rFonts w:ascii="宋体" w:hAnsi="宋体" w:cs="宋体" w:eastAsia="宋体" w:hint="default"/>
                            <w:sz w:val="21"/>
                            <w:szCs w:val="21"/>
                          </w:rPr>
                        </w:pPr>
                        <w:r>
                          <w:rPr>
                            <w:rFonts w:ascii="宋体" w:hAnsi="宋体" w:cs="宋体" w:eastAsia="宋体" w:hint="default"/>
                            <w:sz w:val="21"/>
                            <w:szCs w:val="21"/>
                          </w:rPr>
                          <w:t>后）</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 w:right="0"/>
                          <w:jc w:val="left"/>
                          <w:rPr>
                            <w:rFonts w:ascii="宋体" w:hAnsi="宋体" w:cs="宋体" w:eastAsia="宋体" w:hint="default"/>
                            <w:sz w:val="21"/>
                            <w:szCs w:val="21"/>
                          </w:rPr>
                        </w:pPr>
                        <w:r>
                          <w:rPr>
                            <w:rFonts w:ascii="宋体"/>
                            <w:sz w:val="21"/>
                          </w:rPr>
                          <w:t>53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z w:val="21"/>
                            <w:szCs w:val="21"/>
                          </w:rPr>
                          <w:t>（税</w:t>
                        </w:r>
                      </w:p>
                      <w:p>
                        <w:pPr>
                          <w:pStyle w:val="TableParagraph"/>
                          <w:spacing w:line="240" w:lineRule="auto" w:before="37"/>
                          <w:ind w:left="458" w:right="0"/>
                          <w:jc w:val="left"/>
                          <w:rPr>
                            <w:rFonts w:ascii="宋体" w:hAnsi="宋体" w:cs="宋体" w:eastAsia="宋体" w:hint="default"/>
                            <w:sz w:val="21"/>
                            <w:szCs w:val="21"/>
                          </w:rPr>
                        </w:pPr>
                        <w:r>
                          <w:rPr>
                            <w:rFonts w:ascii="宋体" w:hAnsi="宋体" w:cs="宋体" w:eastAsia="宋体" w:hint="default"/>
                            <w:sz w:val="21"/>
                            <w:szCs w:val="21"/>
                          </w:rPr>
                          <w:t>后）</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陈乐波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5" w:right="0"/>
                          <w:jc w:val="left"/>
                          <w:rPr>
                            <w:rFonts w:ascii="宋体" w:hAnsi="宋体" w:cs="宋体" w:eastAsia="宋体" w:hint="default"/>
                            <w:sz w:val="21"/>
                            <w:szCs w:val="21"/>
                          </w:rPr>
                        </w:pPr>
                        <w:r>
                          <w:rPr>
                            <w:rFonts w:ascii="宋体"/>
                            <w:sz w:val="21"/>
                          </w:rPr>
                          <w:t>62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z w:val="21"/>
                            <w:szCs w:val="21"/>
                          </w:rPr>
                          <w:t>（税</w:t>
                        </w:r>
                      </w:p>
                      <w:p>
                        <w:pPr>
                          <w:pStyle w:val="TableParagraph"/>
                          <w:spacing w:line="240" w:lineRule="auto" w:before="37"/>
                          <w:ind w:left="458" w:right="0"/>
                          <w:jc w:val="left"/>
                          <w:rPr>
                            <w:rFonts w:ascii="宋体" w:hAnsi="宋体" w:cs="宋体" w:eastAsia="宋体" w:hint="default"/>
                            <w:sz w:val="21"/>
                            <w:szCs w:val="21"/>
                          </w:rPr>
                        </w:pPr>
                        <w:r>
                          <w:rPr>
                            <w:rFonts w:ascii="宋体" w:hAnsi="宋体" w:cs="宋体" w:eastAsia="宋体" w:hint="default"/>
                            <w:sz w:val="21"/>
                            <w:szCs w:val="21"/>
                          </w:rPr>
                          <w:t>后）</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 w:right="0"/>
                          <w:jc w:val="left"/>
                          <w:rPr>
                            <w:rFonts w:ascii="宋体" w:hAnsi="宋体" w:cs="宋体" w:eastAsia="宋体" w:hint="default"/>
                            <w:sz w:val="21"/>
                            <w:szCs w:val="21"/>
                          </w:rPr>
                        </w:pPr>
                        <w:r>
                          <w:rPr>
                            <w:rFonts w:ascii="宋体"/>
                            <w:sz w:val="21"/>
                          </w:rPr>
                          <w:t>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 w:right="0"/>
                          <w:jc w:val="left"/>
                          <w:rPr>
                            <w:rFonts w:ascii="宋体" w:hAnsi="宋体" w:cs="宋体" w:eastAsia="宋体" w:hint="default"/>
                            <w:sz w:val="21"/>
                            <w:szCs w:val="21"/>
                          </w:rPr>
                        </w:pPr>
                        <w:r>
                          <w:rPr>
                            <w:rFonts w:ascii="宋体"/>
                            <w:sz w:val="21"/>
                          </w:rPr>
                          <w:t>49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286,000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429,000</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8"/>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44.42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7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2" w:type="dxa"/>
                        <w:tcBorders>
                          <w:top w:val="single" w:sz="4" w:space="0" w:color="000000"/>
                          <w:left w:val="single" w:sz="4" w:space="0" w:color="000000"/>
                          <w:bottom w:val="nil" w:sz="6" w:space="0" w:color="auto"/>
                          <w:right w:val="nil" w:sz="6" w:space="0" w:color="auto"/>
                        </w:tcBorders>
                      </w:tcPr>
                      <w:p>
                        <w:pPr/>
                      </w:p>
                    </w:tc>
                    <w:tc>
                      <w:tcPr>
                        <w:tcW w:w="328" w:type="dxa"/>
                        <w:tcBorders>
                          <w:top w:val="single" w:sz="4" w:space="0" w:color="000000"/>
                          <w:left w:val="nil" w:sz="6" w:space="0" w:color="auto"/>
                          <w:bottom w:val="nil" w:sz="6" w:space="0" w:color="auto"/>
                          <w:right w:val="single" w:sz="4" w:space="0" w:color="000000"/>
                        </w:tcBorders>
                      </w:tcPr>
                      <w:p>
                        <w:pP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sz w:val="21"/>
                          </w:rPr>
                          <w:t>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2011-05-12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sz w:val="21"/>
                          </w:rPr>
                          <w:t>2013-05-11</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0" w:right="0"/>
                          <w:jc w:val="left"/>
                          <w:rPr>
                            <w:rFonts w:ascii="宋体" w:hAnsi="宋体" w:cs="宋体" w:eastAsia="宋体" w:hint="default"/>
                            <w:sz w:val="21"/>
                            <w:szCs w:val="21"/>
                          </w:rPr>
                        </w:pPr>
                        <w:r>
                          <w:rPr>
                            <w:rFonts w:ascii="宋体"/>
                            <w:sz w:val="21"/>
                          </w:rPr>
                          <w:t>572,000</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10" w:right="0"/>
                          <w:jc w:val="left"/>
                          <w:rPr>
                            <w:rFonts w:ascii="宋体" w:hAnsi="宋体" w:cs="宋体" w:eastAsia="宋体" w:hint="default"/>
                            <w:sz w:val="21"/>
                            <w:szCs w:val="21"/>
                          </w:rPr>
                        </w:pPr>
                        <w:r>
                          <w:rPr>
                            <w:rFonts w:ascii="宋体"/>
                            <w:sz w:val="21"/>
                          </w:rPr>
                          <w:t>858,000</w:t>
                        </w:r>
                      </w:p>
                    </w:tc>
                    <w:tc>
                      <w:tcPr>
                        <w:tcW w:w="826" w:type="dxa"/>
                        <w:gridSpan w:val="2"/>
                        <w:vMerge w:val="restart"/>
                        <w:tcBorders>
                          <w:top w:val="single" w:sz="4" w:space="0" w:color="000000"/>
                          <w:left w:val="single" w:sz="4" w:space="0" w:color="000000"/>
                          <w:right w:val="single" w:sz="4" w:space="0" w:color="000000"/>
                        </w:tcBorders>
                      </w:tcPr>
                      <w:p>
                        <w:pPr>
                          <w:pStyle w:val="TableParagraph"/>
                          <w:spacing w:line="273" w:lineRule="auto" w:before="148"/>
                          <w:ind w:left="23" w:right="158"/>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2" w:right="0"/>
                          <w:jc w:val="left"/>
                          <w:rPr>
                            <w:rFonts w:ascii="宋体" w:hAnsi="宋体" w:cs="宋体" w:eastAsia="宋体" w:hint="default"/>
                            <w:sz w:val="21"/>
                            <w:szCs w:val="21"/>
                          </w:rPr>
                        </w:pPr>
                        <w:r>
                          <w:rPr>
                            <w:rFonts w:ascii="宋体"/>
                            <w:sz w:val="21"/>
                          </w:rPr>
                          <w:t>36.10</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71"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4"/>
                          <w:jc w:val="left"/>
                          <w:rPr>
                            <w:rFonts w:ascii="宋体" w:hAnsi="宋体" w:cs="宋体" w:eastAsia="宋体" w:hint="default"/>
                            <w:sz w:val="21"/>
                            <w:szCs w:val="21"/>
                          </w:rPr>
                        </w:pPr>
                        <w:r>
                          <w:rPr>
                            <w:rFonts w:ascii="宋体" w:hAnsi="宋体" w:cs="宋体" w:eastAsia="宋体" w:hint="default"/>
                            <w:spacing w:val="4"/>
                            <w:sz w:val="21"/>
                            <w:szCs w:val="21"/>
                          </w:rPr>
                          <w:t>董事、副总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7"/>
                            <w:sz w:val="21"/>
                            <w:szCs w:val="21"/>
                          </w:rPr>
                          <w:t>经理（历任</w:t>
                        </w:r>
                      </w:p>
                    </w:tc>
                    <w:tc>
                      <w:tcPr>
                        <w:tcW w:w="92" w:type="dxa"/>
                        <w:tcBorders>
                          <w:top w:val="nil" w:sz="6" w:space="0" w:color="auto"/>
                          <w:left w:val="single" w:sz="4" w:space="0" w:color="000000"/>
                          <w:bottom w:val="single" w:sz="4" w:space="0" w:color="000000"/>
                          <w:right w:val="nil" w:sz="6" w:space="0" w:color="auto"/>
                        </w:tcBorders>
                      </w:tcPr>
                      <w:p>
                        <w:pPr/>
                      </w:p>
                    </w:tc>
                    <w:tc>
                      <w:tcPr>
                        <w:tcW w:w="328"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vMerge/>
                        <w:tcBorders>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2011-04-11</w:t>
                        </w:r>
                      </w:p>
                    </w:tc>
                    <w:tc>
                      <w:tcPr>
                        <w:tcW w:w="100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826" w:type="dxa"/>
                        <w:gridSpan w:val="2"/>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梁恭杰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（历任）</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 w:right="0"/>
                          <w:jc w:val="left"/>
                          <w:rPr>
                            <w:rFonts w:ascii="宋体" w:hAnsi="宋体" w:cs="宋体" w:eastAsia="宋体" w:hint="default"/>
                            <w:sz w:val="21"/>
                            <w:szCs w:val="21"/>
                          </w:rPr>
                        </w:pPr>
                        <w:r>
                          <w:rPr>
                            <w:rFonts w:ascii="宋体"/>
                            <w:sz w:val="21"/>
                          </w:rPr>
                          <w:t>68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2011-05-12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sz w:val="21"/>
                          </w:rPr>
                          <w:t>0.75</w:t>
                        </w:r>
                      </w:p>
                      <w:p>
                        <w:pPr>
                          <w:pStyle w:val="TableParagraph"/>
                          <w:spacing w:line="240" w:lineRule="auto" w:before="37"/>
                          <w:ind w:left="38"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5"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许俊峰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 w:right="0"/>
                          <w:jc w:val="left"/>
                          <w:rPr>
                            <w:rFonts w:ascii="宋体" w:hAnsi="宋体" w:cs="宋体" w:eastAsia="宋体" w:hint="default"/>
                            <w:sz w:val="21"/>
                            <w:szCs w:val="21"/>
                          </w:rPr>
                        </w:pPr>
                        <w:r>
                          <w:rPr>
                            <w:rFonts w:ascii="宋体"/>
                            <w:sz w:val="21"/>
                          </w:rPr>
                          <w:t>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2"/>
                          <w:jc w:val="center"/>
                          <w:rPr>
                            <w:rFonts w:ascii="宋体" w:hAnsi="宋体" w:cs="宋体" w:eastAsia="宋体" w:hint="default"/>
                            <w:sz w:val="21"/>
                            <w:szCs w:val="21"/>
                          </w:rPr>
                        </w:pPr>
                        <w:r>
                          <w:rPr>
                            <w:rFonts w:ascii="宋体"/>
                            <w:sz w:val="21"/>
                          </w:rPr>
                          <w:t>2011-04-11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826" w:type="dxa"/>
                        <w:gridSpan w:val="2"/>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60.99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李静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5"/>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董事会秘书</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 w:right="0"/>
                          <w:jc w:val="left"/>
                          <w:rPr>
                            <w:rFonts w:ascii="宋体" w:hAnsi="宋体" w:cs="宋体" w:eastAsia="宋体" w:hint="default"/>
                            <w:sz w:val="21"/>
                            <w:szCs w:val="21"/>
                          </w:rPr>
                        </w:pPr>
                        <w:r>
                          <w:rPr>
                            <w:rFonts w:ascii="宋体"/>
                            <w:sz w:val="21"/>
                          </w:rPr>
                          <w:t>50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286,000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429,000</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8"/>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36.70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董樑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5" w:right="0"/>
                          <w:jc w:val="left"/>
                          <w:rPr>
                            <w:rFonts w:ascii="宋体" w:hAnsi="宋体" w:cs="宋体" w:eastAsia="宋体" w:hint="default"/>
                            <w:sz w:val="21"/>
                            <w:szCs w:val="21"/>
                          </w:rPr>
                        </w:pPr>
                        <w:r>
                          <w:rPr>
                            <w:rFonts w:ascii="宋体"/>
                            <w:sz w:val="21"/>
                          </w:rPr>
                          <w:t>41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2010-05-12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2"/>
                          <w:jc w:val="center"/>
                          <w:rPr>
                            <w:rFonts w:ascii="宋体" w:hAnsi="宋体" w:cs="宋体" w:eastAsia="宋体" w:hint="default"/>
                            <w:sz w:val="21"/>
                            <w:szCs w:val="21"/>
                          </w:rPr>
                        </w:pPr>
                        <w:r>
                          <w:rPr>
                            <w:rFonts w:ascii="宋体"/>
                            <w:sz w:val="21"/>
                          </w:rPr>
                          <w:t>2013-05-11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214,500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321,750</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8"/>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积转增</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z w:val="21"/>
                          </w:rPr>
                          <w:t>34.13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 w:right="0"/>
                          <w:jc w:val="left"/>
                          <w:rPr>
                            <w:rFonts w:ascii="宋体" w:hAnsi="宋体" w:cs="宋体" w:eastAsia="宋体" w:hint="default"/>
                            <w:sz w:val="21"/>
                            <w:szCs w:val="21"/>
                          </w:rPr>
                        </w:pPr>
                        <w:r>
                          <w:rPr>
                            <w:rFonts w:ascii="宋体"/>
                            <w:w w:val="100"/>
                            <w:sz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7,012,125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10,398,188</w:t>
                        </w:r>
                      </w:p>
                    </w:tc>
                    <w:tc>
                      <w:tcPr>
                        <w:tcW w:w="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501.15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w w:val="100"/>
                            <w:sz w:val="21"/>
                          </w:rPr>
                          <w:t>-</w:t>
                        </w:r>
                      </w:p>
                    </w:tc>
                  </w:tr>
                </w:tbl>
                <w:p>
                  <w:pPr/>
                </w:p>
              </w:txbxContent>
            </v:textbox>
            <w10:wrap type="none"/>
          </v:shape>
        </w:pict>
      </w:r>
      <w:r>
        <w:rPr>
          <w:rFonts w:ascii="宋体" w:hAnsi="宋体" w:cs="宋体" w:eastAsia="宋体" w:hint="default"/>
          <w:w w:val="100"/>
          <w:sz w:val="21"/>
          <w:szCs w:val="21"/>
        </w:rPr>
        <w:t>）</w:t>
      </w:r>
    </w:p>
    <w:p>
      <w:pPr>
        <w:spacing w:after="0"/>
        <w:jc w:val="left"/>
        <w:rPr>
          <w:rFonts w:ascii="宋体" w:hAnsi="宋体" w:cs="宋体" w:eastAsia="宋体" w:hint="default"/>
          <w:sz w:val="21"/>
          <w:szCs w:val="21"/>
        </w:rPr>
        <w:sectPr>
          <w:pgSz w:w="11910" w:h="16840"/>
          <w:pgMar w:header="876" w:footer="1186" w:top="1100" w:bottom="1380" w:left="1140" w:right="900"/>
        </w:sectPr>
      </w:pPr>
    </w:p>
    <w:p>
      <w:pPr>
        <w:spacing w:line="240" w:lineRule="auto" w:before="12"/>
        <w:rPr>
          <w:rFonts w:ascii="宋体" w:hAnsi="宋体" w:cs="宋体" w:eastAsia="宋体" w:hint="default"/>
          <w:sz w:val="25"/>
          <w:szCs w:val="25"/>
        </w:rPr>
      </w:pPr>
    </w:p>
    <w:p>
      <w:pPr>
        <w:pStyle w:val="Heading3"/>
        <w:spacing w:line="357" w:lineRule="auto"/>
        <w:ind w:right="2480"/>
        <w:jc w:val="left"/>
        <w:rPr>
          <w:b w:val="0"/>
          <w:bCs w:val="0"/>
        </w:rPr>
      </w:pPr>
      <w:r>
        <w:rPr/>
        <w:t>（二）现任董事、监事、高级管理人员最近</w:t>
      </w:r>
      <w:r>
        <w:rPr>
          <w:spacing w:val="-62"/>
        </w:rPr>
        <w:t> </w:t>
      </w:r>
      <w:r>
        <w:rPr>
          <w:rFonts w:ascii="宋体" w:hAnsi="宋体" w:cs="宋体" w:eastAsia="宋体" w:hint="default"/>
        </w:rPr>
        <w:t>5</w:t>
      </w:r>
      <w:r>
        <w:rPr>
          <w:rFonts w:ascii="宋体" w:hAnsi="宋体" w:cs="宋体" w:eastAsia="宋体" w:hint="default"/>
          <w:spacing w:val="-63"/>
        </w:rPr>
        <w:t> </w:t>
      </w:r>
      <w:r>
        <w:rPr/>
        <w:t>年的主要工作经历</w:t>
      </w:r>
      <w:r>
        <w:rPr>
          <w:w w:val="99"/>
        </w:rPr>
        <w:t> </w:t>
      </w:r>
      <w:r>
        <w:rPr>
          <w:rFonts w:ascii="宋体" w:hAnsi="宋体" w:cs="宋体" w:eastAsia="宋体" w:hint="default"/>
        </w:rPr>
        <w:t>1</w:t>
      </w:r>
      <w:r>
        <w:rPr/>
        <w:t>、现任董事主要工作经历</w:t>
      </w:r>
      <w:r>
        <w:rPr>
          <w:b w:val="0"/>
          <w:bCs w:val="0"/>
        </w:rPr>
      </w:r>
    </w:p>
    <w:p>
      <w:pPr>
        <w:pStyle w:val="BodyText"/>
        <w:spacing w:line="357" w:lineRule="auto"/>
        <w:ind w:right="97" w:firstLine="420"/>
        <w:jc w:val="left"/>
      </w:pPr>
      <w:r>
        <w:rPr>
          <w:rFonts w:ascii="宋体" w:hAnsi="宋体" w:cs="宋体" w:eastAsia="宋体" w:hint="default"/>
          <w:b/>
          <w:bCs/>
        </w:rPr>
        <w:t>包叔平先生，</w:t>
      </w:r>
      <w:r>
        <w:rPr/>
        <w:t>中国国籍，</w:t>
      </w:r>
      <w:r>
        <w:rPr>
          <w:rFonts w:ascii="宋体" w:hAnsi="宋体" w:cs="宋体" w:eastAsia="宋体" w:hint="default"/>
        </w:rPr>
        <w:t>1955 </w:t>
      </w:r>
      <w:r>
        <w:rPr/>
        <w:t>年生，博士学历。</w:t>
      </w:r>
      <w:r>
        <w:rPr>
          <w:rFonts w:ascii="宋体" w:hAnsi="宋体" w:cs="宋体" w:eastAsia="宋体" w:hint="default"/>
        </w:rPr>
        <w:t>1982</w:t>
      </w:r>
      <w:r>
        <w:rPr>
          <w:rFonts w:ascii="宋体" w:hAnsi="宋体" w:cs="宋体" w:eastAsia="宋体" w:hint="default"/>
          <w:spacing w:val="-50"/>
        </w:rPr>
        <w:t> </w:t>
      </w:r>
      <w:r>
        <w:rPr/>
        <w:t>年毕业于南京工学院自动控 制系，获学士学位；</w:t>
      </w:r>
      <w:r>
        <w:rPr>
          <w:rFonts w:ascii="宋体" w:hAnsi="宋体" w:cs="宋体" w:eastAsia="宋体" w:hint="default"/>
        </w:rPr>
        <w:t>1988 </w:t>
      </w:r>
      <w:r>
        <w:rPr/>
        <w:t>年毕业于日本京都大学，获博士学位。曾任日本欧姆龙株式</w:t>
      </w:r>
      <w:r>
        <w:rPr>
          <w:spacing w:val="-109"/>
        </w:rPr>
        <w:t> </w:t>
      </w:r>
      <w:r>
        <w:rPr>
          <w:spacing w:val="-109"/>
        </w:rPr>
      </w:r>
      <w:r>
        <w:rPr/>
        <w:t>会社</w:t>
      </w:r>
      <w:r>
        <w:rPr>
          <w:spacing w:val="-58"/>
        </w:rPr>
        <w:t> </w:t>
      </w:r>
      <w:r>
        <w:rPr>
          <w:rFonts w:ascii="宋体" w:hAnsi="宋体" w:cs="宋体" w:eastAsia="宋体" w:hint="default"/>
        </w:rPr>
        <w:t>IT</w:t>
      </w:r>
      <w:r>
        <w:rPr>
          <w:rFonts w:ascii="宋体" w:hAnsi="宋体" w:cs="宋体" w:eastAsia="宋体" w:hint="default"/>
          <w:spacing w:val="-57"/>
        </w:rPr>
        <w:t> </w:t>
      </w:r>
      <w:r>
        <w:rPr>
          <w:spacing w:val="-7"/>
        </w:rPr>
        <w:t>研究所研究员，自</w:t>
      </w:r>
      <w:r>
        <w:rPr>
          <w:spacing w:val="-57"/>
        </w:rPr>
        <w:t> </w:t>
      </w:r>
      <w:r>
        <w:rPr>
          <w:rFonts w:ascii="宋体" w:hAnsi="宋体" w:cs="宋体" w:eastAsia="宋体" w:hint="default"/>
        </w:rPr>
        <w:t>1989</w:t>
      </w:r>
      <w:r>
        <w:rPr>
          <w:rFonts w:ascii="宋体" w:hAnsi="宋体" w:cs="宋体" w:eastAsia="宋体" w:hint="default"/>
          <w:spacing w:val="-57"/>
        </w:rPr>
        <w:t> </w:t>
      </w:r>
      <w:r>
        <w:rPr>
          <w:spacing w:val="-3"/>
        </w:rPr>
        <w:t>年受欧姆龙委派回国创办上海中立计算机有限公司（公</w:t>
      </w:r>
      <w:r>
        <w:rPr>
          <w:spacing w:val="-113"/>
        </w:rPr>
        <w:t> </w:t>
      </w:r>
      <w:r>
        <w:rPr>
          <w:spacing w:val="-113"/>
        </w:rPr>
      </w:r>
      <w:r>
        <w:rPr>
          <w:spacing w:val="-6"/>
        </w:rPr>
        <w:t>司前身）并经营至今。现任本公司董事长、总经理，日本海隆株式会社董事长兼总经理，</w:t>
      </w:r>
      <w:r>
        <w:rPr>
          <w:spacing w:val="-113"/>
        </w:rPr>
        <w:t> </w:t>
      </w:r>
      <w:r>
        <w:rPr>
          <w:spacing w:val="-113"/>
        </w:rPr>
      </w:r>
      <w:r>
        <w:rPr>
          <w:spacing w:val="-3"/>
        </w:rPr>
        <w:t>上海华钟计算机软件开发有限公司董事，上海海隆宜通信息技术有限公司董事长，江苏</w:t>
      </w:r>
      <w:r>
        <w:rPr>
          <w:spacing w:val="-112"/>
        </w:rPr>
        <w:t> </w:t>
      </w:r>
      <w:r>
        <w:rPr>
          <w:spacing w:val="-112"/>
        </w:rPr>
      </w:r>
      <w:r>
        <w:rPr/>
        <w:t>海隆软件技术有限公司董事长。</w:t>
      </w:r>
    </w:p>
    <w:p>
      <w:pPr>
        <w:pStyle w:val="BodyText"/>
        <w:spacing w:line="357" w:lineRule="auto"/>
        <w:ind w:right="223" w:firstLine="420"/>
        <w:jc w:val="both"/>
      </w:pPr>
      <w:r>
        <w:rPr>
          <w:rFonts w:ascii="宋体" w:hAnsi="宋体" w:cs="宋体" w:eastAsia="宋体" w:hint="default"/>
          <w:b/>
          <w:bCs/>
        </w:rPr>
        <w:t>唐长钧先生，</w:t>
      </w:r>
      <w:r>
        <w:rPr/>
        <w:t>中国国籍，</w:t>
      </w:r>
      <w:r>
        <w:rPr>
          <w:rFonts w:ascii="宋体" w:hAnsi="宋体" w:cs="宋体" w:eastAsia="宋体" w:hint="default"/>
        </w:rPr>
        <w:t>1943 </w:t>
      </w:r>
      <w:r>
        <w:rPr/>
        <w:t>年生，大学学历，教授。</w:t>
      </w:r>
      <w:r>
        <w:rPr>
          <w:rFonts w:ascii="宋体" w:hAnsi="宋体" w:cs="宋体" w:eastAsia="宋体" w:hint="default"/>
        </w:rPr>
        <w:t>1965</w:t>
      </w:r>
      <w:r>
        <w:rPr>
          <w:rFonts w:ascii="宋体" w:hAnsi="宋体" w:cs="宋体" w:eastAsia="宋体" w:hint="default"/>
          <w:spacing w:val="-51"/>
        </w:rPr>
        <w:t> </w:t>
      </w:r>
      <w:r>
        <w:rPr/>
        <w:t>年毕业于上海交通大 学。</w:t>
      </w:r>
      <w:r>
        <w:rPr>
          <w:rFonts w:ascii="宋体" w:hAnsi="宋体" w:cs="宋体" w:eastAsia="宋体" w:hint="default"/>
        </w:rPr>
        <w:t>1965</w:t>
      </w:r>
      <w:r>
        <w:rPr>
          <w:rFonts w:ascii="宋体" w:hAnsi="宋体" w:cs="宋体" w:eastAsia="宋体" w:hint="default"/>
          <w:spacing w:val="-53"/>
        </w:rPr>
        <w:t> </w:t>
      </w:r>
      <w:r>
        <w:rPr/>
        <w:t>年～</w:t>
      </w:r>
      <w:r>
        <w:rPr>
          <w:rFonts w:ascii="宋体" w:hAnsi="宋体" w:cs="宋体" w:eastAsia="宋体" w:hint="default"/>
        </w:rPr>
        <w:t>1990</w:t>
      </w:r>
      <w:r>
        <w:rPr>
          <w:rFonts w:ascii="宋体" w:hAnsi="宋体" w:cs="宋体" w:eastAsia="宋体" w:hint="default"/>
          <w:spacing w:val="-53"/>
        </w:rPr>
        <w:t> </w:t>
      </w:r>
      <w:r>
        <w:rPr/>
        <w:t>年，在上海交通大学无线电系、微机所工作。曾任上海华钟计算机 </w:t>
      </w:r>
      <w:r>
        <w:rPr>
          <w:spacing w:val="-3"/>
        </w:rPr>
        <w:t>软件开发有限公司董事、副总经理、总经理。现任本公司副董事长、上海华钟计算机软</w:t>
      </w:r>
      <w:r>
        <w:rPr>
          <w:spacing w:val="-111"/>
        </w:rPr>
        <w:t> </w:t>
      </w:r>
      <w:r>
        <w:rPr>
          <w:spacing w:val="-111"/>
        </w:rPr>
      </w:r>
      <w:r>
        <w:rPr/>
        <w:t>件开发有限公司副董事长。曾获中船总公司科技进步三等奖。</w:t>
      </w:r>
    </w:p>
    <w:p>
      <w:pPr>
        <w:pStyle w:val="BodyText"/>
        <w:spacing w:line="357" w:lineRule="auto"/>
        <w:ind w:right="103" w:firstLine="420"/>
        <w:jc w:val="left"/>
      </w:pPr>
      <w:r>
        <w:rPr>
          <w:rFonts w:ascii="宋体" w:hAnsi="宋体" w:cs="宋体" w:eastAsia="宋体" w:hint="default"/>
          <w:b/>
          <w:bCs/>
        </w:rPr>
        <w:t>潘世雷先生，</w:t>
      </w:r>
      <w:r>
        <w:rPr/>
        <w:t>中国国籍，</w:t>
      </w:r>
      <w:r>
        <w:rPr>
          <w:rFonts w:ascii="宋体" w:hAnsi="宋体" w:cs="宋体" w:eastAsia="宋体" w:hint="default"/>
        </w:rPr>
        <w:t>1964 </w:t>
      </w:r>
      <w:r>
        <w:rPr/>
        <w:t>年生，研究生学历，高级工程师。</w:t>
      </w:r>
      <w:r>
        <w:rPr>
          <w:rFonts w:ascii="宋体" w:hAnsi="宋体" w:cs="宋体" w:eastAsia="宋体" w:hint="default"/>
        </w:rPr>
        <w:t>1989</w:t>
      </w:r>
      <w:r>
        <w:rPr>
          <w:rFonts w:ascii="宋体" w:hAnsi="宋体" w:cs="宋体" w:eastAsia="宋体" w:hint="default"/>
          <w:spacing w:val="-50"/>
        </w:rPr>
        <w:t> </w:t>
      </w:r>
      <w:r>
        <w:rPr/>
        <w:t>年毕业于上 海交通大学，随后进入上海中立计算机有限公司（公司前身）工作至今，历任程序员、 </w:t>
      </w:r>
      <w:r>
        <w:rPr>
          <w:spacing w:val="-3"/>
        </w:rPr>
        <w:t>高级程序员、项目经理、部门经理、副总经理。现任本公司董事、副总经理兼任新事业</w:t>
      </w:r>
      <w:r>
        <w:rPr>
          <w:spacing w:val="-112"/>
        </w:rPr>
        <w:t> </w:t>
      </w:r>
      <w:r>
        <w:rPr>
          <w:spacing w:val="-112"/>
        </w:rPr>
      </w:r>
      <w:r>
        <w:rPr/>
        <w:t>开发本部本部长，上海海隆宜通信息技术有限公司董事、总经理。</w:t>
      </w:r>
    </w:p>
    <w:p>
      <w:pPr>
        <w:pStyle w:val="BodyText"/>
        <w:spacing w:line="357" w:lineRule="auto"/>
        <w:ind w:right="99" w:firstLine="420"/>
        <w:jc w:val="left"/>
      </w:pPr>
      <w:r>
        <w:rPr>
          <w:rFonts w:ascii="宋体" w:hAnsi="宋体" w:cs="宋体" w:eastAsia="宋体" w:hint="default"/>
          <w:b/>
          <w:bCs/>
        </w:rPr>
        <w:t>张强先生，</w:t>
      </w:r>
      <w:r>
        <w:rPr/>
        <w:t>中国国籍，</w:t>
      </w:r>
      <w:r>
        <w:rPr>
          <w:rFonts w:ascii="宋体" w:hAnsi="宋体" w:cs="宋体" w:eastAsia="宋体" w:hint="default"/>
        </w:rPr>
        <w:t>1969</w:t>
      </w:r>
      <w:r>
        <w:rPr>
          <w:rFonts w:ascii="宋体" w:hAnsi="宋体" w:cs="宋体" w:eastAsia="宋体" w:hint="default"/>
          <w:spacing w:val="-61"/>
        </w:rPr>
        <w:t> </w:t>
      </w:r>
      <w:r>
        <w:rPr/>
        <w:t>年生，毕业于上海交通大学电子工程系通信工程专业， </w:t>
      </w:r>
      <w:r>
        <w:rPr>
          <w:spacing w:val="-3"/>
        </w:rPr>
        <w:t>大学学历。历任日本恒星电脑系统公司程序员、工程师、部门经理；日本恒星株式会社</w:t>
      </w:r>
      <w:r>
        <w:rPr>
          <w:spacing w:val="-110"/>
        </w:rPr>
        <w:t> </w:t>
      </w:r>
      <w:r>
        <w:rPr>
          <w:spacing w:val="-110"/>
        </w:rPr>
      </w:r>
      <w:r>
        <w:rPr>
          <w:spacing w:val="-3"/>
        </w:rPr>
        <w:t>系统工程师、项目经理；联迪恒星（南京）信息系统有限公司总经理、副董事长。现任</w:t>
      </w:r>
      <w:r>
        <w:rPr>
          <w:spacing w:val="-110"/>
        </w:rPr>
        <w:t> </w:t>
      </w:r>
      <w:r>
        <w:rPr>
          <w:spacing w:val="-110"/>
        </w:rPr>
      </w:r>
      <w:r>
        <w:rPr/>
        <w:t>本公司董事、江苏海隆软件技术有限公司总经理。</w:t>
      </w:r>
    </w:p>
    <w:p>
      <w:pPr>
        <w:pStyle w:val="BodyText"/>
        <w:spacing w:line="357" w:lineRule="auto"/>
        <w:ind w:right="222" w:firstLine="475"/>
        <w:jc w:val="both"/>
      </w:pPr>
      <w:r>
        <w:rPr>
          <w:rFonts w:ascii="宋体" w:hAnsi="宋体" w:cs="宋体" w:eastAsia="宋体" w:hint="default"/>
          <w:b/>
          <w:bCs/>
        </w:rPr>
        <w:t>朱玉旭先生，</w:t>
      </w:r>
      <w:r>
        <w:rPr/>
        <w:t>中国国籍，</w:t>
      </w:r>
      <w:r>
        <w:rPr>
          <w:rFonts w:ascii="宋体" w:hAnsi="宋体" w:cs="宋体" w:eastAsia="宋体" w:hint="default"/>
        </w:rPr>
        <w:t>1961</w:t>
      </w:r>
      <w:r>
        <w:rPr>
          <w:rFonts w:ascii="宋体" w:hAnsi="宋体" w:cs="宋体" w:eastAsia="宋体" w:hint="default"/>
          <w:spacing w:val="9"/>
        </w:rPr>
        <w:t> </w:t>
      </w:r>
      <w:r>
        <w:rPr/>
        <w:t>年生，博士，高级会计师。曾任上海交大南洋股份 </w:t>
      </w:r>
      <w:r>
        <w:rPr>
          <w:spacing w:val="-3"/>
        </w:rPr>
        <w:t>有限公司总会计师。现任本公司董事、上海交大产业集团总会计师，上海慧盛创业投资</w:t>
      </w:r>
      <w:r>
        <w:rPr>
          <w:spacing w:val="-108"/>
        </w:rPr>
        <w:t> </w:t>
      </w:r>
      <w:r>
        <w:rPr>
          <w:spacing w:val="-108"/>
        </w:rPr>
      </w:r>
      <w:r>
        <w:rPr>
          <w:spacing w:val="-3"/>
        </w:rPr>
        <w:t>有限公司总经理，上海豫瑞创业投资合伙企业（有限合伙）执行合伙人，上海艾云创业</w:t>
      </w:r>
      <w:r>
        <w:rPr>
          <w:spacing w:val="-114"/>
        </w:rPr>
        <w:t> </w:t>
      </w:r>
      <w:r>
        <w:rPr>
          <w:spacing w:val="-114"/>
        </w:rPr>
      </w:r>
      <w:r>
        <w:rPr/>
        <w:t>投资管理有限公司董事长。</w:t>
      </w:r>
    </w:p>
    <w:p>
      <w:pPr>
        <w:pStyle w:val="BodyText"/>
        <w:spacing w:line="357" w:lineRule="auto"/>
        <w:ind w:right="97" w:firstLine="420"/>
        <w:jc w:val="left"/>
      </w:pPr>
      <w:r>
        <w:rPr>
          <w:rFonts w:ascii="宋体" w:hAnsi="宋体" w:cs="宋体" w:eastAsia="宋体" w:hint="default"/>
          <w:b/>
          <w:bCs/>
        </w:rPr>
        <w:t>张怡方女士，</w:t>
      </w:r>
      <w:r>
        <w:rPr/>
        <w:t>中国国籍，</w:t>
      </w:r>
      <w:r>
        <w:rPr>
          <w:rFonts w:ascii="宋体" w:hAnsi="宋体" w:cs="宋体" w:eastAsia="宋体" w:hint="default"/>
        </w:rPr>
        <w:t>1955 </w:t>
      </w:r>
      <w:r>
        <w:rPr/>
        <w:t>年生，大学学历。</w:t>
      </w:r>
      <w:r>
        <w:rPr>
          <w:rFonts w:ascii="宋体" w:hAnsi="宋体" w:cs="宋体" w:eastAsia="宋体" w:hint="default"/>
        </w:rPr>
        <w:t>1982</w:t>
      </w:r>
      <w:r>
        <w:rPr>
          <w:rFonts w:ascii="宋体" w:hAnsi="宋体" w:cs="宋体" w:eastAsia="宋体" w:hint="default"/>
          <w:spacing w:val="-50"/>
        </w:rPr>
        <w:t> </w:t>
      </w:r>
      <w:r>
        <w:rPr/>
        <w:t>年毕业于南京工学院自动控 </w:t>
      </w:r>
      <w:r>
        <w:rPr>
          <w:spacing w:val="-3"/>
        </w:rPr>
        <w:t>制系，获学士学位。曾任南京有线电厂工程师、南京标牌厂副厂长、上海顺风电子技术</w:t>
      </w:r>
      <w:r>
        <w:rPr>
          <w:spacing w:val="-114"/>
        </w:rPr>
        <w:t> </w:t>
      </w:r>
      <w:r>
        <w:rPr>
          <w:spacing w:val="-114"/>
        </w:rPr>
      </w:r>
      <w:r>
        <w:rPr>
          <w:spacing w:val="-6"/>
        </w:rPr>
        <w:t>有限公司总经理、上海中立计算机有限公司销售经理、晨兴（中国）有限公司总裁助理、</w:t>
      </w:r>
      <w:r>
        <w:rPr>
          <w:spacing w:val="-112"/>
        </w:rPr>
        <w:t> </w:t>
      </w:r>
      <w:r>
        <w:rPr>
          <w:spacing w:val="-112"/>
        </w:rPr>
      </w:r>
      <w:r>
        <w:rPr>
          <w:spacing w:val="-3"/>
        </w:rPr>
        <w:t>贵州证券上海业务部总经理、陕西证券上海业务部总经理、上海证券交易所理事。现任</w:t>
      </w:r>
      <w:r>
        <w:rPr>
          <w:spacing w:val="-108"/>
        </w:rPr>
        <w:t> </w:t>
      </w:r>
      <w:r>
        <w:rPr>
          <w:spacing w:val="-108"/>
        </w:rPr>
      </w:r>
      <w:r>
        <w:rPr/>
        <w:t>本公司董事。</w:t>
      </w:r>
    </w:p>
    <w:p>
      <w:pPr>
        <w:spacing w:after="0" w:line="357" w:lineRule="auto"/>
        <w:jc w:val="left"/>
        <w:sectPr>
          <w:pgSz w:w="11910" w:h="16840"/>
          <w:pgMar w:header="876" w:footer="1186" w:top="1100" w:bottom="1380" w:left="1300" w:right="1180"/>
        </w:sectPr>
      </w:pPr>
    </w:p>
    <w:p>
      <w:pPr>
        <w:spacing w:line="240" w:lineRule="auto" w:before="12"/>
        <w:rPr>
          <w:rFonts w:ascii="宋体" w:hAnsi="宋体" w:cs="宋体" w:eastAsia="宋体" w:hint="default"/>
          <w:sz w:val="25"/>
          <w:szCs w:val="25"/>
        </w:rPr>
      </w:pPr>
    </w:p>
    <w:p>
      <w:pPr>
        <w:pStyle w:val="BodyText"/>
        <w:spacing w:line="357" w:lineRule="auto" w:before="26"/>
        <w:ind w:right="184" w:firstLine="420"/>
        <w:jc w:val="both"/>
      </w:pPr>
      <w:r>
        <w:rPr>
          <w:rFonts w:ascii="宋体" w:hAnsi="宋体" w:cs="宋体" w:eastAsia="宋体" w:hint="default"/>
          <w:b/>
          <w:bCs/>
          <w:spacing w:val="-3"/>
        </w:rPr>
        <w:t>何积丰先生，</w:t>
      </w:r>
      <w:r>
        <w:rPr>
          <w:spacing w:val="-3"/>
        </w:rPr>
        <w:t>中国国籍，</w:t>
      </w:r>
      <w:r>
        <w:rPr>
          <w:rFonts w:ascii="宋体" w:hAnsi="宋体" w:cs="宋体" w:eastAsia="宋体" w:hint="default"/>
          <w:spacing w:val="-3"/>
        </w:rPr>
        <w:t>1943</w:t>
      </w:r>
      <w:r>
        <w:rPr>
          <w:rFonts w:ascii="宋体" w:hAnsi="宋体" w:cs="宋体" w:eastAsia="宋体" w:hint="default"/>
          <w:spacing w:val="-44"/>
        </w:rPr>
        <w:t> </w:t>
      </w:r>
      <w:r>
        <w:rPr>
          <w:spacing w:val="-4"/>
        </w:rPr>
        <w:t>年生，大学学历。曾任华东师范大学助教、讲师，曾</w:t>
      </w:r>
      <w:r>
        <w:rPr/>
        <w:t> </w:t>
      </w:r>
      <w:r>
        <w:rPr>
          <w:spacing w:val="-9"/>
        </w:rPr>
        <w:t>在美国斯坦福大学、旧金山大学进修，在英国牛津大学担任客座教授、高级研究员。</w:t>
      </w:r>
      <w:r>
        <w:rPr>
          <w:rFonts w:ascii="宋体" w:hAnsi="宋体" w:cs="宋体" w:eastAsia="宋体" w:hint="default"/>
          <w:spacing w:val="-9"/>
        </w:rPr>
        <w:t>1988</w:t>
      </w:r>
      <w:r>
        <w:rPr>
          <w:rFonts w:ascii="宋体" w:hAnsi="宋体" w:cs="宋体" w:eastAsia="宋体" w:hint="default"/>
          <w:spacing w:val="-97"/>
        </w:rPr>
        <w:t> </w:t>
      </w:r>
      <w:r>
        <w:rPr>
          <w:spacing w:val="-3"/>
        </w:rPr>
        <w:t>年被评为国家有突出贡献中青年专家。曾获电子工业部软件一等奖，上海市科技进步一</w:t>
      </w:r>
      <w:r>
        <w:rPr>
          <w:spacing w:val="-112"/>
        </w:rPr>
        <w:t> </w:t>
      </w:r>
      <w:r>
        <w:rPr>
          <w:spacing w:val="-112"/>
        </w:rPr>
      </w:r>
      <w:r>
        <w:rPr>
          <w:spacing w:val="-3"/>
        </w:rPr>
        <w:t>等奖，英国先进技术女皇奖，国家自然科学二等奖。现任本公司独立董事、华东师范大</w:t>
      </w:r>
      <w:r>
        <w:rPr>
          <w:spacing w:val="-114"/>
        </w:rPr>
        <w:t> </w:t>
      </w:r>
      <w:r>
        <w:rPr>
          <w:spacing w:val="-114"/>
        </w:rPr>
      </w:r>
      <w:r>
        <w:rPr/>
        <w:t>学终生教授、博士生导师、软件学院院长，中国科学院院士。</w:t>
      </w:r>
    </w:p>
    <w:p>
      <w:pPr>
        <w:pStyle w:val="BodyText"/>
        <w:spacing w:line="357" w:lineRule="auto"/>
        <w:ind w:right="181" w:firstLine="516"/>
        <w:jc w:val="both"/>
      </w:pPr>
      <w:r>
        <w:rPr>
          <w:rFonts w:ascii="宋体" w:hAnsi="宋体" w:cs="宋体" w:eastAsia="宋体" w:hint="default"/>
          <w:b/>
          <w:bCs/>
        </w:rPr>
        <w:t>陈乐波先生，</w:t>
      </w:r>
      <w:r>
        <w:rPr/>
        <w:t>中国国籍，</w:t>
      </w:r>
      <w:r>
        <w:rPr>
          <w:rFonts w:ascii="宋体" w:hAnsi="宋体" w:cs="宋体" w:eastAsia="宋体" w:hint="default"/>
        </w:rPr>
        <w:t>1949</w:t>
      </w:r>
      <w:r>
        <w:rPr>
          <w:rFonts w:ascii="宋体" w:hAnsi="宋体" w:cs="宋体" w:eastAsia="宋体" w:hint="default"/>
          <w:spacing w:val="-73"/>
        </w:rPr>
        <w:t> </w:t>
      </w:r>
      <w:r>
        <w:rPr/>
        <w:t>年生，大学学历。</w:t>
      </w:r>
      <w:r>
        <w:rPr>
          <w:rFonts w:ascii="宋体" w:hAnsi="宋体" w:cs="宋体" w:eastAsia="宋体" w:hint="default"/>
        </w:rPr>
        <w:t>1977</w:t>
      </w:r>
      <w:r>
        <w:rPr>
          <w:rFonts w:ascii="宋体" w:hAnsi="宋体" w:cs="宋体" w:eastAsia="宋体" w:hint="default"/>
          <w:spacing w:val="-73"/>
        </w:rPr>
        <w:t> </w:t>
      </w:r>
      <w:r>
        <w:rPr/>
        <w:t>年毕业于上海交通大学，获 </w:t>
      </w:r>
      <w:r>
        <w:rPr>
          <w:spacing w:val="-3"/>
        </w:rPr>
        <w:t>本科学士学位。曾任上海交通大学教师，上海市社会科学院记者、编辑、研究人员，广</w:t>
      </w:r>
      <w:r>
        <w:rPr>
          <w:spacing w:val="-116"/>
        </w:rPr>
        <w:t> </w:t>
      </w:r>
      <w:r>
        <w:rPr>
          <w:spacing w:val="-116"/>
        </w:rPr>
      </w:r>
      <w:r>
        <w:rPr>
          <w:spacing w:val="-3"/>
        </w:rPr>
        <w:t>联（南宁）投资有限公司副总经理，上海明申公司副董事长，上海中泰信托投资公司总</w:t>
      </w:r>
      <w:r>
        <w:rPr>
          <w:spacing w:val="-114"/>
        </w:rPr>
        <w:t> </w:t>
      </w:r>
      <w:r>
        <w:rPr>
          <w:spacing w:val="-114"/>
        </w:rPr>
      </w:r>
      <w:r>
        <w:rPr>
          <w:spacing w:val="-3"/>
        </w:rPr>
        <w:t>经济师，上海市新华闻投资有限公司副总经理。现任本公司独立董事、上海特能市场推</w:t>
      </w:r>
      <w:r>
        <w:rPr>
          <w:spacing w:val="-108"/>
        </w:rPr>
        <w:t> </w:t>
      </w:r>
      <w:r>
        <w:rPr>
          <w:spacing w:val="-108"/>
        </w:rPr>
      </w:r>
      <w:r>
        <w:rPr/>
        <w:t>广有限公司董事。</w:t>
      </w:r>
    </w:p>
    <w:p>
      <w:pPr>
        <w:pStyle w:val="BodyText"/>
        <w:spacing w:line="357" w:lineRule="auto"/>
        <w:ind w:right="116" w:firstLine="420"/>
        <w:jc w:val="both"/>
      </w:pPr>
      <w:r>
        <w:rPr>
          <w:rFonts w:ascii="宋体" w:hAnsi="宋体" w:cs="宋体" w:eastAsia="宋体" w:hint="default"/>
          <w:b/>
          <w:bCs/>
        </w:rPr>
        <w:t>高美萍女士，</w:t>
      </w:r>
      <w:r>
        <w:rPr/>
        <w:t>中国国籍，</w:t>
      </w:r>
      <w:r>
        <w:rPr>
          <w:rFonts w:ascii="宋体" w:hAnsi="宋体" w:cs="宋体" w:eastAsia="宋体" w:hint="default"/>
        </w:rPr>
        <w:t>1958</w:t>
      </w:r>
      <w:r>
        <w:rPr>
          <w:rFonts w:ascii="宋体" w:hAnsi="宋体" w:cs="宋体" w:eastAsia="宋体" w:hint="default"/>
          <w:spacing w:val="-99"/>
        </w:rPr>
        <w:t> </w:t>
      </w:r>
      <w:r>
        <w:rPr/>
        <w:t>年生，大专学历，注册会计师。曾任上海崇明东风农 </w:t>
      </w:r>
      <w:r>
        <w:rPr>
          <w:spacing w:val="-2"/>
        </w:rPr>
        <w:t>场纺织厂工人，上海第四铜带厂财务人员，东华大学教工，现任本公司独立董事、上海</w:t>
      </w:r>
      <w:r>
        <w:rPr>
          <w:spacing w:val="-84"/>
        </w:rPr>
        <w:t> </w:t>
      </w:r>
      <w:r>
        <w:rPr>
          <w:spacing w:val="-84"/>
        </w:rPr>
      </w:r>
      <w:r>
        <w:rPr/>
        <w:t>汇青会计师事务所项目经理。</w:t>
      </w:r>
    </w:p>
    <w:p>
      <w:pPr>
        <w:spacing w:line="240" w:lineRule="auto" w:before="2"/>
        <w:rPr>
          <w:rFonts w:ascii="宋体" w:hAnsi="宋体" w:cs="宋体" w:eastAsia="宋体" w:hint="default"/>
          <w:sz w:val="21"/>
          <w:szCs w:val="21"/>
        </w:rPr>
      </w:pPr>
    </w:p>
    <w:p>
      <w:pPr>
        <w:pStyle w:val="Heading3"/>
        <w:spacing w:line="240" w:lineRule="auto" w:before="0"/>
        <w:ind w:right="0"/>
        <w:jc w:val="left"/>
        <w:rPr>
          <w:b w:val="0"/>
          <w:bCs w:val="0"/>
        </w:rPr>
      </w:pPr>
      <w:r>
        <w:rPr>
          <w:rFonts w:ascii="宋体" w:hAnsi="宋体" w:cs="宋体" w:eastAsia="宋体" w:hint="default"/>
        </w:rPr>
        <w:t>2</w:t>
      </w:r>
      <w:r>
        <w:rPr/>
        <w:t>、现任监事主要工作经历</w:t>
      </w:r>
      <w:r>
        <w:rPr>
          <w:b w:val="0"/>
          <w:bCs w:val="0"/>
        </w:rPr>
      </w:r>
    </w:p>
    <w:p>
      <w:pPr>
        <w:pStyle w:val="BodyText"/>
        <w:spacing w:line="357" w:lineRule="auto" w:before="154"/>
        <w:ind w:right="183" w:firstLine="420"/>
        <w:jc w:val="both"/>
      </w:pPr>
      <w:r>
        <w:rPr>
          <w:rFonts w:ascii="宋体" w:hAnsi="宋体" w:cs="宋体" w:eastAsia="宋体" w:hint="default"/>
          <w:b/>
          <w:bCs/>
        </w:rPr>
        <w:t>周颖先生，</w:t>
      </w:r>
      <w:r>
        <w:rPr/>
        <w:t>中国国籍，</w:t>
      </w:r>
      <w:r>
        <w:rPr>
          <w:rFonts w:ascii="宋体" w:hAnsi="宋体" w:cs="宋体" w:eastAsia="宋体" w:hint="default"/>
        </w:rPr>
        <w:t>1964 </w:t>
      </w:r>
      <w:r>
        <w:rPr/>
        <w:t>年生，研究生学历。</w:t>
      </w:r>
      <w:r>
        <w:rPr>
          <w:rFonts w:ascii="宋体" w:hAnsi="宋体" w:cs="宋体" w:eastAsia="宋体" w:hint="default"/>
        </w:rPr>
        <w:t>2001</w:t>
      </w:r>
      <w:r>
        <w:rPr>
          <w:rFonts w:ascii="宋体" w:hAnsi="宋体" w:cs="宋体" w:eastAsia="宋体" w:hint="default"/>
          <w:spacing w:val="-49"/>
        </w:rPr>
        <w:t> </w:t>
      </w:r>
      <w:r>
        <w:rPr/>
        <w:t>年毕业于上海交通大学。曾 </w:t>
      </w:r>
      <w:r>
        <w:rPr>
          <w:spacing w:val="-3"/>
        </w:rPr>
        <w:t>任上海交大高新技术股份有限公司总经理助理。现任本公司监事会主席、上海慧盛创业</w:t>
      </w:r>
      <w:r>
        <w:rPr>
          <w:spacing w:val="-112"/>
        </w:rPr>
        <w:t> </w:t>
      </w:r>
      <w:r>
        <w:rPr>
          <w:spacing w:val="-112"/>
        </w:rPr>
      </w:r>
      <w:r>
        <w:rPr/>
        <w:t>投资有限公司资产经营部经理、上海艾云创业投资管理有限公司副总经理。</w:t>
      </w:r>
    </w:p>
    <w:p>
      <w:pPr>
        <w:pStyle w:val="BodyText"/>
        <w:spacing w:line="357" w:lineRule="auto"/>
        <w:ind w:right="181" w:firstLine="420"/>
        <w:jc w:val="both"/>
      </w:pPr>
      <w:r>
        <w:rPr>
          <w:rFonts w:ascii="宋体" w:hAnsi="宋体" w:cs="宋体" w:eastAsia="宋体" w:hint="default"/>
          <w:b/>
          <w:bCs/>
        </w:rPr>
        <w:t>王彬先生，</w:t>
      </w:r>
      <w:r>
        <w:rPr/>
        <w:t>中国国籍，</w:t>
      </w:r>
      <w:r>
        <w:rPr>
          <w:rFonts w:ascii="宋体" w:hAnsi="宋体" w:cs="宋体" w:eastAsia="宋体" w:hint="default"/>
        </w:rPr>
        <w:t>1962 </w:t>
      </w:r>
      <w:r>
        <w:rPr/>
        <w:t>年生，大学学历。</w:t>
      </w:r>
      <w:r>
        <w:rPr>
          <w:rFonts w:ascii="宋体" w:hAnsi="宋体" w:cs="宋体" w:eastAsia="宋体" w:hint="default"/>
        </w:rPr>
        <w:t>1982</w:t>
      </w:r>
      <w:r>
        <w:rPr>
          <w:rFonts w:ascii="宋体" w:hAnsi="宋体" w:cs="宋体" w:eastAsia="宋体" w:hint="default"/>
          <w:spacing w:val="-49"/>
        </w:rPr>
        <w:t> </w:t>
      </w:r>
      <w:r>
        <w:rPr/>
        <w:t>年毕业于复旦大学数学系，获 </w:t>
      </w:r>
      <w:r>
        <w:rPr>
          <w:spacing w:val="-3"/>
        </w:rPr>
        <w:t>学士学位，随后进入上海无线电二厂工作至</w:t>
      </w:r>
      <w:r>
        <w:rPr>
          <w:spacing w:val="-60"/>
        </w:rPr>
        <w:t> </w:t>
      </w:r>
      <w:r>
        <w:rPr>
          <w:rFonts w:ascii="宋体" w:hAnsi="宋体" w:cs="宋体" w:eastAsia="宋体" w:hint="default"/>
        </w:rPr>
        <w:t>1989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spacing w:val="-18"/>
        </w:rPr>
        <w:t>月。自</w:t>
      </w:r>
      <w:r>
        <w:rPr>
          <w:spacing w:val="-60"/>
        </w:rPr>
        <w:t> </w:t>
      </w:r>
      <w:r>
        <w:rPr>
          <w:rFonts w:ascii="宋体" w:hAnsi="宋体" w:cs="宋体" w:eastAsia="宋体" w:hint="default"/>
        </w:rPr>
        <w:t>1989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月进入上海中立 </w:t>
      </w:r>
      <w:r>
        <w:rPr>
          <w:spacing w:val="-3"/>
        </w:rPr>
        <w:t>计算机有限公司（公司前身）并工作至今，历任程序员、高级程序员、项目经理、副部</w:t>
      </w:r>
      <w:r>
        <w:rPr>
          <w:spacing w:val="-108"/>
        </w:rPr>
        <w:t> </w:t>
      </w:r>
      <w:r>
        <w:rPr>
          <w:spacing w:val="-108"/>
        </w:rPr>
      </w:r>
      <w:r>
        <w:rPr/>
        <w:t>长。现任本公司职工代表监事、第一海外软件开发事业本部副本部长。</w:t>
      </w:r>
    </w:p>
    <w:p>
      <w:pPr>
        <w:pStyle w:val="BodyText"/>
        <w:spacing w:line="357" w:lineRule="auto"/>
        <w:ind w:right="182" w:firstLine="420"/>
        <w:jc w:val="both"/>
      </w:pPr>
      <w:r>
        <w:rPr>
          <w:rFonts w:ascii="宋体" w:hAnsi="宋体" w:cs="宋体" w:eastAsia="宋体" w:hint="default"/>
          <w:b/>
          <w:bCs/>
        </w:rPr>
        <w:t>陆庆先生，</w:t>
      </w:r>
      <w:r>
        <w:rPr/>
        <w:t>中国国籍，</w:t>
      </w:r>
      <w:r>
        <w:rPr>
          <w:rFonts w:ascii="宋体" w:hAnsi="宋体" w:cs="宋体" w:eastAsia="宋体" w:hint="default"/>
        </w:rPr>
        <w:t>1964</w:t>
      </w:r>
      <w:r>
        <w:rPr>
          <w:rFonts w:ascii="宋体" w:hAnsi="宋体" w:cs="宋体" w:eastAsia="宋体" w:hint="default"/>
          <w:spacing w:val="-70"/>
        </w:rPr>
        <w:t> </w:t>
      </w:r>
      <w:r>
        <w:rPr/>
        <w:t>年生，研究生学历，高级工程师，</w:t>
      </w:r>
      <w:r>
        <w:rPr>
          <w:spacing w:val="-29"/>
        </w:rPr>
        <w:t> </w:t>
      </w:r>
      <w:r>
        <w:rPr>
          <w:rFonts w:ascii="宋体" w:hAnsi="宋体" w:cs="宋体" w:eastAsia="宋体" w:hint="default"/>
        </w:rPr>
        <w:t>1989</w:t>
      </w:r>
      <w:r>
        <w:rPr>
          <w:rFonts w:ascii="宋体" w:hAnsi="宋体" w:cs="宋体" w:eastAsia="宋体" w:hint="default"/>
          <w:spacing w:val="-70"/>
        </w:rPr>
        <w:t> </w:t>
      </w:r>
      <w:r>
        <w:rPr/>
        <w:t>年毕业于复旦 </w:t>
      </w:r>
      <w:r>
        <w:rPr>
          <w:spacing w:val="-3"/>
        </w:rPr>
        <w:t>大学，获硕士学位，随后进入上海中立计算机有限公司（公司前身）工作至今，历任程</w:t>
      </w:r>
      <w:r>
        <w:rPr>
          <w:spacing w:val="-112"/>
        </w:rPr>
        <w:t> </w:t>
      </w:r>
      <w:r>
        <w:rPr>
          <w:spacing w:val="-112"/>
        </w:rPr>
      </w:r>
      <w:r>
        <w:rPr/>
        <w:t>序员、高级程序员、</w:t>
      </w:r>
      <w:r>
        <w:rPr>
          <w:spacing w:val="11"/>
        </w:rPr>
        <w:t> </w:t>
      </w:r>
      <w:r>
        <w:rPr/>
        <w:t>项目经理、部门经理、副总经理、董事。现任本公司监事、内审</w:t>
      </w:r>
      <w:r>
        <w:rPr/>
        <w:t> 部负责人。</w:t>
      </w:r>
    </w:p>
    <w:p>
      <w:pPr>
        <w:spacing w:line="240" w:lineRule="auto" w:before="2"/>
        <w:rPr>
          <w:rFonts w:ascii="宋体" w:hAnsi="宋体" w:cs="宋体" w:eastAsia="宋体" w:hint="default"/>
          <w:sz w:val="21"/>
          <w:szCs w:val="21"/>
        </w:rPr>
      </w:pPr>
    </w:p>
    <w:p>
      <w:pPr>
        <w:spacing w:line="357" w:lineRule="auto" w:before="0"/>
        <w:ind w:left="603" w:right="2997" w:hanging="42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、现任高级管理人员主要工作经历</w:t>
      </w:r>
      <w:r>
        <w:rPr>
          <w:rFonts w:ascii="宋体" w:hAnsi="宋体" w:cs="宋体" w:eastAsia="宋体" w:hint="default"/>
          <w:b/>
          <w:bCs/>
          <w:w w:val="99"/>
          <w:sz w:val="24"/>
          <w:szCs w:val="24"/>
        </w:rPr>
        <w:t> </w:t>
      </w:r>
      <w:r>
        <w:rPr>
          <w:rFonts w:ascii="宋体" w:hAnsi="宋体" w:cs="宋体" w:eastAsia="宋体" w:hint="default"/>
          <w:b/>
          <w:bCs/>
          <w:sz w:val="24"/>
          <w:szCs w:val="24"/>
        </w:rPr>
        <w:t>包叔平先生，</w:t>
      </w:r>
      <w:r>
        <w:rPr>
          <w:rFonts w:ascii="宋体" w:hAnsi="宋体" w:cs="宋体" w:eastAsia="宋体" w:hint="default"/>
          <w:sz w:val="24"/>
          <w:szCs w:val="24"/>
        </w:rPr>
        <w:t>本公司董事长、总经理。参见董事简介。 </w:t>
      </w:r>
      <w:r>
        <w:rPr>
          <w:rFonts w:ascii="宋体" w:hAnsi="宋体" w:cs="宋体" w:eastAsia="宋体" w:hint="default"/>
          <w:b/>
          <w:bCs/>
          <w:sz w:val="24"/>
          <w:szCs w:val="24"/>
        </w:rPr>
        <w:t>潘世雷先生，</w:t>
      </w:r>
      <w:r>
        <w:rPr>
          <w:rFonts w:ascii="宋体" w:hAnsi="宋体" w:cs="宋体" w:eastAsia="宋体" w:hint="default"/>
          <w:sz w:val="24"/>
          <w:szCs w:val="24"/>
        </w:rPr>
        <w:t>本公司董事、副总经理。参见董事简介。</w:t>
      </w:r>
    </w:p>
    <w:p>
      <w:pPr>
        <w:spacing w:after="0" w:line="357" w:lineRule="auto"/>
        <w:jc w:val="left"/>
        <w:rPr>
          <w:rFonts w:ascii="宋体" w:hAnsi="宋体" w:cs="宋体" w:eastAsia="宋体" w:hint="default"/>
          <w:sz w:val="24"/>
          <w:szCs w:val="24"/>
        </w:rPr>
        <w:sectPr>
          <w:pgSz w:w="11910" w:h="16840"/>
          <w:pgMar w:header="876" w:footer="1186" w:top="1100" w:bottom="1380" w:left="1300" w:right="1220"/>
        </w:sectPr>
      </w:pPr>
    </w:p>
    <w:p>
      <w:pPr>
        <w:spacing w:line="240" w:lineRule="auto" w:before="12"/>
        <w:rPr>
          <w:rFonts w:ascii="宋体" w:hAnsi="宋体" w:cs="宋体" w:eastAsia="宋体" w:hint="default"/>
          <w:sz w:val="25"/>
          <w:szCs w:val="25"/>
        </w:rPr>
      </w:pPr>
    </w:p>
    <w:p>
      <w:pPr>
        <w:pStyle w:val="BodyText"/>
        <w:spacing w:line="357" w:lineRule="auto" w:before="26"/>
        <w:ind w:right="320" w:firstLine="420"/>
        <w:jc w:val="left"/>
      </w:pPr>
      <w:r>
        <w:rPr>
          <w:rFonts w:ascii="宋体" w:hAnsi="宋体" w:cs="宋体" w:eastAsia="宋体" w:hint="default"/>
          <w:b/>
          <w:bCs/>
        </w:rPr>
        <w:t>许俊峰先生，</w:t>
      </w:r>
      <w:r>
        <w:rPr/>
        <w:t>中国国籍，</w:t>
      </w:r>
      <w:r>
        <w:rPr>
          <w:rFonts w:ascii="宋体" w:hAnsi="宋体" w:cs="宋体" w:eastAsia="宋体" w:hint="default"/>
        </w:rPr>
        <w:t>1965</w:t>
      </w:r>
      <w:r>
        <w:rPr>
          <w:rFonts w:ascii="宋体" w:hAnsi="宋体" w:cs="宋体" w:eastAsia="宋体" w:hint="default"/>
          <w:spacing w:val="-63"/>
        </w:rPr>
        <w:t> </w:t>
      </w:r>
      <w:r>
        <w:rPr/>
        <w:t>年生，大学学历。毕业于上海交通大学应用数学系。 </w:t>
      </w:r>
      <w:r>
        <w:rPr>
          <w:spacing w:val="-3"/>
        </w:rPr>
        <w:t>曾任职于上海市地下建筑设计院、上海中立计算机有限公司（公司前身）、日本系统创</w:t>
      </w:r>
      <w:r>
        <w:rPr>
          <w:spacing w:val="-114"/>
        </w:rPr>
        <w:t> </w:t>
      </w:r>
      <w:r>
        <w:rPr>
          <w:spacing w:val="-114"/>
        </w:rPr>
      </w:r>
      <w:r>
        <w:rPr>
          <w:spacing w:val="-3"/>
        </w:rPr>
        <w:t>造株式会社。历任申软计算机技术有限公司副总经理；中讯申软计算机技术有限公司副</w:t>
      </w:r>
      <w:r>
        <w:rPr>
          <w:spacing w:val="-112"/>
        </w:rPr>
        <w:t> </w:t>
      </w:r>
      <w:r>
        <w:rPr>
          <w:spacing w:val="-112"/>
        </w:rPr>
      </w:r>
      <w:r>
        <w:rPr/>
        <w:t>总经理、总经理、副董事长、董事长；日本中讯大阪支社支社长。</w:t>
      </w:r>
      <w:r>
        <w:rPr>
          <w:rFonts w:ascii="宋体" w:hAnsi="宋体" w:cs="宋体" w:eastAsia="宋体" w:hint="default"/>
        </w:rPr>
        <w:t>2009</w:t>
      </w:r>
      <w:r>
        <w:rPr>
          <w:rFonts w:ascii="宋体" w:hAnsi="宋体" w:cs="宋体" w:eastAsia="宋体" w:hint="default"/>
          <w:spacing w:val="-33"/>
        </w:rPr>
        <w:t> </w:t>
      </w:r>
      <w:r>
        <w:rPr/>
        <w:t>年</w:t>
      </w:r>
      <w:r>
        <w:rPr>
          <w:spacing w:val="-34"/>
        </w:rPr>
        <w:t> </w:t>
      </w:r>
      <w:r>
        <w:rPr>
          <w:rFonts w:ascii="宋体" w:hAnsi="宋体" w:cs="宋体" w:eastAsia="宋体" w:hint="default"/>
        </w:rPr>
        <w:t>5</w:t>
      </w:r>
      <w:r>
        <w:rPr>
          <w:rFonts w:ascii="宋体" w:hAnsi="宋体" w:cs="宋体" w:eastAsia="宋体" w:hint="default"/>
          <w:spacing w:val="-34"/>
        </w:rPr>
        <w:t> </w:t>
      </w:r>
      <w:r>
        <w:rPr/>
        <w:t>月进入公 </w:t>
      </w:r>
      <w:r>
        <w:rPr>
          <w:spacing w:val="-3"/>
        </w:rPr>
        <w:t>司，历任第二海外开发事业本部副本部长、第一海外开发事业本部本部长、日本海隆株</w:t>
      </w:r>
      <w:r>
        <w:rPr>
          <w:spacing w:val="-107"/>
        </w:rPr>
        <w:t> </w:t>
      </w:r>
      <w:r>
        <w:rPr>
          <w:spacing w:val="-107"/>
        </w:rPr>
      </w:r>
      <w:r>
        <w:rPr/>
        <w:t>式会社营业本部长，现任本公司副总经理。</w:t>
      </w:r>
    </w:p>
    <w:p>
      <w:pPr>
        <w:pStyle w:val="BodyText"/>
        <w:spacing w:line="357" w:lineRule="auto"/>
        <w:ind w:right="428" w:firstLine="472"/>
        <w:jc w:val="both"/>
      </w:pPr>
      <w:r>
        <w:rPr>
          <w:rFonts w:ascii="宋体" w:hAnsi="宋体" w:cs="宋体" w:eastAsia="宋体" w:hint="default"/>
          <w:b/>
          <w:bCs/>
        </w:rPr>
        <w:t>李静女士，</w:t>
      </w:r>
      <w:r>
        <w:rPr/>
        <w:t>中国国籍，</w:t>
      </w:r>
      <w:r>
        <w:rPr>
          <w:rFonts w:ascii="宋体" w:hAnsi="宋体" w:cs="宋体" w:eastAsia="宋体" w:hint="default"/>
        </w:rPr>
        <w:t>1961 </w:t>
      </w:r>
      <w:r>
        <w:rPr/>
        <w:t>年生，研究生学历。</w:t>
      </w:r>
      <w:r>
        <w:rPr>
          <w:rFonts w:ascii="宋体" w:hAnsi="宋体" w:cs="宋体" w:eastAsia="宋体" w:hint="default"/>
        </w:rPr>
        <w:t>1982</w:t>
      </w:r>
      <w:r>
        <w:rPr>
          <w:rFonts w:ascii="宋体" w:hAnsi="宋体" w:cs="宋体" w:eastAsia="宋体" w:hint="default"/>
          <w:spacing w:val="-89"/>
        </w:rPr>
        <w:t> </w:t>
      </w:r>
      <w:r>
        <w:rPr/>
        <w:t>年毕业于西安交通大学信息 与控制工程系，</w:t>
      </w:r>
      <w:r>
        <w:rPr>
          <w:rFonts w:ascii="宋体" w:hAnsi="宋体" w:cs="宋体" w:eastAsia="宋体" w:hint="default"/>
        </w:rPr>
        <w:t>1986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月获日本京都大学工学硕士学位。</w:t>
      </w:r>
      <w:r>
        <w:rPr>
          <w:rFonts w:ascii="宋体" w:hAnsi="宋体" w:cs="宋体" w:eastAsia="宋体" w:hint="default"/>
        </w:rPr>
        <w:t>1989</w:t>
      </w:r>
      <w:r>
        <w:rPr>
          <w:rFonts w:ascii="宋体" w:hAnsi="宋体" w:cs="宋体" w:eastAsia="宋体" w:hint="default"/>
          <w:spacing w:val="-54"/>
        </w:rPr>
        <w:t> </w:t>
      </w:r>
      <w:r>
        <w:rPr/>
        <w:t>年进入本公司，历任 </w:t>
      </w:r>
      <w:r>
        <w:rPr>
          <w:spacing w:val="-3"/>
        </w:rPr>
        <w:t>日本软件外包业务担当（日本），开发管理科科长、业务企划部部长。现任本公司副总</w:t>
      </w:r>
      <w:r>
        <w:rPr>
          <w:spacing w:val="-104"/>
        </w:rPr>
        <w:t> </w:t>
      </w:r>
      <w:r>
        <w:rPr>
          <w:spacing w:val="-104"/>
        </w:rPr>
      </w:r>
      <w:r>
        <w:rPr/>
        <w:t>经理、董事会秘书、总经理办公室主任。</w:t>
      </w:r>
    </w:p>
    <w:p>
      <w:pPr>
        <w:pStyle w:val="BodyText"/>
        <w:spacing w:line="357" w:lineRule="auto"/>
        <w:ind w:right="400" w:firstLine="420"/>
        <w:jc w:val="both"/>
      </w:pPr>
      <w:r>
        <w:rPr>
          <w:rFonts w:ascii="宋体" w:hAnsi="宋体" w:cs="宋体" w:eastAsia="宋体" w:hint="default"/>
          <w:b/>
          <w:bCs/>
        </w:rPr>
        <w:t>董樑先生，</w:t>
      </w:r>
      <w:r>
        <w:rPr/>
        <w:t>中国国籍，</w:t>
      </w:r>
      <w:r>
        <w:rPr>
          <w:rFonts w:ascii="宋体" w:hAnsi="宋体" w:cs="宋体" w:eastAsia="宋体" w:hint="default"/>
        </w:rPr>
        <w:t>1970 </w:t>
      </w:r>
      <w:r>
        <w:rPr/>
        <w:t>年生，大学学历。</w:t>
      </w:r>
      <w:r>
        <w:rPr>
          <w:rFonts w:ascii="宋体" w:hAnsi="宋体" w:cs="宋体" w:eastAsia="宋体" w:hint="default"/>
        </w:rPr>
        <w:t>1991</w:t>
      </w:r>
      <w:r>
        <w:rPr>
          <w:rFonts w:ascii="宋体" w:hAnsi="宋体" w:cs="宋体" w:eastAsia="宋体" w:hint="default"/>
          <w:spacing w:val="-35"/>
        </w:rPr>
        <w:t> </w:t>
      </w:r>
      <w:r>
        <w:rPr/>
        <w:t>年大专毕业于上海大学国际商 学院，</w:t>
      </w:r>
      <w:r>
        <w:rPr>
          <w:rFonts w:ascii="宋体" w:hAnsi="宋体" w:cs="宋体" w:eastAsia="宋体" w:hint="default"/>
        </w:rPr>
        <w:t>2001</w:t>
      </w:r>
      <w:r>
        <w:rPr>
          <w:rFonts w:ascii="宋体" w:hAnsi="宋体" w:cs="宋体" w:eastAsia="宋体" w:hint="default"/>
          <w:spacing w:val="17"/>
        </w:rPr>
        <w:t> </w:t>
      </w:r>
      <w:r>
        <w:rPr/>
        <w:t>年本科毕业于华东师范大学金融学专业。曾任有色金属总公司上海分公司</w:t>
      </w:r>
      <w:r>
        <w:rPr>
          <w:spacing w:val="-115"/>
        </w:rPr>
        <w:t> </w:t>
      </w:r>
      <w:r>
        <w:rPr>
          <w:spacing w:val="-115"/>
        </w:rPr>
      </w:r>
      <w:r>
        <w:rPr/>
        <w:t>业务人员，</w:t>
      </w:r>
      <w:r>
        <w:rPr>
          <w:rFonts w:ascii="宋体" w:hAnsi="宋体" w:cs="宋体" w:eastAsia="宋体" w:hint="default"/>
        </w:rPr>
        <w:t>1996</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t>月进入本公司。历任会计、会计主管，现任本公司财务负责人。</w:t>
      </w:r>
    </w:p>
    <w:p>
      <w:pPr>
        <w:spacing w:line="240" w:lineRule="auto" w:before="2"/>
        <w:rPr>
          <w:rFonts w:ascii="宋体" w:hAnsi="宋体" w:cs="宋体" w:eastAsia="宋体" w:hint="default"/>
          <w:sz w:val="21"/>
          <w:szCs w:val="21"/>
        </w:rPr>
      </w:pPr>
    </w:p>
    <w:p>
      <w:pPr>
        <w:pStyle w:val="Heading3"/>
        <w:spacing w:line="240" w:lineRule="auto" w:before="0"/>
        <w:ind w:right="320"/>
        <w:jc w:val="left"/>
        <w:rPr>
          <w:b w:val="0"/>
          <w:bCs w:val="0"/>
        </w:rPr>
      </w:pPr>
      <w:r>
        <w:rPr>
          <w:rFonts w:ascii="宋体" w:hAnsi="宋体" w:cs="宋体" w:eastAsia="宋体" w:hint="default"/>
        </w:rPr>
        <w:t>4</w:t>
      </w:r>
      <w:r>
        <w:rPr/>
        <w:t>、公司董事、监事、高级管理人员在股东单位的任职情况</w:t>
      </w:r>
      <w:r>
        <w:rPr>
          <w:b w:val="0"/>
          <w:bCs w:val="0"/>
        </w:rPr>
      </w:r>
    </w:p>
    <w:p>
      <w:pPr>
        <w:spacing w:line="240" w:lineRule="auto" w:before="10"/>
        <w:rPr>
          <w:rFonts w:ascii="宋体" w:hAnsi="宋体" w:cs="宋体" w:eastAsia="宋体" w:hint="default"/>
          <w:b/>
          <w:bCs/>
          <w:sz w:val="8"/>
          <w:szCs w:val="8"/>
        </w:rPr>
      </w:pPr>
    </w:p>
    <w:tbl>
      <w:tblPr>
        <w:tblW w:w="0" w:type="auto"/>
        <w:jc w:val="left"/>
        <w:tblInd w:w="178" w:type="dxa"/>
        <w:tblLayout w:type="fixed"/>
        <w:tblCellMar>
          <w:top w:w="0" w:type="dxa"/>
          <w:left w:w="0" w:type="dxa"/>
          <w:bottom w:w="0" w:type="dxa"/>
          <w:right w:w="0" w:type="dxa"/>
        </w:tblCellMar>
        <w:tblLook w:val="01E0"/>
      </w:tblPr>
      <w:tblGrid>
        <w:gridCol w:w="1702"/>
        <w:gridCol w:w="3118"/>
        <w:gridCol w:w="2127"/>
        <w:gridCol w:w="2379"/>
      </w:tblGrid>
      <w:tr>
        <w:trPr>
          <w:trHeight w:val="324" w:hRule="exact"/>
        </w:trPr>
        <w:tc>
          <w:tcPr>
            <w:tcW w:w="1702"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118"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62" w:lineRule="exact"/>
              <w:ind w:left="818" w:right="0"/>
              <w:jc w:val="left"/>
              <w:rPr>
                <w:rFonts w:ascii="宋体" w:hAnsi="宋体" w:cs="宋体" w:eastAsia="宋体" w:hint="default"/>
                <w:sz w:val="21"/>
                <w:szCs w:val="21"/>
              </w:rPr>
            </w:pPr>
            <w:r>
              <w:rPr>
                <w:rFonts w:ascii="宋体" w:hAnsi="宋体" w:cs="宋体" w:eastAsia="宋体" w:hint="default"/>
                <w:sz w:val="21"/>
                <w:szCs w:val="21"/>
              </w:rPr>
              <w:t>任职的股东单位</w:t>
            </w:r>
          </w:p>
        </w:tc>
        <w:tc>
          <w:tcPr>
            <w:tcW w:w="2127"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62" w:lineRule="exact"/>
              <w:ind w:left="430" w:right="0"/>
              <w:jc w:val="left"/>
              <w:rPr>
                <w:rFonts w:ascii="宋体" w:hAnsi="宋体" w:cs="宋体" w:eastAsia="宋体" w:hint="default"/>
                <w:sz w:val="21"/>
                <w:szCs w:val="21"/>
              </w:rPr>
            </w:pPr>
            <w:r>
              <w:rPr>
                <w:rFonts w:ascii="宋体" w:hAnsi="宋体" w:cs="宋体" w:eastAsia="宋体" w:hint="default"/>
                <w:sz w:val="21"/>
                <w:szCs w:val="21"/>
              </w:rPr>
              <w:t>股东单位职务</w:t>
            </w:r>
          </w:p>
        </w:tc>
        <w:tc>
          <w:tcPr>
            <w:tcW w:w="2379"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62" w:lineRule="exact"/>
              <w:ind w:left="763" w:right="0"/>
              <w:jc w:val="left"/>
              <w:rPr>
                <w:rFonts w:ascii="宋体" w:hAnsi="宋体" w:cs="宋体" w:eastAsia="宋体" w:hint="default"/>
                <w:sz w:val="21"/>
                <w:szCs w:val="21"/>
              </w:rPr>
            </w:pPr>
            <w:r>
              <w:rPr>
                <w:rFonts w:ascii="宋体" w:hAnsi="宋体" w:cs="宋体" w:eastAsia="宋体" w:hint="default"/>
                <w:sz w:val="21"/>
                <w:szCs w:val="21"/>
              </w:rPr>
              <w:t>任职期间</w:t>
            </w:r>
          </w:p>
        </w:tc>
      </w:tr>
      <w:tr>
        <w:trPr>
          <w:trHeight w:val="326" w:hRule="exact"/>
        </w:trPr>
        <w:tc>
          <w:tcPr>
            <w:tcW w:w="1702"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3118"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上海慧盛创业投资有限公司</w:t>
            </w:r>
          </w:p>
        </w:tc>
        <w:tc>
          <w:tcPr>
            <w:tcW w:w="2127"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9"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日至今</w:t>
            </w:r>
          </w:p>
        </w:tc>
      </w:tr>
      <w:tr>
        <w:trPr>
          <w:trHeight w:val="326" w:hRule="exact"/>
        </w:trPr>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3118"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上海慧盛创业投资有限公司</w:t>
            </w:r>
          </w:p>
        </w:tc>
        <w:tc>
          <w:tcPr>
            <w:tcW w:w="2127"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6" w:right="0"/>
              <w:jc w:val="left"/>
              <w:rPr>
                <w:rFonts w:ascii="宋体" w:hAnsi="宋体" w:cs="宋体" w:eastAsia="宋体" w:hint="default"/>
                <w:sz w:val="21"/>
                <w:szCs w:val="21"/>
              </w:rPr>
            </w:pPr>
            <w:r>
              <w:rPr>
                <w:rFonts w:ascii="宋体" w:hAnsi="宋体" w:cs="宋体" w:eastAsia="宋体" w:hint="default"/>
                <w:sz w:val="21"/>
                <w:szCs w:val="21"/>
              </w:rPr>
              <w:t>资产经营部经理</w:t>
            </w:r>
          </w:p>
        </w:tc>
        <w:tc>
          <w:tcPr>
            <w:tcW w:w="2379"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日至今</w:t>
            </w:r>
          </w:p>
        </w:tc>
      </w:tr>
    </w:tbl>
    <w:p>
      <w:pPr>
        <w:spacing w:line="240" w:lineRule="auto" w:before="5"/>
        <w:rPr>
          <w:rFonts w:ascii="宋体" w:hAnsi="宋体" w:cs="宋体" w:eastAsia="宋体" w:hint="default"/>
          <w:b/>
          <w:bCs/>
          <w:sz w:val="19"/>
          <w:szCs w:val="19"/>
        </w:rPr>
      </w:pPr>
    </w:p>
    <w:p>
      <w:pPr>
        <w:pStyle w:val="Heading3"/>
        <w:spacing w:line="240" w:lineRule="auto"/>
        <w:ind w:right="320"/>
        <w:jc w:val="left"/>
        <w:rPr>
          <w:b w:val="0"/>
          <w:bCs w:val="0"/>
        </w:rPr>
      </w:pPr>
      <w:r>
        <w:rPr>
          <w:rFonts w:ascii="宋体" w:hAnsi="宋体" w:cs="宋体" w:eastAsia="宋体" w:hint="default"/>
        </w:rPr>
        <w:t>5</w:t>
      </w:r>
      <w:r>
        <w:rPr/>
        <w:t>、公司董事、监事、高级管理人员在其他单位的任职情况</w:t>
      </w:r>
      <w:r>
        <w:rPr>
          <w:b w:val="0"/>
          <w:bCs w:val="0"/>
        </w:rPr>
      </w:r>
    </w:p>
    <w:p>
      <w:pPr>
        <w:spacing w:line="240" w:lineRule="auto" w:before="10"/>
        <w:rPr>
          <w:rFonts w:ascii="宋体" w:hAnsi="宋体" w:cs="宋体" w:eastAsia="宋体" w:hint="default"/>
          <w:b/>
          <w:bCs/>
          <w:sz w:val="8"/>
          <w:szCs w:val="8"/>
        </w:rPr>
      </w:pPr>
    </w:p>
    <w:tbl>
      <w:tblPr>
        <w:tblW w:w="0" w:type="auto"/>
        <w:jc w:val="left"/>
        <w:tblInd w:w="174" w:type="dxa"/>
        <w:tblLayout w:type="fixed"/>
        <w:tblCellMar>
          <w:top w:w="0" w:type="dxa"/>
          <w:left w:w="0" w:type="dxa"/>
          <w:bottom w:w="0" w:type="dxa"/>
          <w:right w:w="0" w:type="dxa"/>
        </w:tblCellMar>
        <w:tblLook w:val="01E0"/>
      </w:tblPr>
      <w:tblGrid>
        <w:gridCol w:w="895"/>
        <w:gridCol w:w="1121"/>
        <w:gridCol w:w="5586"/>
        <w:gridCol w:w="1723"/>
      </w:tblGrid>
      <w:tr>
        <w:trPr>
          <w:trHeight w:val="643" w:hRule="exact"/>
        </w:trPr>
        <w:tc>
          <w:tcPr>
            <w:tcW w:w="895"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2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3" w:lineRule="auto"/>
              <w:ind w:left="446" w:right="125" w:hanging="315"/>
              <w:jc w:val="left"/>
              <w:rPr>
                <w:rFonts w:ascii="宋体" w:hAnsi="宋体" w:cs="宋体" w:eastAsia="宋体" w:hint="default"/>
                <w:sz w:val="21"/>
                <w:szCs w:val="21"/>
              </w:rPr>
            </w:pPr>
            <w:r>
              <w:rPr>
                <w:rFonts w:ascii="宋体" w:hAnsi="宋体" w:cs="宋体" w:eastAsia="宋体" w:hint="default"/>
                <w:sz w:val="21"/>
                <w:szCs w:val="21"/>
              </w:rPr>
              <w:t>本公司职</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558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其他单位任职情况</w:t>
            </w:r>
          </w:p>
        </w:tc>
        <w:tc>
          <w:tcPr>
            <w:tcW w:w="172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兼职单位与公司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的关联关系</w:t>
            </w:r>
          </w:p>
        </w:tc>
      </w:tr>
      <w:tr>
        <w:trPr>
          <w:trHeight w:val="677" w:hRule="exact"/>
        </w:trPr>
        <w:tc>
          <w:tcPr>
            <w:tcW w:w="89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121"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73" w:lineRule="auto"/>
              <w:ind w:left="100" w:right="156"/>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55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4"/>
              <w:ind w:left="98" w:right="1681"/>
              <w:jc w:val="left"/>
              <w:rPr>
                <w:rFonts w:ascii="宋体" w:hAnsi="宋体" w:cs="宋体" w:eastAsia="宋体" w:hint="default"/>
                <w:sz w:val="21"/>
                <w:szCs w:val="21"/>
              </w:rPr>
            </w:pPr>
            <w:r>
              <w:rPr>
                <w:rFonts w:ascii="宋体" w:hAnsi="宋体" w:cs="宋体" w:eastAsia="宋体" w:hint="default"/>
                <w:spacing w:val="-2"/>
                <w:sz w:val="21"/>
                <w:szCs w:val="21"/>
              </w:rPr>
              <w:t>上海华钟计算机软件开发有限公司董事、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上海海隆宜通信息技术有限公司董事长</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left="98"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r>
        <w:trPr>
          <w:trHeight w:val="701" w:hRule="exact"/>
        </w:trPr>
        <w:tc>
          <w:tcPr>
            <w:tcW w:w="895" w:type="dxa"/>
            <w:vMerge/>
            <w:tcBorders>
              <w:left w:val="single" w:sz="8" w:space="0" w:color="000000"/>
              <w:bottom w:val="single" w:sz="8" w:space="0" w:color="000000"/>
              <w:right w:val="single" w:sz="8" w:space="0" w:color="000000"/>
            </w:tcBorders>
          </w:tcPr>
          <w:p>
            <w:pPr/>
          </w:p>
        </w:tc>
        <w:tc>
          <w:tcPr>
            <w:tcW w:w="1121" w:type="dxa"/>
            <w:vMerge/>
            <w:tcBorders>
              <w:left w:val="single" w:sz="8" w:space="0" w:color="000000"/>
              <w:bottom w:val="single" w:sz="8" w:space="0" w:color="000000"/>
              <w:right w:val="single" w:sz="8" w:space="0" w:color="000000"/>
            </w:tcBorders>
          </w:tcPr>
          <w:p>
            <w:pPr/>
          </w:p>
        </w:tc>
        <w:tc>
          <w:tcPr>
            <w:tcW w:w="55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6"/>
              <w:ind w:left="98" w:right="2101"/>
              <w:jc w:val="left"/>
              <w:rPr>
                <w:rFonts w:ascii="宋体" w:hAnsi="宋体" w:cs="宋体" w:eastAsia="宋体" w:hint="default"/>
                <w:sz w:val="21"/>
                <w:szCs w:val="21"/>
              </w:rPr>
            </w:pPr>
            <w:r>
              <w:rPr>
                <w:rFonts w:ascii="宋体" w:hAnsi="宋体" w:cs="宋体" w:eastAsia="宋体" w:hint="default"/>
                <w:spacing w:val="-2"/>
                <w:sz w:val="21"/>
                <w:szCs w:val="21"/>
              </w:rPr>
              <w:t>日本海隆株式会社董事长兼总经理、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江苏海隆软件技术有限公司董事长</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98" w:right="0"/>
              <w:jc w:val="left"/>
              <w:rPr>
                <w:rFonts w:ascii="宋体" w:hAnsi="宋体" w:cs="宋体" w:eastAsia="宋体" w:hint="default"/>
                <w:sz w:val="21"/>
                <w:szCs w:val="21"/>
              </w:rPr>
            </w:pPr>
            <w:r>
              <w:rPr>
                <w:rFonts w:ascii="宋体" w:hAnsi="宋体" w:cs="宋体" w:eastAsia="宋体" w:hint="default"/>
                <w:sz w:val="21"/>
                <w:szCs w:val="21"/>
              </w:rPr>
              <w:t>公司全资子公司</w:t>
            </w:r>
          </w:p>
        </w:tc>
      </w:tr>
      <w:tr>
        <w:trPr>
          <w:trHeight w:val="334" w:hRule="exact"/>
        </w:trPr>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唐长钧</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58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上海华钟计算机软件开发有限公司副董事长</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r>
        <w:trPr>
          <w:trHeight w:val="643" w:hRule="exact"/>
        </w:trPr>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朱玉旭</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58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92"/>
              <w:jc w:val="left"/>
              <w:rPr>
                <w:rFonts w:ascii="宋体" w:hAnsi="宋体" w:cs="宋体" w:eastAsia="宋体" w:hint="default"/>
                <w:sz w:val="21"/>
                <w:szCs w:val="21"/>
              </w:rPr>
            </w:pPr>
            <w:r>
              <w:rPr>
                <w:rFonts w:ascii="宋体" w:hAnsi="宋体" w:cs="宋体" w:eastAsia="宋体" w:hint="default"/>
                <w:spacing w:val="-5"/>
                <w:sz w:val="21"/>
                <w:szCs w:val="21"/>
              </w:rPr>
              <w:t>交大产业集团总会计师、上海豫瑞创业投资合伙企业（有限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合伙）执行合伙人、上海艾云创业投资管理有限公司董事长</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详见第十一节</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《重大事项》</w:t>
            </w:r>
          </w:p>
        </w:tc>
      </w:tr>
      <w:tr>
        <w:trPr>
          <w:trHeight w:val="332" w:hRule="exact"/>
        </w:trPr>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何积丰</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8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华东师范大学软件学院院长、博士生导师</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334" w:hRule="exact"/>
        </w:trPr>
        <w:tc>
          <w:tcPr>
            <w:tcW w:w="89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陈乐波</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8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上海特能市场推广有限公司董事</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569" w:hRule="exact"/>
        </w:trPr>
        <w:tc>
          <w:tcPr>
            <w:tcW w:w="89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高美萍</w:t>
            </w:r>
          </w:p>
        </w:tc>
        <w:tc>
          <w:tcPr>
            <w:tcW w:w="112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58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上海汇青会计师事务所项目经理</w:t>
            </w:r>
          </w:p>
        </w:tc>
        <w:tc>
          <w:tcPr>
            <w:tcW w:w="172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0"/>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641" w:hRule="exact"/>
        </w:trPr>
        <w:tc>
          <w:tcPr>
            <w:tcW w:w="89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周颖</w:t>
            </w:r>
          </w:p>
        </w:tc>
        <w:tc>
          <w:tcPr>
            <w:tcW w:w="112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58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上海艾云创业投资管理有限公司副总经理</w:t>
            </w:r>
          </w:p>
        </w:tc>
        <w:tc>
          <w:tcPr>
            <w:tcW w:w="1723" w:type="dxa"/>
            <w:tcBorders>
              <w:top w:val="single" w:sz="4" w:space="0" w:color="000000"/>
              <w:left w:val="single" w:sz="8" w:space="0" w:color="000000"/>
              <w:bottom w:val="single" w:sz="8" w:space="0" w:color="000000"/>
              <w:right w:val="single" w:sz="8"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详见第十一节</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《重大事项》</w:t>
            </w:r>
          </w:p>
        </w:tc>
      </w:tr>
    </w:tbl>
    <w:p>
      <w:pPr>
        <w:spacing w:after="0" w:line="240" w:lineRule="auto"/>
        <w:jc w:val="left"/>
        <w:rPr>
          <w:rFonts w:ascii="宋体" w:hAnsi="宋体" w:cs="宋体" w:eastAsia="宋体" w:hint="default"/>
          <w:sz w:val="21"/>
          <w:szCs w:val="21"/>
        </w:rPr>
        <w:sectPr>
          <w:pgSz w:w="11910" w:h="16840"/>
          <w:pgMar w:header="876" w:footer="1186" w:top="1100" w:bottom="1380" w:left="1300" w:right="960"/>
        </w:sectPr>
      </w:pPr>
    </w:p>
    <w:p>
      <w:pPr>
        <w:spacing w:line="240" w:lineRule="auto" w:before="12"/>
        <w:rPr>
          <w:rFonts w:ascii="宋体" w:hAnsi="宋体" w:cs="宋体" w:eastAsia="宋体" w:hint="default"/>
          <w:b/>
          <w:bCs/>
          <w:sz w:val="25"/>
          <w:szCs w:val="25"/>
        </w:rPr>
      </w:pPr>
    </w:p>
    <w:p>
      <w:pPr>
        <w:pStyle w:val="Heading3"/>
        <w:spacing w:line="240" w:lineRule="auto"/>
        <w:ind w:right="858"/>
        <w:jc w:val="left"/>
        <w:rPr>
          <w:b w:val="0"/>
          <w:bCs w:val="0"/>
        </w:rPr>
      </w:pPr>
      <w:r>
        <w:rPr/>
        <w:t>（三）报告期内公司董事、监事、高级管理人员变动情况</w:t>
      </w:r>
      <w:r>
        <w:rPr>
          <w:b w:val="0"/>
          <w:bCs w:val="0"/>
        </w:rPr>
      </w:r>
    </w:p>
    <w:p>
      <w:pPr>
        <w:pStyle w:val="BodyText"/>
        <w:spacing w:line="240" w:lineRule="auto" w:before="154"/>
        <w:ind w:left="603" w:right="858"/>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11</w:t>
      </w:r>
      <w:r>
        <w:rPr>
          <w:rFonts w:ascii="宋体" w:hAnsi="宋体" w:cs="宋体" w:eastAsia="宋体" w:hint="default"/>
          <w:spacing w:val="-61"/>
        </w:rPr>
        <w:t> </w:t>
      </w:r>
      <w:r>
        <w:rPr/>
        <w:t>日，公司召开第四届董事会第六次会议审议通过了：</w:t>
      </w:r>
    </w:p>
    <w:p>
      <w:pPr>
        <w:pStyle w:val="BodyText"/>
        <w:spacing w:line="240" w:lineRule="auto" w:before="154"/>
        <w:ind w:left="560" w:right="858"/>
        <w:jc w:val="left"/>
      </w:pPr>
      <w:r>
        <w:rPr/>
        <w:t>（</w:t>
      </w:r>
      <w:r>
        <w:rPr>
          <w:rFonts w:ascii="宋体" w:hAnsi="宋体" w:cs="宋体" w:eastAsia="宋体" w:hint="default"/>
        </w:rPr>
        <w:t>1</w:t>
      </w:r>
      <w:r>
        <w:rPr/>
        <w:t>）陆庆先生辞去第四届董事会董事及公司副总经理职务；</w:t>
      </w:r>
    </w:p>
    <w:p>
      <w:pPr>
        <w:pStyle w:val="BodyText"/>
        <w:spacing w:line="240" w:lineRule="auto" w:before="154"/>
        <w:ind w:left="560" w:right="858"/>
        <w:jc w:val="left"/>
      </w:pPr>
      <w:r>
        <w:rPr/>
        <w:t>（</w:t>
      </w:r>
      <w:r>
        <w:rPr>
          <w:rFonts w:ascii="宋体" w:hAnsi="宋体" w:cs="宋体" w:eastAsia="宋体" w:hint="default"/>
        </w:rPr>
        <w:t>2</w:t>
      </w:r>
      <w:r>
        <w:rPr/>
        <w:t>）聘任许俊峰先生为公司副总经理；</w:t>
      </w:r>
    </w:p>
    <w:p>
      <w:pPr>
        <w:pStyle w:val="BodyText"/>
        <w:spacing w:line="357" w:lineRule="auto" w:before="154"/>
        <w:ind w:right="858" w:firstLine="376"/>
        <w:jc w:val="left"/>
      </w:pPr>
      <w:r>
        <w:rPr>
          <w:spacing w:val="-3"/>
        </w:rPr>
        <w:t>（</w:t>
      </w:r>
      <w:r>
        <w:rPr>
          <w:rFonts w:ascii="宋体" w:hAnsi="宋体" w:cs="宋体" w:eastAsia="宋体" w:hint="default"/>
          <w:spacing w:val="-3"/>
        </w:rPr>
        <w:t>3</w:t>
      </w:r>
      <w:r>
        <w:rPr>
          <w:spacing w:val="-3"/>
        </w:rPr>
        <w:t>）公司副总经理张再雄先生任期已满，公司另有工作安排，不再担任副总经理职</w:t>
      </w:r>
      <w:r>
        <w:rPr/>
        <w:t> 务。</w:t>
      </w:r>
    </w:p>
    <w:p>
      <w:pPr>
        <w:pStyle w:val="BodyText"/>
        <w:spacing w:line="357" w:lineRule="auto"/>
        <w:ind w:right="856" w:firstLine="420"/>
        <w:jc w:val="left"/>
      </w:pPr>
      <w:r>
        <w:rPr>
          <w:rFonts w:ascii="宋体" w:hAnsi="宋体" w:cs="宋体" w:eastAsia="宋体" w:hint="default"/>
          <w:spacing w:val="-8"/>
        </w:rPr>
        <w:t>2</w:t>
      </w:r>
      <w:r>
        <w:rPr>
          <w:spacing w:val="-8"/>
        </w:rPr>
        <w:t>、</w:t>
      </w:r>
      <w:r>
        <w:rPr>
          <w:rFonts w:ascii="宋体" w:hAnsi="宋体" w:cs="宋体" w:eastAsia="宋体" w:hint="default"/>
          <w:spacing w:val="-8"/>
        </w:rPr>
        <w:t>2011</w:t>
      </w:r>
      <w:r>
        <w:rPr>
          <w:rFonts w:ascii="宋体" w:hAnsi="宋体" w:cs="宋体" w:eastAsia="宋体" w:hint="default"/>
          <w:spacing w:val="-69"/>
        </w:rPr>
        <w:t> </w:t>
      </w:r>
      <w:r>
        <w:rPr/>
        <w:t>年</w:t>
      </w:r>
      <w:r>
        <w:rPr>
          <w:spacing w:val="-69"/>
        </w:rPr>
        <w:t> </w:t>
      </w:r>
      <w:r>
        <w:rPr>
          <w:rFonts w:ascii="宋体" w:hAnsi="宋体" w:cs="宋体" w:eastAsia="宋体" w:hint="default"/>
        </w:rPr>
        <w:t>4</w:t>
      </w:r>
      <w:r>
        <w:rPr>
          <w:rFonts w:ascii="宋体" w:hAnsi="宋体" w:cs="宋体" w:eastAsia="宋体" w:hint="default"/>
          <w:spacing w:val="-69"/>
        </w:rPr>
        <w:t> </w:t>
      </w:r>
      <w:r>
        <w:rPr/>
        <w:t>月</w:t>
      </w:r>
      <w:r>
        <w:rPr>
          <w:spacing w:val="-69"/>
        </w:rPr>
        <w:t> </w:t>
      </w:r>
      <w:r>
        <w:rPr>
          <w:rFonts w:ascii="宋体" w:hAnsi="宋体" w:cs="宋体" w:eastAsia="宋体" w:hint="default"/>
        </w:rPr>
        <w:t>11</w:t>
      </w:r>
      <w:r>
        <w:rPr>
          <w:rFonts w:ascii="宋体" w:hAnsi="宋体" w:cs="宋体" w:eastAsia="宋体" w:hint="default"/>
          <w:spacing w:val="-69"/>
        </w:rPr>
        <w:t> </w:t>
      </w:r>
      <w:r>
        <w:rPr/>
        <w:t>日，公司召开第四届监事会第四次会议审议通过了梁恭杰先生辞 去公司第四届监事会监事职务。</w:t>
      </w:r>
    </w:p>
    <w:p>
      <w:pPr>
        <w:pStyle w:val="BodyText"/>
        <w:spacing w:line="357" w:lineRule="auto"/>
        <w:ind w:right="859" w:firstLine="405"/>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7"/>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日，公司召开</w:t>
      </w:r>
      <w:r>
        <w:rPr>
          <w:spacing w:val="-54"/>
        </w:rPr>
        <w:t> </w:t>
      </w:r>
      <w:r>
        <w:rPr>
          <w:rFonts w:ascii="宋体" w:hAnsi="宋体" w:cs="宋体" w:eastAsia="宋体" w:hint="default"/>
        </w:rPr>
        <w:t>2010</w:t>
      </w:r>
      <w:r>
        <w:rPr>
          <w:rFonts w:ascii="宋体" w:hAnsi="宋体" w:cs="宋体" w:eastAsia="宋体" w:hint="default"/>
          <w:spacing w:val="-54"/>
        </w:rPr>
        <w:t> </w:t>
      </w:r>
      <w:r>
        <w:rPr/>
        <w:t>年度股东大会，同意增补张强先生为第四届 董事会董事；同意增补陆庆先生为第四届监事会监事。</w:t>
      </w:r>
    </w:p>
    <w:p>
      <w:pPr>
        <w:spacing w:line="240" w:lineRule="auto" w:before="2"/>
        <w:rPr>
          <w:rFonts w:ascii="宋体" w:hAnsi="宋体" w:cs="宋体" w:eastAsia="宋体" w:hint="default"/>
          <w:sz w:val="21"/>
          <w:szCs w:val="21"/>
        </w:rPr>
      </w:pPr>
    </w:p>
    <w:p>
      <w:pPr>
        <w:pStyle w:val="Heading3"/>
        <w:spacing w:line="240" w:lineRule="auto" w:before="0"/>
        <w:ind w:right="858"/>
        <w:jc w:val="left"/>
        <w:rPr>
          <w:b w:val="0"/>
          <w:bCs w:val="0"/>
        </w:rPr>
      </w:pPr>
      <w:r>
        <w:rPr/>
        <w:t>二、公司员工情况</w:t>
      </w:r>
      <w:r>
        <w:rPr>
          <w:b w:val="0"/>
          <w:bCs w:val="0"/>
        </w:rPr>
      </w:r>
    </w:p>
    <w:p>
      <w:pPr>
        <w:pStyle w:val="BodyText"/>
        <w:spacing w:line="240" w:lineRule="auto" w:before="154"/>
        <w:ind w:left="658" w:right="0"/>
        <w:jc w:val="left"/>
      </w:pPr>
      <w:r>
        <w:rPr/>
        <w:t>截至报告期末，公司员工总数为</w:t>
      </w:r>
      <w:r>
        <w:rPr>
          <w:spacing w:val="-60"/>
        </w:rPr>
        <w:t> </w:t>
      </w:r>
      <w:r>
        <w:rPr>
          <w:rFonts w:ascii="宋体" w:hAnsi="宋体" w:cs="宋体" w:eastAsia="宋体" w:hint="default"/>
        </w:rPr>
        <w:t>1,289</w:t>
      </w:r>
      <w:r>
        <w:rPr>
          <w:rFonts w:ascii="宋体" w:hAnsi="宋体" w:cs="宋体" w:eastAsia="宋体" w:hint="default"/>
          <w:spacing w:val="-60"/>
        </w:rPr>
        <w:t> </w:t>
      </w:r>
      <w:r>
        <w:rPr/>
        <w:t>人，公司没有需要承担费用的离退休职工。</w:t>
      </w:r>
    </w:p>
    <w:p>
      <w:pPr>
        <w:pStyle w:val="Heading3"/>
        <w:spacing w:line="240" w:lineRule="auto" w:before="154"/>
        <w:ind w:right="858"/>
        <w:jc w:val="left"/>
        <w:rPr>
          <w:b w:val="0"/>
          <w:bCs w:val="0"/>
        </w:rPr>
      </w:pPr>
      <w:r>
        <w:rPr/>
        <w:t>（一）按专业结构分</w:t>
      </w:r>
      <w:r>
        <w:rPr>
          <w:b w:val="0"/>
          <w:bCs w:val="0"/>
        </w:rPr>
      </w:r>
    </w:p>
    <w:p>
      <w:pPr>
        <w:spacing w:line="240" w:lineRule="auto" w:before="10"/>
        <w:rPr>
          <w:rFonts w:ascii="宋体" w:hAnsi="宋体" w:cs="宋体" w:eastAsia="宋体" w:hint="default"/>
          <w:b/>
          <w:bCs/>
          <w:sz w:val="8"/>
          <w:szCs w:val="8"/>
        </w:rPr>
      </w:pPr>
    </w:p>
    <w:tbl>
      <w:tblPr>
        <w:tblW w:w="0" w:type="auto"/>
        <w:jc w:val="left"/>
        <w:tblInd w:w="164" w:type="dxa"/>
        <w:tblLayout w:type="fixed"/>
        <w:tblCellMar>
          <w:top w:w="0" w:type="dxa"/>
          <w:left w:w="0" w:type="dxa"/>
          <w:bottom w:w="0" w:type="dxa"/>
          <w:right w:w="0" w:type="dxa"/>
        </w:tblCellMar>
        <w:tblLook w:val="01E0"/>
      </w:tblPr>
      <w:tblGrid>
        <w:gridCol w:w="3375"/>
        <w:gridCol w:w="3161"/>
        <w:gridCol w:w="3260"/>
      </w:tblGrid>
      <w:tr>
        <w:trPr>
          <w:trHeight w:val="410"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7" w:val="left" w:leader="none"/>
              </w:tabs>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分</w:t>
              <w:tab/>
              <w:t>工</w:t>
            </w:r>
          </w:p>
        </w:tc>
        <w:tc>
          <w:tcPr>
            <w:tcW w:w="31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人 数（人）</w:t>
            </w:r>
          </w:p>
        </w:tc>
        <w:tc>
          <w:tcPr>
            <w:tcW w:w="3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所占比例（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6"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5.82%</w:t>
            </w:r>
          </w:p>
        </w:tc>
      </w:tr>
      <w:tr>
        <w:trPr>
          <w:trHeight w:val="322"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行政、财务、总务人员</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5.51%</w:t>
            </w:r>
          </w:p>
        </w:tc>
      </w:tr>
      <w:tr>
        <w:trPr>
          <w:trHeight w:val="322"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1143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88.67%</w:t>
            </w:r>
          </w:p>
        </w:tc>
      </w:tr>
    </w:tbl>
    <w:p>
      <w:pPr>
        <w:spacing w:line="240" w:lineRule="auto" w:before="8"/>
        <w:rPr>
          <w:rFonts w:ascii="宋体" w:hAnsi="宋体" w:cs="宋体" w:eastAsia="宋体" w:hint="default"/>
          <w:b/>
          <w:bCs/>
          <w:sz w:val="5"/>
          <w:szCs w:val="5"/>
        </w:rPr>
      </w:pPr>
    </w:p>
    <w:p>
      <w:pPr>
        <w:spacing w:line="4521" w:lineRule="exact"/>
        <w:ind w:left="786"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957932" cy="287121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2" cstate="print"/>
                    <a:stretch>
                      <a:fillRect/>
                    </a:stretch>
                  </pic:blipFill>
                  <pic:spPr>
                    <a:xfrm>
                      <a:off x="0" y="0"/>
                      <a:ext cx="4957932" cy="2871216"/>
                    </a:xfrm>
                    <a:prstGeom prst="rect">
                      <a:avLst/>
                    </a:prstGeom>
                  </pic:spPr>
                </pic:pic>
              </a:graphicData>
            </a:graphic>
          </wp:inline>
        </w:drawing>
      </w:r>
      <w:r>
        <w:rPr>
          <w:rFonts w:ascii="宋体" w:hAnsi="宋体" w:cs="宋体" w:eastAsia="宋体" w:hint="default"/>
          <w:position w:val="-89"/>
          <w:sz w:val="20"/>
          <w:szCs w:val="20"/>
        </w:rPr>
      </w:r>
    </w:p>
    <w:p>
      <w:pPr>
        <w:spacing w:after="0" w:line="4521" w:lineRule="exact"/>
        <w:rPr>
          <w:rFonts w:ascii="宋体" w:hAnsi="宋体" w:cs="宋体" w:eastAsia="宋体" w:hint="default"/>
          <w:sz w:val="20"/>
          <w:szCs w:val="20"/>
        </w:rPr>
        <w:sectPr>
          <w:pgSz w:w="11910" w:h="16840"/>
          <w:pgMar w:header="876" w:footer="1186" w:top="1100" w:bottom="1380" w:left="1300" w:right="5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Heading3"/>
        <w:spacing w:line="240" w:lineRule="auto"/>
        <w:ind w:right="858"/>
        <w:jc w:val="left"/>
        <w:rPr>
          <w:b w:val="0"/>
          <w:bCs w:val="0"/>
        </w:rPr>
      </w:pPr>
      <w:r>
        <w:rPr/>
        <w:t>（二）按受教育程度分</w:t>
      </w:r>
      <w:r>
        <w:rPr>
          <w:b w:val="0"/>
          <w:bCs w:val="0"/>
        </w:rPr>
      </w:r>
    </w:p>
    <w:p>
      <w:pPr>
        <w:spacing w:line="240" w:lineRule="auto" w:before="10"/>
        <w:rPr>
          <w:rFonts w:ascii="宋体" w:hAnsi="宋体" w:cs="宋体" w:eastAsia="宋体" w:hint="default"/>
          <w:b/>
          <w:bCs/>
          <w:sz w:val="8"/>
          <w:szCs w:val="8"/>
        </w:rPr>
      </w:pPr>
    </w:p>
    <w:tbl>
      <w:tblPr>
        <w:tblW w:w="0" w:type="auto"/>
        <w:jc w:val="left"/>
        <w:tblInd w:w="164" w:type="dxa"/>
        <w:tblLayout w:type="fixed"/>
        <w:tblCellMar>
          <w:top w:w="0" w:type="dxa"/>
          <w:left w:w="0" w:type="dxa"/>
          <w:bottom w:w="0" w:type="dxa"/>
          <w:right w:w="0" w:type="dxa"/>
        </w:tblCellMar>
        <w:tblLook w:val="01E0"/>
      </w:tblPr>
      <w:tblGrid>
        <w:gridCol w:w="3375"/>
        <w:gridCol w:w="3161"/>
        <w:gridCol w:w="3260"/>
      </w:tblGrid>
      <w:tr>
        <w:trPr>
          <w:trHeight w:val="322"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7" w:val="left" w:leader="none"/>
              </w:tabs>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学</w:t>
              <w:tab/>
              <w:t>历</w:t>
            </w:r>
          </w:p>
        </w:tc>
        <w:tc>
          <w:tcPr>
            <w:tcW w:w="31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人 数（人）</w:t>
            </w:r>
          </w:p>
        </w:tc>
        <w:tc>
          <w:tcPr>
            <w:tcW w:w="3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2.79%</w:t>
            </w:r>
          </w:p>
        </w:tc>
      </w:tr>
      <w:tr>
        <w:trPr>
          <w:trHeight w:val="322"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1130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87.67%</w:t>
            </w:r>
          </w:p>
        </w:tc>
      </w:tr>
      <w:tr>
        <w:trPr>
          <w:trHeight w:val="324"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86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6.67%</w:t>
            </w:r>
          </w:p>
        </w:tc>
      </w:tr>
      <w:tr>
        <w:trPr>
          <w:trHeight w:val="322" w:hRule="exact"/>
        </w:trPr>
        <w:tc>
          <w:tcPr>
            <w:tcW w:w="33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spacing w:line="4444" w:lineRule="exact"/>
        <w:ind w:left="1111" w:right="0" w:firstLine="0"/>
        <w:rPr>
          <w:rFonts w:ascii="宋体" w:hAnsi="宋体" w:cs="宋体" w:eastAsia="宋体" w:hint="default"/>
          <w:sz w:val="20"/>
          <w:szCs w:val="20"/>
        </w:rPr>
      </w:pPr>
      <w:r>
        <w:rPr>
          <w:rFonts w:ascii="宋体" w:hAnsi="宋体" w:cs="宋体" w:eastAsia="宋体" w:hint="default"/>
          <w:position w:val="-88"/>
          <w:sz w:val="20"/>
          <w:szCs w:val="20"/>
        </w:rPr>
        <w:pict>
          <v:group style="width:358.85pt;height:222.2pt;mso-position-horizontal-relative:char;mso-position-vertical-relative:line" coordorigin="0,0" coordsize="7177,4444">
            <v:shape style="position:absolute;left:0;top:0;width:7176;height:4444" type="#_x0000_t75" stroked="false">
              <v:imagedata r:id="rId13" o:title=""/>
            </v:shape>
            <v:group style="position:absolute;left:2072;top:660;width:887;height:548" coordorigin="2072,660" coordsize="887,548">
              <v:shape style="position:absolute;left:2072;top:660;width:887;height:548" coordorigin="2072,660" coordsize="887,548" path="m2959,1208l2072,660e" filled="false" stroked="true" strokeweight=".75pt" strokecolor="#000000">
                <v:path arrowok="t"/>
              </v:shape>
            </v:group>
            <v:group style="position:absolute;left:3559;top:420;width:1305;height:540" coordorigin="3559,420" coordsize="1305,540">
              <v:shape style="position:absolute;left:3559;top:420;width:1305;height:540" coordorigin="3559,420" coordsize="1305,540" path="m3559,960l4864,420e" filled="false" stroked="true" strokeweight=".75pt" strokecolor="#000000">
                <v:path arrowok="t"/>
              </v:shape>
            </v:group>
          </v:group>
        </w:pict>
      </w:r>
      <w:r>
        <w:rPr>
          <w:rFonts w:ascii="宋体" w:hAnsi="宋体" w:cs="宋体" w:eastAsia="宋体" w:hint="default"/>
          <w:position w:val="-88"/>
          <w:sz w:val="20"/>
          <w:szCs w:val="20"/>
        </w:rPr>
      </w:r>
    </w:p>
    <w:p>
      <w:pPr>
        <w:spacing w:after="0" w:line="4444" w:lineRule="exact"/>
        <w:rPr>
          <w:rFonts w:ascii="宋体" w:hAnsi="宋体" w:cs="宋体" w:eastAsia="宋体" w:hint="default"/>
          <w:sz w:val="20"/>
          <w:szCs w:val="20"/>
        </w:rPr>
        <w:sectPr>
          <w:pgSz w:w="11910" w:h="16840"/>
          <w:pgMar w:header="876" w:footer="1186" w:top="1100" w:bottom="1380" w:left="1300" w:right="5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1286" w:val="left" w:leader="none"/>
        </w:tabs>
        <w:spacing w:line="240" w:lineRule="auto" w:before="166"/>
        <w:ind w:right="52"/>
        <w:jc w:val="center"/>
        <w:rPr>
          <w:b w:val="0"/>
          <w:bCs w:val="0"/>
        </w:rPr>
      </w:pPr>
      <w:bookmarkStart w:name="_TOC_250007" w:id="6"/>
      <w:r>
        <w:rPr>
          <w:w w:val="95"/>
        </w:rPr>
        <w:t>第六节</w:t>
        <w:tab/>
      </w:r>
      <w:r>
        <w:rPr/>
        <w:t>公司治理</w:t>
      </w:r>
      <w:bookmarkEnd w:id="6"/>
      <w:r>
        <w:rPr>
          <w:b w:val="0"/>
          <w:bCs w:val="0"/>
        </w:rPr>
      </w:r>
    </w:p>
    <w:p>
      <w:pPr>
        <w:spacing w:line="357" w:lineRule="auto" w:before="193"/>
        <w:ind w:left="673" w:right="0" w:hanging="49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3"/>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pacing w:val="-22"/>
          <w:sz w:val="24"/>
          <w:szCs w:val="24"/>
        </w:rPr>
        <w:t>报告期内，公司严格按照《公司法》、《证券法》、《上市公司治理准则》、《深圳证券</w:t>
      </w:r>
    </w:p>
    <w:p>
      <w:pPr>
        <w:pStyle w:val="BodyText"/>
        <w:spacing w:line="357" w:lineRule="auto"/>
        <w:ind w:right="123"/>
        <w:jc w:val="left"/>
      </w:pPr>
      <w:r>
        <w:rPr>
          <w:spacing w:val="-9"/>
        </w:rPr>
        <w:t>交易所股票上市规则》、《深圳证券交易所中小企业版上市公司规范运作指引》及中国证</w:t>
      </w:r>
      <w:r>
        <w:rPr>
          <w:spacing w:val="-101"/>
        </w:rPr>
        <w:t> </w:t>
      </w:r>
      <w:r>
        <w:rPr>
          <w:spacing w:val="-101"/>
        </w:rPr>
      </w:r>
      <w:r>
        <w:rPr/>
        <w:t>监会有关法律法规的要求，不断完善公司法人治理结构、建立健全公司内部控制体系， </w:t>
      </w:r>
      <w:r>
        <w:rPr>
          <w:spacing w:val="-3"/>
        </w:rPr>
        <w:t>规范公司运作，目前公司治理的实际情况符合有关上市公司治理规范性文件的要求。公</w:t>
      </w:r>
      <w:r>
        <w:rPr>
          <w:spacing w:val="-98"/>
        </w:rPr>
        <w:t> </w:t>
      </w:r>
      <w:r>
        <w:rPr>
          <w:spacing w:val="-98"/>
        </w:rPr>
      </w:r>
      <w:r>
        <w:rPr/>
        <w:t>司报告期内未收到监管部门行政监管措施需限期整改的有关文件。</w:t>
      </w:r>
    </w:p>
    <w:p>
      <w:pPr>
        <w:pStyle w:val="BodyText"/>
        <w:spacing w:line="240" w:lineRule="auto"/>
        <w:ind w:left="603" w:right="879"/>
        <w:jc w:val="left"/>
      </w:pPr>
      <w:r>
        <w:rPr/>
        <w:t>上市以来，公司建立的各项制度名称及公开信息披露情况如下表：</w:t>
      </w:r>
    </w:p>
    <w:p>
      <w:pPr>
        <w:spacing w:line="240" w:lineRule="auto" w:before="10"/>
        <w:rPr>
          <w:rFonts w:ascii="宋体" w:hAnsi="宋体" w:cs="宋体" w:eastAsia="宋体" w:hint="default"/>
          <w:sz w:val="8"/>
          <w:szCs w:val="8"/>
        </w:rPr>
      </w:pPr>
    </w:p>
    <w:tbl>
      <w:tblPr>
        <w:tblW w:w="0" w:type="auto"/>
        <w:jc w:val="left"/>
        <w:tblInd w:w="178" w:type="dxa"/>
        <w:tblLayout w:type="fixed"/>
        <w:tblCellMar>
          <w:top w:w="0" w:type="dxa"/>
          <w:left w:w="0" w:type="dxa"/>
          <w:bottom w:w="0" w:type="dxa"/>
          <w:right w:w="0" w:type="dxa"/>
        </w:tblCellMar>
        <w:tblLook w:val="01E0"/>
      </w:tblPr>
      <w:tblGrid>
        <w:gridCol w:w="427"/>
        <w:gridCol w:w="5298"/>
        <w:gridCol w:w="1990"/>
        <w:gridCol w:w="1423"/>
      </w:tblGrid>
      <w:tr>
        <w:trPr>
          <w:trHeight w:val="634" w:hRule="exact"/>
        </w:trPr>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5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360" w:right="0"/>
              <w:jc w:val="left"/>
              <w:rPr>
                <w:rFonts w:ascii="宋体" w:hAnsi="宋体" w:cs="宋体" w:eastAsia="宋体" w:hint="default"/>
                <w:sz w:val="21"/>
                <w:szCs w:val="21"/>
              </w:rPr>
            </w:pPr>
            <w:r>
              <w:rPr>
                <w:rFonts w:ascii="宋体" w:hAnsi="宋体" w:cs="宋体" w:eastAsia="宋体" w:hint="default"/>
                <w:sz w:val="21"/>
                <w:szCs w:val="21"/>
              </w:rPr>
              <w:t>最新披露时间</w:t>
            </w:r>
          </w:p>
        </w:tc>
        <w:tc>
          <w:tcPr>
            <w:tcW w:w="1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1</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2</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center"/>
              <w:rPr>
                <w:rFonts w:ascii="宋体" w:hAnsi="宋体" w:cs="宋体" w:eastAsia="宋体" w:hint="default"/>
                <w:sz w:val="21"/>
                <w:szCs w:val="21"/>
              </w:rPr>
            </w:pPr>
            <w:r>
              <w:rPr>
                <w:rFonts w:ascii="宋体"/>
                <w:w w:val="100"/>
                <w:sz w:val="21"/>
              </w:rPr>
              <w:t>3</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对外担保管理办法</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4</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关联交易管理办法</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5</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重大经营与投资决策管理制度</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6</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董事会审计委员会实施细则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7</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提名、薪酬与考核委员会实施细则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center"/>
              <w:rPr>
                <w:rFonts w:ascii="宋体" w:hAnsi="宋体" w:cs="宋体" w:eastAsia="宋体" w:hint="default"/>
                <w:sz w:val="21"/>
                <w:szCs w:val="21"/>
              </w:rPr>
            </w:pPr>
            <w:r>
              <w:rPr>
                <w:rFonts w:ascii="宋体"/>
                <w:w w:val="100"/>
                <w:sz w:val="21"/>
              </w:rPr>
              <w:t>8</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董事会战略委员会实施细则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center"/>
              <w:rPr>
                <w:rFonts w:ascii="宋体" w:hAnsi="宋体" w:cs="宋体" w:eastAsia="宋体" w:hint="default"/>
                <w:sz w:val="21"/>
                <w:szCs w:val="21"/>
              </w:rPr>
            </w:pPr>
            <w:r>
              <w:rPr>
                <w:rFonts w:ascii="宋体"/>
                <w:w w:val="100"/>
                <w:sz w:val="21"/>
              </w:rPr>
              <w:t>9</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11</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重大事项内部报告制度（草案）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信息披露事务管理制度（草案）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董事会秘书工作制度（草案）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15</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突发事件处理制度（草案）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董事、监事和高级管理人员所持本公司股份及其变动管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理办法（草案）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17</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内部审计制度（草案）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累计投票制实施细则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22</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23</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审计委员会工作规程</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5"/>
              <w:jc w:val="left"/>
              <w:rPr>
                <w:rFonts w:ascii="宋体" w:hAnsi="宋体" w:cs="宋体" w:eastAsia="宋体" w:hint="default"/>
                <w:sz w:val="21"/>
                <w:szCs w:val="21"/>
              </w:rPr>
            </w:pPr>
            <w:r>
              <w:rPr>
                <w:rFonts w:ascii="宋体" w:hAnsi="宋体" w:cs="宋体" w:eastAsia="宋体" w:hint="default"/>
                <w:sz w:val="21"/>
                <w:szCs w:val="21"/>
              </w:rPr>
              <w:t>远期结售汇套期保值业务内部控制制度（</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25</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控股子公司管理办法（</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27</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内幕信息知情人登记备案制度（</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5" w:lineRule="exact"/>
        <w:jc w:val="center"/>
        <w:rPr>
          <w:rFonts w:ascii="宋体" w:hAnsi="宋体" w:cs="宋体" w:eastAsia="宋体" w:hint="default"/>
          <w:sz w:val="21"/>
          <w:szCs w:val="21"/>
        </w:rPr>
        <w:sectPr>
          <w:pgSz w:w="11910" w:h="16840"/>
          <w:pgMar w:header="876" w:footer="1186" w:top="1100" w:bottom="1380" w:left="1300" w:right="1160"/>
        </w:sectPr>
      </w:pPr>
    </w:p>
    <w:p>
      <w:pPr>
        <w:spacing w:line="240" w:lineRule="auto" w:before="12"/>
        <w:rPr>
          <w:rFonts w:ascii="宋体" w:hAnsi="宋体" w:cs="宋体" w:eastAsia="宋体" w:hint="default"/>
          <w:sz w:val="24"/>
          <w:szCs w:val="24"/>
        </w:rPr>
      </w:pPr>
    </w:p>
    <w:tbl>
      <w:tblPr>
        <w:tblW w:w="0" w:type="auto"/>
        <w:jc w:val="left"/>
        <w:tblInd w:w="178" w:type="dxa"/>
        <w:tblLayout w:type="fixed"/>
        <w:tblCellMar>
          <w:top w:w="0" w:type="dxa"/>
          <w:left w:w="0" w:type="dxa"/>
          <w:bottom w:w="0" w:type="dxa"/>
          <w:right w:w="0" w:type="dxa"/>
        </w:tblCellMar>
        <w:tblLook w:val="01E0"/>
      </w:tblPr>
      <w:tblGrid>
        <w:gridCol w:w="427"/>
        <w:gridCol w:w="5298"/>
        <w:gridCol w:w="1990"/>
        <w:gridCol w:w="1423"/>
      </w:tblGrid>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28</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关联交易管理办法（</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29</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30</w:t>
            </w:r>
          </w:p>
        </w:tc>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603" w:right="0" w:hanging="420"/>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14"/>
          <w:sz w:val="24"/>
          <w:szCs w:val="24"/>
        </w:rPr>
        <w:t>公司严格按照《公司法》、《上市公司股东大会规则》、《公司章程》和《公司股东大</w:t>
      </w:r>
    </w:p>
    <w:p>
      <w:pPr>
        <w:pStyle w:val="BodyText"/>
        <w:spacing w:line="357" w:lineRule="auto"/>
        <w:ind w:right="0"/>
        <w:jc w:val="left"/>
      </w:pPr>
      <w:r>
        <w:rPr>
          <w:spacing w:val="-6"/>
        </w:rPr>
        <w:t>会议事规则》的规定和要求，规范股东大会的召集、召开、表决程序，包括通知、登记、</w:t>
      </w:r>
      <w:r>
        <w:rPr>
          <w:spacing w:val="-100"/>
        </w:rPr>
        <w:t> </w:t>
      </w:r>
      <w:r>
        <w:rPr>
          <w:spacing w:val="-100"/>
        </w:rPr>
      </w:r>
      <w:r>
        <w:rPr>
          <w:spacing w:val="-3"/>
        </w:rPr>
        <w:t>提案的审议、投票、计票、表决结果的宣布、会议决议的形成、会议记录及其签署、公</w:t>
      </w:r>
      <w:r>
        <w:rPr>
          <w:spacing w:val="-101"/>
        </w:rPr>
        <w:t> </w:t>
      </w:r>
      <w:r>
        <w:rPr>
          <w:spacing w:val="-101"/>
        </w:rPr>
      </w:r>
      <w:r>
        <w:rPr>
          <w:spacing w:val="-3"/>
        </w:rPr>
        <w:t>告等内容，以及股东大会对董事会的授权等，平等对待所有股东，确保全体股东特别是</w:t>
      </w:r>
      <w:r>
        <w:rPr>
          <w:spacing w:val="-102"/>
        </w:rPr>
        <w:t> </w:t>
      </w:r>
      <w:r>
        <w:rPr>
          <w:spacing w:val="-102"/>
        </w:rPr>
      </w:r>
      <w:r>
        <w:rPr/>
        <w:t>中小股东能充分行使权利，并请律师出席见证。</w:t>
      </w:r>
    </w:p>
    <w:p>
      <w:pPr>
        <w:spacing w:line="357" w:lineRule="auto" w:before="37"/>
        <w:ind w:left="603" w:right="219" w:hanging="420"/>
        <w:jc w:val="left"/>
        <w:rPr>
          <w:rFonts w:ascii="宋体" w:hAnsi="宋体" w:cs="宋体" w:eastAsia="宋体" w:hint="default"/>
          <w:sz w:val="24"/>
          <w:szCs w:val="24"/>
        </w:rPr>
      </w:pPr>
      <w:r>
        <w:rPr>
          <w:rFonts w:ascii="宋体" w:hAnsi="宋体" w:cs="宋体" w:eastAsia="宋体" w:hint="default"/>
          <w:b/>
          <w:bCs/>
          <w:sz w:val="24"/>
          <w:szCs w:val="24"/>
        </w:rPr>
        <w:t>（二）关于公司与实际控制人的关系</w:t>
      </w:r>
      <w:r>
        <w:rPr>
          <w:rFonts w:ascii="宋体" w:hAnsi="宋体" w:cs="宋体" w:eastAsia="宋体" w:hint="default"/>
          <w:b/>
          <w:bCs/>
          <w:w w:val="99"/>
          <w:sz w:val="24"/>
          <w:szCs w:val="24"/>
        </w:rPr>
        <w:t> </w:t>
      </w:r>
      <w:r>
        <w:rPr>
          <w:rFonts w:ascii="宋体" w:hAnsi="宋体" w:cs="宋体" w:eastAsia="宋体" w:hint="default"/>
          <w:spacing w:val="-1"/>
          <w:sz w:val="24"/>
          <w:szCs w:val="24"/>
        </w:rPr>
        <w:t>公司无控股股东，实际控制人为自然人包叔平先生，在公司担任董事长兼总经理职</w:t>
      </w:r>
    </w:p>
    <w:p>
      <w:pPr>
        <w:pStyle w:val="BodyText"/>
        <w:spacing w:line="357" w:lineRule="auto"/>
        <w:ind w:right="0"/>
        <w:jc w:val="left"/>
      </w:pPr>
      <w:r>
        <w:rPr>
          <w:spacing w:val="-3"/>
        </w:rPr>
        <w:t>务。公司具有独立的业务、独立的经营能力和完备的供销系统，业务、人员、资产、机</w:t>
      </w:r>
      <w:r>
        <w:rPr>
          <w:spacing w:val="-96"/>
        </w:rPr>
        <w:t> </w:t>
      </w:r>
      <w:r>
        <w:rPr>
          <w:spacing w:val="-96"/>
        </w:rPr>
      </w:r>
      <w:r>
        <w:rPr/>
        <w:t>构、财务独立，公司董事会、监事会和内部机构均能够独立运作。</w:t>
      </w:r>
    </w:p>
    <w:p>
      <w:pPr>
        <w:pStyle w:val="Heading3"/>
        <w:spacing w:line="240" w:lineRule="auto" w:before="36"/>
        <w:ind w:right="879"/>
        <w:jc w:val="left"/>
        <w:rPr>
          <w:b w:val="0"/>
          <w:bCs w:val="0"/>
        </w:rPr>
      </w:pPr>
      <w:r>
        <w:rPr/>
        <w:t>（三）关于董事与董事会</w:t>
      </w:r>
      <w:r>
        <w:rPr>
          <w:b w:val="0"/>
          <w:bCs w:val="0"/>
        </w:rPr>
      </w:r>
    </w:p>
    <w:p>
      <w:pPr>
        <w:pStyle w:val="BodyText"/>
        <w:spacing w:line="357" w:lineRule="auto" w:before="154"/>
        <w:ind w:right="217" w:firstLine="405"/>
        <w:jc w:val="left"/>
      </w:pPr>
      <w:r>
        <w:rPr>
          <w:spacing w:val="-1"/>
        </w:rPr>
        <w:t>《公司章程》规定了董事选聘程序，保证董事选聘公开、公平、公正、独立。公司</w:t>
      </w:r>
      <w:r>
        <w:rPr/>
        <w:t> </w:t>
      </w:r>
      <w:r>
        <w:rPr>
          <w:spacing w:val="-3"/>
        </w:rPr>
        <w:t>设董事会，董事会由</w:t>
      </w:r>
      <w:r>
        <w:rPr>
          <w:spacing w:val="-58"/>
        </w:rPr>
        <w:t> </w:t>
      </w:r>
      <w:r>
        <w:rPr>
          <w:rFonts w:ascii="宋体" w:hAnsi="宋体" w:cs="宋体" w:eastAsia="宋体" w:hint="default"/>
        </w:rPr>
        <w:t>9</w:t>
      </w:r>
      <w:r>
        <w:rPr>
          <w:rFonts w:ascii="宋体" w:hAnsi="宋体" w:cs="宋体" w:eastAsia="宋体" w:hint="default"/>
          <w:spacing w:val="-57"/>
        </w:rPr>
        <w:t> </w:t>
      </w:r>
      <w:r>
        <w:rPr>
          <w:spacing w:val="-3"/>
        </w:rPr>
        <w:t>名董事组成，设董事长</w:t>
      </w:r>
      <w:r>
        <w:rPr>
          <w:spacing w:val="-57"/>
        </w:rPr>
        <w:t> </w:t>
      </w:r>
      <w:r>
        <w:rPr>
          <w:rFonts w:ascii="宋体" w:hAnsi="宋体" w:cs="宋体" w:eastAsia="宋体" w:hint="default"/>
        </w:rPr>
        <w:t>1</w:t>
      </w:r>
      <w:r>
        <w:rPr>
          <w:rFonts w:ascii="宋体" w:hAnsi="宋体" w:cs="宋体" w:eastAsia="宋体" w:hint="default"/>
          <w:spacing w:val="-57"/>
        </w:rPr>
        <w:t> </w:t>
      </w:r>
      <w:r>
        <w:rPr>
          <w:spacing w:val="-4"/>
        </w:rPr>
        <w:t>名，副董事长</w:t>
      </w:r>
      <w:r>
        <w:rPr>
          <w:spacing w:val="-57"/>
        </w:rPr>
        <w:t> </w:t>
      </w:r>
      <w:r>
        <w:rPr>
          <w:rFonts w:ascii="宋体" w:hAnsi="宋体" w:cs="宋体" w:eastAsia="宋体" w:hint="default"/>
        </w:rPr>
        <w:t>1</w:t>
      </w:r>
      <w:r>
        <w:rPr>
          <w:rFonts w:ascii="宋体" w:hAnsi="宋体" w:cs="宋体" w:eastAsia="宋体" w:hint="default"/>
          <w:spacing w:val="-57"/>
        </w:rPr>
        <w:t> </w:t>
      </w:r>
      <w:r>
        <w:rPr>
          <w:spacing w:val="-3"/>
        </w:rPr>
        <w:t>名，董事长由全体董事</w:t>
      </w:r>
    </w:p>
    <w:p>
      <w:pPr>
        <w:pStyle w:val="BodyText"/>
        <w:spacing w:line="357" w:lineRule="auto"/>
        <w:ind w:right="219"/>
        <w:jc w:val="left"/>
      </w:pPr>
      <w:r>
        <w:rPr>
          <w:spacing w:val="-3"/>
        </w:rPr>
        <w:t>过半数选举产生，董事会成员中有</w:t>
      </w:r>
      <w:r>
        <w:rPr>
          <w:spacing w:val="-55"/>
        </w:rPr>
        <w:t> </w:t>
      </w:r>
      <w:r>
        <w:rPr>
          <w:rFonts w:ascii="宋体" w:hAnsi="宋体" w:cs="宋体" w:eastAsia="宋体" w:hint="default"/>
        </w:rPr>
        <w:t>3</w:t>
      </w:r>
      <w:r>
        <w:rPr>
          <w:rFonts w:ascii="宋体" w:hAnsi="宋体" w:cs="宋体" w:eastAsia="宋体" w:hint="default"/>
          <w:spacing w:val="-55"/>
        </w:rPr>
        <w:t> </w:t>
      </w:r>
      <w:r>
        <w:rPr>
          <w:spacing w:val="-4"/>
        </w:rPr>
        <w:t>名独立董事，其中</w:t>
      </w:r>
      <w:r>
        <w:rPr>
          <w:spacing w:val="-55"/>
        </w:rPr>
        <w:t> </w:t>
      </w:r>
      <w:r>
        <w:rPr>
          <w:rFonts w:ascii="宋体" w:hAnsi="宋体" w:cs="宋体" w:eastAsia="宋体" w:hint="default"/>
        </w:rPr>
        <w:t>1</w:t>
      </w:r>
      <w:r>
        <w:rPr>
          <w:rFonts w:ascii="宋体" w:hAnsi="宋体" w:cs="宋体" w:eastAsia="宋体" w:hint="default"/>
          <w:spacing w:val="-55"/>
        </w:rPr>
        <w:t> </w:t>
      </w:r>
      <w:r>
        <w:rPr>
          <w:spacing w:val="-3"/>
        </w:rPr>
        <w:t>名为财务专业人士。公司董事</w:t>
      </w:r>
      <w:r>
        <w:rPr/>
        <w:t> 会人数和人员构成符合法律、法规的要求。</w:t>
      </w:r>
    </w:p>
    <w:p>
      <w:pPr>
        <w:pStyle w:val="BodyText"/>
        <w:spacing w:line="357" w:lineRule="auto"/>
        <w:ind w:right="98" w:firstLine="405"/>
        <w:jc w:val="left"/>
      </w:pPr>
      <w:r>
        <w:rPr>
          <w:spacing w:val="-10"/>
        </w:rPr>
        <w:t>公司明确了董事的职权和义务，建立了《董事会议事规则》和《独立董事工作制度》；</w:t>
      </w:r>
      <w:r>
        <w:rPr/>
        <w:t> 董事会设立了战略委员会，提名·薪酬与考核委员会、审计委员会等</w:t>
      </w:r>
      <w:r>
        <w:rPr>
          <w:spacing w:val="-60"/>
        </w:rPr>
        <w:t> </w:t>
      </w:r>
      <w:r>
        <w:rPr>
          <w:rFonts w:ascii="宋体" w:hAnsi="宋体" w:cs="宋体" w:eastAsia="宋体" w:hint="default"/>
        </w:rPr>
        <w:t>3</w:t>
      </w:r>
      <w:r>
        <w:rPr>
          <w:rFonts w:ascii="宋体" w:hAnsi="宋体" w:cs="宋体" w:eastAsia="宋体" w:hint="default"/>
          <w:spacing w:val="-60"/>
        </w:rPr>
        <w:t> </w:t>
      </w:r>
      <w:r>
        <w:rPr/>
        <w:t>个专业委员会， </w:t>
      </w:r>
      <w:r>
        <w:rPr>
          <w:spacing w:val="-15"/>
        </w:rPr>
        <w:t>制订了《战略委员会实施细则》、《提名·薪酬与考核委员会实施细则》、《审计委员会实</w:t>
      </w:r>
      <w:r>
        <w:rPr>
          <w:spacing w:val="-91"/>
        </w:rPr>
        <w:t> </w:t>
      </w:r>
      <w:r>
        <w:rPr>
          <w:spacing w:val="-91"/>
        </w:rPr>
      </w:r>
      <w:r>
        <w:rPr>
          <w:spacing w:val="-24"/>
        </w:rPr>
        <w:t>施细则》。</w:t>
      </w:r>
    </w:p>
    <w:p>
      <w:pPr>
        <w:pStyle w:val="BodyText"/>
        <w:spacing w:line="357" w:lineRule="auto"/>
        <w:ind w:right="229" w:firstLine="405"/>
        <w:jc w:val="both"/>
      </w:pPr>
      <w:r>
        <w:rPr>
          <w:spacing w:val="-14"/>
        </w:rPr>
        <w:t>公司董事会严格按照《公司法》和《公司章程》、《董事会议事规则》、《深圳证券交</w:t>
      </w:r>
      <w:r>
        <w:rPr/>
        <w:t> </w:t>
      </w:r>
      <w:r>
        <w:rPr>
          <w:spacing w:val="-3"/>
        </w:rPr>
        <w:t>易所中小企业板上市公司规范运作指引》的规定开展工作，规范董事会会议召集、召开</w:t>
      </w:r>
      <w:r>
        <w:rPr>
          <w:spacing w:val="-102"/>
        </w:rPr>
        <w:t> </w:t>
      </w:r>
      <w:r>
        <w:rPr>
          <w:spacing w:val="-102"/>
        </w:rPr>
      </w:r>
      <w:r>
        <w:rPr>
          <w:spacing w:val="-3"/>
        </w:rPr>
        <w:t>和表决程序。公司董事积极参加相关知识培训，熟悉有关法律法规，提高了规范运作意</w:t>
      </w:r>
      <w:r>
        <w:rPr>
          <w:spacing w:val="-99"/>
        </w:rPr>
        <w:t> </w:t>
      </w:r>
      <w:r>
        <w:rPr>
          <w:spacing w:val="-99"/>
        </w:rPr>
      </w:r>
      <w:r>
        <w:rPr>
          <w:spacing w:val="-3"/>
        </w:rPr>
        <w:t>识；公司各位董事认真出席董事会和股东大会，执行股东大会决议并依法行使职权；能</w:t>
      </w:r>
      <w:r>
        <w:rPr>
          <w:spacing w:val="-102"/>
        </w:rPr>
        <w:t> </w:t>
      </w:r>
      <w:r>
        <w:rPr>
          <w:spacing w:val="-102"/>
        </w:rPr>
      </w:r>
      <w:r>
        <w:rPr/>
        <w:t>够勤勉、尽责地履行义务和责任，维护公司和股东的利益。</w:t>
      </w:r>
    </w:p>
    <w:p>
      <w:pPr>
        <w:spacing w:line="357" w:lineRule="auto" w:before="36"/>
        <w:ind w:left="603" w:right="0" w:hanging="420"/>
        <w:jc w:val="left"/>
        <w:rPr>
          <w:rFonts w:ascii="宋体" w:hAnsi="宋体" w:cs="宋体" w:eastAsia="宋体" w:hint="default"/>
          <w:sz w:val="24"/>
          <w:szCs w:val="24"/>
        </w:rPr>
      </w:pPr>
      <w:r>
        <w:rPr>
          <w:rFonts w:ascii="宋体" w:hAnsi="宋体" w:cs="宋体" w:eastAsia="宋体" w:hint="default"/>
          <w:b/>
          <w:bCs/>
          <w:sz w:val="24"/>
          <w:szCs w:val="24"/>
        </w:rPr>
        <w:t>（四）关于监事和监事会</w:t>
      </w:r>
      <w:r>
        <w:rPr>
          <w:rFonts w:ascii="宋体" w:hAnsi="宋体" w:cs="宋体" w:eastAsia="宋体" w:hint="default"/>
          <w:b/>
          <w:bCs/>
          <w:w w:val="99"/>
          <w:sz w:val="24"/>
          <w:szCs w:val="24"/>
        </w:rPr>
        <w:t> </w:t>
      </w:r>
      <w:r>
        <w:rPr>
          <w:rFonts w:ascii="宋体" w:hAnsi="宋体" w:cs="宋体" w:eastAsia="宋体" w:hint="default"/>
          <w:spacing w:val="-8"/>
          <w:sz w:val="24"/>
          <w:szCs w:val="24"/>
        </w:rPr>
        <w:t>公司监事会在《公司法》、《公司章程》和股东大会赋予的职权范围内依法并积极行</w:t>
      </w:r>
    </w:p>
    <w:p>
      <w:pPr>
        <w:spacing w:after="0" w:line="357" w:lineRule="auto"/>
        <w:jc w:val="left"/>
        <w:rPr>
          <w:rFonts w:ascii="宋体" w:hAnsi="宋体" w:cs="宋体" w:eastAsia="宋体" w:hint="default"/>
          <w:sz w:val="24"/>
          <w:szCs w:val="24"/>
        </w:rPr>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228"/>
        <w:jc w:val="both"/>
      </w:pPr>
      <w:r>
        <w:rPr>
          <w:spacing w:val="-6"/>
        </w:rPr>
        <w:t>使监督权，建立了《监事会议事规则》。公司监事会由</w:t>
      </w:r>
      <w:r>
        <w:rPr/>
        <w:t> </w:t>
      </w:r>
      <w:r>
        <w:rPr>
          <w:rFonts w:ascii="宋体" w:hAnsi="宋体" w:cs="宋体" w:eastAsia="宋体" w:hint="default"/>
        </w:rPr>
        <w:t>3</w:t>
      </w:r>
      <w:r>
        <w:rPr>
          <w:rFonts w:ascii="宋体" w:hAnsi="宋体" w:cs="宋体" w:eastAsia="宋体" w:hint="default"/>
          <w:spacing w:val="-56"/>
        </w:rPr>
        <w:t> </w:t>
      </w:r>
      <w:r>
        <w:rPr>
          <w:spacing w:val="-1"/>
        </w:rPr>
        <w:t>名监事组成，其中一名为职工</w:t>
      </w:r>
      <w:r>
        <w:rPr/>
        <w:t> </w:t>
      </w:r>
      <w:r>
        <w:rPr>
          <w:spacing w:val="-9"/>
        </w:rPr>
        <w:t>代表监事。公司监事会严格按照《公司章程》、《监事会议事规则》的规定，规范监事会</w:t>
      </w:r>
      <w:r>
        <w:rPr>
          <w:spacing w:val="-106"/>
        </w:rPr>
        <w:t> </w:t>
      </w:r>
      <w:r>
        <w:rPr>
          <w:spacing w:val="-106"/>
        </w:rPr>
      </w:r>
      <w:r>
        <w:rPr>
          <w:spacing w:val="-3"/>
        </w:rPr>
        <w:t>会议召集、召开和表决程序。公司监事会向股东大会负责，公司监事认真履行职责，诚</w:t>
      </w:r>
      <w:r>
        <w:rPr>
          <w:spacing w:val="-96"/>
        </w:rPr>
        <w:t> </w:t>
      </w:r>
      <w:r>
        <w:rPr>
          <w:spacing w:val="-96"/>
        </w:rPr>
      </w:r>
      <w:r>
        <w:rPr>
          <w:spacing w:val="-3"/>
        </w:rPr>
        <w:t>信、勤勉、尽责地对公司财务以及公司董事、经理及其他高级管理人员履行职务情况进</w:t>
      </w:r>
      <w:r>
        <w:rPr>
          <w:spacing w:val="-100"/>
        </w:rPr>
        <w:t> </w:t>
      </w:r>
      <w:r>
        <w:rPr>
          <w:spacing w:val="-100"/>
        </w:rPr>
      </w:r>
      <w:r>
        <w:rPr/>
        <w:t>行监督，维护公司及股东的合法权益。</w:t>
      </w:r>
    </w:p>
    <w:p>
      <w:pPr>
        <w:spacing w:line="357" w:lineRule="auto" w:before="36"/>
        <w:ind w:left="663" w:right="0" w:hanging="480"/>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公司已经建立绩效评价激励体系，经营层的收入与公司经营业绩挂钩。公司高级管</w:t>
      </w:r>
    </w:p>
    <w:p>
      <w:pPr>
        <w:pStyle w:val="BodyText"/>
        <w:spacing w:line="357" w:lineRule="auto"/>
        <w:ind w:right="0"/>
        <w:jc w:val="left"/>
      </w:pPr>
      <w:r>
        <w:rPr>
          <w:spacing w:val="-3"/>
        </w:rPr>
        <w:t>理人员薪酬执行基本年薪加年度绩效考核的政策，在公司任职的董事、监事和高级管理</w:t>
      </w:r>
      <w:r>
        <w:rPr>
          <w:spacing w:val="-98"/>
        </w:rPr>
        <w:t> </w:t>
      </w:r>
      <w:r>
        <w:rPr>
          <w:spacing w:val="-98"/>
        </w:rPr>
      </w:r>
      <w:r>
        <w:rPr>
          <w:spacing w:val="-3"/>
        </w:rPr>
        <w:t>人员按其岗位及职务，根据公司现行的薪酬制度和业绩考核规定获取薪酬；高级管理人</w:t>
      </w:r>
      <w:r>
        <w:rPr>
          <w:spacing w:val="-98"/>
        </w:rPr>
        <w:t> </w:t>
      </w:r>
      <w:r>
        <w:rPr>
          <w:spacing w:val="-98"/>
        </w:rPr>
      </w:r>
      <w:r>
        <w:rPr>
          <w:spacing w:val="-3"/>
        </w:rPr>
        <w:t>员的聘任公开、有效，符合法律法规及公司的有关规定。公司还制定了《限制性股票激</w:t>
      </w:r>
      <w:r>
        <w:rPr>
          <w:spacing w:val="-95"/>
        </w:rPr>
        <w:t> </w:t>
      </w:r>
      <w:r>
        <w:rPr>
          <w:spacing w:val="-95"/>
        </w:rPr>
      </w:r>
      <w:r>
        <w:rPr>
          <w:spacing w:val="-6"/>
        </w:rPr>
        <w:t>励计划实施考核办法》，对该激励计划的激励对象应满足的各项激励条件进行有效考核，</w:t>
      </w:r>
      <w:r>
        <w:rPr>
          <w:spacing w:val="-98"/>
        </w:rPr>
        <w:t> </w:t>
      </w:r>
      <w:r>
        <w:rPr>
          <w:spacing w:val="-98"/>
        </w:rPr>
      </w:r>
      <w:r>
        <w:rPr/>
        <w:t>从而确定被激励对象是否完成激励指标，达到激励条件，为该激励计划执行中的授予、 分配、解锁等环节提供考核依据。</w:t>
      </w:r>
    </w:p>
    <w:p>
      <w:pPr>
        <w:spacing w:line="357" w:lineRule="auto" w:before="36"/>
        <w:ind w:left="603" w:right="0" w:hanging="420"/>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pacing w:val="-14"/>
          <w:sz w:val="24"/>
          <w:szCs w:val="24"/>
        </w:rPr>
        <w:t>公司根据《深圳证券交易所股票上市规则》、《上市公司信息披露管理办法》、《公司</w:t>
      </w:r>
    </w:p>
    <w:p>
      <w:pPr>
        <w:pStyle w:val="BodyText"/>
        <w:spacing w:line="357" w:lineRule="auto"/>
        <w:ind w:right="0"/>
        <w:jc w:val="left"/>
      </w:pPr>
      <w:r>
        <w:rPr>
          <w:spacing w:val="-6"/>
        </w:rPr>
        <w:t>章程》以及公司《信息披露管理办法》等相关法规制度的规定，认真履行信息披露义务。</w:t>
      </w:r>
      <w:r>
        <w:rPr>
          <w:spacing w:val="-98"/>
        </w:rPr>
        <w:t> </w:t>
      </w:r>
      <w:r>
        <w:rPr>
          <w:spacing w:val="-98"/>
        </w:rPr>
      </w:r>
      <w:r>
        <w:rPr>
          <w:spacing w:val="-3"/>
        </w:rPr>
        <w:t>公司指定董事会秘书负责信息披露工作，设立证券投资部并配备了相应人员，真实、准</w:t>
      </w:r>
      <w:r>
        <w:rPr>
          <w:spacing w:val="-102"/>
        </w:rPr>
        <w:t> </w:t>
      </w:r>
      <w:r>
        <w:rPr>
          <w:spacing w:val="-102"/>
        </w:rPr>
      </w:r>
      <w:r>
        <w:rPr>
          <w:spacing w:val="-6"/>
        </w:rPr>
        <w:t>确、及时、公平、完整地披露有关信息，确保公司所有股东能够以平等的机会获得信息。</w:t>
      </w:r>
      <w:r>
        <w:rPr>
          <w:spacing w:val="-98"/>
        </w:rPr>
        <w:t> </w:t>
      </w:r>
      <w:r>
        <w:rPr>
          <w:spacing w:val="-98"/>
        </w:rPr>
      </w:r>
      <w:r>
        <w:rPr>
          <w:spacing w:val="-2"/>
        </w:rPr>
        <w:t>公司指定《中国证券报》和巨潮资讯网（</w:t>
      </w:r>
      <w:hyperlink r:id="rId10">
        <w:r>
          <w:rPr>
            <w:rFonts w:ascii="宋体" w:hAnsi="宋体" w:cs="宋体" w:eastAsia="宋体" w:hint="default"/>
            <w:spacing w:val="-2"/>
          </w:rPr>
          <w:t>http://www.cninfo.com.cn</w:t>
        </w:r>
      </w:hyperlink>
      <w:r>
        <w:rPr>
          <w:spacing w:val="-2"/>
        </w:rPr>
        <w:t>）为公司信息披露</w:t>
      </w:r>
      <w:r>
        <w:rPr>
          <w:spacing w:val="-111"/>
        </w:rPr>
        <w:t> </w:t>
      </w:r>
      <w:r>
        <w:rPr>
          <w:spacing w:val="-111"/>
        </w:rPr>
      </w:r>
      <w:r>
        <w:rPr/>
        <w:t>的指定报纸和网站。</w:t>
      </w:r>
    </w:p>
    <w:p>
      <w:pPr>
        <w:pStyle w:val="BodyText"/>
        <w:spacing w:line="357" w:lineRule="auto"/>
        <w:ind w:right="0" w:firstLine="420"/>
        <w:jc w:val="left"/>
      </w:pPr>
      <w:r>
        <w:rPr/>
        <w:t>同时，为完善公司信息披露管理制度，加大对年报信息披露责任人的问责力度，提 </w:t>
      </w:r>
      <w:r>
        <w:rPr>
          <w:spacing w:val="-6"/>
        </w:rPr>
        <w:t>高年报信息披露质量和透明度，公司董事会制定了《年报披露重大差错责任追究制度》，</w:t>
      </w:r>
      <w:r>
        <w:rPr>
          <w:spacing w:val="-98"/>
        </w:rPr>
        <w:t> </w:t>
      </w:r>
      <w:r>
        <w:rPr>
          <w:spacing w:val="-98"/>
        </w:rPr>
      </w:r>
      <w:r>
        <w:rPr>
          <w:spacing w:val="-3"/>
        </w:rPr>
        <w:t>在公司年报信息披露工作中有关人员不履行或者不正确履行职责、义务或因其他个人原</w:t>
      </w:r>
      <w:r>
        <w:rPr>
          <w:spacing w:val="-98"/>
        </w:rPr>
        <w:t> </w:t>
      </w:r>
      <w:r>
        <w:rPr>
          <w:spacing w:val="-98"/>
        </w:rPr>
      </w:r>
      <w:r>
        <w:rPr/>
        <w:t>因，对公司造成重大经济损失或造成不良社会影响时，予以追究责任。</w:t>
      </w:r>
    </w:p>
    <w:p>
      <w:pPr>
        <w:spacing w:line="357" w:lineRule="auto" w:before="36"/>
        <w:ind w:left="603" w:right="219" w:hanging="420"/>
        <w:jc w:val="left"/>
        <w:rPr>
          <w:rFonts w:ascii="宋体" w:hAnsi="宋体" w:cs="宋体" w:eastAsia="宋体" w:hint="default"/>
          <w:sz w:val="24"/>
          <w:szCs w:val="24"/>
        </w:rPr>
      </w:pPr>
      <w:r>
        <w:rPr>
          <w:rFonts w:ascii="宋体" w:hAnsi="宋体" w:cs="宋体" w:eastAsia="宋体" w:hint="default"/>
          <w:b/>
          <w:bCs/>
          <w:sz w:val="24"/>
          <w:szCs w:val="24"/>
        </w:rPr>
        <w:t>（七）关于相关利益者</w:t>
      </w:r>
      <w:r>
        <w:rPr>
          <w:rFonts w:ascii="宋体" w:hAnsi="宋体" w:cs="宋体" w:eastAsia="宋体" w:hint="default"/>
          <w:b/>
          <w:bCs/>
          <w:w w:val="99"/>
          <w:sz w:val="24"/>
          <w:szCs w:val="24"/>
        </w:rPr>
        <w:t> </w:t>
      </w:r>
      <w:r>
        <w:rPr>
          <w:rFonts w:ascii="宋体" w:hAnsi="宋体" w:cs="宋体" w:eastAsia="宋体" w:hint="default"/>
          <w:spacing w:val="-1"/>
          <w:sz w:val="24"/>
          <w:szCs w:val="24"/>
        </w:rPr>
        <w:t>公司积极履行企业的社会责任，充分尊重和维护相关利益者的合法权益，加强与各</w:t>
      </w:r>
    </w:p>
    <w:p>
      <w:pPr>
        <w:pStyle w:val="BodyText"/>
        <w:spacing w:line="357" w:lineRule="auto"/>
        <w:ind w:right="123"/>
        <w:jc w:val="left"/>
      </w:pPr>
      <w:r>
        <w:rPr/>
        <w:t>方的沟通和交流，实现股东、员工、社会等各方利益的协调平衡，共同推动公司持续、 健康的发展。</w:t>
      </w:r>
    </w:p>
    <w:p>
      <w:pPr>
        <w:pStyle w:val="Heading3"/>
        <w:spacing w:line="240" w:lineRule="auto" w:before="36"/>
        <w:ind w:right="879"/>
        <w:jc w:val="left"/>
        <w:rPr>
          <w:b w:val="0"/>
          <w:bCs w:val="0"/>
        </w:rPr>
      </w:pPr>
      <w:r>
        <w:rPr/>
        <w:t>（八）同业竞争及关联交易</w:t>
      </w:r>
      <w:r>
        <w:rPr>
          <w:b w:val="0"/>
          <w:bCs w:val="0"/>
        </w:rPr>
      </w:r>
    </w:p>
    <w:p>
      <w:pPr>
        <w:spacing w:after="0" w:line="240" w:lineRule="auto"/>
        <w:jc w:val="left"/>
        <w:sectPr>
          <w:pgSz w:w="11910" w:h="16840"/>
          <w:pgMar w:header="876" w:footer="1186" w:top="1100" w:bottom="1380" w:left="1300" w:right="1160"/>
        </w:sectPr>
      </w:pPr>
    </w:p>
    <w:p>
      <w:pPr>
        <w:spacing w:line="240" w:lineRule="auto" w:before="12"/>
        <w:rPr>
          <w:rFonts w:ascii="宋体" w:hAnsi="宋体" w:cs="宋体" w:eastAsia="宋体" w:hint="default"/>
          <w:b/>
          <w:bCs/>
          <w:sz w:val="25"/>
          <w:szCs w:val="25"/>
        </w:rPr>
      </w:pPr>
    </w:p>
    <w:p>
      <w:pPr>
        <w:pStyle w:val="BodyText"/>
        <w:spacing w:line="357" w:lineRule="auto" w:before="26"/>
        <w:ind w:right="0" w:firstLine="420"/>
        <w:jc w:val="left"/>
      </w:pPr>
      <w:r>
        <w:rPr/>
        <w:t>公司不存在因部分改制、行业特性、国家政策或收购兼并导致的同业竞争和或关联 </w:t>
      </w:r>
      <w:r>
        <w:rPr>
          <w:spacing w:val="-6"/>
        </w:rPr>
        <w:t>交易问题。公司与关联方共同对外投资形成的关联交易情况详见第十一节《重大事项》。</w:t>
      </w:r>
    </w:p>
    <w:p>
      <w:pPr>
        <w:spacing w:line="240" w:lineRule="auto" w:before="0"/>
        <w:rPr>
          <w:rFonts w:ascii="宋体" w:hAnsi="宋体" w:cs="宋体" w:eastAsia="宋体" w:hint="default"/>
          <w:sz w:val="24"/>
          <w:szCs w:val="24"/>
        </w:rPr>
      </w:pPr>
    </w:p>
    <w:p>
      <w:pPr>
        <w:pStyle w:val="Heading3"/>
        <w:spacing w:line="240" w:lineRule="auto" w:before="190"/>
        <w:ind w:right="0"/>
        <w:jc w:val="both"/>
        <w:rPr>
          <w:b w:val="0"/>
          <w:bCs w:val="0"/>
        </w:rPr>
      </w:pPr>
      <w:r>
        <w:rPr/>
        <w:t>二、公司董事履行职责情况</w:t>
      </w:r>
      <w:r>
        <w:rPr>
          <w:b w:val="0"/>
          <w:bCs w:val="0"/>
        </w:rPr>
      </w:r>
    </w:p>
    <w:p>
      <w:pPr>
        <w:spacing w:line="357" w:lineRule="auto" w:before="154"/>
        <w:ind w:left="603" w:right="219" w:hanging="420"/>
        <w:jc w:val="left"/>
        <w:rPr>
          <w:rFonts w:ascii="宋体" w:hAnsi="宋体" w:cs="宋体" w:eastAsia="宋体" w:hint="default"/>
          <w:sz w:val="24"/>
          <w:szCs w:val="24"/>
        </w:rPr>
      </w:pPr>
      <w:r>
        <w:rPr>
          <w:rFonts w:ascii="宋体" w:hAnsi="宋体" w:cs="宋体" w:eastAsia="宋体" w:hint="default"/>
          <w:b/>
          <w:bCs/>
          <w:sz w:val="24"/>
          <w:szCs w:val="24"/>
        </w:rPr>
        <w:t>（一）董事履行职责情况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报告期内，公司全体董事严格按照《深圳证券交易所中小企业板上市公司规范运作</w:t>
      </w:r>
    </w:p>
    <w:p>
      <w:pPr>
        <w:pStyle w:val="BodyText"/>
        <w:spacing w:line="357" w:lineRule="auto"/>
        <w:ind w:right="231"/>
        <w:jc w:val="both"/>
      </w:pPr>
      <w:r>
        <w:rPr>
          <w:spacing w:val="-3"/>
        </w:rPr>
        <w:t>指引》及其他有关法律法规和《公司章程》等规定和要求，恪尽职守、诚实守信地履行</w:t>
      </w:r>
      <w:r>
        <w:rPr>
          <w:spacing w:val="-104"/>
        </w:rPr>
        <w:t> </w:t>
      </w:r>
      <w:r>
        <w:rPr>
          <w:spacing w:val="-104"/>
        </w:rPr>
      </w:r>
      <w:r>
        <w:rPr>
          <w:spacing w:val="-3"/>
        </w:rPr>
        <w:t>职责。董事在董事会会议投票表决重大事项或其他对公司有重大影响的事项时，严格遵</w:t>
      </w:r>
      <w:r>
        <w:rPr>
          <w:spacing w:val="-98"/>
        </w:rPr>
        <w:t> </w:t>
      </w:r>
      <w:r>
        <w:rPr>
          <w:spacing w:val="-98"/>
        </w:rPr>
      </w:r>
      <w:r>
        <w:rPr>
          <w:spacing w:val="-3"/>
        </w:rPr>
        <w:t>循公司董事会议事规则的有关审议规定，审慎决策，切实维护公司和股东特别是社会公</w:t>
      </w:r>
      <w:r>
        <w:rPr>
          <w:spacing w:val="-98"/>
        </w:rPr>
        <w:t> </w:t>
      </w:r>
      <w:r>
        <w:rPr>
          <w:spacing w:val="-98"/>
        </w:rPr>
      </w:r>
      <w:r>
        <w:rPr/>
        <w:t>众股股东的利益。</w:t>
      </w:r>
    </w:p>
    <w:p>
      <w:pPr>
        <w:pStyle w:val="BodyText"/>
        <w:spacing w:line="240" w:lineRule="auto"/>
        <w:ind w:left="603" w:right="879"/>
        <w:jc w:val="left"/>
      </w:pPr>
      <w:r>
        <w:rPr/>
        <w:t>报告期内，公司董事出席董事会会议的情况如下：</w:t>
      </w:r>
    </w:p>
    <w:p>
      <w:pPr>
        <w:spacing w:line="240" w:lineRule="auto" w:before="10"/>
        <w:rPr>
          <w:rFonts w:ascii="宋体" w:hAnsi="宋体" w:cs="宋体" w:eastAsia="宋体" w:hint="default"/>
          <w:sz w:val="8"/>
          <w:szCs w:val="8"/>
        </w:rPr>
      </w:pPr>
    </w:p>
    <w:tbl>
      <w:tblPr>
        <w:tblW w:w="0" w:type="auto"/>
        <w:jc w:val="left"/>
        <w:tblInd w:w="178" w:type="dxa"/>
        <w:tblLayout w:type="fixed"/>
        <w:tblCellMar>
          <w:top w:w="0" w:type="dxa"/>
          <w:left w:w="0" w:type="dxa"/>
          <w:bottom w:w="0" w:type="dxa"/>
          <w:right w:w="0" w:type="dxa"/>
        </w:tblCellMar>
        <w:tblLook w:val="01E0"/>
      </w:tblPr>
      <w:tblGrid>
        <w:gridCol w:w="1260"/>
        <w:gridCol w:w="1121"/>
        <w:gridCol w:w="811"/>
        <w:gridCol w:w="811"/>
        <w:gridCol w:w="1164"/>
        <w:gridCol w:w="782"/>
        <w:gridCol w:w="742"/>
        <w:gridCol w:w="1765"/>
        <w:gridCol w:w="682"/>
      </w:tblGrid>
      <w:tr>
        <w:trPr>
          <w:trHeight w:val="946" w:hRule="exact"/>
        </w:trPr>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415" w:right="41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应出</w:t>
            </w:r>
            <w:r>
              <w:rPr>
                <w:rFonts w:ascii="宋体" w:hAnsi="宋体" w:cs="宋体" w:eastAsia="宋体" w:hint="default"/>
                <w:spacing w:val="-103"/>
                <w:sz w:val="21"/>
                <w:szCs w:val="21"/>
              </w:rPr>
              <w:t> </w:t>
            </w:r>
            <w:r>
              <w:rPr>
                <w:rFonts w:ascii="宋体" w:hAnsi="宋体" w:cs="宋体" w:eastAsia="宋体" w:hint="default"/>
                <w:sz w:val="21"/>
                <w:szCs w:val="21"/>
              </w:rPr>
              <w:t>席次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现场</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58" w:right="151" w:firstLine="103"/>
              <w:jc w:val="left"/>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w w:val="100"/>
                <w:sz w:val="21"/>
                <w:szCs w:val="21"/>
              </w:rPr>
              <w:t> </w:t>
            </w:r>
            <w:r>
              <w:rPr>
                <w:rFonts w:ascii="宋体" w:hAnsi="宋体" w:cs="宋体" w:eastAsia="宋体" w:hint="default"/>
                <w:sz w:val="21"/>
                <w:szCs w:val="21"/>
              </w:rPr>
              <w:t>方式参加</w:t>
            </w:r>
            <w:r>
              <w:rPr>
                <w:rFonts w:ascii="宋体" w:hAnsi="宋体" w:cs="宋体" w:eastAsia="宋体" w:hint="default"/>
                <w:w w:val="100"/>
                <w:sz w:val="21"/>
                <w:szCs w:val="21"/>
              </w:rPr>
              <w:t> </w:t>
            </w:r>
            <w:r>
              <w:rPr>
                <w:rFonts w:ascii="宋体" w:hAnsi="宋体" w:cs="宋体" w:eastAsia="宋体" w:hint="default"/>
                <w:sz w:val="21"/>
                <w:szCs w:val="21"/>
              </w:rPr>
              <w:t>会议次数</w:t>
            </w:r>
          </w:p>
        </w:tc>
        <w:tc>
          <w:tcPr>
            <w:tcW w:w="7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75" w:right="173"/>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156" w:right="15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247" w:right="137" w:hanging="106"/>
              <w:jc w:val="left"/>
              <w:rPr>
                <w:rFonts w:ascii="宋体" w:hAnsi="宋体" w:cs="宋体" w:eastAsia="宋体" w:hint="default"/>
                <w:sz w:val="21"/>
                <w:szCs w:val="21"/>
              </w:rPr>
            </w:pPr>
            <w:r>
              <w:rPr>
                <w:rFonts w:ascii="宋体" w:hAnsi="宋体" w:cs="宋体" w:eastAsia="宋体" w:hint="default"/>
                <w:sz w:val="21"/>
                <w:szCs w:val="21"/>
              </w:rPr>
              <w:t>是否连续两次未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亲子出席会议</w:t>
            </w:r>
          </w:p>
        </w:tc>
        <w:tc>
          <w:tcPr>
            <w:tcW w:w="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4"/>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9"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4"/>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731" w:val="left" w:leader="none"/>
              </w:tabs>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张</w:t>
              <w:tab/>
              <w:t>强</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18"/>
                <w:szCs w:val="18"/>
              </w:rPr>
            </w:pPr>
            <w:r>
              <w:rPr>
                <w:rFonts w:ascii="宋体" w:hAnsi="宋体" w:cs="宋体" w:eastAsia="宋体" w:hint="default"/>
                <w:sz w:val="21"/>
                <w:szCs w:val="21"/>
              </w:rPr>
              <w:t>6</w:t>
            </w:r>
            <w:r>
              <w:rPr>
                <w:rFonts w:ascii="宋体" w:hAnsi="宋体" w:cs="宋体" w:eastAsia="宋体" w:hint="default"/>
                <w:sz w:val="18"/>
                <w:szCs w:val="18"/>
              </w:rPr>
              <w:t>（注）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新任</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09" w:right="0"/>
              <w:jc w:val="left"/>
              <w:rPr>
                <w:rFonts w:ascii="宋体" w:hAnsi="宋体" w:cs="宋体" w:eastAsia="宋体" w:hint="default"/>
                <w:sz w:val="21"/>
                <w:szCs w:val="21"/>
              </w:rPr>
            </w:pPr>
            <w:r>
              <w:rPr>
                <w:rFonts w:ascii="宋体" w:hAnsi="宋体" w:cs="宋体" w:eastAsia="宋体" w:hint="default"/>
                <w:sz w:val="21"/>
                <w:szCs w:val="21"/>
              </w:rPr>
              <w:t>陈乐波</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w w:val="100"/>
                <w:sz w:val="21"/>
              </w:rPr>
              <w:t>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731" w:val="left" w:leader="none"/>
              </w:tabs>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陆</w:t>
              <w:tab/>
              <w:t>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4"/>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2"/>
                <w:sz w:val="21"/>
                <w:szCs w:val="21"/>
              </w:rPr>
              <w:t> </w:t>
            </w:r>
            <w:r>
              <w:rPr>
                <w:rFonts w:ascii="宋体" w:hAnsi="宋体" w:cs="宋体" w:eastAsia="宋体" w:hint="default"/>
                <w:sz w:val="21"/>
                <w:szCs w:val="21"/>
              </w:rPr>
              <w:t>副总经理</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18"/>
                <w:szCs w:val="18"/>
              </w:rPr>
            </w:pPr>
            <w:r>
              <w:rPr>
                <w:rFonts w:ascii="宋体" w:hAnsi="宋体" w:cs="宋体" w:eastAsia="宋体" w:hint="default"/>
                <w:sz w:val="21"/>
                <w:szCs w:val="21"/>
              </w:rPr>
              <w:t>2</w:t>
            </w:r>
            <w:r>
              <w:rPr>
                <w:rFonts w:ascii="宋体" w:hAnsi="宋体" w:cs="宋体" w:eastAsia="宋体" w:hint="default"/>
                <w:sz w:val="18"/>
                <w:szCs w:val="18"/>
              </w:rPr>
              <w:t>（注）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w w:val="100"/>
                <w:sz w:val="21"/>
              </w:rPr>
              <w:t>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离任</w:t>
            </w:r>
          </w:p>
        </w:tc>
      </w:tr>
      <w:tr>
        <w:trPr>
          <w:trHeight w:val="322" w:hRule="exact"/>
        </w:trPr>
        <w:tc>
          <w:tcPr>
            <w:tcW w:w="31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594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9"/>
                <w:sz w:val="21"/>
              </w:rPr>
              <w:t>9</w:t>
            </w:r>
            <w:r>
              <w:rPr>
                <w:rFonts w:ascii="宋体"/>
                <w:sz w:val="21"/>
              </w:rPr>
            </w:r>
          </w:p>
        </w:tc>
      </w:tr>
      <w:tr>
        <w:trPr>
          <w:trHeight w:val="322" w:hRule="exact"/>
        </w:trPr>
        <w:tc>
          <w:tcPr>
            <w:tcW w:w="31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594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9"/>
                <w:sz w:val="21"/>
              </w:rPr>
              <w:t>6</w:t>
            </w:r>
            <w:r>
              <w:rPr>
                <w:rFonts w:ascii="宋体"/>
                <w:sz w:val="21"/>
              </w:rPr>
            </w:r>
          </w:p>
        </w:tc>
      </w:tr>
      <w:tr>
        <w:trPr>
          <w:trHeight w:val="322" w:hRule="exact"/>
        </w:trPr>
        <w:tc>
          <w:tcPr>
            <w:tcW w:w="31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594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9"/>
                <w:sz w:val="21"/>
              </w:rPr>
              <w:t>3</w:t>
            </w:r>
            <w:r>
              <w:rPr>
                <w:rFonts w:ascii="宋体"/>
                <w:sz w:val="21"/>
              </w:rPr>
            </w:r>
          </w:p>
        </w:tc>
      </w:tr>
      <w:tr>
        <w:trPr>
          <w:trHeight w:val="324" w:hRule="exact"/>
        </w:trPr>
        <w:tc>
          <w:tcPr>
            <w:tcW w:w="31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594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9"/>
                <w:sz w:val="21"/>
              </w:rPr>
              <w:t>0</w:t>
            </w:r>
            <w:r>
              <w:rPr>
                <w:rFonts w:ascii="宋体"/>
                <w:sz w:val="21"/>
              </w:rPr>
            </w:r>
          </w:p>
        </w:tc>
      </w:tr>
    </w:tbl>
    <w:p>
      <w:pPr>
        <w:spacing w:line="263" w:lineRule="exact" w:before="0"/>
        <w:ind w:left="183" w:right="0"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z w:val="21"/>
          <w:szCs w:val="21"/>
        </w:rPr>
        <w:t>日，公司召开第四届董事会第六次会议审议同意陆庆先生因个人健康原因辞去</w:t>
      </w:r>
    </w:p>
    <w:p>
      <w:pPr>
        <w:spacing w:line="273" w:lineRule="auto" w:before="37"/>
        <w:ind w:left="183" w:right="228" w:firstLine="0"/>
        <w:jc w:val="both"/>
        <w:rPr>
          <w:rFonts w:ascii="宋体" w:hAnsi="宋体" w:cs="宋体" w:eastAsia="宋体" w:hint="default"/>
          <w:sz w:val="21"/>
          <w:szCs w:val="21"/>
        </w:rPr>
      </w:pPr>
      <w:r>
        <w:rPr>
          <w:rFonts w:ascii="宋体" w:hAnsi="宋体" w:cs="宋体" w:eastAsia="宋体" w:hint="default"/>
          <w:spacing w:val="-3"/>
          <w:sz w:val="21"/>
          <w:szCs w:val="21"/>
        </w:rPr>
        <w:t>公司董事、副总经理职务，辞职即日起生效；</w:t>
      </w:r>
      <w:r>
        <w:rPr>
          <w:rFonts w:ascii="宋体" w:hAnsi="宋体" w:cs="宋体" w:eastAsia="宋体" w:hint="default"/>
          <w:spacing w:val="-3"/>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5"/>
          <w:sz w:val="21"/>
          <w:szCs w:val="21"/>
        </w:rPr>
        <w:t>日，公司</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年度股东大会审议通过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w w:val="100"/>
          <w:sz w:val="21"/>
          <w:szCs w:val="21"/>
        </w:rPr>
        <w:t>了《关于增补第四届董事会董事的议案》，经董事会提名委员会提名，增补张强先生为公司第四届</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董事会董事。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3"/>
        <w:spacing w:line="240" w:lineRule="auto" w:before="0"/>
        <w:ind w:right="0"/>
        <w:jc w:val="both"/>
        <w:rPr>
          <w:b w:val="0"/>
          <w:bCs w:val="0"/>
        </w:rPr>
      </w:pPr>
      <w:r>
        <w:rPr/>
        <w:t>（二）董事长履行职责情况</w:t>
      </w:r>
      <w:r>
        <w:rPr>
          <w:b w:val="0"/>
          <w:bCs w:val="0"/>
        </w:rPr>
      </w:r>
    </w:p>
    <w:p>
      <w:pPr>
        <w:spacing w:after="0" w:line="240" w:lineRule="auto"/>
        <w:jc w:val="both"/>
        <w:sectPr>
          <w:pgSz w:w="11910" w:h="16840"/>
          <w:pgMar w:header="876" w:footer="1186" w:top="1100" w:bottom="1380" w:left="1300" w:right="1160"/>
        </w:sectPr>
      </w:pPr>
    </w:p>
    <w:p>
      <w:pPr>
        <w:spacing w:line="240" w:lineRule="auto" w:before="12"/>
        <w:rPr>
          <w:rFonts w:ascii="宋体" w:hAnsi="宋体" w:cs="宋体" w:eastAsia="宋体" w:hint="default"/>
          <w:b/>
          <w:bCs/>
          <w:sz w:val="25"/>
          <w:szCs w:val="25"/>
        </w:rPr>
      </w:pPr>
    </w:p>
    <w:p>
      <w:pPr>
        <w:pStyle w:val="BodyText"/>
        <w:spacing w:line="357" w:lineRule="auto" w:before="26"/>
        <w:ind w:right="231" w:firstLine="480"/>
        <w:jc w:val="both"/>
      </w:pPr>
      <w:r>
        <w:rPr>
          <w:spacing w:val="-3"/>
        </w:rPr>
        <w:t>公司董事长积极推动公司内部各项制度的制订和完善，加强董事会建设，为各位董</w:t>
      </w:r>
      <w:r>
        <w:rPr/>
        <w:t> </w:t>
      </w:r>
      <w:r>
        <w:rPr>
          <w:spacing w:val="-3"/>
        </w:rPr>
        <w:t>事履行职责创造了良好的工作条件，充分保证了各位董事的知情权，严格董事会集体决</w:t>
      </w:r>
      <w:r>
        <w:rPr>
          <w:spacing w:val="-98"/>
        </w:rPr>
        <w:t> </w:t>
      </w:r>
      <w:r>
        <w:rPr>
          <w:spacing w:val="-98"/>
        </w:rPr>
      </w:r>
      <w:r>
        <w:rPr/>
        <w:t>策机制，全力执行股东大会决议，积极督促执行董事会会议形成的决议。</w:t>
      </w:r>
    </w:p>
    <w:p>
      <w:pPr>
        <w:spacing w:line="357" w:lineRule="auto" w:before="36"/>
        <w:ind w:left="663" w:right="0" w:hanging="480"/>
        <w:jc w:val="left"/>
        <w:rPr>
          <w:rFonts w:ascii="宋体" w:hAnsi="宋体" w:cs="宋体" w:eastAsia="宋体" w:hint="default"/>
          <w:sz w:val="24"/>
          <w:szCs w:val="24"/>
        </w:rPr>
      </w:pPr>
      <w:r>
        <w:rPr>
          <w:rFonts w:ascii="宋体" w:hAnsi="宋体" w:cs="宋体" w:eastAsia="宋体" w:hint="default"/>
          <w:b/>
          <w:bCs/>
          <w:sz w:val="24"/>
          <w:szCs w:val="24"/>
        </w:rPr>
        <w:t>（三）独立董事履行职责情况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报告期内，公司独立董事何积丰先生、高美萍女士、陈乐波先生按照《深圳证券交</w:t>
      </w:r>
    </w:p>
    <w:p>
      <w:pPr>
        <w:pStyle w:val="BodyText"/>
        <w:spacing w:line="357" w:lineRule="auto"/>
        <w:ind w:right="123"/>
        <w:jc w:val="left"/>
      </w:pPr>
      <w:r>
        <w:rPr>
          <w:spacing w:val="-12"/>
        </w:rPr>
        <w:t>易所中小企业板上市公司规范运作指引》、《公司章程》、《独立董事工作细则》等规定，</w:t>
      </w:r>
      <w:r>
        <w:rPr/>
        <w:t> </w:t>
      </w:r>
      <w:r>
        <w:rPr>
          <w:spacing w:val="-3"/>
        </w:rPr>
        <w:t>本着对公司、股东负责的态度，勤勉尽责，忠实履行职责，积极出席相关会议，认真审</w:t>
      </w:r>
      <w:r>
        <w:rPr>
          <w:spacing w:val="-104"/>
        </w:rPr>
        <w:t> </w:t>
      </w:r>
      <w:r>
        <w:rPr>
          <w:spacing w:val="-104"/>
        </w:rPr>
      </w:r>
      <w:r>
        <w:rPr>
          <w:spacing w:val="-3"/>
        </w:rPr>
        <w:t>议各项议案，客观地发表自己的看法及观点。同时积极深入公司现场调查，了解公司生</w:t>
      </w:r>
      <w:r>
        <w:rPr>
          <w:spacing w:val="-102"/>
        </w:rPr>
        <w:t> </w:t>
      </w:r>
      <w:r>
        <w:rPr>
          <w:spacing w:val="-102"/>
        </w:rPr>
      </w:r>
      <w:r>
        <w:rPr>
          <w:spacing w:val="-3"/>
        </w:rPr>
        <w:t>产经营状况及董事会决议、股东会决议的执行情况，关注外部环境变化对公司造成的影</w:t>
      </w:r>
      <w:r>
        <w:rPr>
          <w:spacing w:val="-98"/>
        </w:rPr>
        <w:t> </w:t>
      </w:r>
      <w:r>
        <w:rPr>
          <w:spacing w:val="-98"/>
        </w:rPr>
      </w:r>
      <w:r>
        <w:rPr>
          <w:spacing w:val="-3"/>
        </w:rPr>
        <w:t>响，并利用自己的专业知识为公司未来经营和发展提出合理化的意见和建议。对报告期</w:t>
      </w:r>
      <w:r>
        <w:rPr>
          <w:spacing w:val="-98"/>
        </w:rPr>
        <w:t> </w:t>
      </w:r>
      <w:r>
        <w:rPr>
          <w:spacing w:val="-98"/>
        </w:rPr>
      </w:r>
      <w:r>
        <w:rPr>
          <w:spacing w:val="-3"/>
        </w:rPr>
        <w:t>内聘请高级管理人员、股权激励计划、公司续聘会计师事务所、日常关联交易、对外担</w:t>
      </w:r>
      <w:r>
        <w:rPr>
          <w:spacing w:val="-97"/>
        </w:rPr>
        <w:t> </w:t>
      </w:r>
      <w:r>
        <w:rPr>
          <w:spacing w:val="-97"/>
        </w:rPr>
      </w:r>
      <w:r>
        <w:rPr>
          <w:spacing w:val="-3"/>
        </w:rPr>
        <w:t>保、资金占用等事项发表独立意见，不受公司和公司股东的影响，切实维护了公司和中</w:t>
      </w:r>
      <w:r>
        <w:rPr>
          <w:spacing w:val="-102"/>
        </w:rPr>
        <w:t> </w:t>
      </w:r>
      <w:r>
        <w:rPr>
          <w:spacing w:val="-102"/>
        </w:rPr>
      </w:r>
      <w:r>
        <w:rPr>
          <w:spacing w:val="-3"/>
        </w:rPr>
        <w:t>小股东的利益。同时为公司的生产经营管理出谋划策，对公司的稳定、健康发展发挥了</w:t>
      </w:r>
      <w:r>
        <w:rPr>
          <w:spacing w:val="-102"/>
        </w:rPr>
        <w:t> </w:t>
      </w:r>
      <w:r>
        <w:rPr>
          <w:spacing w:val="-102"/>
        </w:rPr>
      </w:r>
      <w:r>
        <w:rPr/>
        <w:t>积极的作用。</w:t>
      </w:r>
    </w:p>
    <w:p>
      <w:pPr>
        <w:pStyle w:val="BodyText"/>
        <w:spacing w:line="357" w:lineRule="auto"/>
        <w:ind w:left="663" w:right="603"/>
        <w:jc w:val="left"/>
      </w:pPr>
      <w:r>
        <w:rPr/>
        <w:t>报告期内，公司独立董事对董事会各项议案及公司其他事项均没有提出异议。 各位独立董事履行情况如下：</w:t>
      </w:r>
    </w:p>
    <w:p>
      <w:pPr>
        <w:pStyle w:val="Heading3"/>
        <w:spacing w:line="240" w:lineRule="auto" w:before="36"/>
        <w:ind w:left="663" w:right="879"/>
        <w:jc w:val="left"/>
        <w:rPr>
          <w:b w:val="0"/>
          <w:bCs w:val="0"/>
        </w:rPr>
      </w:pPr>
      <w:r>
        <w:rPr>
          <w:rFonts w:ascii="宋体" w:hAnsi="宋体" w:cs="宋体" w:eastAsia="宋体" w:hint="default"/>
        </w:rPr>
        <w:t>1</w:t>
      </w:r>
      <w:r>
        <w:rPr/>
        <w:t>、何积丰</w:t>
      </w:r>
      <w:r>
        <w:rPr>
          <w:b w:val="0"/>
          <w:bCs w:val="0"/>
        </w:rPr>
      </w:r>
    </w:p>
    <w:p>
      <w:pPr>
        <w:pStyle w:val="BodyText"/>
        <w:spacing w:line="240" w:lineRule="auto" w:before="154"/>
        <w:ind w:right="879"/>
        <w:jc w:val="left"/>
      </w:pPr>
      <w:r>
        <w:rPr/>
        <w:t>（</w:t>
      </w:r>
      <w:r>
        <w:rPr>
          <w:rFonts w:ascii="宋体" w:hAnsi="宋体" w:cs="宋体" w:eastAsia="宋体" w:hint="default"/>
        </w:rPr>
        <w:t>1</w:t>
      </w:r>
      <w:r>
        <w:rPr/>
        <w:t>）出席董事会情况</w:t>
      </w:r>
    </w:p>
    <w:p>
      <w:pPr>
        <w:spacing w:line="240" w:lineRule="auto" w:before="10"/>
        <w:rPr>
          <w:rFonts w:ascii="宋体" w:hAnsi="宋体" w:cs="宋体" w:eastAsia="宋体" w:hint="default"/>
          <w:sz w:val="8"/>
          <w:szCs w:val="8"/>
        </w:rPr>
      </w:pPr>
    </w:p>
    <w:tbl>
      <w:tblPr>
        <w:tblW w:w="0" w:type="auto"/>
        <w:jc w:val="left"/>
        <w:tblInd w:w="178" w:type="dxa"/>
        <w:tblLayout w:type="fixed"/>
        <w:tblCellMar>
          <w:top w:w="0" w:type="dxa"/>
          <w:left w:w="0" w:type="dxa"/>
          <w:bottom w:w="0" w:type="dxa"/>
          <w:right w:w="0" w:type="dxa"/>
        </w:tblCellMar>
        <w:tblLook w:val="01E0"/>
      </w:tblPr>
      <w:tblGrid>
        <w:gridCol w:w="1058"/>
        <w:gridCol w:w="1186"/>
        <w:gridCol w:w="1438"/>
        <w:gridCol w:w="1565"/>
        <w:gridCol w:w="1058"/>
        <w:gridCol w:w="2833"/>
      </w:tblGrid>
      <w:tr>
        <w:trPr>
          <w:trHeight w:val="283" w:hRule="exact"/>
        </w:trPr>
        <w:tc>
          <w:tcPr>
            <w:tcW w:w="36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54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554"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应出席董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事会次数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现场出席</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通讯方式出</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席</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未亲自出席会议</w:t>
            </w:r>
          </w:p>
        </w:tc>
      </w:tr>
      <w:tr>
        <w:trPr>
          <w:trHeight w:val="283"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57" w:lineRule="auto" w:before="39"/>
        <w:ind w:left="603" w:right="183" w:hanging="420"/>
        <w:jc w:val="left"/>
      </w:pPr>
      <w:r>
        <w:rPr/>
        <w:t>（</w:t>
      </w:r>
      <w:r>
        <w:rPr>
          <w:rFonts w:ascii="宋体" w:hAnsi="宋体" w:cs="宋体" w:eastAsia="宋体" w:hint="default"/>
        </w:rPr>
        <w:t>2</w:t>
      </w:r>
      <w:r>
        <w:rPr/>
        <w:t>）对公司进行现场调查的情况 报告期内，何积丰先生利用召开董事会的机会及其他时间对公司进行了现场考察，</w:t>
      </w:r>
    </w:p>
    <w:p>
      <w:pPr>
        <w:pStyle w:val="BodyText"/>
        <w:spacing w:line="357" w:lineRule="auto"/>
        <w:ind w:right="123"/>
        <w:jc w:val="left"/>
      </w:pPr>
      <w:r>
        <w:rPr/>
        <w:t>深入了解公司的生产经营情况和财务状况，并通过电话和邮件形式，与公司其他董事、 </w:t>
      </w:r>
      <w:r>
        <w:rPr>
          <w:spacing w:val="-3"/>
        </w:rPr>
        <w:t>监事、高管和相关人员保持密切联系。时刻关注外部环境及市场变化对公司的影响，关</w:t>
      </w:r>
      <w:r>
        <w:rPr>
          <w:spacing w:val="-102"/>
        </w:rPr>
        <w:t> </w:t>
      </w:r>
      <w:r>
        <w:rPr>
          <w:spacing w:val="-102"/>
        </w:rPr>
      </w:r>
      <w:r>
        <w:rPr>
          <w:spacing w:val="-3"/>
        </w:rPr>
        <w:t>注媒体对公司的相关报道，及时掌握公司运行状态，对公司总体发展战略和重大投资项</w:t>
      </w:r>
      <w:r>
        <w:rPr>
          <w:spacing w:val="-97"/>
        </w:rPr>
        <w:t> </w:t>
      </w:r>
      <w:r>
        <w:rPr>
          <w:spacing w:val="-97"/>
        </w:rPr>
      </w:r>
      <w:r>
        <w:rPr/>
        <w:t>目提出建设性意见。</w:t>
      </w:r>
    </w:p>
    <w:p>
      <w:pPr>
        <w:pStyle w:val="BodyText"/>
        <w:spacing w:line="357" w:lineRule="auto"/>
        <w:ind w:left="603" w:right="219" w:hanging="420"/>
        <w:jc w:val="left"/>
      </w:pPr>
      <w:r>
        <w:rPr/>
        <w:t>（</w:t>
      </w:r>
      <w:r>
        <w:rPr>
          <w:rFonts w:ascii="宋体" w:hAnsi="宋体" w:cs="宋体" w:eastAsia="宋体" w:hint="default"/>
        </w:rPr>
        <w:t>3</w:t>
      </w:r>
      <w:r>
        <w:rPr/>
        <w:t>）专门委员会任职情况 </w:t>
      </w:r>
      <w:r>
        <w:rPr>
          <w:spacing w:val="-1"/>
        </w:rPr>
        <w:t>何积丰先生担任公司董事会战略委员会委员。报告期内，何积丰先生积极参与了专</w:t>
      </w:r>
    </w:p>
    <w:p>
      <w:pPr>
        <w:pStyle w:val="BodyText"/>
        <w:spacing w:line="240" w:lineRule="auto" w:before="34"/>
        <w:ind w:right="0"/>
        <w:jc w:val="left"/>
      </w:pPr>
      <w:r>
        <w:rPr/>
        <w:t>门委员会相关会议，对公司中长期发展计划及发展方向方面提出了可行性建议。</w:t>
      </w:r>
    </w:p>
    <w:p>
      <w:pPr>
        <w:spacing w:after="0" w:line="240" w:lineRule="auto"/>
        <w:jc w:val="left"/>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240" w:lineRule="auto" w:before="26"/>
        <w:ind w:right="0"/>
        <w:jc w:val="both"/>
      </w:pPr>
      <w:r>
        <w:rPr/>
        <w:t>（</w:t>
      </w: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1"/>
        </w:rPr>
        <w:t> </w:t>
      </w:r>
      <w:r>
        <w:rPr/>
        <w:t>年年报工作情况</w:t>
      </w:r>
    </w:p>
    <w:p>
      <w:pPr>
        <w:pStyle w:val="BodyText"/>
        <w:spacing w:line="240" w:lineRule="auto" w:before="154"/>
        <w:ind w:left="603" w:right="0"/>
        <w:jc w:val="left"/>
      </w:pPr>
      <w:r>
        <w:rPr/>
        <w:t>在公司 </w:t>
      </w:r>
      <w:r>
        <w:rPr>
          <w:rFonts w:ascii="宋体" w:hAnsi="宋体" w:cs="宋体" w:eastAsia="宋体" w:hint="default"/>
        </w:rPr>
        <w:t>2011</w:t>
      </w:r>
      <w:r>
        <w:rPr>
          <w:rFonts w:ascii="宋体" w:hAnsi="宋体" w:cs="宋体" w:eastAsia="宋体" w:hint="default"/>
          <w:spacing w:val="-32"/>
        </w:rPr>
        <w:t> </w:t>
      </w:r>
      <w:r>
        <w:rPr/>
        <w:t>年年报编制和披露过程中，何积丰先生认真听取公司管理层对全年生</w:t>
      </w:r>
    </w:p>
    <w:p>
      <w:pPr>
        <w:pStyle w:val="BodyText"/>
        <w:spacing w:line="357" w:lineRule="auto" w:before="154"/>
        <w:ind w:right="229"/>
        <w:jc w:val="both"/>
      </w:pPr>
      <w:r>
        <w:rPr/>
        <w:t>产经营情况和重大事项进展情况的汇报，了解、掌握 </w:t>
      </w:r>
      <w:r>
        <w:rPr>
          <w:rFonts w:ascii="宋体" w:hAnsi="宋体" w:cs="宋体" w:eastAsia="宋体" w:hint="default"/>
        </w:rPr>
        <w:t>2011</w:t>
      </w:r>
      <w:r>
        <w:rPr>
          <w:rFonts w:ascii="宋体" w:hAnsi="宋体" w:cs="宋体" w:eastAsia="宋体" w:hint="default"/>
          <w:spacing w:val="-92"/>
        </w:rPr>
        <w:t> </w:t>
      </w:r>
      <w:r>
        <w:rPr/>
        <w:t>年年报审计工作安排及审计 </w:t>
      </w:r>
      <w:r>
        <w:rPr>
          <w:spacing w:val="-3"/>
        </w:rPr>
        <w:t>工作进展情况。到公司实地考察，仔细查阅相关资料，并与公司财务负责人、内部审计</w:t>
      </w:r>
      <w:r>
        <w:rPr>
          <w:spacing w:val="-97"/>
        </w:rPr>
        <w:t> </w:t>
      </w:r>
      <w:r>
        <w:rPr>
          <w:spacing w:val="-97"/>
        </w:rPr>
      </w:r>
      <w:r>
        <w:rPr>
          <w:spacing w:val="-3"/>
        </w:rPr>
        <w:t>人员、年审会计师见面就审计过程中发现的问题进行沟通，以确保审计报告全面、真实</w:t>
      </w:r>
      <w:r>
        <w:rPr>
          <w:spacing w:val="-102"/>
        </w:rPr>
        <w:t> </w:t>
      </w:r>
      <w:r>
        <w:rPr>
          <w:spacing w:val="-102"/>
        </w:rPr>
      </w:r>
      <w:r>
        <w:rPr/>
        <w:t>地反映公司情况。</w:t>
      </w:r>
    </w:p>
    <w:p>
      <w:pPr>
        <w:pStyle w:val="BodyText"/>
        <w:spacing w:line="357" w:lineRule="auto"/>
        <w:ind w:left="603" w:right="219" w:hanging="420"/>
        <w:jc w:val="left"/>
      </w:pPr>
      <w:r>
        <w:rPr/>
        <w:t>（</w:t>
      </w:r>
      <w:r>
        <w:rPr>
          <w:rFonts w:ascii="宋体" w:hAnsi="宋体" w:cs="宋体" w:eastAsia="宋体" w:hint="default"/>
        </w:rPr>
        <w:t>5</w:t>
      </w:r>
      <w:r>
        <w:rPr/>
        <w:t>）其他工作情况 </w:t>
      </w:r>
      <w:r>
        <w:rPr>
          <w:spacing w:val="-1"/>
        </w:rPr>
        <w:t>报告期内没有提议召开董事会、提议解聘会计师事务所、独立聘请外部审计机构或</w:t>
      </w:r>
    </w:p>
    <w:p>
      <w:pPr>
        <w:spacing w:line="357" w:lineRule="auto" w:before="36"/>
        <w:ind w:left="183" w:right="7323" w:firstLine="0"/>
        <w:jc w:val="left"/>
        <w:rPr>
          <w:rFonts w:ascii="宋体" w:hAnsi="宋体" w:cs="宋体" w:eastAsia="宋体" w:hint="default"/>
          <w:sz w:val="24"/>
          <w:szCs w:val="24"/>
        </w:rPr>
      </w:pPr>
      <w:r>
        <w:rPr>
          <w:rFonts w:ascii="宋体" w:hAnsi="宋体" w:cs="宋体" w:eastAsia="宋体" w:hint="default"/>
          <w:sz w:val="24"/>
          <w:szCs w:val="24"/>
        </w:rPr>
        <w:t>咨询机构等情况。 </w:t>
      </w:r>
      <w:r>
        <w:rPr>
          <w:rFonts w:ascii="宋体" w:hAnsi="宋体" w:cs="宋体" w:eastAsia="宋体" w:hint="default"/>
          <w:b/>
          <w:bCs/>
          <w:sz w:val="24"/>
          <w:szCs w:val="24"/>
        </w:rPr>
        <w:t>2</w:t>
      </w:r>
      <w:r>
        <w:rPr>
          <w:rFonts w:ascii="宋体" w:hAnsi="宋体" w:cs="宋体" w:eastAsia="宋体" w:hint="default"/>
          <w:b/>
          <w:bCs/>
          <w:sz w:val="24"/>
          <w:szCs w:val="24"/>
        </w:rPr>
        <w:t>、高美萍</w:t>
      </w:r>
      <w:r>
        <w:rPr>
          <w:rFonts w:ascii="宋体" w:hAnsi="宋体" w:cs="宋体" w:eastAsia="宋体" w:hint="default"/>
          <w:sz w:val="24"/>
          <w:szCs w:val="24"/>
        </w:rPr>
      </w:r>
    </w:p>
    <w:p>
      <w:pPr>
        <w:pStyle w:val="BodyText"/>
        <w:spacing w:line="240" w:lineRule="auto"/>
        <w:ind w:right="0"/>
        <w:jc w:val="both"/>
      </w:pPr>
      <w:r>
        <w:rPr/>
        <w:t>（</w:t>
      </w:r>
      <w:r>
        <w:rPr>
          <w:rFonts w:ascii="宋体" w:hAnsi="宋体" w:cs="宋体" w:eastAsia="宋体" w:hint="default"/>
        </w:rPr>
        <w:t>1</w:t>
      </w:r>
      <w:r>
        <w:rPr/>
        <w:t>）出席董事会情况</w:t>
      </w:r>
    </w:p>
    <w:p>
      <w:pPr>
        <w:spacing w:line="240" w:lineRule="auto" w:before="10"/>
        <w:rPr>
          <w:rFonts w:ascii="宋体" w:hAnsi="宋体" w:cs="宋体" w:eastAsia="宋体" w:hint="default"/>
          <w:sz w:val="8"/>
          <w:szCs w:val="8"/>
        </w:rPr>
      </w:pPr>
    </w:p>
    <w:tbl>
      <w:tblPr>
        <w:tblW w:w="0" w:type="auto"/>
        <w:jc w:val="left"/>
        <w:tblInd w:w="178" w:type="dxa"/>
        <w:tblLayout w:type="fixed"/>
        <w:tblCellMar>
          <w:top w:w="0" w:type="dxa"/>
          <w:left w:w="0" w:type="dxa"/>
          <w:bottom w:w="0" w:type="dxa"/>
          <w:right w:w="0" w:type="dxa"/>
        </w:tblCellMar>
        <w:tblLook w:val="01E0"/>
      </w:tblPr>
      <w:tblGrid>
        <w:gridCol w:w="1058"/>
        <w:gridCol w:w="1186"/>
        <w:gridCol w:w="1585"/>
        <w:gridCol w:w="1560"/>
        <w:gridCol w:w="1133"/>
        <w:gridCol w:w="2617"/>
      </w:tblGrid>
      <w:tr>
        <w:trPr>
          <w:trHeight w:val="283"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5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554"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应出席董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事会次数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现场出席</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通讯方式出席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未亲自出席会议</w:t>
            </w:r>
          </w:p>
        </w:tc>
      </w:tr>
      <w:tr>
        <w:trPr>
          <w:trHeight w:val="283"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57" w:lineRule="auto" w:before="39"/>
        <w:ind w:left="603" w:right="183" w:hanging="420"/>
        <w:jc w:val="left"/>
      </w:pPr>
      <w:r>
        <w:rPr/>
        <w:t>（</w:t>
      </w:r>
      <w:r>
        <w:rPr>
          <w:rFonts w:ascii="宋体" w:hAnsi="宋体" w:cs="宋体" w:eastAsia="宋体" w:hint="default"/>
        </w:rPr>
        <w:t>2</w:t>
      </w:r>
      <w:r>
        <w:rPr/>
        <w:t>）对公司进行现场调查的情况 报告期内，高美萍女士利用召开董事会的机会及其他时间对公司进行了现场考察，</w:t>
      </w:r>
    </w:p>
    <w:p>
      <w:pPr>
        <w:pStyle w:val="BodyText"/>
        <w:spacing w:line="357" w:lineRule="auto"/>
        <w:ind w:right="123"/>
        <w:jc w:val="left"/>
      </w:pPr>
      <w:r>
        <w:rPr/>
        <w:t>深入了解公司的生产经营情况和财务状况，并通过电话和邮件形式，与公司其他董事、 </w:t>
      </w:r>
      <w:r>
        <w:rPr>
          <w:spacing w:val="-3"/>
        </w:rPr>
        <w:t>监事、高管和相关人员保持密切联系。时刻关注外部环境及市场变化对公司的影响，关</w:t>
      </w:r>
      <w:r>
        <w:rPr>
          <w:spacing w:val="-102"/>
        </w:rPr>
        <w:t> </w:t>
      </w:r>
      <w:r>
        <w:rPr>
          <w:spacing w:val="-102"/>
        </w:rPr>
      </w:r>
      <w:r>
        <w:rPr>
          <w:spacing w:val="-3"/>
        </w:rPr>
        <w:t>注媒体对公司的相关报道，及时掌握公司运行状态。对公司总体发展战略和重大投资项</w:t>
      </w:r>
      <w:r>
        <w:rPr>
          <w:spacing w:val="-98"/>
        </w:rPr>
        <w:t> </w:t>
      </w:r>
      <w:r>
        <w:rPr>
          <w:spacing w:val="-98"/>
        </w:rPr>
      </w:r>
      <w:r>
        <w:rPr/>
        <w:t>目提出建设性意见。</w:t>
      </w:r>
    </w:p>
    <w:p>
      <w:pPr>
        <w:pStyle w:val="BodyText"/>
        <w:spacing w:line="357" w:lineRule="auto"/>
        <w:ind w:left="603" w:right="0" w:hanging="420"/>
        <w:jc w:val="left"/>
      </w:pPr>
      <w:r>
        <w:rPr/>
        <w:t>（</w:t>
      </w:r>
      <w:r>
        <w:rPr>
          <w:rFonts w:ascii="宋体" w:hAnsi="宋体" w:cs="宋体" w:eastAsia="宋体" w:hint="default"/>
        </w:rPr>
        <w:t>3</w:t>
      </w:r>
      <w:r>
        <w:rPr/>
        <w:t>）专门委员会任职情况 </w:t>
      </w:r>
      <w:r>
        <w:rPr>
          <w:spacing w:val="-1"/>
        </w:rPr>
        <w:t>高美萍女士担任公司董事会审计委员会主任委员和提名</w:t>
      </w:r>
      <w:r>
        <w:rPr>
          <w:rFonts w:ascii="MS UI Gothic" w:hAnsi="MS UI Gothic" w:cs="MS UI Gothic" w:eastAsia="MS UI Gothic" w:hint="default"/>
          <w:spacing w:val="-1"/>
        </w:rPr>
        <w:t>・</w:t>
      </w:r>
      <w:r>
        <w:rPr>
          <w:spacing w:val="-1"/>
        </w:rPr>
        <w:t>薪酬与考核委员会主任委</w:t>
      </w:r>
    </w:p>
    <w:p>
      <w:pPr>
        <w:pStyle w:val="BodyText"/>
        <w:spacing w:line="357" w:lineRule="auto"/>
        <w:ind w:right="231"/>
        <w:jc w:val="both"/>
      </w:pPr>
      <w:r>
        <w:rPr>
          <w:spacing w:val="-3"/>
        </w:rPr>
        <w:t>员。报告期内，高美萍女士牵头召集或参与了专门委员会相关会议，对公司定期报告进</w:t>
      </w:r>
      <w:r>
        <w:rPr>
          <w:spacing w:val="-100"/>
        </w:rPr>
        <w:t> </w:t>
      </w:r>
      <w:r>
        <w:rPr>
          <w:spacing w:val="-100"/>
        </w:rPr>
      </w:r>
      <w:r>
        <w:rPr>
          <w:spacing w:val="-3"/>
        </w:rPr>
        <w:t>行审查，对公司内部审计情况进行检查并对外部审计工作予以适当的督促，对内审部编</w:t>
      </w:r>
      <w:r>
        <w:rPr>
          <w:spacing w:val="-98"/>
        </w:rPr>
        <w:t> </w:t>
      </w:r>
      <w:r>
        <w:rPr>
          <w:spacing w:val="-98"/>
        </w:rPr>
      </w:r>
      <w:r>
        <w:rPr>
          <w:spacing w:val="-3"/>
        </w:rPr>
        <w:t>制的年度工作报告进行审核；同时考察评价了公司董事、监事和高级管理人员任职资格</w:t>
      </w:r>
      <w:r>
        <w:rPr>
          <w:spacing w:val="-98"/>
        </w:rPr>
        <w:t> </w:t>
      </w:r>
      <w:r>
        <w:rPr>
          <w:spacing w:val="-98"/>
        </w:rPr>
      </w:r>
      <w:r>
        <w:rPr>
          <w:spacing w:val="-9"/>
        </w:rPr>
        <w:t>及工作表现，审议通过了《公司限制性股票激励计划（草案）》，《公司限制性股票激励</w:t>
      </w:r>
      <w:r>
        <w:rPr>
          <w:spacing w:val="-108"/>
        </w:rPr>
        <w:t> </w:t>
      </w:r>
      <w:r>
        <w:rPr>
          <w:spacing w:val="-108"/>
        </w:rPr>
      </w:r>
      <w:r>
        <w:rPr>
          <w:spacing w:val="-4"/>
        </w:rPr>
        <w:t>计划首期激励对象名单》及《公司限制性股票激励计划实施考核办法》。</w:t>
      </w:r>
    </w:p>
    <w:p>
      <w:pPr>
        <w:pStyle w:val="BodyText"/>
        <w:spacing w:line="240" w:lineRule="auto"/>
        <w:ind w:right="879"/>
        <w:jc w:val="left"/>
      </w:pPr>
      <w:r>
        <w:rPr/>
        <w:t>（</w:t>
      </w: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1"/>
        </w:rPr>
        <w:t> </w:t>
      </w:r>
      <w:r>
        <w:rPr/>
        <w:t>年年报工作情况</w:t>
      </w:r>
    </w:p>
    <w:p>
      <w:pPr>
        <w:pStyle w:val="BodyText"/>
        <w:spacing w:line="240" w:lineRule="auto" w:before="154"/>
        <w:ind w:left="603" w:right="0"/>
        <w:jc w:val="left"/>
      </w:pPr>
      <w:r>
        <w:rPr/>
        <w:t>在公司 </w:t>
      </w:r>
      <w:r>
        <w:rPr>
          <w:rFonts w:ascii="宋体" w:hAnsi="宋体" w:cs="宋体" w:eastAsia="宋体" w:hint="default"/>
        </w:rPr>
        <w:t>2011</w:t>
      </w:r>
      <w:r>
        <w:rPr>
          <w:rFonts w:ascii="宋体" w:hAnsi="宋体" w:cs="宋体" w:eastAsia="宋体" w:hint="default"/>
          <w:spacing w:val="-33"/>
        </w:rPr>
        <w:t> </w:t>
      </w:r>
      <w:r>
        <w:rPr/>
        <w:t>年年报编制和披露过程中，高美萍女士认真听取公司管理层对全年生</w:t>
      </w:r>
    </w:p>
    <w:p>
      <w:pPr>
        <w:pStyle w:val="BodyText"/>
        <w:spacing w:line="240" w:lineRule="auto" w:before="151"/>
        <w:ind w:right="0"/>
        <w:jc w:val="left"/>
      </w:pPr>
      <w:r>
        <w:rPr/>
        <w:t>产经营情况和重大事项进展情况的汇报，了解、掌握 </w:t>
      </w:r>
      <w:r>
        <w:rPr>
          <w:rFonts w:ascii="宋体" w:hAnsi="宋体" w:cs="宋体" w:eastAsia="宋体" w:hint="default"/>
        </w:rPr>
        <w:t>2011</w:t>
      </w:r>
      <w:r>
        <w:rPr>
          <w:rFonts w:ascii="宋体" w:hAnsi="宋体" w:cs="宋体" w:eastAsia="宋体" w:hint="default"/>
          <w:spacing w:val="-92"/>
        </w:rPr>
        <w:t> </w:t>
      </w:r>
      <w:r>
        <w:rPr/>
        <w:t>年年报审计工作安排及审计</w:t>
      </w:r>
    </w:p>
    <w:p>
      <w:pPr>
        <w:spacing w:after="0" w:line="240" w:lineRule="auto"/>
        <w:jc w:val="left"/>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289"/>
        <w:jc w:val="both"/>
      </w:pPr>
      <w:r>
        <w:rPr>
          <w:spacing w:val="-3"/>
        </w:rPr>
        <w:t>工作进展情况。到公司实地考察，仔细查阅相关资料，并与公司财务负责人、内部审计</w:t>
      </w:r>
      <w:r>
        <w:rPr>
          <w:spacing w:val="-97"/>
        </w:rPr>
        <w:t> </w:t>
      </w:r>
      <w:r>
        <w:rPr>
          <w:spacing w:val="-97"/>
        </w:rPr>
      </w:r>
      <w:r>
        <w:rPr>
          <w:spacing w:val="-3"/>
        </w:rPr>
        <w:t>人员、年审会计师见面就审计过程中发现的问题进行沟通，以确保审计报告全面、真实</w:t>
      </w:r>
      <w:r>
        <w:rPr>
          <w:spacing w:val="-102"/>
        </w:rPr>
        <w:t> </w:t>
      </w:r>
      <w:r>
        <w:rPr>
          <w:spacing w:val="-102"/>
        </w:rPr>
      </w:r>
      <w:r>
        <w:rPr/>
        <w:t>地反映公司情况。</w:t>
      </w:r>
    </w:p>
    <w:p>
      <w:pPr>
        <w:pStyle w:val="BodyText"/>
        <w:spacing w:line="357" w:lineRule="auto"/>
        <w:ind w:left="603" w:right="279" w:hanging="420"/>
        <w:jc w:val="left"/>
      </w:pPr>
      <w:r>
        <w:rPr/>
        <w:t>（</w:t>
      </w:r>
      <w:r>
        <w:rPr>
          <w:rFonts w:ascii="宋体" w:hAnsi="宋体" w:cs="宋体" w:eastAsia="宋体" w:hint="default"/>
        </w:rPr>
        <w:t>5</w:t>
      </w:r>
      <w:r>
        <w:rPr/>
        <w:t>）其他工作情况 </w:t>
      </w:r>
      <w:r>
        <w:rPr>
          <w:spacing w:val="-1"/>
        </w:rPr>
        <w:t>报告期内没有提议召开董事会、提议解聘会计师事务所、独立聘请外部审计机构或</w:t>
      </w:r>
    </w:p>
    <w:p>
      <w:pPr>
        <w:spacing w:line="357" w:lineRule="auto" w:before="36"/>
        <w:ind w:left="183" w:right="7383" w:firstLine="0"/>
        <w:jc w:val="left"/>
        <w:rPr>
          <w:rFonts w:ascii="宋体" w:hAnsi="宋体" w:cs="宋体" w:eastAsia="宋体" w:hint="default"/>
          <w:sz w:val="24"/>
          <w:szCs w:val="24"/>
        </w:rPr>
      </w:pPr>
      <w:r>
        <w:rPr>
          <w:rFonts w:ascii="宋体" w:hAnsi="宋体" w:cs="宋体" w:eastAsia="宋体" w:hint="default"/>
          <w:sz w:val="24"/>
          <w:szCs w:val="24"/>
        </w:rPr>
        <w:t>咨询机构等情况。 </w:t>
      </w:r>
      <w:r>
        <w:rPr>
          <w:rFonts w:ascii="宋体" w:hAnsi="宋体" w:cs="宋体" w:eastAsia="宋体" w:hint="default"/>
          <w:b/>
          <w:bCs/>
          <w:sz w:val="24"/>
          <w:szCs w:val="24"/>
        </w:rPr>
        <w:t>3</w:t>
      </w:r>
      <w:r>
        <w:rPr>
          <w:rFonts w:ascii="宋体" w:hAnsi="宋体" w:cs="宋体" w:eastAsia="宋体" w:hint="default"/>
          <w:b/>
          <w:bCs/>
          <w:sz w:val="24"/>
          <w:szCs w:val="24"/>
        </w:rPr>
        <w:t>、陈乐波</w:t>
      </w:r>
      <w:r>
        <w:rPr>
          <w:rFonts w:ascii="宋体" w:hAnsi="宋体" w:cs="宋体" w:eastAsia="宋体" w:hint="default"/>
          <w:sz w:val="24"/>
          <w:szCs w:val="24"/>
        </w:rPr>
      </w:r>
    </w:p>
    <w:p>
      <w:pPr>
        <w:pStyle w:val="BodyText"/>
        <w:spacing w:line="240" w:lineRule="auto"/>
        <w:ind w:right="0"/>
        <w:jc w:val="both"/>
      </w:pPr>
      <w:r>
        <w:rPr/>
        <w:t>（</w:t>
      </w:r>
      <w:r>
        <w:rPr>
          <w:rFonts w:ascii="宋体" w:hAnsi="宋体" w:cs="宋体" w:eastAsia="宋体" w:hint="default"/>
        </w:rPr>
        <w:t>1</w:t>
      </w:r>
      <w:r>
        <w:rPr/>
        <w:t>）出席董事会情况</w:t>
      </w:r>
    </w:p>
    <w:p>
      <w:pPr>
        <w:spacing w:line="240" w:lineRule="auto" w:before="10"/>
        <w:rPr>
          <w:rFonts w:ascii="宋体" w:hAnsi="宋体" w:cs="宋体" w:eastAsia="宋体" w:hint="default"/>
          <w:sz w:val="8"/>
          <w:szCs w:val="8"/>
        </w:rPr>
      </w:pPr>
    </w:p>
    <w:tbl>
      <w:tblPr>
        <w:tblW w:w="0" w:type="auto"/>
        <w:jc w:val="left"/>
        <w:tblInd w:w="178" w:type="dxa"/>
        <w:tblLayout w:type="fixed"/>
        <w:tblCellMar>
          <w:top w:w="0" w:type="dxa"/>
          <w:left w:w="0" w:type="dxa"/>
          <w:bottom w:w="0" w:type="dxa"/>
          <w:right w:w="0" w:type="dxa"/>
        </w:tblCellMar>
        <w:tblLook w:val="01E0"/>
      </w:tblPr>
      <w:tblGrid>
        <w:gridCol w:w="1541"/>
        <w:gridCol w:w="1148"/>
        <w:gridCol w:w="1567"/>
        <w:gridCol w:w="1582"/>
        <w:gridCol w:w="1162"/>
        <w:gridCol w:w="2199"/>
      </w:tblGrid>
      <w:tr>
        <w:trPr>
          <w:trHeight w:val="283" w:hRule="exact"/>
        </w:trPr>
        <w:tc>
          <w:tcPr>
            <w:tcW w:w="42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49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9</w:t>
            </w:r>
          </w:p>
        </w:tc>
      </w:tr>
      <w:tr>
        <w:trPr>
          <w:trHeight w:val="55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应出席董事会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现场出席</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通讯方式出席</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未亲自出席会议</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57" w:lineRule="auto" w:before="39"/>
        <w:ind w:left="603" w:right="243" w:hanging="420"/>
        <w:jc w:val="left"/>
      </w:pPr>
      <w:r>
        <w:rPr/>
        <w:t>（</w:t>
      </w:r>
      <w:r>
        <w:rPr>
          <w:rFonts w:ascii="宋体" w:hAnsi="宋体" w:cs="宋体" w:eastAsia="宋体" w:hint="default"/>
        </w:rPr>
        <w:t>2</w:t>
      </w:r>
      <w:r>
        <w:rPr/>
        <w:t>）对公司进行现场调查的情况 报告期内，陈乐波先生利用召开董事会的机会及其他时间对公司进行了现场考察，</w:t>
      </w:r>
    </w:p>
    <w:p>
      <w:pPr>
        <w:pStyle w:val="BodyText"/>
        <w:spacing w:line="357" w:lineRule="auto"/>
        <w:ind w:right="183"/>
        <w:jc w:val="left"/>
      </w:pPr>
      <w:r>
        <w:rPr/>
        <w:t>深入了解公司的生产经营情况和财务状况，并通过电话和邮件形式，与公司其他董事、 </w:t>
      </w:r>
      <w:r>
        <w:rPr>
          <w:spacing w:val="-3"/>
        </w:rPr>
        <w:t>监事、高管和相关人员保持密切联系。时刻关注外部环境及市场变化对公司的影响，关</w:t>
      </w:r>
      <w:r>
        <w:rPr>
          <w:spacing w:val="-102"/>
        </w:rPr>
        <w:t> </w:t>
      </w:r>
      <w:r>
        <w:rPr>
          <w:spacing w:val="-102"/>
        </w:rPr>
      </w:r>
      <w:r>
        <w:rPr>
          <w:spacing w:val="-3"/>
        </w:rPr>
        <w:t>注媒体对公司的相关报道，及时掌握公司运行状态。对公司总体发展战略和重大投资项</w:t>
      </w:r>
      <w:r>
        <w:rPr>
          <w:spacing w:val="-98"/>
        </w:rPr>
        <w:t> </w:t>
      </w:r>
      <w:r>
        <w:rPr>
          <w:spacing w:val="-98"/>
        </w:rPr>
      </w:r>
      <w:r>
        <w:rPr/>
        <w:t>目提出建设性意见。</w:t>
      </w:r>
    </w:p>
    <w:p>
      <w:pPr>
        <w:pStyle w:val="BodyText"/>
        <w:spacing w:line="357" w:lineRule="auto"/>
        <w:ind w:left="603" w:right="279" w:hanging="420"/>
        <w:jc w:val="left"/>
      </w:pPr>
      <w:r>
        <w:rPr/>
        <w:t>（</w:t>
      </w:r>
      <w:r>
        <w:rPr>
          <w:rFonts w:ascii="宋体" w:hAnsi="宋体" w:cs="宋体" w:eastAsia="宋体" w:hint="default"/>
        </w:rPr>
        <w:t>3</w:t>
      </w:r>
      <w:r>
        <w:rPr/>
        <w:t>）专门委员会任职情况 </w:t>
      </w:r>
      <w:r>
        <w:rPr>
          <w:spacing w:val="-1"/>
        </w:rPr>
        <w:t>陈乐波先生担任公司董事会审计委员会委员和提名</w:t>
      </w:r>
      <w:r>
        <w:rPr>
          <w:rFonts w:ascii="MS UI Gothic" w:hAnsi="MS UI Gothic" w:cs="MS UI Gothic" w:eastAsia="MS UI Gothic" w:hint="default"/>
          <w:spacing w:val="-1"/>
        </w:rPr>
        <w:t>・</w:t>
      </w:r>
      <w:r>
        <w:rPr>
          <w:spacing w:val="-1"/>
        </w:rPr>
        <w:t>薪酬与考核委员会委员。报告</w:t>
      </w:r>
    </w:p>
    <w:p>
      <w:pPr>
        <w:pStyle w:val="BodyText"/>
        <w:spacing w:line="357" w:lineRule="auto"/>
        <w:ind w:right="291"/>
        <w:jc w:val="both"/>
      </w:pPr>
      <w:r>
        <w:rPr>
          <w:spacing w:val="-3"/>
        </w:rPr>
        <w:t>期内，陈乐波先生积极参与了专门委员会相关会议，对公司定期报告进行审查，对公司</w:t>
      </w:r>
      <w:r>
        <w:rPr>
          <w:spacing w:val="-102"/>
        </w:rPr>
        <w:t> </w:t>
      </w:r>
      <w:r>
        <w:rPr>
          <w:spacing w:val="-102"/>
        </w:rPr>
      </w:r>
      <w:r>
        <w:rPr>
          <w:spacing w:val="-3"/>
        </w:rPr>
        <w:t>内部审计情况进行检查并对外部审计工作予以适当的督促，对内审部编制的年度工作报</w:t>
      </w:r>
      <w:r>
        <w:rPr>
          <w:spacing w:val="-98"/>
        </w:rPr>
        <w:t> </w:t>
      </w:r>
      <w:r>
        <w:rPr>
          <w:spacing w:val="-98"/>
        </w:rPr>
      </w:r>
      <w:r>
        <w:rPr>
          <w:spacing w:val="-3"/>
        </w:rPr>
        <w:t>告进行审核；同时考察评价了公司董事、监事和高级管理人员任职资格及工作表现，审</w:t>
      </w:r>
      <w:r>
        <w:rPr>
          <w:spacing w:val="-102"/>
        </w:rPr>
        <w:t> </w:t>
      </w:r>
      <w:r>
        <w:rPr>
          <w:spacing w:val="-102"/>
        </w:rPr>
      </w:r>
      <w:r>
        <w:rPr>
          <w:spacing w:val="-9"/>
        </w:rPr>
        <w:t>议通过了《公司限制性股票激励计划（草案）》，《公司限制性股票激励计划首期激励对</w:t>
      </w:r>
      <w:r>
        <w:rPr>
          <w:spacing w:val="-108"/>
        </w:rPr>
        <w:t> </w:t>
      </w:r>
      <w:r>
        <w:rPr>
          <w:spacing w:val="-108"/>
        </w:rPr>
      </w:r>
      <w:r>
        <w:rPr>
          <w:spacing w:val="-5"/>
        </w:rPr>
        <w:t>象名单》及《公司限制性股票激励计划实施考核办法》。</w:t>
      </w:r>
    </w:p>
    <w:p>
      <w:pPr>
        <w:pStyle w:val="BodyText"/>
        <w:spacing w:line="240" w:lineRule="auto"/>
        <w:ind w:right="279"/>
        <w:jc w:val="left"/>
      </w:pPr>
      <w:r>
        <w:rPr/>
        <w:t>（</w:t>
      </w: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61"/>
        </w:rPr>
        <w:t> </w:t>
      </w:r>
      <w:r>
        <w:rPr/>
        <w:t>年年报工作情况</w:t>
      </w:r>
    </w:p>
    <w:p>
      <w:pPr>
        <w:pStyle w:val="BodyText"/>
        <w:spacing w:line="240" w:lineRule="auto" w:before="154"/>
        <w:ind w:left="603" w:right="243"/>
        <w:jc w:val="left"/>
      </w:pPr>
      <w:r>
        <w:rPr/>
        <w:t>在公司 </w:t>
      </w:r>
      <w:r>
        <w:rPr>
          <w:rFonts w:ascii="宋体" w:hAnsi="宋体" w:cs="宋体" w:eastAsia="宋体" w:hint="default"/>
        </w:rPr>
        <w:t>2011</w:t>
      </w:r>
      <w:r>
        <w:rPr>
          <w:rFonts w:ascii="宋体" w:hAnsi="宋体" w:cs="宋体" w:eastAsia="宋体" w:hint="default"/>
          <w:spacing w:val="-33"/>
        </w:rPr>
        <w:t> </w:t>
      </w:r>
      <w:r>
        <w:rPr/>
        <w:t>年年报编制和披露过程中，陈乐波先生认真听取公司管理层对全年生</w:t>
      </w:r>
    </w:p>
    <w:p>
      <w:pPr>
        <w:pStyle w:val="BodyText"/>
        <w:spacing w:line="357" w:lineRule="auto" w:before="154"/>
        <w:ind w:right="290"/>
        <w:jc w:val="both"/>
      </w:pPr>
      <w:r>
        <w:rPr/>
        <w:t>产经营情况和重大事项进展情况的汇报，了解、掌握 </w:t>
      </w:r>
      <w:r>
        <w:rPr>
          <w:rFonts w:ascii="宋体" w:hAnsi="宋体" w:cs="宋体" w:eastAsia="宋体" w:hint="default"/>
        </w:rPr>
        <w:t>2011</w:t>
      </w:r>
      <w:r>
        <w:rPr>
          <w:rFonts w:ascii="宋体" w:hAnsi="宋体" w:cs="宋体" w:eastAsia="宋体" w:hint="default"/>
          <w:spacing w:val="-92"/>
        </w:rPr>
        <w:t> </w:t>
      </w:r>
      <w:r>
        <w:rPr/>
        <w:t>年年报审计工作安排及审计 </w:t>
      </w:r>
      <w:r>
        <w:rPr>
          <w:spacing w:val="-3"/>
        </w:rPr>
        <w:t>工作进展情况。到公司实地考察，仔细查阅相关资料，并与公司财务负责人、内部审计</w:t>
      </w:r>
      <w:r>
        <w:rPr>
          <w:spacing w:val="-97"/>
        </w:rPr>
        <w:t> </w:t>
      </w:r>
      <w:r>
        <w:rPr>
          <w:spacing w:val="-97"/>
        </w:rPr>
      </w:r>
      <w:r>
        <w:rPr>
          <w:spacing w:val="-3"/>
        </w:rPr>
        <w:t>人员、年审会计师见面就审计过程中发现的问题进行沟通，以确保审计报告全面、真实</w:t>
      </w:r>
      <w:r>
        <w:rPr>
          <w:spacing w:val="-102"/>
        </w:rPr>
        <w:t> </w:t>
      </w:r>
      <w:r>
        <w:rPr>
          <w:spacing w:val="-102"/>
        </w:rPr>
      </w:r>
      <w:r>
        <w:rPr/>
        <w:t>地反映公司情况。</w:t>
      </w:r>
    </w:p>
    <w:p>
      <w:pPr>
        <w:spacing w:after="0" w:line="357" w:lineRule="auto"/>
        <w:jc w:val="both"/>
        <w:sectPr>
          <w:pgSz w:w="11910" w:h="16840"/>
          <w:pgMar w:header="876" w:footer="1186" w:top="1100" w:bottom="1380" w:left="1300" w:right="1100"/>
        </w:sectPr>
      </w:pPr>
    </w:p>
    <w:p>
      <w:pPr>
        <w:spacing w:line="240" w:lineRule="auto" w:before="12"/>
        <w:rPr>
          <w:rFonts w:ascii="宋体" w:hAnsi="宋体" w:cs="宋体" w:eastAsia="宋体" w:hint="default"/>
          <w:sz w:val="25"/>
          <w:szCs w:val="25"/>
        </w:rPr>
      </w:pPr>
    </w:p>
    <w:p>
      <w:pPr>
        <w:pStyle w:val="BodyText"/>
        <w:spacing w:line="357" w:lineRule="auto" w:before="26"/>
        <w:ind w:left="603" w:right="219" w:hanging="420"/>
        <w:jc w:val="left"/>
      </w:pPr>
      <w:r>
        <w:rPr/>
        <w:t>（</w:t>
      </w:r>
      <w:r>
        <w:rPr>
          <w:rFonts w:ascii="宋体" w:hAnsi="宋体" w:cs="宋体" w:eastAsia="宋体" w:hint="default"/>
        </w:rPr>
        <w:t>5</w:t>
      </w:r>
      <w:r>
        <w:rPr/>
        <w:t>）其他工作情况 </w:t>
      </w:r>
      <w:r>
        <w:rPr>
          <w:spacing w:val="-1"/>
        </w:rPr>
        <w:t>报告期内没有提议召开董事会、提议解聘会计师事务所、独立聘请外部审计机构或</w:t>
      </w:r>
    </w:p>
    <w:p>
      <w:pPr>
        <w:pStyle w:val="BodyText"/>
        <w:spacing w:line="240" w:lineRule="auto"/>
        <w:ind w:right="879"/>
        <w:jc w:val="left"/>
      </w:pPr>
      <w:r>
        <w:rPr/>
        <w:t>咨询机构等情况。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before="0"/>
        <w:ind w:right="879"/>
        <w:jc w:val="left"/>
        <w:rPr>
          <w:rFonts w:ascii="宋体" w:hAnsi="宋体" w:cs="宋体" w:eastAsia="宋体" w:hint="default"/>
          <w:b w:val="0"/>
          <w:bCs w:val="0"/>
        </w:rPr>
      </w:pPr>
      <w:r>
        <w:rPr/>
        <w:t>（四）报告期内，独立董事发表独立意见的情况如下</w:t>
      </w:r>
      <w:r>
        <w:rPr>
          <w:rFonts w:ascii="宋体" w:hAnsi="宋体" w:cs="宋体" w:eastAsia="宋体" w:hint="default"/>
          <w:b w:val="0"/>
          <w:bCs w:val="0"/>
        </w:rPr>
        <w:t>：</w:t>
      </w:r>
    </w:p>
    <w:p>
      <w:pPr>
        <w:spacing w:line="240" w:lineRule="auto" w:before="10"/>
        <w:rPr>
          <w:rFonts w:ascii="宋体" w:hAnsi="宋体" w:cs="宋体" w:eastAsia="宋体" w:hint="default"/>
          <w:sz w:val="8"/>
          <w:szCs w:val="8"/>
        </w:rPr>
      </w:pPr>
    </w:p>
    <w:tbl>
      <w:tblPr>
        <w:tblW w:w="0" w:type="auto"/>
        <w:jc w:val="left"/>
        <w:tblInd w:w="178" w:type="dxa"/>
        <w:tblLayout w:type="fixed"/>
        <w:tblCellMar>
          <w:top w:w="0" w:type="dxa"/>
          <w:left w:w="0" w:type="dxa"/>
          <w:bottom w:w="0" w:type="dxa"/>
          <w:right w:w="0" w:type="dxa"/>
        </w:tblCellMar>
        <w:tblLook w:val="01E0"/>
      </w:tblPr>
      <w:tblGrid>
        <w:gridCol w:w="1435"/>
        <w:gridCol w:w="1402"/>
        <w:gridCol w:w="5118"/>
        <w:gridCol w:w="1183"/>
      </w:tblGrid>
      <w:tr>
        <w:trPr>
          <w:trHeight w:val="634" w:hRule="exact"/>
        </w:trPr>
        <w:tc>
          <w:tcPr>
            <w:tcW w:w="1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607" w:right="182" w:hanging="420"/>
              <w:jc w:val="left"/>
              <w:rPr>
                <w:rFonts w:ascii="宋体" w:hAnsi="宋体" w:cs="宋体" w:eastAsia="宋体" w:hint="default"/>
                <w:sz w:val="21"/>
                <w:szCs w:val="21"/>
              </w:rPr>
            </w:pPr>
            <w:r>
              <w:rPr>
                <w:rFonts w:ascii="宋体" w:hAnsi="宋体" w:cs="宋体" w:eastAsia="宋体" w:hint="default"/>
                <w:sz w:val="21"/>
                <w:szCs w:val="21"/>
              </w:rPr>
              <w:t>独立董事姓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5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发表独立意见事项</w:t>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意见类型</w:t>
            </w:r>
          </w:p>
        </w:tc>
      </w:tr>
      <w:tr>
        <w:trPr>
          <w:trHeight w:val="2818" w:hRule="exact"/>
        </w:trPr>
        <w:tc>
          <w:tcPr>
            <w:tcW w:w="14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73" w:lineRule="auto"/>
              <w:ind w:left="103" w:right="686"/>
              <w:jc w:val="both"/>
              <w:rPr>
                <w:rFonts w:ascii="宋体" w:hAnsi="宋体" w:cs="宋体" w:eastAsia="宋体" w:hint="default"/>
                <w:sz w:val="21"/>
                <w:szCs w:val="21"/>
              </w:rPr>
            </w:pPr>
            <w:r>
              <w:rPr>
                <w:rFonts w:ascii="宋体" w:hAnsi="宋体" w:cs="宋体" w:eastAsia="宋体" w:hint="default"/>
                <w:sz w:val="21"/>
                <w:szCs w:val="21"/>
              </w:rPr>
              <w:t>何积丰</w:t>
            </w:r>
            <w:r>
              <w:rPr>
                <w:rFonts w:ascii="宋体" w:hAnsi="宋体" w:cs="宋体" w:eastAsia="宋体" w:hint="default"/>
                <w:spacing w:val="-102"/>
                <w:sz w:val="21"/>
                <w:szCs w:val="21"/>
              </w:rPr>
              <w:t> </w:t>
            </w:r>
            <w:r>
              <w:rPr>
                <w:rFonts w:ascii="宋体" w:hAnsi="宋体" w:cs="宋体" w:eastAsia="宋体" w:hint="default"/>
                <w:sz w:val="21"/>
                <w:szCs w:val="21"/>
              </w:rPr>
              <w:t>高美萍</w:t>
            </w:r>
            <w:r>
              <w:rPr>
                <w:rFonts w:ascii="宋体" w:hAnsi="宋体" w:cs="宋体" w:eastAsia="宋体" w:hint="default"/>
                <w:spacing w:val="-102"/>
                <w:sz w:val="21"/>
                <w:szCs w:val="21"/>
              </w:rPr>
              <w:t> </w:t>
            </w:r>
            <w:r>
              <w:rPr>
                <w:rFonts w:ascii="宋体" w:hAnsi="宋体" w:cs="宋体" w:eastAsia="宋体" w:hint="default"/>
                <w:sz w:val="21"/>
                <w:szCs w:val="21"/>
              </w:rPr>
              <w:t>陈乐波</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sz w:val="21"/>
              </w:rPr>
              <w:t>2011-04-11</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关于续聘上海众华沪银会计师事务所有限公司为公司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w w:val="100"/>
                <w:sz w:val="21"/>
                <w:szCs w:val="21"/>
              </w:rPr>
              <w:t>2011</w:t>
            </w:r>
            <w:r>
              <w:rPr>
                <w:rFonts w:ascii="宋体" w:hAnsi="宋体" w:cs="宋体" w:eastAsia="宋体" w:hint="default"/>
                <w:spacing w:val="-54"/>
                <w:w w:val="100"/>
                <w:sz w:val="21"/>
                <w:szCs w:val="21"/>
              </w:rPr>
              <w:t> </w:t>
            </w:r>
            <w:r>
              <w:rPr>
                <w:rFonts w:ascii="宋体" w:hAnsi="宋体" w:cs="宋体" w:eastAsia="宋体" w:hint="default"/>
                <w:spacing w:val="-7"/>
                <w:w w:val="100"/>
                <w:sz w:val="21"/>
                <w:szCs w:val="21"/>
              </w:rPr>
              <w:t>年度审计机构的独立意见、关于公司</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部控制自我评价报告的独立意见、关于控股股东及其</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它关联方占用资金情况的独立意见、关于公司累计和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当期对外担保情况的独立意见、关于</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年度公司高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管薪酬事项的独立意见、关于聘任高级管理人员的独</w:t>
            </w:r>
          </w:p>
          <w:p>
            <w:pPr>
              <w:pStyle w:val="TableParagraph"/>
              <w:spacing w:line="273" w:lineRule="auto" w:before="7"/>
              <w:ind w:left="103" w:right="-7"/>
              <w:jc w:val="left"/>
              <w:rPr>
                <w:rFonts w:ascii="宋体" w:hAnsi="宋体" w:cs="宋体" w:eastAsia="宋体" w:hint="default"/>
                <w:sz w:val="21"/>
                <w:szCs w:val="21"/>
              </w:rPr>
            </w:pPr>
            <w:r>
              <w:rPr>
                <w:rFonts w:ascii="宋体" w:hAnsi="宋体" w:cs="宋体" w:eastAsia="宋体" w:hint="default"/>
                <w:spacing w:val="-19"/>
                <w:w w:val="100"/>
                <w:sz w:val="21"/>
                <w:szCs w:val="21"/>
              </w:rPr>
              <w:t>立意见、关于</w:t>
            </w:r>
            <w:r>
              <w:rPr>
                <w:rFonts w:ascii="宋体" w:hAnsi="宋体" w:cs="宋体" w:eastAsia="宋体" w:hint="default"/>
                <w:spacing w:val="-66"/>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66"/>
                <w:w w:val="100"/>
                <w:sz w:val="21"/>
                <w:szCs w:val="21"/>
              </w:rPr>
              <w:t> </w:t>
            </w:r>
            <w:r>
              <w:rPr>
                <w:rFonts w:ascii="宋体" w:hAnsi="宋体" w:cs="宋体" w:eastAsia="宋体" w:hint="default"/>
                <w:spacing w:val="-2"/>
                <w:w w:val="100"/>
                <w:sz w:val="21"/>
                <w:szCs w:val="21"/>
              </w:rPr>
              <w:t>年度公司日常关联交易的独立意见、</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关于变更部分募投项目实施地点的独立意见、关于任</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免董事的独立意见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322" w:hRule="exact"/>
        </w:trPr>
        <w:tc>
          <w:tcPr>
            <w:tcW w:w="1435" w:type="dxa"/>
            <w:vMerge/>
            <w:tcBorders>
              <w:left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2011-08-08</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对关联方资金占用和对外担保的专项说明的独立意见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636" w:hRule="exact"/>
        </w:trPr>
        <w:tc>
          <w:tcPr>
            <w:tcW w:w="1435" w:type="dxa"/>
            <w:vMerge/>
            <w:tcBorders>
              <w:left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sz w:val="21"/>
              </w:rPr>
              <w:t>2011-09-19</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关于上海海隆软件股份有限公司限制性股票激励计划</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（草案）的独立意见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1258" w:hRule="exact"/>
        </w:trPr>
        <w:tc>
          <w:tcPr>
            <w:tcW w:w="1435" w:type="dxa"/>
            <w:vMerge/>
            <w:tcBorders>
              <w:left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sz w:val="21"/>
              </w:rPr>
              <w:t>2011-12-01</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z w:val="21"/>
                <w:szCs w:val="21"/>
              </w:rPr>
              <w:t>关于拟出资设立上海艾云慧信创业投资有限公司的议</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案的事先认可意见、关于拟出资设立上海艾云慧信创</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业投资有限公司的议案的独立意见、关于更换证券事</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务代表的独立意见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634" w:hRule="exact"/>
        </w:trPr>
        <w:tc>
          <w:tcPr>
            <w:tcW w:w="1435" w:type="dxa"/>
            <w:vMerge/>
            <w:tcBorders>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sz w:val="21"/>
              </w:rPr>
              <w:t>2011-12-08</w:t>
            </w:r>
          </w:p>
        </w:tc>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z w:val="21"/>
                <w:szCs w:val="21"/>
              </w:rPr>
              <w:t>关于续聘李静女士为公司副总经理及董事会秘书的独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立意见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673" w:right="221" w:hanging="49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公司无控股股东，公司在业务、人员、资产、机构及财务等方面完全独立，不存在</w:t>
      </w:r>
    </w:p>
    <w:p>
      <w:pPr>
        <w:pStyle w:val="BodyText"/>
        <w:spacing w:line="357" w:lineRule="auto"/>
        <w:ind w:right="232"/>
        <w:jc w:val="both"/>
      </w:pPr>
      <w:r>
        <w:rPr>
          <w:spacing w:val="-3"/>
        </w:rPr>
        <w:t>公司与控股股东在业务、人员、资产、机构、财务等方面的问题。同时公司的股东及其</w:t>
      </w:r>
      <w:r>
        <w:rPr>
          <w:spacing w:val="-101"/>
        </w:rPr>
        <w:t> </w:t>
      </w:r>
      <w:r>
        <w:rPr>
          <w:spacing w:val="-101"/>
        </w:rPr>
      </w:r>
      <w:r>
        <w:rPr>
          <w:spacing w:val="3"/>
        </w:rPr>
        <w:t>关联公司除因正常业务往来而发生经营性占用外未以其他任何形式占用公司的货币资</w:t>
      </w:r>
      <w:r>
        <w:rPr>
          <w:spacing w:val="-103"/>
        </w:rPr>
        <w:t> </w:t>
      </w:r>
      <w:r>
        <w:rPr>
          <w:spacing w:val="-103"/>
        </w:rPr>
      </w:r>
      <w:r>
        <w:rPr/>
        <w:t>金或其他资产。</w:t>
      </w:r>
    </w:p>
    <w:p>
      <w:pPr>
        <w:spacing w:line="240" w:lineRule="auto" w:before="0"/>
        <w:rPr>
          <w:rFonts w:ascii="宋体" w:hAnsi="宋体" w:cs="宋体" w:eastAsia="宋体" w:hint="default"/>
          <w:sz w:val="24"/>
          <w:szCs w:val="24"/>
        </w:rPr>
      </w:pPr>
    </w:p>
    <w:p>
      <w:pPr>
        <w:spacing w:line="357" w:lineRule="auto" w:before="191"/>
        <w:ind w:left="603" w:right="219" w:hanging="420"/>
        <w:jc w:val="left"/>
        <w:rPr>
          <w:rFonts w:ascii="宋体" w:hAnsi="宋体" w:cs="宋体" w:eastAsia="宋体" w:hint="default"/>
          <w:sz w:val="24"/>
          <w:szCs w:val="24"/>
        </w:rPr>
      </w:pPr>
      <w:r>
        <w:rPr>
          <w:rFonts w:ascii="宋体" w:hAnsi="宋体" w:cs="宋体" w:eastAsia="宋体" w:hint="default"/>
          <w:b/>
          <w:bCs/>
          <w:sz w:val="24"/>
          <w:szCs w:val="24"/>
        </w:rPr>
        <w:t>四、公司对高级管理人员的考评机制以及激励制度的建立、实施情况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公司建立了公正、有效的高级管理人员的绩效评价标准和激励约束机制，公司高级</w:t>
      </w:r>
    </w:p>
    <w:p>
      <w:pPr>
        <w:pStyle w:val="BodyText"/>
        <w:spacing w:line="357" w:lineRule="auto"/>
        <w:ind w:right="231"/>
        <w:jc w:val="both"/>
      </w:pPr>
      <w:r>
        <w:rPr>
          <w:spacing w:val="-3"/>
        </w:rPr>
        <w:t>人、管理人员实行基本年薪与年终绩效考核相结合的薪酬制度。公司董事会提名·薪酬</w:t>
      </w:r>
      <w:r>
        <w:rPr>
          <w:spacing w:val="-102"/>
        </w:rPr>
        <w:t> </w:t>
      </w:r>
      <w:r>
        <w:rPr>
          <w:spacing w:val="-102"/>
        </w:rPr>
      </w:r>
      <w:r>
        <w:rPr>
          <w:spacing w:val="-3"/>
        </w:rPr>
        <w:t>与考核委员会对高级管理人员进行了年度业绩考核，经过综合考评，根据本年度业绩情</w:t>
      </w:r>
    </w:p>
    <w:p>
      <w:pPr>
        <w:spacing w:after="0" w:line="357" w:lineRule="auto"/>
        <w:jc w:val="both"/>
        <w:sectPr>
          <w:footerReference w:type="default" r:id="rId14"/>
          <w:pgSz w:w="11910" w:h="16840"/>
          <w:pgMar w:footer="1186" w:header="876" w:top="1100" w:bottom="1380" w:left="1300" w:right="1160"/>
          <w:pgNumType w:start="27"/>
        </w:sectPr>
      </w:pPr>
    </w:p>
    <w:p>
      <w:pPr>
        <w:spacing w:line="240" w:lineRule="auto" w:before="12"/>
        <w:rPr>
          <w:rFonts w:ascii="宋体" w:hAnsi="宋体" w:cs="宋体" w:eastAsia="宋体" w:hint="default"/>
          <w:sz w:val="25"/>
          <w:szCs w:val="25"/>
        </w:rPr>
      </w:pPr>
    </w:p>
    <w:p>
      <w:pPr>
        <w:pStyle w:val="BodyText"/>
        <w:spacing w:line="357" w:lineRule="auto" w:before="26"/>
        <w:ind w:left="603" w:right="219" w:hanging="420"/>
        <w:jc w:val="left"/>
      </w:pPr>
      <w:r>
        <w:rPr/>
        <w:t>况确定了公司高管人员的薪酬。 </w:t>
      </w:r>
      <w:r>
        <w:rPr>
          <w:spacing w:val="-1"/>
        </w:rPr>
        <w:t>此外，报告期内，为进一步建立和完善公司的激励和约束机制，公司实施了限制性</w:t>
      </w:r>
    </w:p>
    <w:p>
      <w:pPr>
        <w:pStyle w:val="BodyText"/>
        <w:spacing w:line="357" w:lineRule="auto"/>
        <w:ind w:right="100"/>
        <w:jc w:val="left"/>
      </w:pPr>
      <w:r>
        <w:rPr>
          <w:spacing w:val="-3"/>
        </w:rPr>
        <w:t>股票激励计划，首期向公司董事（不包括独立董事）、高级管理人员、核心技术人员合</w:t>
      </w:r>
      <w:r>
        <w:rPr>
          <w:spacing w:val="-107"/>
        </w:rPr>
        <w:t> </w:t>
      </w:r>
      <w:r>
        <w:rPr>
          <w:spacing w:val="-107"/>
        </w:rPr>
      </w:r>
      <w:r>
        <w:rPr/>
        <w:t>计</w:t>
      </w:r>
      <w:r>
        <w:rPr>
          <w:spacing w:val="-54"/>
        </w:rPr>
        <w:t> </w:t>
      </w:r>
      <w:r>
        <w:rPr>
          <w:rFonts w:ascii="宋体" w:hAnsi="宋体" w:cs="宋体" w:eastAsia="宋体" w:hint="default"/>
        </w:rPr>
        <w:t>52</w:t>
      </w:r>
      <w:r>
        <w:rPr>
          <w:rFonts w:ascii="宋体" w:hAnsi="宋体" w:cs="宋体" w:eastAsia="宋体" w:hint="default"/>
          <w:spacing w:val="-55"/>
        </w:rPr>
        <w:t> </w:t>
      </w:r>
      <w:r>
        <w:rPr/>
        <w:t>人授予了</w:t>
      </w:r>
      <w:r>
        <w:rPr>
          <w:spacing w:val="-54"/>
        </w:rPr>
        <w:t> </w:t>
      </w:r>
      <w:r>
        <w:rPr>
          <w:rFonts w:ascii="宋体" w:hAnsi="宋体" w:cs="宋体" w:eastAsia="宋体" w:hint="default"/>
        </w:rPr>
        <w:t>203</w:t>
      </w:r>
      <w:r>
        <w:rPr>
          <w:rFonts w:ascii="宋体" w:hAnsi="宋体" w:cs="宋体" w:eastAsia="宋体" w:hint="default"/>
          <w:spacing w:val="-54"/>
        </w:rPr>
        <w:t> </w:t>
      </w:r>
      <w:r>
        <w:rPr>
          <w:spacing w:val="-4"/>
        </w:rPr>
        <w:t>万股限制性股票，更好的提高了管理人员和核心技术人员的归属感，</w:t>
      </w:r>
      <w:r>
        <w:rPr/>
        <w:t> 保持个人利益和公司利益的高度一致，为股东创造最大化的利益。</w:t>
      </w:r>
    </w:p>
    <w:p>
      <w:pPr>
        <w:spacing w:after="0" w:line="357" w:lineRule="auto"/>
        <w:jc w:val="left"/>
        <w:sectPr>
          <w:pgSz w:w="11910" w:h="16840"/>
          <w:pgMar w:header="876" w:footer="1186" w:top="1100" w:bottom="1380" w:left="130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6" w:val="left" w:leader="none"/>
        </w:tabs>
        <w:spacing w:line="240" w:lineRule="auto" w:before="166"/>
        <w:ind w:right="52"/>
        <w:jc w:val="center"/>
        <w:rPr>
          <w:b w:val="0"/>
          <w:bCs w:val="0"/>
        </w:rPr>
      </w:pPr>
      <w:bookmarkStart w:name="_TOC_250006" w:id="7"/>
      <w:r>
        <w:rPr>
          <w:w w:val="95"/>
        </w:rPr>
        <w:t>第七节</w:t>
        <w:tab/>
      </w:r>
      <w:r>
        <w:rPr/>
        <w:t>内部控制</w:t>
      </w:r>
      <w:bookmarkEnd w:id="7"/>
      <w:r>
        <w:rPr>
          <w:b w:val="0"/>
          <w:bCs w:val="0"/>
        </w:rPr>
      </w:r>
    </w:p>
    <w:p>
      <w:pPr>
        <w:spacing w:line="357" w:lineRule="auto" w:before="193"/>
        <w:ind w:left="603" w:right="219" w:hanging="420"/>
        <w:jc w:val="left"/>
        <w:rPr>
          <w:rFonts w:ascii="宋体" w:hAnsi="宋体" w:cs="宋体" w:eastAsia="宋体" w:hint="default"/>
          <w:sz w:val="24"/>
          <w:szCs w:val="24"/>
        </w:rPr>
      </w:pPr>
      <w:r>
        <w:rPr>
          <w:rFonts w:ascii="宋体" w:hAnsi="宋体" w:cs="宋体" w:eastAsia="宋体" w:hint="default"/>
          <w:b/>
          <w:bCs/>
          <w:sz w:val="24"/>
          <w:szCs w:val="24"/>
        </w:rPr>
        <w:t>一、公司内部控制制度的建立和健全情况</w:t>
      </w:r>
      <w:r>
        <w:rPr>
          <w:rFonts w:ascii="宋体" w:hAnsi="宋体" w:cs="宋体" w:eastAsia="宋体" w:hint="default"/>
          <w:b/>
          <w:bCs/>
          <w:w w:val="99"/>
          <w:sz w:val="24"/>
          <w:szCs w:val="24"/>
        </w:rPr>
        <w:t> </w:t>
      </w:r>
      <w:r>
        <w:rPr>
          <w:rFonts w:ascii="宋体" w:hAnsi="宋体" w:cs="宋体" w:eastAsia="宋体" w:hint="default"/>
          <w:spacing w:val="-1"/>
          <w:sz w:val="24"/>
          <w:szCs w:val="24"/>
        </w:rPr>
        <w:t>为规范公司的生产经营、财务管理和信息披露等各方面工作，公司根据自身的实际</w:t>
      </w:r>
    </w:p>
    <w:p>
      <w:pPr>
        <w:pStyle w:val="BodyText"/>
        <w:spacing w:line="357" w:lineRule="auto"/>
        <w:ind w:right="0"/>
        <w:jc w:val="left"/>
      </w:pPr>
      <w:r>
        <w:rPr>
          <w:spacing w:val="-9"/>
        </w:rPr>
        <w:t>情况，按照《公司法》、《证券法》等法律法规、公司《章程》的要求，明确了决策、执</w:t>
      </w:r>
      <w:r>
        <w:rPr>
          <w:spacing w:val="-102"/>
        </w:rPr>
        <w:t> </w:t>
      </w:r>
      <w:r>
        <w:rPr>
          <w:spacing w:val="-102"/>
        </w:rPr>
      </w:r>
      <w:r>
        <w:rPr>
          <w:spacing w:val="-6"/>
        </w:rPr>
        <w:t>行、监督等方面的职责权限，形成了科学有效的职责分工和制衡机制，建立了较为完善、</w:t>
      </w:r>
      <w:r>
        <w:rPr>
          <w:spacing w:val="-96"/>
        </w:rPr>
        <w:t> </w:t>
      </w:r>
      <w:r>
        <w:rPr>
          <w:spacing w:val="-96"/>
        </w:rPr>
      </w:r>
      <w:r>
        <w:rPr/>
        <w:t>健全、有效的内部控制制度体系，并能得到有效执行。</w:t>
      </w:r>
    </w:p>
    <w:p>
      <w:pPr>
        <w:pStyle w:val="BodyText"/>
        <w:spacing w:line="357" w:lineRule="auto"/>
        <w:ind w:right="4804"/>
        <w:jc w:val="left"/>
      </w:pPr>
      <w:r>
        <w:rPr/>
        <w:t>（一）</w:t>
      </w:r>
      <w:r>
        <w:rPr>
          <w:spacing w:val="-1"/>
        </w:rPr>
        <w:t> </w:t>
      </w:r>
      <w:r>
        <w:rPr/>
        <w:t>公司主要内部控制的具体实施内容</w:t>
      </w:r>
      <w:r>
        <w:rPr/>
        <w:t> </w:t>
      </w:r>
      <w:r>
        <w:rPr>
          <w:rFonts w:ascii="宋体" w:hAnsi="宋体" w:cs="宋体" w:eastAsia="宋体" w:hint="default"/>
        </w:rPr>
        <w:t>1</w:t>
      </w:r>
      <w:r>
        <w:rPr/>
        <w:t>、货币资金管理的内部控制</w:t>
      </w:r>
    </w:p>
    <w:p>
      <w:pPr>
        <w:pStyle w:val="BodyText"/>
        <w:spacing w:line="357" w:lineRule="auto" w:before="37"/>
        <w:ind w:right="228" w:firstLine="420"/>
        <w:jc w:val="both"/>
      </w:pPr>
      <w:r>
        <w:rPr>
          <w:spacing w:val="-1"/>
        </w:rPr>
        <w:t>本公司已对货币资金的收支和保管业务建立了严格的授权批准程序，办理货币资金</w:t>
      </w:r>
      <w:r>
        <w:rPr/>
        <w:t> </w:t>
      </w:r>
      <w:r>
        <w:rPr>
          <w:spacing w:val="-9"/>
        </w:rPr>
        <w:t>业务的不相容岗位已作分离，相关机构和人员存在相互制约关系。本公司已按国务院《现</w:t>
      </w:r>
      <w:r>
        <w:rPr>
          <w:spacing w:val="-102"/>
        </w:rPr>
        <w:t> </w:t>
      </w:r>
      <w:r>
        <w:rPr>
          <w:spacing w:val="-102"/>
        </w:rPr>
      </w:r>
      <w:r>
        <w:rPr>
          <w:spacing w:val="-3"/>
        </w:rPr>
        <w:t>金管理暂行条例》和财政部《内部会计控制规范—货币资金（试行）》，明确了现金的</w:t>
      </w:r>
      <w:r>
        <w:rPr>
          <w:spacing w:val="-98"/>
        </w:rPr>
        <w:t> </w:t>
      </w:r>
      <w:r>
        <w:rPr>
          <w:spacing w:val="-98"/>
        </w:rPr>
      </w:r>
      <w:r>
        <w:rPr>
          <w:spacing w:val="-3"/>
        </w:rPr>
        <w:t>使用范围及办理现金收支业务时应遵守的规定，并按中国人民银行《支付结算办法》及</w:t>
      </w:r>
      <w:r>
        <w:rPr>
          <w:spacing w:val="-100"/>
        </w:rPr>
        <w:t> </w:t>
      </w:r>
      <w:r>
        <w:rPr>
          <w:spacing w:val="-100"/>
        </w:rPr>
      </w:r>
      <w:r>
        <w:rPr>
          <w:spacing w:val="-3"/>
        </w:rPr>
        <w:t>有关规定制定了银行存款的结算程序。公司规定了货币资金从支付申请、审批、复核与</w:t>
      </w:r>
      <w:r>
        <w:rPr>
          <w:spacing w:val="-102"/>
        </w:rPr>
        <w:t> </w:t>
      </w:r>
      <w:r>
        <w:rPr>
          <w:spacing w:val="-102"/>
        </w:rPr>
      </w:r>
      <w:r>
        <w:rPr>
          <w:spacing w:val="-3"/>
        </w:rPr>
        <w:t>办理支付等各个环节的权限与责任。审批人应当根据货币资金授权批准制度的规定，在</w:t>
      </w:r>
      <w:r>
        <w:rPr>
          <w:spacing w:val="-98"/>
        </w:rPr>
        <w:t> </w:t>
      </w:r>
      <w:r>
        <w:rPr>
          <w:spacing w:val="-98"/>
        </w:rPr>
      </w:r>
      <w:r>
        <w:rPr>
          <w:spacing w:val="-3"/>
        </w:rPr>
        <w:t>授权范围内进行审批，不得超越审批权限。本公司没有影响货币资金安全的重大不适当</w:t>
      </w:r>
      <w:r>
        <w:rPr>
          <w:spacing w:val="-98"/>
        </w:rPr>
        <w:t> </w:t>
      </w:r>
      <w:r>
        <w:rPr>
          <w:spacing w:val="-98"/>
        </w:rPr>
      </w:r>
      <w:r>
        <w:rPr/>
        <w:t>之处。</w:t>
      </w:r>
    </w:p>
    <w:p>
      <w:pPr>
        <w:pStyle w:val="BodyText"/>
        <w:spacing w:line="357" w:lineRule="auto"/>
        <w:ind w:left="603" w:right="0" w:hanging="420"/>
        <w:jc w:val="left"/>
      </w:pPr>
      <w:r>
        <w:rPr>
          <w:rFonts w:ascii="宋体" w:hAnsi="宋体" w:cs="宋体" w:eastAsia="宋体" w:hint="default"/>
        </w:rPr>
        <w:t>2</w:t>
      </w:r>
      <w:r>
        <w:rPr/>
        <w:t>、采购与付款的内部控制 </w:t>
      </w:r>
      <w:r>
        <w:rPr>
          <w:spacing w:val="-5"/>
        </w:rPr>
        <w:t>本公司已较合理地计划和设立了采购与付款业务的机构和岗位，明确了请购、审批、</w:t>
      </w:r>
    </w:p>
    <w:p>
      <w:pPr>
        <w:pStyle w:val="BodyText"/>
        <w:spacing w:line="357" w:lineRule="auto"/>
        <w:ind w:right="231"/>
        <w:jc w:val="both"/>
      </w:pPr>
      <w:r>
        <w:rPr>
          <w:spacing w:val="-3"/>
        </w:rPr>
        <w:t>采购、验收程序。应付账款和预付账款的支付必须在相关手续齐备后才能办理。本公司</w:t>
      </w:r>
      <w:r>
        <w:rPr>
          <w:spacing w:val="-100"/>
        </w:rPr>
        <w:t> </w:t>
      </w:r>
      <w:r>
        <w:rPr>
          <w:spacing w:val="-100"/>
        </w:rPr>
      </w:r>
      <w:r>
        <w:rPr>
          <w:spacing w:val="-3"/>
        </w:rPr>
        <w:t>建立了供应商登记管理制度，尤其是对于需要长期供应的货品，需要同时确定两家固定</w:t>
      </w:r>
      <w:r>
        <w:rPr>
          <w:spacing w:val="-98"/>
        </w:rPr>
        <w:t> </w:t>
      </w:r>
      <w:r>
        <w:rPr>
          <w:spacing w:val="-98"/>
        </w:rPr>
      </w:r>
      <w:r>
        <w:rPr>
          <w:spacing w:val="-3"/>
        </w:rPr>
        <w:t>供应商，和一家后备供应商，以保证价格合理、供应稳定。对于零星采购商品，应相对</w:t>
      </w:r>
      <w:r>
        <w:rPr>
          <w:spacing w:val="-103"/>
        </w:rPr>
        <w:t> </w:t>
      </w:r>
      <w:r>
        <w:rPr>
          <w:spacing w:val="-103"/>
        </w:rPr>
      </w:r>
      <w:r>
        <w:rPr>
          <w:spacing w:val="-3"/>
        </w:rPr>
        <w:t>集中品牌及供应商。对于大额采购商品，设备管理科内部必须要有不少于三家的供应商</w:t>
      </w:r>
      <w:r>
        <w:rPr>
          <w:spacing w:val="-98"/>
        </w:rPr>
        <w:t> </w:t>
      </w:r>
      <w:r>
        <w:rPr>
          <w:spacing w:val="-98"/>
        </w:rPr>
      </w:r>
      <w:r>
        <w:rPr/>
        <w:t>报价。本公司在采购与付款的控制方面没有重大漏洞。</w:t>
      </w:r>
    </w:p>
    <w:p>
      <w:pPr>
        <w:pStyle w:val="BodyText"/>
        <w:spacing w:line="357" w:lineRule="auto"/>
        <w:ind w:left="603" w:right="219" w:hanging="420"/>
        <w:jc w:val="left"/>
      </w:pPr>
      <w:r>
        <w:rPr>
          <w:rFonts w:ascii="宋体" w:hAnsi="宋体" w:cs="宋体" w:eastAsia="宋体" w:hint="default"/>
        </w:rPr>
        <w:t>3</w:t>
      </w:r>
      <w:r>
        <w:rPr/>
        <w:t>、生产的内部控制 </w:t>
      </w:r>
      <w:r>
        <w:rPr>
          <w:spacing w:val="-1"/>
        </w:rPr>
        <w:t>本公司主营业务为软件外包服务业务，软件服务贯穿于软件项目售前、开发、售后</w:t>
      </w:r>
    </w:p>
    <w:p>
      <w:pPr>
        <w:pStyle w:val="BodyText"/>
        <w:spacing w:line="357" w:lineRule="auto"/>
        <w:ind w:right="225"/>
        <w:jc w:val="both"/>
      </w:pPr>
      <w:r>
        <w:rPr>
          <w:spacing w:val="-3"/>
        </w:rPr>
        <w:t>的整个过程，公司视服务质量为企业生命。本公司学习国际先进软件质量管理经验，在</w:t>
      </w:r>
      <w:r>
        <w:rPr>
          <w:spacing w:val="-102"/>
        </w:rPr>
        <w:t> </w:t>
      </w:r>
      <w:r>
        <w:rPr>
          <w:spacing w:val="-102"/>
        </w:rPr>
      </w:r>
      <w:r>
        <w:rPr>
          <w:spacing w:val="-3"/>
        </w:rPr>
        <w:t>软件外包业务实施过程中给予合作方全方位的服务，将纯粹的技术结果延伸到长期、体</w:t>
      </w:r>
      <w:r>
        <w:rPr>
          <w:spacing w:val="-98"/>
        </w:rPr>
        <w:t> </w:t>
      </w:r>
      <w:r>
        <w:rPr>
          <w:spacing w:val="-98"/>
        </w:rPr>
      </w:r>
      <w:r>
        <w:rPr>
          <w:spacing w:val="-3"/>
        </w:rPr>
        <w:t>贴的技术服务过程中；公司制定了《服务质量反馈及投诉快速反应机制》，确保软件外</w:t>
      </w:r>
    </w:p>
    <w:p>
      <w:pPr>
        <w:spacing w:after="0" w:line="357" w:lineRule="auto"/>
        <w:jc w:val="both"/>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192"/>
        <w:jc w:val="both"/>
      </w:pPr>
      <w:r>
        <w:rPr>
          <w:spacing w:val="-3"/>
        </w:rPr>
        <w:t>包项目达到客户要求，尤其确保软件项目交付后长期的售后服务过程中的客户满意，使</w:t>
      </w:r>
      <w:r>
        <w:rPr>
          <w:spacing w:val="-99"/>
        </w:rPr>
        <w:t> </w:t>
      </w:r>
      <w:r>
        <w:rPr>
          <w:spacing w:val="-99"/>
        </w:rPr>
      </w:r>
      <w:r>
        <w:rPr>
          <w:spacing w:val="-3"/>
        </w:rPr>
        <w:t>售后服务与项目承诺不脱节。公司通过三个基础环节作为项目完成的支撑和保障，即基</w:t>
      </w:r>
      <w:r>
        <w:rPr>
          <w:spacing w:val="-98"/>
        </w:rPr>
        <w:t> </w:t>
      </w:r>
      <w:r>
        <w:rPr>
          <w:spacing w:val="-98"/>
        </w:rPr>
      </w:r>
      <w:r>
        <w:rPr>
          <w:spacing w:val="-3"/>
        </w:rPr>
        <w:t>础设施的保证、规范化的流程保证和具体项目实施过程中监控与反馈机制的保证，使提</w:t>
      </w:r>
      <w:r>
        <w:rPr>
          <w:spacing w:val="-98"/>
        </w:rPr>
        <w:t> </w:t>
      </w:r>
      <w:r>
        <w:rPr>
          <w:spacing w:val="-98"/>
        </w:rPr>
      </w:r>
      <w:r>
        <w:rPr>
          <w:spacing w:val="-3"/>
        </w:rPr>
        <w:t>供的软件服务受控于整个质量管理体系。</w:t>
      </w:r>
      <w:r>
        <w:rPr>
          <w:rFonts w:ascii="宋体" w:hAnsi="宋体" w:cs="宋体" w:eastAsia="宋体" w:hint="default"/>
          <w:spacing w:val="-3"/>
        </w:rPr>
        <w:t>2011</w:t>
      </w:r>
      <w:r>
        <w:rPr>
          <w:spacing w:val="-3"/>
        </w:rPr>
        <w:t>年公司在服务质量方面得到客户好评，生</w:t>
      </w:r>
      <w:r>
        <w:rPr>
          <w:spacing w:val="-92"/>
        </w:rPr>
        <w:t> </w:t>
      </w:r>
      <w:r>
        <w:rPr>
          <w:spacing w:val="-92"/>
        </w:rPr>
      </w:r>
      <w:r>
        <w:rPr/>
        <w:t>产环节方面没有重大漏洞。</w:t>
      </w:r>
    </w:p>
    <w:p>
      <w:pPr>
        <w:pStyle w:val="BodyText"/>
        <w:spacing w:line="357" w:lineRule="auto"/>
        <w:ind w:left="603" w:right="179" w:hanging="420"/>
        <w:jc w:val="left"/>
      </w:pPr>
      <w:r>
        <w:rPr>
          <w:rFonts w:ascii="宋体" w:hAnsi="宋体" w:cs="宋体" w:eastAsia="宋体" w:hint="default"/>
        </w:rPr>
        <w:t>4</w:t>
      </w:r>
      <w:r>
        <w:rPr/>
        <w:t>、销售与收款的内部控制 </w:t>
      </w:r>
      <w:r>
        <w:rPr>
          <w:spacing w:val="-1"/>
        </w:rPr>
        <w:t>本公司已制定比较可行的销售政策，对定价原则、信用标准和条件、收款方式以及</w:t>
      </w:r>
    </w:p>
    <w:p>
      <w:pPr>
        <w:pStyle w:val="BodyText"/>
        <w:spacing w:line="357" w:lineRule="auto"/>
        <w:ind w:right="191"/>
        <w:jc w:val="both"/>
      </w:pPr>
      <w:r>
        <w:rPr>
          <w:spacing w:val="-3"/>
        </w:rPr>
        <w:t>涉及销售业务的机构和人员的职责权限等作了明确规定；并加强了营销、报价、签署合</w:t>
      </w:r>
      <w:r>
        <w:rPr>
          <w:spacing w:val="-102"/>
        </w:rPr>
        <w:t> </w:t>
      </w:r>
      <w:r>
        <w:rPr>
          <w:spacing w:val="-102"/>
        </w:rPr>
      </w:r>
      <w:r>
        <w:rPr>
          <w:spacing w:val="-3"/>
        </w:rPr>
        <w:t>同、项目实施及监督、评价和收款等环节的控制；本公司对合并报表范围内企业之间销</w:t>
      </w:r>
      <w:r>
        <w:rPr>
          <w:spacing w:val="-99"/>
        </w:rPr>
        <w:t> </w:t>
      </w:r>
      <w:r>
        <w:rPr>
          <w:spacing w:val="-99"/>
        </w:rPr>
      </w:r>
      <w:r>
        <w:rPr>
          <w:spacing w:val="-3"/>
        </w:rPr>
        <w:t>售商品、提供劳务参照市场价格进行结算，在公司授权范围内，下属企业可自主对外办</w:t>
      </w:r>
      <w:r>
        <w:rPr>
          <w:spacing w:val="-102"/>
        </w:rPr>
        <w:t> </w:t>
      </w:r>
      <w:r>
        <w:rPr>
          <w:spacing w:val="-102"/>
        </w:rPr>
      </w:r>
      <w:r>
        <w:rPr/>
        <w:t>理销售商品、提供劳务和货款结算业务。</w:t>
      </w:r>
    </w:p>
    <w:p>
      <w:pPr>
        <w:pStyle w:val="BodyText"/>
        <w:spacing w:line="357" w:lineRule="auto"/>
        <w:ind w:left="608" w:right="138" w:hanging="425"/>
        <w:jc w:val="left"/>
      </w:pPr>
      <w:r>
        <w:rPr>
          <w:rFonts w:ascii="宋体" w:hAnsi="宋体" w:cs="宋体" w:eastAsia="宋体" w:hint="default"/>
        </w:rPr>
        <w:t>5</w:t>
      </w:r>
      <w:r>
        <w:rPr/>
        <w:t>、固定资产管理的内部控制 本公司已建立较科学的固定资产管理制度。固定资产实行“统一管理，统一调度，</w:t>
      </w:r>
    </w:p>
    <w:p>
      <w:pPr>
        <w:pStyle w:val="BodyText"/>
        <w:spacing w:line="357" w:lineRule="auto"/>
        <w:ind w:right="190"/>
        <w:jc w:val="both"/>
      </w:pPr>
      <w:r>
        <w:rPr>
          <w:spacing w:val="-3"/>
        </w:rPr>
        <w:t>统一使用和核算”的办法。大额固定资产款项必须在相关资产已经验收、手续齐备后才</w:t>
      </w:r>
      <w:r>
        <w:rPr>
          <w:spacing w:val="-97"/>
        </w:rPr>
        <w:t> </w:t>
      </w:r>
      <w:r>
        <w:rPr>
          <w:spacing w:val="-97"/>
        </w:rPr>
      </w:r>
      <w:r>
        <w:rPr/>
        <w:t>能支付。</w:t>
      </w:r>
    </w:p>
    <w:p>
      <w:pPr>
        <w:pStyle w:val="BodyText"/>
        <w:spacing w:line="357" w:lineRule="auto"/>
        <w:ind w:left="589" w:right="179" w:hanging="406"/>
        <w:jc w:val="left"/>
      </w:pPr>
      <w:r>
        <w:rPr>
          <w:rFonts w:ascii="宋体" w:hAnsi="宋体" w:cs="宋体" w:eastAsia="宋体" w:hint="default"/>
        </w:rPr>
        <w:t>6</w:t>
      </w:r>
      <w:r>
        <w:rPr/>
        <w:t>、投资管理的内部控制 </w:t>
      </w:r>
      <w:r>
        <w:rPr>
          <w:spacing w:val="-1"/>
        </w:rPr>
        <w:t>为严格控制投资风险，本公司建立了较科学的对外投资决策程序，实行重大投资决</w:t>
      </w:r>
    </w:p>
    <w:p>
      <w:pPr>
        <w:pStyle w:val="BodyText"/>
        <w:spacing w:line="357" w:lineRule="auto"/>
        <w:ind w:right="83"/>
        <w:jc w:val="left"/>
      </w:pPr>
      <w:r>
        <w:rPr>
          <w:spacing w:val="-3"/>
        </w:rPr>
        <w:t>策的责任制度，相应对外投资的权限集中于公司本部（采用不同的投资额分别由公司不</w:t>
      </w:r>
      <w:r>
        <w:rPr>
          <w:spacing w:val="-97"/>
        </w:rPr>
        <w:t> </w:t>
      </w:r>
      <w:r>
        <w:rPr>
          <w:spacing w:val="-97"/>
        </w:rPr>
      </w:r>
      <w:r>
        <w:rPr/>
        <w:t>同层次的权力机构进行决策的机制），强化对外投资项目的立项、评估、决策、实施、 </w:t>
      </w:r>
      <w:r>
        <w:rPr>
          <w:spacing w:val="-3"/>
        </w:rPr>
        <w:t>管理、收益、投资处置等环节的管理。本公司没有偏离公司投资政策和程序的行为。对</w:t>
      </w:r>
      <w:r>
        <w:rPr>
          <w:spacing w:val="-97"/>
        </w:rPr>
        <w:t> </w:t>
      </w:r>
      <w:r>
        <w:rPr>
          <w:spacing w:val="-97"/>
        </w:rPr>
      </w:r>
      <w:r>
        <w:rPr>
          <w:spacing w:val="-3"/>
        </w:rPr>
        <w:t>控股子公司，本公司制订了《控股子公司管理办法》，规范了对控股子公司的控制政策</w:t>
      </w:r>
      <w:r>
        <w:rPr>
          <w:spacing w:val="-98"/>
        </w:rPr>
        <w:t> </w:t>
      </w:r>
      <w:r>
        <w:rPr>
          <w:spacing w:val="-98"/>
        </w:rPr>
      </w:r>
      <w:r>
        <w:rPr>
          <w:spacing w:val="-3"/>
        </w:rPr>
        <w:t>及程序，明确了公司委派董事监事及高级管理人员的选人方式和职权，监督控股子公司</w:t>
      </w:r>
      <w:r>
        <w:rPr>
          <w:spacing w:val="-98"/>
        </w:rPr>
        <w:t> </w:t>
      </w:r>
      <w:r>
        <w:rPr>
          <w:spacing w:val="-98"/>
        </w:rPr>
      </w:r>
      <w:r>
        <w:rPr>
          <w:spacing w:val="-3"/>
        </w:rPr>
        <w:t>规范运作，控制风险。被投资项目或被投资公司每年定期向本公司报告项目或公司的经</w:t>
      </w:r>
      <w:r>
        <w:rPr>
          <w:spacing w:val="-98"/>
        </w:rPr>
        <w:t> </w:t>
      </w:r>
      <w:r>
        <w:rPr>
          <w:spacing w:val="-98"/>
        </w:rPr>
      </w:r>
      <w:r>
        <w:rPr/>
        <w:t>营情况。本公司董事会根据其经营情况调整投资计划，完善投资管理，控制投资风险。 </w:t>
      </w:r>
      <w:r>
        <w:rPr>
          <w:spacing w:val="-3"/>
        </w:rPr>
        <w:t>公司委派的经营者和财务负责人每年度决算结束后，均向公司报告工作，并接受公司的</w:t>
      </w:r>
      <w:r>
        <w:rPr>
          <w:spacing w:val="-97"/>
        </w:rPr>
        <w:t> </w:t>
      </w:r>
      <w:r>
        <w:rPr>
          <w:spacing w:val="-97"/>
        </w:rPr>
      </w:r>
      <w:r>
        <w:rPr/>
        <w:t>质询。</w:t>
      </w:r>
    </w:p>
    <w:p>
      <w:pPr>
        <w:pStyle w:val="BodyText"/>
        <w:spacing w:line="357" w:lineRule="auto"/>
        <w:ind w:left="603" w:right="179" w:hanging="420"/>
        <w:jc w:val="left"/>
      </w:pPr>
      <w:r>
        <w:rPr>
          <w:rFonts w:ascii="宋体" w:hAnsi="宋体" w:cs="宋体" w:eastAsia="宋体" w:hint="default"/>
        </w:rPr>
        <w:t>7</w:t>
      </w:r>
      <w:r>
        <w:rPr/>
        <w:t>、关联交易的内部控制 </w:t>
      </w:r>
      <w:r>
        <w:rPr>
          <w:spacing w:val="-2"/>
        </w:rPr>
        <w:t>本公司制定了《关联交易管理办法》，并在报告期内修改了公司《章程》中关联交</w:t>
      </w:r>
    </w:p>
    <w:p>
      <w:pPr>
        <w:pStyle w:val="BodyText"/>
        <w:spacing w:line="240" w:lineRule="auto"/>
        <w:ind w:right="138"/>
        <w:jc w:val="left"/>
      </w:pPr>
      <w:r>
        <w:rPr>
          <w:spacing w:val="-3"/>
        </w:rPr>
        <w:t>易相关条款，对发生关联交易的审批权限和决策程序等作了明确的规定，规范了关联方</w:t>
      </w:r>
    </w:p>
    <w:p>
      <w:pPr>
        <w:spacing w:after="0" w:line="240" w:lineRule="auto"/>
        <w:jc w:val="left"/>
        <w:sectPr>
          <w:pgSz w:w="11910" w:h="16840"/>
          <w:pgMar w:header="876" w:footer="1186" w:top="1100" w:bottom="1380" w:left="1300" w:right="1200"/>
        </w:sectPr>
      </w:pPr>
    </w:p>
    <w:p>
      <w:pPr>
        <w:spacing w:line="240" w:lineRule="auto" w:before="12"/>
        <w:rPr>
          <w:rFonts w:ascii="宋体" w:hAnsi="宋体" w:cs="宋体" w:eastAsia="宋体" w:hint="default"/>
          <w:sz w:val="25"/>
          <w:szCs w:val="25"/>
        </w:rPr>
      </w:pPr>
    </w:p>
    <w:p>
      <w:pPr>
        <w:pStyle w:val="BodyText"/>
        <w:spacing w:line="357" w:lineRule="auto" w:before="26"/>
        <w:ind w:right="0"/>
        <w:jc w:val="left"/>
      </w:pPr>
      <w:r>
        <w:rPr>
          <w:spacing w:val="-3"/>
        </w:rPr>
        <w:t>的交易行为，保证诚实信用、保护公司及中小股东的利益。本公司与关联人之间的关联</w:t>
      </w:r>
      <w:r>
        <w:rPr>
          <w:spacing w:val="-102"/>
        </w:rPr>
        <w:t> </w:t>
      </w:r>
      <w:r>
        <w:rPr>
          <w:spacing w:val="-102"/>
        </w:rPr>
      </w:r>
      <w:r>
        <w:rPr/>
        <w:t>交易均需签订书面协议，协议的签订遵循平等、自愿、等价、有偿的原则。</w:t>
      </w:r>
      <w:r>
        <w:rPr/>
        <w:t> </w:t>
      </w:r>
      <w:r>
        <w:rPr>
          <w:rFonts w:ascii="宋体" w:hAnsi="宋体" w:cs="宋体" w:eastAsia="宋体" w:hint="default"/>
        </w:rPr>
        <w:t>8</w:t>
      </w:r>
      <w:r>
        <w:rPr/>
        <w:t>、担保与融资的内部控制</w:t>
      </w:r>
    </w:p>
    <w:p>
      <w:pPr>
        <w:pStyle w:val="BodyText"/>
        <w:spacing w:line="357" w:lineRule="auto"/>
        <w:ind w:right="229" w:firstLine="420"/>
        <w:jc w:val="both"/>
      </w:pPr>
      <w:r>
        <w:rPr>
          <w:spacing w:val="-1"/>
        </w:rPr>
        <w:t>本公司制定了《对外担保管理办法》对公司发生对外担保行为时的担保对象、审批</w:t>
      </w:r>
      <w:r>
        <w:rPr/>
        <w:t> </w:t>
      </w:r>
      <w:r>
        <w:rPr>
          <w:spacing w:val="-3"/>
        </w:rPr>
        <w:t>权限和决策程序、安全措施等作了详细的规定。截至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日，本公司没有对外</w:t>
      </w:r>
      <w:r>
        <w:rPr>
          <w:spacing w:val="-90"/>
        </w:rPr>
        <w:t> </w:t>
      </w:r>
      <w:r>
        <w:rPr>
          <w:spacing w:val="-90"/>
        </w:rPr>
      </w:r>
      <w:r>
        <w:rPr/>
        <w:t>部单位提供担保的事项。</w:t>
      </w:r>
    </w:p>
    <w:p>
      <w:pPr>
        <w:pStyle w:val="BodyText"/>
        <w:spacing w:line="357" w:lineRule="auto"/>
        <w:ind w:left="663" w:right="0" w:hanging="480"/>
        <w:jc w:val="left"/>
      </w:pPr>
      <w:r>
        <w:rPr>
          <w:rFonts w:ascii="宋体" w:hAnsi="宋体" w:cs="宋体" w:eastAsia="宋体" w:hint="default"/>
        </w:rPr>
        <w:t>9</w:t>
      </w:r>
      <w:r>
        <w:rPr/>
        <w:t>、募集资金管理的内部控制 </w:t>
      </w:r>
      <w:r>
        <w:rPr>
          <w:spacing w:val="-3"/>
        </w:rPr>
        <w:t>本公司制定了《募集资金管理办法》，募集资金采用专户存储方式，并对使用及审</w:t>
      </w:r>
    </w:p>
    <w:p>
      <w:pPr>
        <w:pStyle w:val="BodyText"/>
        <w:spacing w:line="357" w:lineRule="auto"/>
        <w:ind w:right="0"/>
        <w:jc w:val="left"/>
      </w:pPr>
      <w:r>
        <w:rPr>
          <w:spacing w:val="-3"/>
        </w:rPr>
        <w:t>批程序、用途调整与变更、管理监督和责任追究等方面进行明确规定，以保证募集资金</w:t>
      </w:r>
      <w:r>
        <w:rPr>
          <w:spacing w:val="-102"/>
        </w:rPr>
        <w:t> </w:t>
      </w:r>
      <w:r>
        <w:rPr>
          <w:spacing w:val="-102"/>
        </w:rPr>
      </w:r>
      <w:r>
        <w:rPr/>
        <w:t>专款专用。</w:t>
      </w:r>
    </w:p>
    <w:p>
      <w:pPr>
        <w:pStyle w:val="BodyText"/>
        <w:spacing w:line="357" w:lineRule="auto"/>
        <w:ind w:left="663" w:right="123" w:hanging="480"/>
        <w:jc w:val="left"/>
      </w:pPr>
      <w:r>
        <w:rPr>
          <w:rFonts w:ascii="宋体" w:hAnsi="宋体" w:cs="宋体" w:eastAsia="宋体" w:hint="default"/>
        </w:rPr>
        <w:t>10</w:t>
      </w:r>
      <w:r>
        <w:rPr/>
        <w:t>、人事管理的内部控制 本公司根据经营和发展战略，制定了完善的员工行为守则、员工薪资、考勤管理、</w:t>
      </w:r>
    </w:p>
    <w:p>
      <w:pPr>
        <w:pStyle w:val="BodyText"/>
        <w:spacing w:line="357" w:lineRule="auto"/>
        <w:ind w:right="0"/>
        <w:jc w:val="left"/>
      </w:pPr>
      <w:r>
        <w:rPr>
          <w:spacing w:val="-3"/>
        </w:rPr>
        <w:t>晋升考核及社会福利等制度，并形成了完备的员工培训体系，建立起有效的员工职业发</w:t>
      </w:r>
      <w:r>
        <w:rPr>
          <w:spacing w:val="-98"/>
        </w:rPr>
        <w:t> </w:t>
      </w:r>
      <w:r>
        <w:rPr>
          <w:spacing w:val="-98"/>
        </w:rPr>
      </w:r>
      <w:r>
        <w:rPr/>
        <w:t>展制度。</w:t>
      </w:r>
    </w:p>
    <w:p>
      <w:pPr>
        <w:pStyle w:val="BodyText"/>
        <w:spacing w:line="357" w:lineRule="auto"/>
        <w:ind w:left="663" w:right="231" w:hanging="480"/>
        <w:jc w:val="left"/>
      </w:pPr>
      <w:r>
        <w:rPr>
          <w:rFonts w:ascii="宋体" w:hAnsi="宋体" w:cs="宋体" w:eastAsia="宋体" w:hint="default"/>
        </w:rPr>
        <w:t>11</w:t>
      </w:r>
      <w:r>
        <w:rPr/>
        <w:t>、信息披露的内部控制 </w:t>
      </w:r>
      <w:r>
        <w:rPr>
          <w:spacing w:val="-3"/>
        </w:rPr>
        <w:t>为进一步规范本公司的信息披露行为，维护投资者利益，公司建立健全了公司《信</w:t>
      </w:r>
    </w:p>
    <w:p>
      <w:pPr>
        <w:pStyle w:val="BodyText"/>
        <w:spacing w:line="357" w:lineRule="auto"/>
        <w:ind w:right="0"/>
        <w:jc w:val="left"/>
      </w:pPr>
      <w:r>
        <w:rPr>
          <w:spacing w:val="-3"/>
        </w:rPr>
        <w:t>息披露事务管理制度》、《年报信息披露重大差错责任追究制度》及《内幕信息知情人</w:t>
      </w:r>
      <w:r>
        <w:rPr>
          <w:spacing w:val="-103"/>
        </w:rPr>
        <w:t> </w:t>
      </w:r>
      <w:r>
        <w:rPr>
          <w:spacing w:val="-103"/>
        </w:rPr>
      </w:r>
      <w:r>
        <w:rPr>
          <w:spacing w:val="-3"/>
        </w:rPr>
        <w:t>登记备案制度》等有关信息披露管理的制度，在信息披露机构和人员、信息披露文件和</w:t>
      </w:r>
      <w:r>
        <w:rPr>
          <w:spacing w:val="-102"/>
        </w:rPr>
        <w:t> </w:t>
      </w:r>
      <w:r>
        <w:rPr>
          <w:spacing w:val="-102"/>
        </w:rPr>
      </w:r>
      <w:r>
        <w:rPr>
          <w:spacing w:val="-6"/>
        </w:rPr>
        <w:t>事务管理、披露程序、信息报告、保密措施、档案管理、责任追究等方面作了详细规定，</w:t>
      </w:r>
      <w:r>
        <w:rPr>
          <w:spacing w:val="-101"/>
        </w:rPr>
        <w:t> </w:t>
      </w:r>
      <w:r>
        <w:rPr>
          <w:spacing w:val="-101"/>
        </w:rPr>
      </w:r>
      <w:r>
        <w:rPr/>
        <w:t>对本公司公开信息披露和重大内部信息沟通进行全程、有效的控制。 </w:t>
      </w:r>
      <w:r>
        <w:rPr>
          <w:rFonts w:ascii="宋体" w:hAnsi="宋体" w:cs="宋体" w:eastAsia="宋体" w:hint="default"/>
        </w:rPr>
        <w:t>12</w:t>
      </w:r>
      <w:r>
        <w:rPr/>
        <w:t>、全面预算的内部控制</w:t>
      </w:r>
    </w:p>
    <w:p>
      <w:pPr>
        <w:pStyle w:val="BodyText"/>
        <w:spacing w:line="357" w:lineRule="auto"/>
        <w:ind w:right="123" w:firstLine="480"/>
        <w:jc w:val="left"/>
      </w:pPr>
      <w:r>
        <w:rPr>
          <w:spacing w:val="-3"/>
        </w:rPr>
        <w:t>为了促进公司实现发展战略，加强全面预算管理作用，强化内部控制，提高经营管</w:t>
      </w:r>
      <w:r>
        <w:rPr/>
        <w:t> </w:t>
      </w:r>
      <w:r>
        <w:rPr>
          <w:spacing w:val="-3"/>
        </w:rPr>
        <w:t>理水平和风险防范能力，公司制定了《全面预算管理制度》，确定公司的经营目标并组</w:t>
      </w:r>
      <w:r>
        <w:rPr>
          <w:spacing w:val="-100"/>
        </w:rPr>
        <w:t> </w:t>
      </w:r>
      <w:r>
        <w:rPr>
          <w:spacing w:val="-100"/>
        </w:rPr>
      </w:r>
      <w:r>
        <w:rPr/>
        <w:t>织实施；明确各责任单位在预算管理中的职责和权限；对公司经营活动实施全程控制、 监督和分析。</w:t>
      </w:r>
    </w:p>
    <w:p>
      <w:pPr>
        <w:pStyle w:val="BodyText"/>
        <w:spacing w:line="357" w:lineRule="auto" w:before="37"/>
        <w:ind w:left="663" w:right="123" w:hanging="480"/>
        <w:jc w:val="left"/>
      </w:pPr>
      <w:r>
        <w:rPr/>
        <w:t>（二）内部控制检查监督部门的设置及检查监督情况 公司董事会下设的审计委员会是公司内部控制监督机构。审计委员会下设内审部，</w:t>
      </w:r>
    </w:p>
    <w:p>
      <w:pPr>
        <w:pStyle w:val="BodyText"/>
        <w:spacing w:line="357" w:lineRule="auto"/>
        <w:ind w:right="0"/>
        <w:jc w:val="left"/>
      </w:pPr>
      <w:r>
        <w:rPr>
          <w:spacing w:val="-3"/>
        </w:rPr>
        <w:t>独立于公司其他部门，直接对审计委员会负责，在董事会审计委员会的领导下执行日常</w:t>
      </w:r>
      <w:r>
        <w:rPr>
          <w:spacing w:val="-98"/>
        </w:rPr>
        <w:t> </w:t>
      </w:r>
      <w:r>
        <w:rPr>
          <w:spacing w:val="-98"/>
        </w:rPr>
      </w:r>
      <w:r>
        <w:rPr>
          <w:spacing w:val="-3"/>
        </w:rPr>
        <w:t>内部控制的监督和检查工作。公司已制定的《内部审计制度》明确界定了内部审计监督</w:t>
      </w:r>
    </w:p>
    <w:p>
      <w:pPr>
        <w:spacing w:after="0" w:line="357" w:lineRule="auto"/>
        <w:jc w:val="left"/>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179"/>
        <w:jc w:val="left"/>
      </w:pPr>
      <w:r>
        <w:rPr>
          <w:spacing w:val="-3"/>
        </w:rPr>
        <w:t>的范围、内容、职权；制定了具体的工作程序、质量控制，以及奖励和惩罚等条例；明</w:t>
      </w:r>
      <w:r>
        <w:rPr>
          <w:spacing w:val="-101"/>
        </w:rPr>
        <w:t> </w:t>
      </w:r>
      <w:r>
        <w:rPr>
          <w:spacing w:val="-101"/>
        </w:rPr>
      </w:r>
      <w:r>
        <w:rPr>
          <w:spacing w:val="-3"/>
        </w:rPr>
        <w:t>确规定相关部门（包含各下属企业）及人员积极配合公司审计部门检查监督的责任。报</w:t>
      </w:r>
      <w:r>
        <w:rPr>
          <w:spacing w:val="-102"/>
        </w:rPr>
        <w:t> </w:t>
      </w:r>
      <w:r>
        <w:rPr>
          <w:spacing w:val="-102"/>
        </w:rPr>
      </w:r>
      <w:r>
        <w:rPr/>
        <w:t>告期内，审计部开展内部控制的工作情况主要有以下内容：</w:t>
      </w:r>
      <w:r>
        <w:rPr>
          <w:rFonts w:ascii="宋体" w:hAnsi="宋体" w:cs="宋体" w:eastAsia="宋体" w:hint="default"/>
        </w:rPr>
        <w:t>1</w:t>
      </w:r>
      <w:r>
        <w:rPr/>
        <w:t>）审计委员会和内部审计 部门每季度对公司财务报告、募集资金使用情况进行审核。</w:t>
      </w:r>
      <w:r>
        <w:rPr>
          <w:rFonts w:ascii="宋体" w:hAnsi="宋体" w:cs="宋体" w:eastAsia="宋体" w:hint="default"/>
        </w:rPr>
        <w:t>2</w:t>
      </w:r>
      <w:r>
        <w:rPr/>
        <w:t>）内部审计部门对公司的 内部控制的有效性进行了抽查，为公司内部制度的有效执行提供了保证。</w:t>
      </w:r>
      <w:r>
        <w:rPr>
          <w:rFonts w:ascii="宋体" w:hAnsi="宋体" w:cs="宋体" w:eastAsia="宋体" w:hint="default"/>
        </w:rPr>
        <w:t>3</w:t>
      </w:r>
      <w:r>
        <w:rPr/>
        <w:t>）内部审计 部门严格按照工作计划对公司以及子公司进行定期检查，对公司资产进行核实。</w:t>
      </w:r>
      <w:r>
        <w:rPr>
          <w:rFonts w:ascii="宋体" w:hAnsi="宋体" w:cs="宋体" w:eastAsia="宋体" w:hint="default"/>
        </w:rPr>
        <w:t>4</w:t>
      </w:r>
      <w:r>
        <w:rPr/>
        <w:t>）内 部审计部门已向审计委员会提交</w:t>
      </w:r>
      <w:r>
        <w:rPr>
          <w:rFonts w:ascii="宋体" w:hAnsi="宋体" w:cs="宋体" w:eastAsia="宋体" w:hint="default"/>
        </w:rPr>
        <w:t>2011</w:t>
      </w:r>
      <w:r>
        <w:rPr/>
        <w:t>年度内部审计工作报告和</w:t>
      </w:r>
      <w:r>
        <w:rPr>
          <w:rFonts w:ascii="宋体" w:hAnsi="宋体" w:cs="宋体" w:eastAsia="宋体" w:hint="default"/>
        </w:rPr>
        <w:t>2012</w:t>
      </w:r>
      <w:r>
        <w:rPr/>
        <w:t>年度内部审计工作 计划。</w:t>
      </w:r>
    </w:p>
    <w:p>
      <w:pPr>
        <w:pStyle w:val="Heading3"/>
        <w:spacing w:line="240" w:lineRule="auto" w:before="36"/>
        <w:ind w:right="179"/>
        <w:jc w:val="left"/>
        <w:rPr>
          <w:b w:val="0"/>
          <w:bCs w:val="0"/>
        </w:rPr>
      </w:pPr>
      <w:r>
        <w:rPr/>
        <w:t>二、内部控制自我评价</w:t>
      </w:r>
      <w:r>
        <w:rPr>
          <w:b w:val="0"/>
          <w:bCs w:val="0"/>
        </w:rPr>
      </w:r>
    </w:p>
    <w:p>
      <w:pPr>
        <w:spacing w:line="357" w:lineRule="auto" w:before="154"/>
        <w:ind w:left="663" w:right="179" w:hanging="480"/>
        <w:jc w:val="left"/>
        <w:rPr>
          <w:rFonts w:ascii="宋体" w:hAnsi="宋体" w:cs="宋体" w:eastAsia="宋体" w:hint="default"/>
          <w:sz w:val="24"/>
          <w:szCs w:val="24"/>
        </w:rPr>
      </w:pPr>
      <w:r>
        <w:rPr>
          <w:rFonts w:ascii="宋体" w:hAnsi="宋体" w:cs="宋体" w:eastAsia="宋体" w:hint="default"/>
          <w:b/>
          <w:bCs/>
          <w:sz w:val="24"/>
          <w:szCs w:val="24"/>
        </w:rPr>
        <w:t>（一）董事会对公司内部控制情况的自我评价</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本公司已经建立了较为完善的法人治理结构，内部控制体系较为健全，能够适应公</w:t>
      </w:r>
    </w:p>
    <w:p>
      <w:pPr>
        <w:pStyle w:val="BodyText"/>
        <w:spacing w:line="357" w:lineRule="auto"/>
        <w:ind w:left="663" w:right="179" w:hanging="480"/>
        <w:jc w:val="left"/>
      </w:pPr>
      <w:r>
        <w:rPr/>
        <w:t>司现行管理的要求和公司发展的需要，符合有关法律法规和证券监管部门的要求。 </w:t>
      </w:r>
      <w:r>
        <w:rPr>
          <w:spacing w:val="-3"/>
        </w:rPr>
        <w:t>本公司现有的内部控制已覆盖了公司运营的各层面和各环节，形成了规范的管理体</w:t>
      </w:r>
    </w:p>
    <w:p>
      <w:pPr>
        <w:pStyle w:val="BodyText"/>
        <w:spacing w:line="357" w:lineRule="auto"/>
        <w:ind w:right="187"/>
        <w:jc w:val="both"/>
      </w:pPr>
      <w:r>
        <w:rPr>
          <w:spacing w:val="-3"/>
        </w:rPr>
        <w:t>系，能够预防并及时发现、纠正公司运营过程可能出现的重要错误和舞弊，保护公司资</w:t>
      </w:r>
      <w:r>
        <w:rPr>
          <w:spacing w:val="-102"/>
        </w:rPr>
        <w:t> </w:t>
      </w:r>
      <w:r>
        <w:rPr>
          <w:spacing w:val="-102"/>
        </w:rPr>
      </w:r>
      <w:r>
        <w:rPr>
          <w:spacing w:val="-3"/>
        </w:rPr>
        <w:t>产的安全与完整，保证会计记录和会计信息的真实性、准确性和及时性，在完整性、合</w:t>
      </w:r>
      <w:r>
        <w:rPr>
          <w:spacing w:val="-94"/>
        </w:rPr>
        <w:t> </w:t>
      </w:r>
      <w:r>
        <w:rPr>
          <w:spacing w:val="-94"/>
        </w:rPr>
      </w:r>
      <w:r>
        <w:rPr>
          <w:spacing w:val="-3"/>
        </w:rPr>
        <w:t>理性及有效性方面不存在重大缺陷。本公司内部控制是有效的。随着国家法律法规的逐</w:t>
      </w:r>
      <w:r>
        <w:rPr>
          <w:spacing w:val="-98"/>
        </w:rPr>
        <w:t> </w:t>
      </w:r>
      <w:r>
        <w:rPr>
          <w:spacing w:val="-98"/>
        </w:rPr>
      </w:r>
      <w:r>
        <w:rPr/>
        <w:t>步深化完善和公司不断发展的需要，公司将进一步健全和深化内部控制机制。</w:t>
      </w:r>
    </w:p>
    <w:p>
      <w:pPr>
        <w:pStyle w:val="BodyText"/>
        <w:spacing w:line="357" w:lineRule="auto"/>
        <w:ind w:right="203" w:firstLine="480"/>
        <w:jc w:val="left"/>
      </w:pPr>
      <w:r>
        <w:rPr/>
        <w:t>董事会关于《</w:t>
      </w:r>
      <w:r>
        <w:rPr>
          <w:rFonts w:ascii="宋体" w:hAnsi="宋体" w:cs="宋体" w:eastAsia="宋体" w:hint="default"/>
        </w:rPr>
        <w:t>2011</w:t>
      </w:r>
      <w:r>
        <w:rPr/>
        <w:t>年度内部控制的自我评价报告》全文刊登于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18</w:t>
      </w:r>
      <w:r>
        <w:rPr/>
        <w:t>日的巨 潮资讯网（</w:t>
      </w:r>
      <w:hyperlink r:id="rId10">
        <w:r>
          <w:rPr>
            <w:rFonts w:ascii="宋体" w:hAnsi="宋体" w:cs="宋体" w:eastAsia="宋体" w:hint="default"/>
          </w:rPr>
          <w:t>http://www.cninfo.com.cn</w:t>
        </w:r>
      </w:hyperlink>
      <w:r>
        <w:rPr/>
        <w:t>）。</w:t>
      </w:r>
    </w:p>
    <w:p>
      <w:pPr>
        <w:spacing w:line="240" w:lineRule="auto" w:before="0"/>
        <w:rPr>
          <w:rFonts w:ascii="宋体" w:hAnsi="宋体" w:cs="宋体" w:eastAsia="宋体" w:hint="default"/>
          <w:sz w:val="24"/>
          <w:szCs w:val="24"/>
        </w:rPr>
      </w:pPr>
    </w:p>
    <w:p>
      <w:pPr>
        <w:spacing w:line="357" w:lineRule="auto" w:before="190"/>
        <w:ind w:left="658" w:right="88" w:hanging="476"/>
        <w:jc w:val="left"/>
        <w:rPr>
          <w:rFonts w:ascii="宋体" w:hAnsi="宋体" w:cs="宋体" w:eastAsia="宋体" w:hint="default"/>
          <w:sz w:val="24"/>
          <w:szCs w:val="24"/>
        </w:rPr>
      </w:pPr>
      <w:r>
        <w:rPr>
          <w:rFonts w:ascii="宋体" w:hAnsi="宋体" w:cs="宋体" w:eastAsia="宋体" w:hint="default"/>
          <w:b/>
          <w:bCs/>
          <w:sz w:val="24"/>
          <w:szCs w:val="24"/>
        </w:rPr>
        <w:t>（二）监事会对公司内部控制自我评价的报告</w:t>
      </w:r>
      <w:r>
        <w:rPr>
          <w:rFonts w:ascii="宋体" w:hAnsi="宋体" w:cs="宋体" w:eastAsia="宋体" w:hint="default"/>
          <w:b/>
          <w:bCs/>
          <w:w w:val="99"/>
          <w:sz w:val="24"/>
          <w:szCs w:val="24"/>
        </w:rPr>
        <w:t> </w:t>
      </w:r>
      <w:r>
        <w:rPr>
          <w:rFonts w:ascii="宋体" w:hAnsi="宋体" w:cs="宋体" w:eastAsia="宋体" w:hint="default"/>
          <w:sz w:val="24"/>
          <w:szCs w:val="24"/>
        </w:rPr>
        <w:t>经审核，监事会认为公司已建立起较为健全的内部控制制度体系并得到有效执行，</w:t>
      </w:r>
    </w:p>
    <w:p>
      <w:pPr>
        <w:pStyle w:val="BodyText"/>
        <w:spacing w:line="357" w:lineRule="auto"/>
        <w:ind w:right="175"/>
        <w:jc w:val="left"/>
      </w:pPr>
      <w:r>
        <w:rPr/>
        <w:t>保证了公司的规范运作。公司出具的关于 </w:t>
      </w:r>
      <w:r>
        <w:rPr>
          <w:rFonts w:ascii="宋体" w:hAnsi="宋体" w:cs="宋体" w:eastAsia="宋体" w:hint="default"/>
        </w:rPr>
        <w:t>2011</w:t>
      </w:r>
      <w:r>
        <w:rPr>
          <w:rFonts w:ascii="宋体" w:hAnsi="宋体" w:cs="宋体" w:eastAsia="宋体" w:hint="default"/>
          <w:spacing w:val="-92"/>
        </w:rPr>
        <w:t> </w:t>
      </w:r>
      <w:r>
        <w:rPr/>
        <w:t>年度内部控制的自我评价报告真实、客 观地反映了公司内部控制制度的建设及运行情况。</w:t>
      </w:r>
    </w:p>
    <w:p>
      <w:pPr>
        <w:spacing w:line="240" w:lineRule="auto" w:before="0"/>
        <w:rPr>
          <w:rFonts w:ascii="宋体" w:hAnsi="宋体" w:cs="宋体" w:eastAsia="宋体" w:hint="default"/>
          <w:sz w:val="24"/>
          <w:szCs w:val="24"/>
        </w:rPr>
      </w:pPr>
    </w:p>
    <w:p>
      <w:pPr>
        <w:spacing w:line="357" w:lineRule="auto" w:before="191"/>
        <w:ind w:left="663" w:right="179" w:hanging="480"/>
        <w:jc w:val="left"/>
        <w:rPr>
          <w:rFonts w:ascii="宋体" w:hAnsi="宋体" w:cs="宋体" w:eastAsia="宋体" w:hint="default"/>
          <w:sz w:val="24"/>
          <w:szCs w:val="24"/>
        </w:rPr>
      </w:pPr>
      <w:r>
        <w:rPr>
          <w:rFonts w:ascii="宋体" w:hAnsi="宋体" w:cs="宋体" w:eastAsia="宋体" w:hint="default"/>
          <w:b/>
          <w:bCs/>
          <w:sz w:val="24"/>
          <w:szCs w:val="24"/>
        </w:rPr>
        <w:t>（三）独立董事对公司内部控制自我评价的意见</w:t>
      </w:r>
      <w:r>
        <w:rPr>
          <w:rFonts w:ascii="宋体" w:hAnsi="宋体" w:cs="宋体" w:eastAsia="宋体" w:hint="default"/>
          <w:b/>
          <w:bCs/>
          <w:w w:val="99"/>
          <w:sz w:val="24"/>
          <w:szCs w:val="24"/>
        </w:rPr>
        <w:t> </w:t>
      </w:r>
      <w:r>
        <w:rPr>
          <w:rFonts w:ascii="宋体" w:hAnsi="宋体" w:cs="宋体" w:eastAsia="宋体" w:hint="default"/>
          <w:spacing w:val="-3"/>
          <w:sz w:val="24"/>
          <w:szCs w:val="24"/>
        </w:rPr>
        <w:t>经核查，我们认为公司已建立较为完善的内部控制体系，各项内部控制制度符合我</w:t>
      </w:r>
    </w:p>
    <w:p>
      <w:pPr>
        <w:pStyle w:val="BodyText"/>
        <w:spacing w:line="357" w:lineRule="auto"/>
        <w:ind w:right="178"/>
        <w:jc w:val="left"/>
      </w:pPr>
      <w:r>
        <w:rPr>
          <w:spacing w:val="-3"/>
        </w:rPr>
        <w:t>国有关法律法规以及监管部门有关上市公司治理的规范性文件要求，内部控制制度执行</w:t>
      </w:r>
      <w:r>
        <w:rPr>
          <w:spacing w:val="-98"/>
        </w:rPr>
        <w:t> </w:t>
      </w:r>
      <w:r>
        <w:rPr>
          <w:spacing w:val="-98"/>
        </w:rPr>
      </w:r>
      <w:r>
        <w:rPr/>
        <w:t>有效，公司运作规范健康。公司董事会关于《</w:t>
      </w:r>
      <w:r>
        <w:rPr>
          <w:rFonts w:ascii="宋体" w:hAnsi="宋体" w:cs="宋体" w:eastAsia="宋体" w:hint="default"/>
        </w:rPr>
        <w:t>2011</w:t>
      </w:r>
      <w:r>
        <w:rPr>
          <w:rFonts w:ascii="宋体" w:hAnsi="宋体" w:cs="宋体" w:eastAsia="宋体" w:hint="default"/>
          <w:spacing w:val="25"/>
        </w:rPr>
        <w:t> </w:t>
      </w:r>
      <w:r>
        <w:rPr/>
        <w:t>年度内部控制的自我评价报告》客</w:t>
      </w:r>
    </w:p>
    <w:p>
      <w:pPr>
        <w:spacing w:after="0" w:line="357" w:lineRule="auto"/>
        <w:jc w:val="left"/>
        <w:sectPr>
          <w:pgSz w:w="11910" w:h="16840"/>
          <w:pgMar w:header="876" w:footer="1186" w:top="1100" w:bottom="1380" w:left="1300" w:right="1200"/>
        </w:sectPr>
      </w:pPr>
    </w:p>
    <w:p>
      <w:pPr>
        <w:spacing w:line="240" w:lineRule="auto" w:before="12"/>
        <w:rPr>
          <w:rFonts w:ascii="宋体" w:hAnsi="宋体" w:cs="宋体" w:eastAsia="宋体" w:hint="default"/>
          <w:sz w:val="25"/>
          <w:szCs w:val="25"/>
        </w:rPr>
      </w:pPr>
    </w:p>
    <w:p>
      <w:pPr>
        <w:pStyle w:val="BodyText"/>
        <w:spacing w:line="240" w:lineRule="auto" w:before="26"/>
        <w:ind w:right="383"/>
        <w:jc w:val="left"/>
      </w:pPr>
      <w:r>
        <w:rPr/>
        <w:t>观、真实地反映了公司内部控制制度的建设、健全及运行情况。</w:t>
      </w:r>
    </w:p>
    <w:p>
      <w:pPr>
        <w:pStyle w:val="BodyText"/>
        <w:spacing w:line="357" w:lineRule="auto" w:before="154"/>
        <w:ind w:right="383" w:firstLine="480"/>
        <w:jc w:val="left"/>
      </w:pPr>
      <w:r>
        <w:rPr/>
        <w:t>详见</w:t>
      </w:r>
      <w:r>
        <w:rPr>
          <w:spacing w:val="-58"/>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18</w:t>
      </w:r>
      <w:r>
        <w:rPr>
          <w:rFonts w:ascii="宋体" w:hAnsi="宋体" w:cs="宋体" w:eastAsia="宋体" w:hint="default"/>
          <w:spacing w:val="-57"/>
        </w:rPr>
        <w:t> </w:t>
      </w:r>
      <w:r>
        <w:rPr>
          <w:spacing w:val="-3"/>
        </w:rPr>
        <w:t>日刊登在巨潮资讯网（</w:t>
      </w:r>
      <w:hyperlink r:id="rId10">
        <w:r>
          <w:rPr>
            <w:rFonts w:ascii="宋体" w:hAnsi="宋体" w:cs="宋体" w:eastAsia="宋体" w:hint="default"/>
            <w:spacing w:val="-3"/>
          </w:rPr>
          <w:t>http://www.cninfo.com.cn</w:t>
        </w:r>
      </w:hyperlink>
      <w:r>
        <w:rPr>
          <w:spacing w:val="-3"/>
        </w:rPr>
        <w:t>）上的《独</w:t>
      </w:r>
      <w:r>
        <w:rPr/>
        <w:t> </w:t>
      </w:r>
      <w:r>
        <w:rPr>
          <w:spacing w:val="-5"/>
        </w:rPr>
        <w:t>立董事关于第四届董事会第十五次会议相关事项的独立意见》。</w:t>
      </w:r>
    </w:p>
    <w:p>
      <w:pPr>
        <w:spacing w:line="240" w:lineRule="auto" w:before="0"/>
        <w:rPr>
          <w:rFonts w:ascii="宋体" w:hAnsi="宋体" w:cs="宋体" w:eastAsia="宋体" w:hint="default"/>
          <w:sz w:val="24"/>
          <w:szCs w:val="24"/>
        </w:rPr>
      </w:pPr>
    </w:p>
    <w:p>
      <w:pPr>
        <w:spacing w:line="357" w:lineRule="auto" w:before="190"/>
        <w:ind w:left="658" w:right="380" w:hanging="476"/>
        <w:jc w:val="left"/>
        <w:rPr>
          <w:rFonts w:ascii="宋体" w:hAnsi="宋体" w:cs="宋体" w:eastAsia="宋体" w:hint="default"/>
          <w:sz w:val="24"/>
          <w:szCs w:val="24"/>
        </w:rPr>
      </w:pPr>
      <w:r>
        <w:rPr>
          <w:rFonts w:ascii="宋体" w:hAnsi="宋体" w:cs="宋体" w:eastAsia="宋体" w:hint="default"/>
          <w:b/>
          <w:bCs/>
          <w:sz w:val="24"/>
          <w:szCs w:val="24"/>
        </w:rPr>
        <w:t>（四）会计师事务所关于公司内部控制情况的鉴证报告</w:t>
      </w:r>
      <w:r>
        <w:rPr>
          <w:rFonts w:ascii="宋体" w:hAnsi="宋体" w:cs="宋体" w:eastAsia="宋体" w:hint="default"/>
          <w:b/>
          <w:bCs/>
          <w:w w:val="99"/>
          <w:sz w:val="24"/>
          <w:szCs w:val="24"/>
        </w:rPr>
        <w:t> </w:t>
      </w:r>
      <w:r>
        <w:rPr>
          <w:rFonts w:ascii="宋体" w:hAnsi="宋体" w:cs="宋体" w:eastAsia="宋体" w:hint="default"/>
          <w:sz w:val="24"/>
          <w:szCs w:val="24"/>
        </w:rPr>
        <w:t>海隆软件公司按照《企业内部控制基本规范》及相关规范于</w:t>
      </w:r>
      <w:r>
        <w:rPr>
          <w:rFonts w:ascii="宋体" w:hAnsi="宋体" w:cs="宋体" w:eastAsia="宋体" w:hint="default"/>
          <w:spacing w:val="-55"/>
          <w:sz w:val="24"/>
          <w:szCs w:val="24"/>
        </w:rPr>
        <w:t> </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12</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31</w:t>
      </w:r>
      <w:r>
        <w:rPr>
          <w:rFonts w:ascii="宋体" w:hAnsi="宋体" w:cs="宋体" w:eastAsia="宋体" w:hint="default"/>
          <w:spacing w:val="-56"/>
          <w:sz w:val="24"/>
          <w:szCs w:val="24"/>
        </w:rPr>
        <w:t> </w:t>
      </w:r>
      <w:r>
        <w:rPr>
          <w:rFonts w:ascii="宋体" w:hAnsi="宋体" w:cs="宋体" w:eastAsia="宋体" w:hint="default"/>
          <w:sz w:val="24"/>
          <w:szCs w:val="24"/>
        </w:rPr>
        <w:t>日在</w:t>
      </w:r>
    </w:p>
    <w:p>
      <w:pPr>
        <w:pStyle w:val="BodyText"/>
        <w:spacing w:line="240" w:lineRule="auto"/>
        <w:ind w:right="383"/>
        <w:jc w:val="left"/>
      </w:pPr>
      <w:r>
        <w:rPr/>
        <w:t>所有重大方面保持了与财务报表编制相关的有效的内部控制。</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58" w:right="383" w:hanging="476"/>
        <w:jc w:val="left"/>
        <w:rPr>
          <w:rFonts w:ascii="宋体" w:hAnsi="宋体" w:cs="宋体" w:eastAsia="宋体" w:hint="default"/>
          <w:sz w:val="24"/>
          <w:szCs w:val="24"/>
        </w:rPr>
      </w:pPr>
      <w:r>
        <w:rPr>
          <w:rFonts w:ascii="宋体" w:hAnsi="宋体" w:cs="宋体" w:eastAsia="宋体" w:hint="default"/>
          <w:b/>
          <w:bCs/>
          <w:sz w:val="24"/>
          <w:szCs w:val="24"/>
        </w:rPr>
        <w:t>三、财务报告内部控制制度依据</w:t>
      </w:r>
      <w:r>
        <w:rPr>
          <w:rFonts w:ascii="宋体" w:hAnsi="宋体" w:cs="宋体" w:eastAsia="宋体" w:hint="default"/>
          <w:b/>
          <w:bCs/>
          <w:w w:val="99"/>
          <w:sz w:val="24"/>
          <w:szCs w:val="24"/>
        </w:rPr>
        <w:t> </w:t>
      </w:r>
      <w:r>
        <w:rPr>
          <w:rFonts w:ascii="宋体" w:hAnsi="宋体" w:cs="宋体" w:eastAsia="宋体" w:hint="default"/>
          <w:spacing w:val="-16"/>
          <w:sz w:val="24"/>
          <w:szCs w:val="24"/>
        </w:rPr>
        <w:t>公司以《会计法》、《企业会计准则》、《企业内部控制基本规范》、监管部门的相关</w:t>
      </w:r>
    </w:p>
    <w:p>
      <w:pPr>
        <w:pStyle w:val="BodyText"/>
        <w:spacing w:line="357" w:lineRule="auto"/>
        <w:ind w:right="383"/>
        <w:jc w:val="left"/>
      </w:pPr>
      <w:r>
        <w:rPr>
          <w:spacing w:val="-3"/>
        </w:rPr>
        <w:t>规范性文件以及公司《财务管理制度》为依据，建立了财务报告内部控制。本年度的财</w:t>
      </w:r>
      <w:r>
        <w:rPr>
          <w:spacing w:val="-96"/>
        </w:rPr>
        <w:t> </w:t>
      </w:r>
      <w:r>
        <w:rPr>
          <w:spacing w:val="-96"/>
        </w:rPr>
      </w:r>
      <w:r>
        <w:rPr/>
        <w:t>务报告内部控制不存在重大缺陷。</w:t>
      </w:r>
    </w:p>
    <w:p>
      <w:pPr>
        <w:spacing w:line="240" w:lineRule="auto" w:before="0"/>
        <w:rPr>
          <w:rFonts w:ascii="宋体" w:hAnsi="宋体" w:cs="宋体" w:eastAsia="宋体" w:hint="default"/>
          <w:sz w:val="24"/>
          <w:szCs w:val="24"/>
        </w:rPr>
      </w:pPr>
    </w:p>
    <w:p>
      <w:pPr>
        <w:spacing w:line="357" w:lineRule="auto" w:before="190"/>
        <w:ind w:left="663" w:right="391" w:hanging="480"/>
        <w:jc w:val="left"/>
        <w:rPr>
          <w:rFonts w:ascii="宋体" w:hAnsi="宋体" w:cs="宋体" w:eastAsia="宋体" w:hint="default"/>
          <w:sz w:val="24"/>
          <w:szCs w:val="24"/>
        </w:rPr>
      </w:pPr>
      <w:r>
        <w:rPr>
          <w:rFonts w:ascii="宋体" w:hAnsi="宋体" w:cs="宋体" w:eastAsia="宋体" w:hint="default"/>
          <w:b/>
          <w:bCs/>
          <w:sz w:val="24"/>
          <w:szCs w:val="24"/>
        </w:rPr>
        <w:t>四、年度报告披露重大差错责任追究制度的建立与执行情况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公司已建立了《年报信息披露重大差错责任追究制度》，报告期内执行情况良好，</w:t>
      </w:r>
    </w:p>
    <w:p>
      <w:pPr>
        <w:pStyle w:val="BodyText"/>
        <w:spacing w:line="240" w:lineRule="auto"/>
        <w:ind w:right="383"/>
        <w:jc w:val="left"/>
      </w:pPr>
      <w:r>
        <w:rPr/>
        <w:t>不存在发生重大会计差错更正、重大遗漏信息补充等情况。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03" w:right="379" w:hanging="420"/>
        <w:jc w:val="left"/>
        <w:rPr>
          <w:rFonts w:ascii="宋体" w:hAnsi="宋体" w:cs="宋体" w:eastAsia="宋体" w:hint="default"/>
          <w:sz w:val="24"/>
          <w:szCs w:val="24"/>
        </w:rPr>
      </w:pPr>
      <w:r>
        <w:rPr>
          <w:rFonts w:ascii="宋体" w:hAnsi="宋体" w:cs="宋体" w:eastAsia="宋体" w:hint="default"/>
          <w:b/>
          <w:bCs/>
          <w:sz w:val="24"/>
          <w:szCs w:val="24"/>
        </w:rPr>
        <w:t>五、公司其它内部问责机制的建立和执行情况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公司在生产、销售、品质管理等环节都建立了相应的问责制度，报告期内执行情况</w:t>
      </w:r>
    </w:p>
    <w:p>
      <w:pPr>
        <w:pStyle w:val="BodyText"/>
        <w:spacing w:line="240" w:lineRule="auto"/>
        <w:ind w:right="383"/>
        <w:jc w:val="left"/>
      </w:pPr>
      <w:r>
        <w:rPr/>
        <w:t>良好。不存在重大的生产、销售、品质管理等环节的责任事故。</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03" w:right="379" w:hanging="420"/>
        <w:jc w:val="left"/>
        <w:rPr>
          <w:rFonts w:ascii="宋体" w:hAnsi="宋体" w:cs="宋体" w:eastAsia="宋体" w:hint="default"/>
          <w:sz w:val="24"/>
          <w:szCs w:val="24"/>
        </w:rPr>
      </w:pPr>
      <w:r>
        <w:rPr>
          <w:rFonts w:ascii="宋体" w:hAnsi="宋体" w:cs="宋体" w:eastAsia="宋体" w:hint="default"/>
          <w:b/>
          <w:bCs/>
          <w:sz w:val="24"/>
          <w:szCs w:val="24"/>
        </w:rPr>
        <w:t>六、中小企业板上市公司内控规则落实专项活动的情况</w:t>
      </w:r>
      <w:r>
        <w:rPr>
          <w:rFonts w:ascii="宋体" w:hAnsi="宋体" w:cs="宋体" w:eastAsia="宋体" w:hint="default"/>
          <w:b/>
          <w:bCs/>
          <w:w w:val="99"/>
          <w:sz w:val="24"/>
          <w:szCs w:val="24"/>
        </w:rPr>
        <w:t> </w:t>
      </w:r>
      <w:r>
        <w:rPr>
          <w:rFonts w:ascii="宋体" w:hAnsi="宋体" w:cs="宋体" w:eastAsia="宋体" w:hint="default"/>
          <w:spacing w:val="-1"/>
          <w:sz w:val="24"/>
          <w:szCs w:val="24"/>
        </w:rPr>
        <w:t>根据深圳证券交易所《关于开展“加强中小企业板上市公司内控规则落实”专项活</w:t>
      </w:r>
    </w:p>
    <w:p>
      <w:pPr>
        <w:pStyle w:val="BodyText"/>
        <w:spacing w:line="357" w:lineRule="auto"/>
        <w:ind w:right="388"/>
        <w:jc w:val="both"/>
      </w:pPr>
      <w:r>
        <w:rPr>
          <w:spacing w:val="-3"/>
        </w:rPr>
        <w:t>动的通知》的要求，公司开展了内控规则落实专项活动，自查相关内容。经公司第四届</w:t>
      </w:r>
      <w:r>
        <w:rPr>
          <w:spacing w:val="-96"/>
        </w:rPr>
        <w:t> </w:t>
      </w:r>
      <w:r>
        <w:rPr>
          <w:spacing w:val="-96"/>
        </w:rPr>
      </w:r>
      <w:r>
        <w:rPr>
          <w:spacing w:val="3"/>
        </w:rPr>
        <w:t>董事会第九次会议审议通过《内部控制规则落实情况自查报告及整改计划》，（详见</w:t>
      </w:r>
      <w:r>
        <w:rPr>
          <w:spacing w:val="-108"/>
        </w:rPr>
        <w:t> </w:t>
      </w:r>
      <w:r>
        <w:rPr>
          <w:spacing w:val="-108"/>
        </w:rPr>
      </w:r>
      <w:r>
        <w:rPr>
          <w:rFonts w:ascii="宋体" w:hAnsi="宋体" w:cs="宋体" w:eastAsia="宋体" w:hint="default"/>
          <w:spacing w:val="-1"/>
        </w:rPr>
        <w:t>2011-09-21</w:t>
      </w:r>
      <w:r>
        <w:rPr>
          <w:rFonts w:ascii="宋体" w:hAnsi="宋体" w:cs="宋体" w:eastAsia="宋体" w:hint="default"/>
          <w:spacing w:val="-41"/>
        </w:rPr>
        <w:t> </w:t>
      </w:r>
      <w:r>
        <w:rPr>
          <w:spacing w:val="-5"/>
        </w:rPr>
        <w:t>巨潮资讯网），并在计划规定时间内完成了所有整改项目。</w:t>
      </w:r>
    </w:p>
    <w:p>
      <w:pPr>
        <w:pStyle w:val="BodyText"/>
        <w:spacing w:line="240" w:lineRule="auto"/>
        <w:ind w:left="603" w:right="383"/>
        <w:jc w:val="left"/>
      </w:pPr>
      <w:r>
        <w:rPr/>
        <w:t>整改计划具体完成情况：</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20"/>
        <w:gridCol w:w="3461"/>
        <w:gridCol w:w="5199"/>
      </w:tblGrid>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 w:right="0"/>
              <w:jc w:val="left"/>
              <w:rPr>
                <w:rFonts w:ascii="宋体" w:hAnsi="宋体" w:cs="宋体" w:eastAsia="宋体" w:hint="default"/>
                <w:sz w:val="24"/>
                <w:szCs w:val="24"/>
              </w:rPr>
            </w:pPr>
            <w:r>
              <w:rPr>
                <w:rFonts w:ascii="宋体" w:hAnsi="宋体" w:cs="宋体" w:eastAsia="宋体" w:hint="default"/>
                <w:sz w:val="24"/>
                <w:szCs w:val="24"/>
              </w:rPr>
              <w:t>整改事项</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整改完成情况</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24"/>
                <w:szCs w:val="24"/>
              </w:rPr>
            </w:pPr>
            <w:r>
              <w:rPr>
                <w:rFonts w:ascii="宋体"/>
                <w:sz w:val="24"/>
              </w:rPr>
              <w:t>1</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 w:right="0"/>
              <w:jc w:val="left"/>
              <w:rPr>
                <w:rFonts w:ascii="宋体" w:hAnsi="宋体" w:cs="宋体" w:eastAsia="宋体" w:hint="default"/>
                <w:sz w:val="24"/>
                <w:szCs w:val="24"/>
              </w:rPr>
            </w:pPr>
            <w:r>
              <w:rPr>
                <w:rFonts w:ascii="宋体" w:hAnsi="宋体" w:cs="宋体" w:eastAsia="宋体" w:hint="default"/>
                <w:spacing w:val="1"/>
                <w:sz w:val="24"/>
                <w:szCs w:val="24"/>
              </w:rPr>
              <w:t>提名</w:t>
            </w:r>
            <w:r>
              <w:rPr>
                <w:rFonts w:ascii="MS UI Gothic" w:hAnsi="MS UI Gothic" w:cs="MS UI Gothic" w:eastAsia="MS UI Gothic" w:hint="default"/>
                <w:spacing w:val="1"/>
                <w:sz w:val="24"/>
                <w:szCs w:val="24"/>
              </w:rPr>
              <w:t>▪</w:t>
            </w:r>
            <w:r>
              <w:rPr>
                <w:rFonts w:ascii="宋体" w:hAnsi="宋体" w:cs="宋体" w:eastAsia="宋体" w:hint="default"/>
                <w:spacing w:val="1"/>
                <w:sz w:val="24"/>
                <w:szCs w:val="24"/>
              </w:rPr>
              <w:t>薪酬与考核委员会主任委</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z w:val="24"/>
                <w:szCs w:val="24"/>
              </w:rPr>
              <w:t>经第四届董事会第九次会议审议改选独立董事</w:t>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高美萍为提名</w:t>
            </w:r>
            <w:r>
              <w:rPr>
                <w:rFonts w:ascii="MS UI Gothic" w:hAnsi="MS UI Gothic" w:cs="MS UI Gothic" w:eastAsia="MS UI Gothic" w:hint="default"/>
                <w:sz w:val="24"/>
                <w:szCs w:val="24"/>
              </w:rPr>
              <w:t>▪</w:t>
            </w:r>
            <w:r>
              <w:rPr>
                <w:rFonts w:ascii="宋体" w:hAnsi="宋体" w:cs="宋体" w:eastAsia="宋体" w:hint="default"/>
                <w:sz w:val="24"/>
                <w:szCs w:val="24"/>
              </w:rPr>
              <w:t>薪酬与考核委员会主任委员（召</w:t>
            </w:r>
          </w:p>
        </w:tc>
      </w:tr>
    </w:tbl>
    <w:p>
      <w:pPr>
        <w:spacing w:after="0" w:line="313" w:lineRule="exact"/>
        <w:jc w:val="left"/>
        <w:rPr>
          <w:rFonts w:ascii="宋体" w:hAnsi="宋体" w:cs="宋体" w:eastAsia="宋体" w:hint="default"/>
          <w:sz w:val="24"/>
          <w:szCs w:val="24"/>
        </w:rPr>
        <w:sectPr>
          <w:pgSz w:w="11910" w:h="16840"/>
          <w:pgMar w:header="876" w:footer="1186" w:top="1100" w:bottom="1380" w:left="1300" w:right="1000"/>
        </w:sectPr>
      </w:pPr>
    </w:p>
    <w:p>
      <w:pPr>
        <w:spacing w:line="240" w:lineRule="auto" w:before="12"/>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20"/>
        <w:gridCol w:w="3461"/>
        <w:gridCol w:w="5199"/>
      </w:tblGrid>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 w:right="0"/>
              <w:jc w:val="left"/>
              <w:rPr>
                <w:rFonts w:ascii="宋体" w:hAnsi="宋体" w:cs="宋体" w:eastAsia="宋体" w:hint="default"/>
                <w:sz w:val="24"/>
                <w:szCs w:val="24"/>
              </w:rPr>
            </w:pPr>
            <w:r>
              <w:rPr>
                <w:rFonts w:ascii="宋体" w:hAnsi="宋体" w:cs="宋体" w:eastAsia="宋体" w:hint="default"/>
                <w:sz w:val="24"/>
                <w:szCs w:val="24"/>
              </w:rPr>
              <w:t>员（召集人）不是独立董事</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集人</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14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24"/>
                <w:szCs w:val="24"/>
              </w:rPr>
            </w:pPr>
            <w:r>
              <w:rPr>
                <w:rFonts w:ascii="宋体"/>
                <w:sz w:val="24"/>
              </w:rPr>
              <w:t>2</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95" w:right="80"/>
              <w:jc w:val="left"/>
              <w:rPr>
                <w:rFonts w:ascii="宋体" w:hAnsi="宋体" w:cs="宋体" w:eastAsia="宋体" w:hint="default"/>
                <w:sz w:val="24"/>
                <w:szCs w:val="24"/>
              </w:rPr>
            </w:pPr>
            <w:r>
              <w:rPr>
                <w:rFonts w:ascii="宋体" w:hAnsi="宋体" w:cs="宋体" w:eastAsia="宋体" w:hint="default"/>
                <w:spacing w:val="11"/>
                <w:sz w:val="24"/>
                <w:szCs w:val="24"/>
              </w:rPr>
              <w:t>尚未与具有从事代办股份转让</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11"/>
                <w:sz w:val="24"/>
                <w:szCs w:val="24"/>
              </w:rPr>
              <w:t>主办券商业务资格的证券公司</w:t>
            </w:r>
            <w:r>
              <w:rPr>
                <w:rFonts w:ascii="宋体" w:hAnsi="宋体" w:cs="宋体" w:eastAsia="宋体" w:hint="default"/>
                <w:sz w:val="24"/>
                <w:szCs w:val="24"/>
              </w:rPr>
            </w:r>
          </w:p>
          <w:p>
            <w:pPr>
              <w:pStyle w:val="TableParagraph"/>
              <w:spacing w:line="240" w:lineRule="auto" w:before="36"/>
              <w:ind w:left="95" w:right="-5"/>
              <w:jc w:val="left"/>
              <w:rPr>
                <w:rFonts w:ascii="宋体" w:hAnsi="宋体" w:cs="宋体" w:eastAsia="宋体" w:hint="default"/>
                <w:sz w:val="24"/>
                <w:szCs w:val="24"/>
              </w:rPr>
            </w:pPr>
            <w:r>
              <w:rPr>
                <w:rFonts w:ascii="宋体" w:hAnsi="宋体" w:cs="宋体" w:eastAsia="宋体" w:hint="default"/>
                <w:sz w:val="24"/>
                <w:szCs w:val="24"/>
              </w:rPr>
              <w:t>签订《委托代办股份转让协议》</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z w:val="24"/>
                <w:szCs w:val="24"/>
              </w:rPr>
              <w:t>已与具有从事代办股份转让主办券商业务资格</w:t>
            </w:r>
          </w:p>
          <w:p>
            <w:pPr>
              <w:pStyle w:val="TableParagraph"/>
              <w:spacing w:line="312" w:lineRule="exact" w:before="29"/>
              <w:ind w:left="93" w:right="96"/>
              <w:jc w:val="left"/>
              <w:rPr>
                <w:rFonts w:ascii="宋体" w:hAnsi="宋体" w:cs="宋体" w:eastAsia="宋体" w:hint="default"/>
                <w:sz w:val="24"/>
                <w:szCs w:val="24"/>
              </w:rPr>
            </w:pPr>
            <w:r>
              <w:rPr>
                <w:rFonts w:ascii="宋体" w:hAnsi="宋体" w:cs="宋体" w:eastAsia="宋体" w:hint="default"/>
                <w:spacing w:val="-2"/>
                <w:sz w:val="24"/>
                <w:szCs w:val="24"/>
              </w:rPr>
              <w:t>的国信证券股份有限公司签订了《委托代办股份</w:t>
            </w:r>
            <w:r>
              <w:rPr>
                <w:rFonts w:ascii="宋体" w:hAnsi="宋体" w:cs="宋体" w:eastAsia="宋体" w:hint="default"/>
                <w:sz w:val="24"/>
                <w:szCs w:val="24"/>
              </w:rPr>
              <w:t> </w:t>
            </w:r>
            <w:r>
              <w:rPr>
                <w:rFonts w:ascii="宋体" w:hAnsi="宋体" w:cs="宋体" w:eastAsia="宋体" w:hint="default"/>
                <w:spacing w:val="-20"/>
                <w:sz w:val="24"/>
                <w:szCs w:val="24"/>
              </w:rPr>
              <w:t>转让协议》。</w:t>
            </w:r>
          </w:p>
        </w:tc>
      </w:tr>
      <w:tr>
        <w:trPr>
          <w:trHeight w:val="14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24"/>
                <w:szCs w:val="24"/>
              </w:rPr>
            </w:pPr>
            <w:r>
              <w:rPr>
                <w:rFonts w:ascii="宋体"/>
                <w:sz w:val="24"/>
              </w:rPr>
              <w:t>3</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95" w:right="80"/>
              <w:jc w:val="both"/>
              <w:rPr>
                <w:rFonts w:ascii="宋体" w:hAnsi="宋体" w:cs="宋体" w:eastAsia="宋体" w:hint="default"/>
                <w:sz w:val="24"/>
                <w:szCs w:val="24"/>
              </w:rPr>
            </w:pPr>
            <w:r>
              <w:rPr>
                <w:rFonts w:ascii="宋体" w:hAnsi="宋体" w:cs="宋体" w:eastAsia="宋体" w:hint="default"/>
                <w:spacing w:val="11"/>
                <w:sz w:val="24"/>
                <w:szCs w:val="24"/>
              </w:rPr>
              <w:t>没有在相关制度中明确规定与</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11"/>
                <w:sz w:val="24"/>
                <w:szCs w:val="24"/>
              </w:rPr>
              <w:t>特定对象直接沟通前应要求特</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定对象签署承诺书</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z w:val="24"/>
                <w:szCs w:val="24"/>
              </w:rPr>
              <w:t>已经第四届董事会第九次会议审议通过修改了</w:t>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公司《投资者管理制度</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141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3" w:right="0"/>
              <w:jc w:val="left"/>
              <w:rPr>
                <w:rFonts w:ascii="宋体" w:hAnsi="宋体" w:cs="宋体" w:eastAsia="宋体" w:hint="default"/>
                <w:sz w:val="24"/>
                <w:szCs w:val="24"/>
              </w:rPr>
            </w:pPr>
            <w:r>
              <w:rPr>
                <w:rFonts w:ascii="宋体"/>
                <w:sz w:val="24"/>
              </w:rPr>
              <w:t>4</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1"/>
              <w:ind w:left="95" w:right="92"/>
              <w:jc w:val="both"/>
              <w:rPr>
                <w:rFonts w:ascii="宋体" w:hAnsi="宋体" w:cs="宋体" w:eastAsia="宋体" w:hint="default"/>
                <w:sz w:val="24"/>
                <w:szCs w:val="24"/>
              </w:rPr>
            </w:pPr>
            <w:r>
              <w:rPr>
                <w:rFonts w:ascii="宋体" w:hAnsi="宋体" w:cs="宋体" w:eastAsia="宋体" w:hint="default"/>
                <w:spacing w:val="10"/>
                <w:sz w:val="24"/>
                <w:szCs w:val="24"/>
              </w:rPr>
              <w:t>公司章程中没有明确划分公司</w:t>
            </w:r>
            <w:r>
              <w:rPr>
                <w:rFonts w:ascii="宋体" w:hAnsi="宋体" w:cs="宋体" w:eastAsia="宋体" w:hint="default"/>
                <w:sz w:val="24"/>
                <w:szCs w:val="24"/>
              </w:rPr>
              <w:t> </w:t>
            </w:r>
            <w:r>
              <w:rPr>
                <w:rFonts w:ascii="宋体" w:hAnsi="宋体" w:cs="宋体" w:eastAsia="宋体" w:hint="default"/>
                <w:spacing w:val="-8"/>
                <w:sz w:val="24"/>
                <w:szCs w:val="24"/>
              </w:rPr>
              <w:t>股东大会、董事会对关联交易事</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项的审批权限的内容</w:t>
            </w:r>
          </w:p>
        </w:tc>
        <w:tc>
          <w:tcPr>
            <w:tcW w:w="51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经第四届董事会第十一次会议审议通过了《关于</w:t>
            </w:r>
          </w:p>
          <w:p>
            <w:pPr>
              <w:pStyle w:val="TableParagraph"/>
              <w:spacing w:line="312" w:lineRule="exact" w:before="29"/>
              <w:ind w:left="93" w:right="95"/>
              <w:jc w:val="left"/>
              <w:rPr>
                <w:rFonts w:ascii="宋体" w:hAnsi="宋体" w:cs="宋体" w:eastAsia="宋体" w:hint="default"/>
                <w:sz w:val="24"/>
                <w:szCs w:val="24"/>
              </w:rPr>
            </w:pPr>
            <w:r>
              <w:rPr>
                <w:rFonts w:ascii="宋体" w:hAnsi="宋体" w:cs="宋体" w:eastAsia="宋体" w:hint="default"/>
                <w:spacing w:val="-11"/>
                <w:sz w:val="24"/>
                <w:szCs w:val="24"/>
              </w:rPr>
              <w:t>修改公司</w:t>
            </w:r>
            <w:r>
              <w:rPr>
                <w:rFonts w:ascii="宋体" w:hAnsi="宋体" w:cs="宋体" w:eastAsia="宋体" w:hint="default"/>
                <w:spacing w:val="-11"/>
                <w:sz w:val="24"/>
                <w:szCs w:val="24"/>
              </w:rPr>
              <w:t>&lt;</w:t>
            </w:r>
            <w:r>
              <w:rPr>
                <w:rFonts w:ascii="宋体" w:hAnsi="宋体" w:cs="宋体" w:eastAsia="宋体" w:hint="default"/>
                <w:spacing w:val="-11"/>
                <w:sz w:val="24"/>
                <w:szCs w:val="24"/>
              </w:rPr>
              <w:t>章程</w:t>
            </w:r>
            <w:r>
              <w:rPr>
                <w:rFonts w:ascii="宋体" w:hAnsi="宋体" w:cs="宋体" w:eastAsia="宋体" w:hint="default"/>
                <w:spacing w:val="-11"/>
                <w:sz w:val="24"/>
                <w:szCs w:val="24"/>
              </w:rPr>
              <w:t>&gt;</w:t>
            </w:r>
            <w:r>
              <w:rPr>
                <w:rFonts w:ascii="宋体" w:hAnsi="宋体" w:cs="宋体" w:eastAsia="宋体" w:hint="default"/>
                <w:spacing w:val="-11"/>
                <w:sz w:val="24"/>
                <w:szCs w:val="24"/>
              </w:rPr>
              <w:t>的议案》，并提交</w:t>
            </w:r>
            <w:r>
              <w:rPr>
                <w:rFonts w:ascii="宋体" w:hAnsi="宋体" w:cs="宋体" w:eastAsia="宋体" w:hint="default"/>
                <w:spacing w:val="-54"/>
                <w:sz w:val="24"/>
                <w:szCs w:val="24"/>
              </w:rPr>
              <w:t> </w:t>
            </w:r>
            <w:r>
              <w:rPr>
                <w:rFonts w:ascii="宋体" w:hAnsi="宋体" w:cs="宋体" w:eastAsia="宋体" w:hint="default"/>
                <w:sz w:val="24"/>
                <w:szCs w:val="24"/>
              </w:rPr>
              <w:t>2012</w:t>
            </w:r>
            <w:r>
              <w:rPr>
                <w:rFonts w:ascii="宋体" w:hAnsi="宋体" w:cs="宋体" w:eastAsia="宋体" w:hint="default"/>
                <w:spacing w:val="-54"/>
                <w:sz w:val="24"/>
                <w:szCs w:val="24"/>
              </w:rPr>
              <w:t> </w:t>
            </w:r>
            <w:r>
              <w:rPr>
                <w:rFonts w:ascii="宋体" w:hAnsi="宋体" w:cs="宋体" w:eastAsia="宋体" w:hint="default"/>
                <w:sz w:val="24"/>
                <w:szCs w:val="24"/>
              </w:rPr>
              <w:t>第一次临 时股东大会表决批准，修改了相关内容。</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728" w:right="397" w:hanging="545"/>
        <w:jc w:val="left"/>
        <w:rPr>
          <w:rFonts w:ascii="宋体" w:hAnsi="宋体" w:cs="宋体" w:eastAsia="宋体" w:hint="default"/>
          <w:sz w:val="24"/>
          <w:szCs w:val="24"/>
        </w:rPr>
      </w:pPr>
      <w:r>
        <w:rPr>
          <w:rFonts w:ascii="宋体" w:hAnsi="宋体" w:cs="宋体" w:eastAsia="宋体" w:hint="default"/>
          <w:b/>
          <w:bCs/>
          <w:sz w:val="24"/>
          <w:szCs w:val="24"/>
        </w:rPr>
        <w:t>七、公司内部审计制度的建立和执行情况</w:t>
      </w:r>
      <w:r>
        <w:rPr>
          <w:rFonts w:ascii="宋体" w:hAnsi="宋体" w:cs="宋体" w:eastAsia="宋体" w:hint="default"/>
          <w:b/>
          <w:bCs/>
          <w:w w:val="99"/>
          <w:sz w:val="24"/>
          <w:szCs w:val="24"/>
        </w:rPr>
        <w:t> </w:t>
      </w:r>
      <w:r>
        <w:rPr>
          <w:rFonts w:ascii="宋体" w:hAnsi="宋体" w:cs="宋体" w:eastAsia="宋体" w:hint="default"/>
          <w:sz w:val="24"/>
          <w:szCs w:val="24"/>
        </w:rPr>
        <w:t>公司根据深圳证券交易所《中小企业板块上市公司特别规定》要求，于</w:t>
      </w:r>
      <w:r>
        <w:rPr>
          <w:rFonts w:ascii="宋体" w:hAnsi="宋体" w:cs="宋体" w:eastAsia="宋体" w:hint="default"/>
          <w:spacing w:val="-53"/>
          <w:sz w:val="24"/>
          <w:szCs w:val="24"/>
        </w:rPr>
        <w:t> </w:t>
      </w:r>
      <w:r>
        <w:rPr>
          <w:rFonts w:ascii="宋体" w:hAnsi="宋体" w:cs="宋体" w:eastAsia="宋体" w:hint="default"/>
          <w:sz w:val="24"/>
          <w:szCs w:val="24"/>
        </w:rPr>
        <w:t>2008</w:t>
      </w:r>
      <w:r>
        <w:rPr>
          <w:rFonts w:ascii="宋体" w:hAnsi="宋体" w:cs="宋体" w:eastAsia="宋体" w:hint="default"/>
          <w:spacing w:val="-53"/>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宋体" w:hAnsi="宋体" w:cs="宋体" w:eastAsia="宋体" w:hint="default"/>
          <w:sz w:val="24"/>
          <w:szCs w:val="24"/>
        </w:rPr>
        <w:t>2</w:t>
      </w:r>
    </w:p>
    <w:p>
      <w:pPr>
        <w:pStyle w:val="BodyText"/>
        <w:spacing w:line="357" w:lineRule="auto"/>
        <w:ind w:right="413"/>
        <w:jc w:val="both"/>
      </w:pPr>
      <w:r>
        <w:rPr/>
        <w:t>月</w:t>
      </w:r>
      <w:r>
        <w:rPr>
          <w:spacing w:val="-59"/>
        </w:rPr>
        <w:t> </w:t>
      </w:r>
      <w:r>
        <w:rPr>
          <w:rFonts w:ascii="宋体" w:hAnsi="宋体" w:cs="宋体" w:eastAsia="宋体" w:hint="default"/>
        </w:rPr>
        <w:t>29</w:t>
      </w:r>
      <w:r>
        <w:rPr>
          <w:rFonts w:ascii="宋体" w:hAnsi="宋体" w:cs="宋体" w:eastAsia="宋体" w:hint="default"/>
          <w:spacing w:val="-60"/>
        </w:rPr>
        <w:t> </w:t>
      </w:r>
      <w:r>
        <w:rPr>
          <w:spacing w:val="-6"/>
        </w:rPr>
        <w:t>日召开第三届董事会第七次会议审议通过了《内部审计制度》，设立内部审计部向</w:t>
      </w:r>
      <w:r>
        <w:rPr/>
        <w:t> </w:t>
      </w:r>
      <w:r>
        <w:rPr>
          <w:spacing w:val="-3"/>
        </w:rPr>
        <w:t>董事会负责并报告工作。董事会下设审计委员会，代表董事会执行审计监督职能。报告</w:t>
      </w:r>
      <w:r>
        <w:rPr>
          <w:spacing w:val="-102"/>
        </w:rPr>
        <w:t> </w:t>
      </w:r>
      <w:r>
        <w:rPr>
          <w:spacing w:val="-102"/>
        </w:rPr>
      </w:r>
      <w:r>
        <w:rPr/>
        <w:t>期内，内部审计部相关工作如下：</w:t>
      </w:r>
    </w:p>
    <w:tbl>
      <w:tblPr>
        <w:tblW w:w="0" w:type="auto"/>
        <w:jc w:val="left"/>
        <w:tblInd w:w="190" w:type="dxa"/>
        <w:tblLayout w:type="fixed"/>
        <w:tblCellMar>
          <w:top w:w="0" w:type="dxa"/>
          <w:left w:w="0" w:type="dxa"/>
          <w:bottom w:w="0" w:type="dxa"/>
          <w:right w:w="0" w:type="dxa"/>
        </w:tblCellMar>
        <w:tblLook w:val="01E0"/>
      </w:tblPr>
      <w:tblGrid>
        <w:gridCol w:w="5906"/>
        <w:gridCol w:w="1312"/>
        <w:gridCol w:w="2096"/>
      </w:tblGrid>
      <w:tr>
        <w:trPr>
          <w:trHeight w:val="161" w:hRule="exact"/>
        </w:trPr>
        <w:tc>
          <w:tcPr>
            <w:tcW w:w="5906" w:type="dxa"/>
            <w:vMerge w:val="restart"/>
            <w:tcBorders>
              <w:top w:val="single" w:sz="4" w:space="0" w:color="000000"/>
              <w:left w:val="single" w:sz="4" w:space="0" w:color="000000"/>
              <w:right w:val="single" w:sz="4" w:space="0" w:color="000000"/>
            </w:tcBorders>
            <w:shd w:val="clear" w:color="auto" w:fill="DCDCDC"/>
          </w:tcPr>
          <w:p>
            <w:pPr/>
          </w:p>
        </w:tc>
        <w:tc>
          <w:tcPr>
            <w:tcW w:w="131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96"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3" w:right="0" w:firstLine="21"/>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说明（如选择否</w:t>
            </w:r>
          </w:p>
          <w:p>
            <w:pPr>
              <w:pStyle w:val="TableParagraph"/>
              <w:spacing w:line="273" w:lineRule="auto" w:before="37"/>
              <w:ind w:left="727" w:right="17" w:hanging="704"/>
              <w:jc w:val="left"/>
              <w:rPr>
                <w:rFonts w:ascii="宋体" w:hAnsi="宋体" w:cs="宋体" w:eastAsia="宋体" w:hint="default"/>
                <w:sz w:val="21"/>
                <w:szCs w:val="21"/>
              </w:rPr>
            </w:pPr>
            <w:r>
              <w:rPr>
                <w:rFonts w:ascii="宋体" w:hAnsi="宋体" w:cs="宋体" w:eastAsia="宋体" w:hint="default"/>
                <w:spacing w:val="-8"/>
                <w:sz w:val="21"/>
                <w:szCs w:val="21"/>
              </w:rPr>
              <w:t>或不适用，请说明具体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原因）</w:t>
            </w:r>
          </w:p>
        </w:tc>
      </w:tr>
      <w:tr>
        <w:trPr>
          <w:trHeight w:val="156" w:hRule="exact"/>
        </w:trPr>
        <w:tc>
          <w:tcPr>
            <w:tcW w:w="5906" w:type="dxa"/>
            <w:vMerge/>
            <w:tcBorders>
              <w:left w:val="single" w:sz="4" w:space="0" w:color="000000"/>
              <w:bottom w:val="nil" w:sz="6" w:space="0" w:color="auto"/>
              <w:right w:val="single" w:sz="4" w:space="0" w:color="000000"/>
            </w:tcBorders>
            <w:shd w:val="clear" w:color="auto" w:fill="DCDCDC"/>
          </w:tcPr>
          <w:p>
            <w:pPr/>
          </w:p>
        </w:tc>
        <w:tc>
          <w:tcPr>
            <w:tcW w:w="1312"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w:t>
            </w:r>
            <w:r>
              <w:rPr>
                <w:rFonts w:ascii="宋体" w:hAnsi="宋体" w:cs="宋体" w:eastAsia="宋体" w:hint="default"/>
                <w:sz w:val="21"/>
                <w:szCs w:val="21"/>
              </w:rPr>
              <w:t>/</w:t>
            </w:r>
            <w:r>
              <w:rPr>
                <w:rFonts w:ascii="宋体" w:hAnsi="宋体" w:cs="宋体" w:eastAsia="宋体" w:hint="default"/>
                <w:sz w:val="21"/>
                <w:szCs w:val="21"/>
              </w:rPr>
              <w:t>不适</w:t>
            </w:r>
          </w:p>
          <w:p>
            <w:pPr>
              <w:pStyle w:val="TableParagraph"/>
              <w:spacing w:line="240" w:lineRule="auto" w:before="37"/>
              <w:ind w:left="10" w:right="0"/>
              <w:jc w:val="center"/>
              <w:rPr>
                <w:rFonts w:ascii="宋体" w:hAnsi="宋体" w:cs="宋体" w:eastAsia="宋体" w:hint="default"/>
                <w:sz w:val="21"/>
                <w:szCs w:val="21"/>
              </w:rPr>
            </w:pPr>
            <w:r>
              <w:rPr>
                <w:rFonts w:ascii="宋体" w:hAnsi="宋体" w:cs="宋体" w:eastAsia="宋体" w:hint="default"/>
                <w:w w:val="100"/>
                <w:sz w:val="21"/>
                <w:szCs w:val="21"/>
              </w:rPr>
              <w:t>用</w:t>
            </w:r>
          </w:p>
        </w:tc>
        <w:tc>
          <w:tcPr>
            <w:tcW w:w="2096" w:type="dxa"/>
            <w:vMerge/>
            <w:tcBorders>
              <w:left w:val="single" w:sz="4" w:space="0" w:color="000000"/>
              <w:right w:val="single" w:sz="4" w:space="0" w:color="000000"/>
            </w:tcBorders>
            <w:shd w:val="clear" w:color="auto" w:fill="DCDCDC"/>
          </w:tcPr>
          <w:p>
            <w:pPr/>
          </w:p>
        </w:tc>
      </w:tr>
      <w:tr>
        <w:trPr>
          <w:trHeight w:val="312" w:hRule="exact"/>
        </w:trPr>
        <w:tc>
          <w:tcPr>
            <w:tcW w:w="5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2" w:type="dxa"/>
            <w:vMerge/>
            <w:tcBorders>
              <w:left w:val="single" w:sz="4" w:space="0" w:color="000000"/>
              <w:right w:val="single" w:sz="4" w:space="0" w:color="000000"/>
            </w:tcBorders>
            <w:shd w:val="clear" w:color="auto" w:fill="DCDCDC"/>
          </w:tcPr>
          <w:p>
            <w:pPr/>
          </w:p>
        </w:tc>
        <w:tc>
          <w:tcPr>
            <w:tcW w:w="2096" w:type="dxa"/>
            <w:vMerge/>
            <w:tcBorders>
              <w:left w:val="single" w:sz="4" w:space="0" w:color="000000"/>
              <w:right w:val="single" w:sz="4" w:space="0" w:color="000000"/>
            </w:tcBorders>
            <w:shd w:val="clear" w:color="auto" w:fill="DCDCDC"/>
          </w:tcPr>
          <w:p>
            <w:pPr/>
          </w:p>
        </w:tc>
      </w:tr>
      <w:tr>
        <w:trPr>
          <w:trHeight w:val="156" w:hRule="exact"/>
        </w:trPr>
        <w:tc>
          <w:tcPr>
            <w:tcW w:w="5906" w:type="dxa"/>
            <w:vMerge w:val="restart"/>
            <w:tcBorders>
              <w:top w:val="nil" w:sz="6" w:space="0" w:color="auto"/>
              <w:left w:val="single" w:sz="4" w:space="0" w:color="000000"/>
              <w:right w:val="single" w:sz="4" w:space="0" w:color="000000"/>
            </w:tcBorders>
            <w:shd w:val="clear" w:color="auto" w:fill="DCDCDC"/>
          </w:tcPr>
          <w:p>
            <w:pPr/>
          </w:p>
        </w:tc>
        <w:tc>
          <w:tcPr>
            <w:tcW w:w="1312" w:type="dxa"/>
            <w:vMerge/>
            <w:tcBorders>
              <w:left w:val="single" w:sz="4" w:space="0" w:color="000000"/>
              <w:bottom w:val="nil" w:sz="6" w:space="0" w:color="auto"/>
              <w:right w:val="single" w:sz="4" w:space="0" w:color="000000"/>
            </w:tcBorders>
            <w:shd w:val="clear" w:color="auto" w:fill="DCDCDC"/>
          </w:tcPr>
          <w:p>
            <w:pPr/>
          </w:p>
        </w:tc>
        <w:tc>
          <w:tcPr>
            <w:tcW w:w="2096" w:type="dxa"/>
            <w:vMerge/>
            <w:tcBorders>
              <w:left w:val="single" w:sz="4" w:space="0" w:color="000000"/>
              <w:right w:val="single" w:sz="4" w:space="0" w:color="000000"/>
            </w:tcBorders>
            <w:shd w:val="clear" w:color="auto" w:fill="DCDCDC"/>
          </w:tcPr>
          <w:p>
            <w:pPr/>
          </w:p>
        </w:tc>
      </w:tr>
      <w:tr>
        <w:trPr>
          <w:trHeight w:val="161" w:hRule="exact"/>
        </w:trPr>
        <w:tc>
          <w:tcPr>
            <w:tcW w:w="5906" w:type="dxa"/>
            <w:vMerge/>
            <w:tcBorders>
              <w:left w:val="single" w:sz="4" w:space="0" w:color="000000"/>
              <w:bottom w:val="single" w:sz="4" w:space="0" w:color="000000"/>
              <w:right w:val="single" w:sz="4" w:space="0" w:color="000000"/>
            </w:tcBorders>
            <w:shd w:val="clear" w:color="auto" w:fill="DCDCDC"/>
          </w:tcPr>
          <w:p>
            <w:pPr/>
          </w:p>
        </w:tc>
        <w:tc>
          <w:tcPr>
            <w:tcW w:w="131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96"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9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．公司是否建立内部审计制度，内部审计制度是否经公司董事</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会审议通过</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．公司董事会是否设立审计委员会，公司是否设立独立于财务</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部门的内部审计部门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成</w:t>
            </w:r>
            <w:r>
              <w:rPr>
                <w:rFonts w:ascii="宋体" w:hAnsi="宋体" w:cs="宋体" w:eastAsia="宋体" w:hint="default"/>
                <w:spacing w:val="-3"/>
                <w:w w:val="100"/>
                <w:sz w:val="21"/>
                <w:szCs w:val="21"/>
              </w:rPr>
              <w:t>员是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w:t>
            </w:r>
            <w:r>
              <w:rPr>
                <w:rFonts w:ascii="宋体" w:hAnsi="宋体" w:cs="宋体" w:eastAsia="宋体" w:hint="default"/>
                <w:w w:val="100"/>
                <w:sz w:val="21"/>
                <w:szCs w:val="21"/>
              </w:rPr>
              <w:t>成</w:t>
            </w:r>
            <w:r>
              <w:rPr>
                <w:rFonts w:ascii="宋体" w:hAnsi="宋体" w:cs="宋体" w:eastAsia="宋体" w:hint="default"/>
                <w:spacing w:val="-3"/>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半数</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以上并担任召集人，且至少有一名独立董事为会计专业人士</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）内部审计部门是否配置三名以上（含三名）专职人员从事</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内部审计工作</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9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．公司是否根据相关规定出具年度内部控制自我评价报告</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．内部控制自我评价报告结论是否为内部控制有效（如为内部</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控制无效，请说明内部控制存在的重大缺陷）</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．本年度是否聘请会计师事务所对内部控制有效性出具鉴证报</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．会计师事务所对公司内部控制有效性是否出具无保留结论鉴</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pacing w:val="-2"/>
                <w:sz w:val="21"/>
                <w:szCs w:val="21"/>
              </w:rPr>
              <w:t>证报告。如出具非标准审计报告或指出公司非财务报告内部控制</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6" w:footer="1186" w:top="1100" w:bottom="1380" w:left="13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36"/>
        <w:ind w:left="0" w:right="113" w:firstLine="0"/>
        <w:jc w:val="right"/>
        <w:rPr>
          <w:rFonts w:ascii="宋体" w:hAnsi="宋体" w:cs="宋体" w:eastAsia="宋体" w:hint="default"/>
          <w:sz w:val="21"/>
          <w:szCs w:val="21"/>
        </w:rPr>
      </w:pPr>
      <w:r>
        <w:rPr/>
        <w:pict>
          <v:shape style="position:absolute;margin-left:73.944pt;margin-top:-140.516296pt;width:467pt;height:455.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8"/>
                    <w:gridCol w:w="1312"/>
                    <w:gridCol w:w="2096"/>
                  </w:tblGrid>
                  <w:tr>
                    <w:trPr>
                      <w:trHeight w:val="634" w:hRule="exact"/>
                    </w:trPr>
                    <w:tc>
                      <w:tcPr>
                        <w:tcW w:w="59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6"/>
                          <w:jc w:val="left"/>
                          <w:rPr>
                            <w:rFonts w:ascii="宋体" w:hAnsi="宋体" w:cs="宋体" w:eastAsia="宋体" w:hint="default"/>
                            <w:sz w:val="21"/>
                            <w:szCs w:val="21"/>
                          </w:rPr>
                        </w:pPr>
                        <w:r>
                          <w:rPr>
                            <w:rFonts w:ascii="宋体" w:hAnsi="宋体" w:cs="宋体" w:eastAsia="宋体" w:hint="default"/>
                            <w:spacing w:val="-2"/>
                            <w:sz w:val="21"/>
                            <w:szCs w:val="21"/>
                          </w:rPr>
                          <w:t>存在重大缺陷的，公司董事会、监事会是否针对所涉及事项做出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专项说明</w:t>
                        </w:r>
                      </w:p>
                    </w:tc>
                    <w:tc>
                      <w:tcPr>
                        <w:tcW w:w="1312" w:type="dxa"/>
                        <w:tcBorders>
                          <w:top w:val="single" w:sz="4" w:space="0" w:color="000000"/>
                          <w:left w:val="single" w:sz="12" w:space="0" w:color="DCDCDC"/>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02"/>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请说明）</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3" w:right="102"/>
                          <w:jc w:val="lef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．保荐机构和保荐代表人是否出具明确同意的核查意见（如适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用）</w:t>
                        </w:r>
                      </w:p>
                    </w:tc>
                    <w:tc>
                      <w:tcPr>
                        <w:tcW w:w="1312"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32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6563" w:hRule="exact"/>
                    </w:trPr>
                    <w:tc>
                      <w:tcPr>
                        <w:tcW w:w="93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
                          <w:jc w:val="both"/>
                          <w:rPr>
                            <w:rFonts w:ascii="宋体" w:hAnsi="宋体" w:cs="宋体" w:eastAsia="宋体" w:hint="default"/>
                            <w:sz w:val="21"/>
                            <w:szCs w:val="21"/>
                          </w:rPr>
                        </w:pPr>
                        <w:r>
                          <w:rPr>
                            <w:rFonts w:ascii="宋体" w:hAnsi="宋体" w:cs="宋体" w:eastAsia="宋体" w:hint="default"/>
                            <w:spacing w:val="-5"/>
                            <w:sz w:val="21"/>
                            <w:szCs w:val="21"/>
                          </w:rPr>
                          <w:t>（一）</w:t>
                        </w:r>
                        <w:r>
                          <w:rPr>
                            <w:rFonts w:ascii="宋体" w:hAnsi="宋体" w:cs="宋体" w:eastAsia="宋体" w:hint="default"/>
                            <w:spacing w:val="-5"/>
                            <w:sz w:val="21"/>
                            <w:szCs w:val="21"/>
                          </w:rPr>
                          <w:t>2011</w:t>
                        </w:r>
                        <w:r>
                          <w:rPr>
                            <w:rFonts w:ascii="宋体" w:hAnsi="宋体" w:cs="宋体" w:eastAsia="宋体" w:hint="default"/>
                            <w:spacing w:val="-34"/>
                            <w:sz w:val="21"/>
                            <w:szCs w:val="21"/>
                          </w:rPr>
                          <w:t> </w:t>
                        </w:r>
                        <w:r>
                          <w:rPr>
                            <w:rFonts w:ascii="宋体" w:hAnsi="宋体" w:cs="宋体" w:eastAsia="宋体" w:hint="default"/>
                            <w:spacing w:val="-3"/>
                            <w:sz w:val="21"/>
                            <w:szCs w:val="21"/>
                          </w:rPr>
                          <w:t>年度内公司第四届审计委员会共召开八次会议，主要审议通过了《</w:t>
                        </w:r>
                        <w:r>
                          <w:rPr>
                            <w:rFonts w:ascii="宋体" w:hAnsi="宋体" w:cs="宋体" w:eastAsia="宋体" w:hint="default"/>
                            <w:spacing w:val="-3"/>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年度总经理工作报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8"/>
                            <w:w w:val="100"/>
                            <w:sz w:val="21"/>
                            <w:szCs w:val="21"/>
                          </w:rPr>
                          <w:t>告》、《</w:t>
                        </w:r>
                        <w:r>
                          <w:rPr>
                            <w:rFonts w:ascii="宋体" w:hAnsi="宋体" w:cs="宋体" w:eastAsia="宋体" w:hint="default"/>
                            <w:spacing w:val="-28"/>
                            <w:w w:val="100"/>
                            <w:sz w:val="21"/>
                            <w:szCs w:val="21"/>
                          </w:rPr>
                          <w:t>2010</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年度财务决算报告》、《</w:t>
                        </w:r>
                        <w:r>
                          <w:rPr>
                            <w:rFonts w:ascii="宋体" w:hAnsi="宋体" w:cs="宋体" w:eastAsia="宋体" w:hint="default"/>
                            <w:spacing w:val="-16"/>
                            <w:w w:val="100"/>
                            <w:sz w:val="21"/>
                            <w:szCs w:val="21"/>
                          </w:rPr>
                          <w:t>2010</w:t>
                        </w:r>
                        <w:r>
                          <w:rPr>
                            <w:rFonts w:ascii="宋体" w:hAnsi="宋体" w:cs="宋体" w:eastAsia="宋体" w:hint="default"/>
                            <w:spacing w:val="-48"/>
                            <w:w w:val="100"/>
                            <w:sz w:val="21"/>
                            <w:szCs w:val="21"/>
                          </w:rPr>
                          <w:t> </w:t>
                        </w:r>
                        <w:r>
                          <w:rPr>
                            <w:rFonts w:ascii="宋体" w:hAnsi="宋体" w:cs="宋体" w:eastAsia="宋体" w:hint="default"/>
                            <w:spacing w:val="-15"/>
                            <w:w w:val="100"/>
                            <w:sz w:val="21"/>
                            <w:szCs w:val="21"/>
                          </w:rPr>
                          <w:t>年度董事会工作报告》、《</w:t>
                        </w:r>
                        <w:r>
                          <w:rPr>
                            <w:rFonts w:ascii="宋体" w:hAnsi="宋体" w:cs="宋体" w:eastAsia="宋体" w:hint="default"/>
                            <w:spacing w:val="-15"/>
                            <w:w w:val="100"/>
                            <w:sz w:val="21"/>
                            <w:szCs w:val="21"/>
                          </w:rPr>
                          <w:t>2010</w:t>
                        </w:r>
                        <w:r>
                          <w:rPr>
                            <w:rFonts w:ascii="宋体" w:hAnsi="宋体" w:cs="宋体" w:eastAsia="宋体" w:hint="default"/>
                            <w:spacing w:val="-48"/>
                            <w:w w:val="100"/>
                            <w:sz w:val="21"/>
                            <w:szCs w:val="21"/>
                          </w:rPr>
                          <w:t> </w:t>
                        </w:r>
                        <w:r>
                          <w:rPr>
                            <w:rFonts w:ascii="宋体" w:hAnsi="宋体" w:cs="宋体" w:eastAsia="宋体" w:hint="default"/>
                            <w:spacing w:val="-17"/>
                            <w:w w:val="100"/>
                            <w:sz w:val="21"/>
                            <w:szCs w:val="21"/>
                          </w:rPr>
                          <w:t>年度报告及摘要》、《</w:t>
                        </w:r>
                        <w:r>
                          <w:rPr>
                            <w:rFonts w:ascii="宋体" w:hAnsi="宋体" w:cs="宋体" w:eastAsia="宋体" w:hint="default"/>
                            <w:spacing w:val="-17"/>
                            <w:w w:val="100"/>
                            <w:sz w:val="21"/>
                            <w:szCs w:val="21"/>
                          </w:rPr>
                          <w:t>2010</w:t>
                        </w:r>
                        <w:r>
                          <w:rPr>
                            <w:rFonts w:ascii="宋体" w:hAnsi="宋体" w:cs="宋体" w:eastAsia="宋体" w:hint="default"/>
                            <w:spacing w:val="-48"/>
                            <w:w w:val="100"/>
                            <w:sz w:val="21"/>
                            <w:szCs w:val="21"/>
                          </w:rPr>
                          <w:t> </w:t>
                        </w:r>
                        <w:r>
                          <w:rPr>
                            <w:rFonts w:ascii="宋体" w:hAnsi="宋体" w:cs="宋体" w:eastAsia="宋体" w:hint="default"/>
                            <w:w w:val="100"/>
                            <w:sz w:val="21"/>
                            <w:szCs w:val="21"/>
                          </w:rPr>
                          <w:t>年度</w:t>
                        </w:r>
                        <w:r>
                          <w:rPr>
                            <w:rFonts w:ascii="宋体" w:hAnsi="宋体" w:cs="宋体" w:eastAsia="宋体" w:hint="default"/>
                            <w:spacing w:val="-97"/>
                            <w:w w:val="100"/>
                            <w:sz w:val="21"/>
                            <w:szCs w:val="21"/>
                          </w:rPr>
                          <w:t> </w:t>
                        </w:r>
                        <w:r>
                          <w:rPr>
                            <w:rFonts w:ascii="宋体" w:hAnsi="宋体" w:cs="宋体" w:eastAsia="宋体" w:hint="default"/>
                            <w:spacing w:val="-11"/>
                            <w:w w:val="100"/>
                            <w:sz w:val="21"/>
                            <w:szCs w:val="21"/>
                          </w:rPr>
                          <w:t>利润分配及资本公积转增股本的预案》、《</w:t>
                        </w:r>
                        <w:r>
                          <w:rPr>
                            <w:rFonts w:ascii="宋体" w:hAnsi="宋体" w:cs="宋体" w:eastAsia="宋体" w:hint="default"/>
                            <w:spacing w:val="-11"/>
                            <w:w w:val="100"/>
                            <w:sz w:val="21"/>
                            <w:szCs w:val="21"/>
                          </w:rPr>
                          <w:t>2011</w:t>
                        </w:r>
                        <w:r>
                          <w:rPr>
                            <w:rFonts w:ascii="宋体" w:hAnsi="宋体" w:cs="宋体" w:eastAsia="宋体" w:hint="default"/>
                            <w:spacing w:val="-42"/>
                            <w:w w:val="100"/>
                            <w:sz w:val="21"/>
                            <w:szCs w:val="21"/>
                          </w:rPr>
                          <w:t> </w:t>
                        </w:r>
                        <w:r>
                          <w:rPr>
                            <w:rFonts w:ascii="宋体" w:hAnsi="宋体" w:cs="宋体" w:eastAsia="宋体" w:hint="default"/>
                            <w:spacing w:val="-15"/>
                            <w:w w:val="100"/>
                            <w:sz w:val="21"/>
                            <w:szCs w:val="21"/>
                          </w:rPr>
                          <w:t>年度日常关联交易》、《关于续聘会计师事务所的议案》</w:t>
                        </w:r>
                        <w:r>
                          <w:rPr>
                            <w:rFonts w:ascii="宋体" w:hAnsi="宋体" w:cs="宋体" w:eastAsia="宋体" w:hint="default"/>
                            <w:w w:val="100"/>
                            <w:sz w:val="21"/>
                            <w:szCs w:val="21"/>
                          </w:rPr>
                        </w:r>
                      </w:p>
                      <w:p>
                        <w:pPr>
                          <w:pStyle w:val="TableParagraph"/>
                          <w:spacing w:line="273" w:lineRule="auto" w:before="7"/>
                          <w:ind w:left="23" w:right="17"/>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存放</w:t>
                        </w:r>
                        <w:r>
                          <w:rPr>
                            <w:rFonts w:ascii="宋体" w:hAnsi="宋体" w:cs="宋体" w:eastAsia="宋体" w:hint="default"/>
                            <w:w w:val="100"/>
                            <w:sz w:val="21"/>
                            <w:szCs w:val="21"/>
                          </w:rPr>
                          <w:t>及使</w:t>
                        </w:r>
                        <w:r>
                          <w:rPr>
                            <w:rFonts w:ascii="宋体" w:hAnsi="宋体" w:cs="宋体" w:eastAsia="宋体" w:hint="default"/>
                            <w:spacing w:val="-3"/>
                            <w:w w:val="100"/>
                            <w:sz w:val="21"/>
                            <w:szCs w:val="21"/>
                          </w:rPr>
                          <w:t>用</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3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2010</w:t>
                        </w:r>
                        <w:r>
                          <w:rPr>
                            <w:rFonts w:ascii="宋体" w:hAnsi="宋体" w:cs="宋体" w:eastAsia="宋体" w:hint="default"/>
                            <w:spacing w:val="-55"/>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还</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spacing w:val="-27"/>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w w:val="100"/>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内</w:t>
                        </w:r>
                        <w:r>
                          <w:rPr>
                            <w:rFonts w:ascii="宋体" w:hAnsi="宋体" w:cs="宋体" w:eastAsia="宋体" w:hint="default"/>
                            <w:w w:val="100"/>
                            <w:sz w:val="21"/>
                            <w:szCs w:val="21"/>
                          </w:rPr>
                          <w:t>审</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总</w:t>
                        </w:r>
                        <w:r>
                          <w:rPr>
                            <w:rFonts w:ascii="宋体" w:hAnsi="宋体" w:cs="宋体" w:eastAsia="宋体" w:hint="default"/>
                            <w:w w:val="100"/>
                            <w:sz w:val="21"/>
                            <w:szCs w:val="21"/>
                          </w:rPr>
                          <w:t>体</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审</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计划</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第</w:t>
                        </w:r>
                        <w:r>
                          <w:rPr>
                            <w:rFonts w:ascii="宋体" w:hAnsi="宋体" w:cs="宋体" w:eastAsia="宋体" w:hint="default"/>
                            <w:spacing w:val="-3"/>
                            <w:w w:val="100"/>
                            <w:sz w:val="21"/>
                            <w:szCs w:val="21"/>
                          </w:rPr>
                          <w:t>四</w:t>
                        </w:r>
                        <w:r>
                          <w:rPr>
                            <w:rFonts w:ascii="宋体" w:hAnsi="宋体" w:cs="宋体" w:eastAsia="宋体" w:hint="default"/>
                            <w:w w:val="100"/>
                            <w:sz w:val="21"/>
                            <w:szCs w:val="21"/>
                          </w:rPr>
                          <w:t>季</w:t>
                        </w:r>
                        <w:r>
                          <w:rPr>
                            <w:rFonts w:ascii="宋体" w:hAnsi="宋体" w:cs="宋体" w:eastAsia="宋体" w:hint="default"/>
                            <w:spacing w:val="-3"/>
                            <w:w w:val="100"/>
                            <w:sz w:val="21"/>
                            <w:szCs w:val="21"/>
                          </w:rPr>
                          <w:t>度内</w:t>
                        </w:r>
                        <w:r>
                          <w:rPr>
                            <w:rFonts w:ascii="宋体" w:hAnsi="宋体" w:cs="宋体" w:eastAsia="宋体" w:hint="default"/>
                            <w:w w:val="100"/>
                            <w:sz w:val="21"/>
                            <w:szCs w:val="21"/>
                          </w:rPr>
                          <w:t>审部</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w w:val="100"/>
                            <w:sz w:val="21"/>
                            <w:szCs w:val="21"/>
                          </w:rPr>
                          <w:t> </w:t>
                        </w:r>
                        <w:r>
                          <w:rPr>
                            <w:rFonts w:ascii="宋体" w:hAnsi="宋体" w:cs="宋体" w:eastAsia="宋体" w:hint="default"/>
                            <w:w w:val="100"/>
                            <w:sz w:val="21"/>
                            <w:szCs w:val="21"/>
                          </w:rPr>
                          <w:t>年第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季</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审</w:t>
                        </w:r>
                        <w:r>
                          <w:rPr>
                            <w:rFonts w:ascii="宋体" w:hAnsi="宋体" w:cs="宋体" w:eastAsia="宋体" w:hint="default"/>
                            <w:w w:val="100"/>
                            <w:sz w:val="21"/>
                            <w:szCs w:val="21"/>
                          </w:rPr>
                          <w:t>部</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季</w:t>
                        </w:r>
                        <w:r>
                          <w:rPr>
                            <w:rFonts w:ascii="宋体" w:hAnsi="宋体" w:cs="宋体" w:eastAsia="宋体" w:hint="default"/>
                            <w:spacing w:val="-3"/>
                            <w:w w:val="100"/>
                            <w:sz w:val="21"/>
                            <w:szCs w:val="21"/>
                          </w:rPr>
                          <w:t>度内</w:t>
                        </w:r>
                        <w:r>
                          <w:rPr>
                            <w:rFonts w:ascii="宋体" w:hAnsi="宋体" w:cs="宋体" w:eastAsia="宋体" w:hint="default"/>
                            <w:w w:val="100"/>
                            <w:sz w:val="21"/>
                            <w:szCs w:val="21"/>
                          </w:rPr>
                          <w:t>审部</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11</w:t>
                        </w:r>
                        <w:r>
                          <w:rPr>
                            <w:rFonts w:ascii="宋体" w:hAnsi="宋体" w:cs="宋体" w:eastAsia="宋体" w:hint="default"/>
                            <w:spacing w:val="-55"/>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度半</w:t>
                        </w:r>
                        <w:r>
                          <w:rPr>
                            <w:rFonts w:ascii="宋体" w:hAnsi="宋体" w:cs="宋体" w:eastAsia="宋体" w:hint="default"/>
                            <w:spacing w:val="-3"/>
                            <w:w w:val="100"/>
                            <w:sz w:val="21"/>
                            <w:szCs w:val="21"/>
                          </w:rPr>
                          <w:t>年</w:t>
                        </w:r>
                        <w:r>
                          <w:rPr>
                            <w:rFonts w:ascii="宋体" w:hAnsi="宋体" w:cs="宋体" w:eastAsia="宋体" w:hint="default"/>
                            <w:w w:val="100"/>
                            <w:sz w:val="21"/>
                            <w:szCs w:val="21"/>
                          </w:rPr>
                          <w:t>报</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r>
                          <w:rPr>
                            <w:rFonts w:ascii="宋体" w:hAnsi="宋体" w:cs="宋体" w:eastAsia="宋体" w:hint="default"/>
                            <w:spacing w:val="-3"/>
                            <w:w w:val="100"/>
                            <w:sz w:val="21"/>
                            <w:szCs w:val="21"/>
                          </w:rPr>
                          <w:t>快</w:t>
                        </w:r>
                        <w:r>
                          <w:rPr>
                            <w:rFonts w:ascii="宋体" w:hAnsi="宋体" w:cs="宋体" w:eastAsia="宋体" w:hint="default"/>
                            <w:w w:val="100"/>
                            <w:sz w:val="21"/>
                            <w:szCs w:val="21"/>
                          </w:rPr>
                          <w:t>报</w:t>
                        </w:r>
                        <w:r>
                          <w:rPr>
                            <w:rFonts w:ascii="宋体" w:hAnsi="宋体" w:cs="宋体" w:eastAsia="宋体" w:hint="default"/>
                            <w:spacing w:val="-3"/>
                            <w:w w:val="100"/>
                            <w:sz w:val="21"/>
                            <w:szCs w:val="21"/>
                          </w:rPr>
                          <w:t>》</w:t>
                        </w:r>
                        <w:r>
                          <w:rPr>
                            <w:rFonts w:ascii="宋体" w:hAnsi="宋体" w:cs="宋体" w:eastAsia="宋体" w:hint="default"/>
                            <w:w w:val="100"/>
                            <w:sz w:val="21"/>
                            <w:szCs w:val="21"/>
                          </w:rPr>
                          <w:t>和</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年第三季度内审部工作报告》等。</w:t>
                        </w:r>
                      </w:p>
                      <w:p>
                        <w:pPr>
                          <w:pStyle w:val="TableParagraph"/>
                          <w:spacing w:line="273" w:lineRule="auto" w:before="37"/>
                          <w:ind w:left="23" w:right="1198"/>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年度具体工作如下：</w:t>
                        </w: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、董事会审计委员会召开会议后及时向董事会汇报了相关事项的审议结果及有关情况；</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、董事会审计委员会认为公司内部不存在重大缺陷或重大风险；</w:t>
                        </w:r>
                      </w:p>
                      <w:p>
                        <w:pPr>
                          <w:pStyle w:val="TableParagraph"/>
                          <w:spacing w:line="273" w:lineRule="auto" w:before="37"/>
                          <w:ind w:left="23" w:right="17"/>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、建立良好的内部审计与外部审计协同机制，充分发挥内部审计既具备一定专业技能又熟悉公司投资</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战略的优势，形成与外部审计深度配合，充分借助外部审计在专业能力和政策理解方面的优势，最大</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限度地实现内控制度追求的目标；</w:t>
                        </w:r>
                        <w:r>
                          <w:rPr>
                            <w:rFonts w:ascii="宋体" w:hAnsi="宋体" w:cs="宋体" w:eastAsia="宋体" w:hint="default"/>
                            <w:w w:val="100"/>
                            <w:sz w:val="21"/>
                            <w:szCs w:val="21"/>
                          </w:rPr>
                          <w:t> </w:t>
                        </w:r>
                        <w:r>
                          <w:rPr>
                            <w:rFonts w:ascii="宋体" w:hAnsi="宋体" w:cs="宋体" w:eastAsia="宋体" w:hint="default"/>
                            <w:spacing w:val="-4"/>
                            <w:sz w:val="21"/>
                            <w:szCs w:val="21"/>
                          </w:rPr>
                          <w:t>4</w:t>
                        </w:r>
                        <w:r>
                          <w:rPr>
                            <w:rFonts w:ascii="宋体" w:hAnsi="宋体" w:cs="宋体" w:eastAsia="宋体" w:hint="default"/>
                            <w:spacing w:val="-4"/>
                            <w:sz w:val="21"/>
                            <w:szCs w:val="21"/>
                          </w:rPr>
                          <w:t>、公司定期由内审部对募集资金的使用与存放情况进行检查，并将检查结果向董事会、审计委员会报</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告；</w:t>
                        </w:r>
                        <w:r>
                          <w:rPr>
                            <w:rFonts w:ascii="宋体" w:hAnsi="宋体" w:cs="宋体" w:eastAsia="宋体" w:hint="default"/>
                            <w:spacing w:val="-103"/>
                            <w:sz w:val="21"/>
                            <w:szCs w:val="21"/>
                          </w:rPr>
                          <w:t> </w:t>
                        </w:r>
                        <w:r>
                          <w:rPr>
                            <w:rFonts w:ascii="宋体" w:hAnsi="宋体" w:cs="宋体" w:eastAsia="宋体" w:hint="default"/>
                            <w:spacing w:val="-6"/>
                            <w:w w:val="100"/>
                            <w:sz w:val="21"/>
                            <w:szCs w:val="21"/>
                          </w:rPr>
                          <w:t>5</w:t>
                        </w:r>
                        <w:r>
                          <w:rPr>
                            <w:rFonts w:ascii="宋体" w:hAnsi="宋体" w:cs="宋体" w:eastAsia="宋体" w:hint="default"/>
                            <w:spacing w:val="-6"/>
                            <w:w w:val="100"/>
                            <w:sz w:val="21"/>
                            <w:szCs w:val="21"/>
                          </w:rPr>
                          <w:t>、密切关注各开发部门的开工率及人员配置的合理性，配合开发部门和人事部门做好人员的调配工作</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pacing w:val="-2"/>
                            <w:sz w:val="21"/>
                            <w:szCs w:val="21"/>
                          </w:rPr>
                          <w:t>每季度内审工作会议上，协助人事部门对开工率不足及开工率过高的部门进行协调，以提高人员的生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产效率；</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、每季度出具内审部工作报告，包括但不限于内部审计计划的执行情况以及内部审计工作监督情况</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、监督公司财务信息的有关披露工作；</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、审查督促公司内控制度的建设及完善。</w:t>
                        </w:r>
                      </w:p>
                    </w:tc>
                  </w:tr>
                  <w:tr>
                    <w:trPr>
                      <w:trHeight w:val="322" w:hRule="exact"/>
                    </w:trPr>
                    <w:tc>
                      <w:tcPr>
                        <w:tcW w:w="932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6"/>
        <w:ind w:left="0" w:right="113"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36"/>
        <w:ind w:left="0" w:right="14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76" w:footer="1186" w:top="1100" w:bottom="1380" w:left="13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tabs>
          <w:tab w:pos="4057" w:val="left" w:leader="none"/>
        </w:tabs>
        <w:spacing w:line="240" w:lineRule="auto"/>
        <w:ind w:left="2771" w:right="0"/>
        <w:jc w:val="left"/>
        <w:rPr>
          <w:b w:val="0"/>
          <w:bCs w:val="0"/>
        </w:rPr>
      </w:pPr>
      <w:bookmarkStart w:name="_TOC_250005" w:id="8"/>
      <w:r>
        <w:rPr>
          <w:w w:val="95"/>
        </w:rPr>
        <w:t>第八节</w:t>
        <w:tab/>
      </w:r>
      <w:r>
        <w:rPr/>
        <w:t>股东大会情况介绍</w:t>
      </w:r>
      <w:bookmarkEnd w:id="8"/>
      <w:r>
        <w:rPr>
          <w:b w:val="0"/>
          <w:bCs w:val="0"/>
        </w:rPr>
      </w:r>
    </w:p>
    <w:p>
      <w:pPr>
        <w:spacing w:line="357" w:lineRule="auto" w:before="193"/>
        <w:ind w:left="183" w:right="4618" w:firstLine="465"/>
        <w:jc w:val="left"/>
        <w:rPr>
          <w:rFonts w:ascii="宋体" w:hAnsi="宋体" w:cs="宋体" w:eastAsia="宋体" w:hint="default"/>
          <w:sz w:val="24"/>
          <w:szCs w:val="24"/>
        </w:rPr>
      </w:pPr>
      <w:r>
        <w:rPr>
          <w:rFonts w:ascii="宋体" w:hAnsi="宋体" w:cs="宋体" w:eastAsia="宋体" w:hint="default"/>
          <w:sz w:val="24"/>
          <w:szCs w:val="24"/>
        </w:rPr>
        <w:t>报告期内，公司共召开一次股东大会。 </w:t>
      </w:r>
      <w:r>
        <w:rPr>
          <w:rFonts w:ascii="宋体" w:hAnsi="宋体" w:cs="宋体" w:eastAsia="宋体" w:hint="default"/>
          <w:b/>
          <w:bCs/>
          <w:sz w:val="24"/>
          <w:szCs w:val="24"/>
        </w:rPr>
        <w:t>一、</w:t>
      </w:r>
      <w:r>
        <w:rPr>
          <w:rFonts w:ascii="宋体" w:hAnsi="宋体" w:cs="宋体" w:eastAsia="宋体" w:hint="default"/>
          <w:b/>
          <w:bCs/>
          <w:sz w:val="24"/>
          <w:szCs w:val="24"/>
        </w:rPr>
        <w:t>2010</w:t>
      </w:r>
      <w:r>
        <w:rPr>
          <w:rFonts w:ascii="宋体" w:hAnsi="宋体" w:cs="宋体" w:eastAsia="宋体" w:hint="default"/>
          <w:b/>
          <w:bCs/>
          <w:spacing w:val="-65"/>
          <w:sz w:val="24"/>
          <w:szCs w:val="24"/>
        </w:rPr>
        <w:t> </w:t>
      </w:r>
      <w:r>
        <w:rPr>
          <w:rFonts w:ascii="宋体" w:hAnsi="宋体" w:cs="宋体" w:eastAsia="宋体" w:hint="default"/>
          <w:b/>
          <w:bCs/>
          <w:sz w:val="24"/>
          <w:szCs w:val="24"/>
        </w:rPr>
        <w:t>年度股东大会召开情况</w:t>
      </w:r>
      <w:r>
        <w:rPr>
          <w:rFonts w:ascii="宋体" w:hAnsi="宋体" w:cs="宋体" w:eastAsia="宋体" w:hint="default"/>
          <w:sz w:val="24"/>
          <w:szCs w:val="24"/>
        </w:rPr>
      </w:r>
    </w:p>
    <w:p>
      <w:pPr>
        <w:pStyle w:val="BodyText"/>
        <w:spacing w:line="357" w:lineRule="auto"/>
        <w:ind w:right="140" w:firstLine="480"/>
        <w:jc w:val="left"/>
      </w:pPr>
      <w:r>
        <w:rPr>
          <w:rFonts w:ascii="宋体" w:hAnsi="宋体" w:cs="宋体" w:eastAsia="宋体" w:hint="default"/>
        </w:rPr>
        <w:t>2011</w:t>
      </w:r>
      <w:r>
        <w:rPr>
          <w:rFonts w:ascii="宋体" w:hAnsi="宋体" w:cs="宋体" w:eastAsia="宋体" w:hint="default"/>
          <w:spacing w:val="-49"/>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日召开了公司</w:t>
      </w:r>
      <w:r>
        <w:rPr>
          <w:spacing w:val="-48"/>
        </w:rPr>
        <w:t> </w:t>
      </w:r>
      <w:r>
        <w:rPr>
          <w:rFonts w:ascii="宋体" w:hAnsi="宋体" w:cs="宋体" w:eastAsia="宋体" w:hint="default"/>
        </w:rPr>
        <w:t>2010</w:t>
      </w:r>
      <w:r>
        <w:rPr>
          <w:rFonts w:ascii="宋体" w:hAnsi="宋体" w:cs="宋体" w:eastAsia="宋体" w:hint="default"/>
          <w:spacing w:val="-48"/>
        </w:rPr>
        <w:t> </w:t>
      </w:r>
      <w:r>
        <w:rPr/>
        <w:t>年度股东大会。会议逐项审议并以记名投票表 决的方式通过了以下议案：</w:t>
      </w:r>
    </w:p>
    <w:p>
      <w:pPr>
        <w:pStyle w:val="BodyText"/>
        <w:spacing w:line="240" w:lineRule="auto"/>
        <w:ind w:left="663" w:right="0"/>
        <w:jc w:val="left"/>
      </w:pPr>
      <w:r>
        <w:rPr>
          <w:rFonts w:ascii="宋体" w:hAnsi="宋体" w:cs="宋体" w:eastAsia="宋体" w:hint="default"/>
          <w:spacing w:val="-1"/>
        </w:rPr>
        <w:t>1</w:t>
      </w:r>
      <w:r>
        <w:rPr/>
        <w:t>、审议并通过《</w:t>
      </w:r>
      <w:r>
        <w:rPr>
          <w:rFonts w:ascii="宋体" w:hAnsi="宋体" w:cs="宋体" w:eastAsia="宋体" w:hint="default"/>
        </w:rPr>
        <w:t>2010</w:t>
      </w:r>
      <w:r>
        <w:rPr>
          <w:rFonts w:ascii="宋体" w:hAnsi="宋体" w:cs="宋体" w:eastAsia="宋体" w:hint="default"/>
          <w:spacing w:val="-60"/>
        </w:rPr>
        <w:t> </w:t>
      </w:r>
      <w:r>
        <w:rPr/>
        <w:t>年年度报告及摘要</w:t>
      </w:r>
      <w:r>
        <w:rPr>
          <w:spacing w:val="-120"/>
        </w:rPr>
        <w:t>》</w:t>
      </w:r>
      <w:r>
        <w:rPr/>
        <w:t>；</w:t>
      </w:r>
    </w:p>
    <w:p>
      <w:pPr>
        <w:pStyle w:val="BodyText"/>
        <w:spacing w:line="240" w:lineRule="auto" w:before="154"/>
        <w:ind w:left="663" w:right="0"/>
        <w:jc w:val="left"/>
      </w:pPr>
      <w:r>
        <w:rPr>
          <w:rFonts w:ascii="宋体" w:hAnsi="宋体" w:cs="宋体" w:eastAsia="宋体" w:hint="default"/>
          <w:spacing w:val="-1"/>
        </w:rPr>
        <w:t>2</w:t>
      </w:r>
      <w:r>
        <w:rPr/>
        <w:t>、审议并通过《</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t>；</w:t>
      </w:r>
    </w:p>
    <w:p>
      <w:pPr>
        <w:pStyle w:val="BodyText"/>
        <w:spacing w:line="240" w:lineRule="auto" w:before="154"/>
        <w:ind w:left="663" w:right="0"/>
        <w:jc w:val="left"/>
      </w:pPr>
      <w:r>
        <w:rPr>
          <w:rFonts w:ascii="宋体" w:hAnsi="宋体" w:cs="宋体" w:eastAsia="宋体" w:hint="default"/>
          <w:spacing w:val="-1"/>
        </w:rPr>
        <w:t>3</w:t>
      </w:r>
      <w:r>
        <w:rPr/>
        <w:t>、审议并通过《</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54"/>
        <w:ind w:left="663" w:right="0"/>
        <w:jc w:val="left"/>
      </w:pPr>
      <w:r>
        <w:rPr>
          <w:rFonts w:ascii="宋体" w:hAnsi="宋体" w:cs="宋体" w:eastAsia="宋体" w:hint="default"/>
          <w:spacing w:val="-1"/>
        </w:rPr>
        <w:t>4</w:t>
      </w:r>
      <w:r>
        <w:rPr/>
        <w:t>、审议并通过《</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4"/>
        <w:ind w:left="663" w:right="0"/>
        <w:jc w:val="left"/>
      </w:pPr>
      <w:r>
        <w:rPr>
          <w:rFonts w:ascii="宋体" w:hAnsi="宋体" w:cs="宋体" w:eastAsia="宋体" w:hint="default"/>
          <w:spacing w:val="-1"/>
        </w:rPr>
        <w:t>5</w:t>
      </w:r>
      <w:r>
        <w:rPr/>
        <w:t>、审议并通过《</w:t>
      </w:r>
      <w:r>
        <w:rPr>
          <w:rFonts w:ascii="宋体" w:hAnsi="宋体" w:cs="宋体" w:eastAsia="宋体" w:hint="default"/>
        </w:rPr>
        <w:t>2010</w:t>
      </w:r>
      <w:r>
        <w:rPr>
          <w:rFonts w:ascii="宋体" w:hAnsi="宋体" w:cs="宋体" w:eastAsia="宋体" w:hint="default"/>
          <w:spacing w:val="-60"/>
        </w:rPr>
        <w:t> </w:t>
      </w:r>
      <w:r>
        <w:rPr/>
        <w:t>年度利润分配及资本公积转增股本的预案</w:t>
      </w:r>
      <w:r>
        <w:rPr>
          <w:spacing w:val="-120"/>
        </w:rPr>
        <w:t>》</w:t>
      </w:r>
      <w:r>
        <w:rPr/>
        <w:t>；</w:t>
      </w:r>
    </w:p>
    <w:p>
      <w:pPr>
        <w:pStyle w:val="BodyText"/>
        <w:spacing w:line="240" w:lineRule="auto" w:before="154"/>
        <w:ind w:left="663" w:right="0"/>
        <w:jc w:val="left"/>
      </w:pPr>
      <w:r>
        <w:rPr>
          <w:rFonts w:ascii="宋体" w:hAnsi="宋体" w:cs="宋体" w:eastAsia="宋体" w:hint="default"/>
          <w:spacing w:val="-1"/>
        </w:rPr>
        <w:t>6</w:t>
      </w:r>
      <w:r>
        <w:rPr/>
        <w:t>、审议并通过《关于续聘会计师事务所的议案</w:t>
      </w:r>
      <w:r>
        <w:rPr>
          <w:spacing w:val="-120"/>
        </w:rPr>
        <w:t>》</w:t>
      </w:r>
      <w:r>
        <w:rPr/>
        <w:t>；</w:t>
      </w:r>
    </w:p>
    <w:p>
      <w:pPr>
        <w:pStyle w:val="BodyText"/>
        <w:spacing w:line="240" w:lineRule="auto" w:before="154"/>
        <w:ind w:left="663" w:right="0"/>
        <w:jc w:val="left"/>
      </w:pPr>
      <w:r>
        <w:rPr>
          <w:rFonts w:ascii="宋体" w:hAnsi="宋体" w:cs="宋体" w:eastAsia="宋体" w:hint="default"/>
          <w:spacing w:val="-1"/>
        </w:rPr>
        <w:t>7</w:t>
      </w:r>
      <w:r>
        <w:rPr/>
        <w:t>、审议并通过《关于变更部分募投项目实施地点的议案</w:t>
      </w:r>
      <w:r>
        <w:rPr>
          <w:spacing w:val="-120"/>
        </w:rPr>
        <w:t>》</w:t>
      </w:r>
      <w:r>
        <w:rPr/>
        <w:t>；</w:t>
      </w:r>
    </w:p>
    <w:p>
      <w:pPr>
        <w:pStyle w:val="BodyText"/>
        <w:spacing w:line="357" w:lineRule="auto" w:before="154"/>
        <w:ind w:right="138" w:firstLine="480"/>
        <w:jc w:val="left"/>
      </w:pPr>
      <w:r>
        <w:rPr>
          <w:rFonts w:ascii="宋体" w:hAnsi="宋体" w:cs="宋体" w:eastAsia="宋体" w:hint="default"/>
          <w:spacing w:val="-4"/>
        </w:rPr>
        <w:t>8</w:t>
      </w:r>
      <w:r>
        <w:rPr>
          <w:spacing w:val="-4"/>
        </w:rPr>
        <w:t>、审议并通过《关于使用募集资金购置普天信息产业园</w:t>
      </w:r>
      <w:r>
        <w:rPr>
          <w:spacing w:val="-58"/>
        </w:rPr>
        <w:t> </w:t>
      </w:r>
      <w:r>
        <w:rPr>
          <w:rFonts w:ascii="宋体" w:hAnsi="宋体" w:cs="宋体" w:eastAsia="宋体" w:hint="default"/>
        </w:rPr>
        <w:t>2</w:t>
      </w:r>
      <w:r>
        <w:rPr>
          <w:rFonts w:ascii="宋体" w:hAnsi="宋体" w:cs="宋体" w:eastAsia="宋体" w:hint="default"/>
          <w:spacing w:val="-59"/>
        </w:rPr>
        <w:t> </w:t>
      </w:r>
      <w:r>
        <w:rPr/>
        <w:t>号楼第</w:t>
      </w:r>
      <w:r>
        <w:rPr>
          <w:spacing w:val="-59"/>
        </w:rPr>
        <w:t> </w:t>
      </w:r>
      <w:r>
        <w:rPr>
          <w:rFonts w:ascii="宋体" w:hAnsi="宋体" w:cs="宋体" w:eastAsia="宋体" w:hint="default"/>
        </w:rPr>
        <w:t>8-11</w:t>
      </w:r>
      <w:r>
        <w:rPr>
          <w:rFonts w:ascii="宋体" w:hAnsi="宋体" w:cs="宋体" w:eastAsia="宋体" w:hint="default"/>
          <w:spacing w:val="-59"/>
        </w:rPr>
        <w:t> </w:t>
      </w:r>
      <w:r>
        <w:rPr/>
        <w:t>层房产的议 </w:t>
      </w:r>
      <w:r>
        <w:rPr>
          <w:spacing w:val="-40"/>
        </w:rPr>
        <w:t>案》；</w:t>
      </w:r>
    </w:p>
    <w:p>
      <w:pPr>
        <w:pStyle w:val="BodyText"/>
        <w:spacing w:line="240" w:lineRule="auto"/>
        <w:ind w:left="663" w:right="0"/>
        <w:jc w:val="left"/>
      </w:pPr>
      <w:r>
        <w:rPr>
          <w:rFonts w:ascii="宋体" w:hAnsi="宋体" w:cs="宋体" w:eastAsia="宋体" w:hint="default"/>
          <w:spacing w:val="-1"/>
        </w:rPr>
        <w:t>9</w:t>
      </w:r>
      <w:r>
        <w:rPr/>
        <w:t>、审议并通过《关于变更公司注册地址的议案</w:t>
      </w:r>
      <w:r>
        <w:rPr>
          <w:spacing w:val="-119"/>
        </w:rPr>
        <w:t>》</w:t>
      </w:r>
      <w:r>
        <w:rPr/>
        <w:t>；</w:t>
      </w:r>
    </w:p>
    <w:p>
      <w:pPr>
        <w:pStyle w:val="BodyText"/>
        <w:spacing w:line="240" w:lineRule="auto" w:before="154"/>
        <w:ind w:left="663" w:right="0"/>
        <w:jc w:val="left"/>
      </w:pPr>
      <w:r>
        <w:rPr>
          <w:rFonts w:ascii="宋体" w:hAnsi="宋体" w:cs="宋体" w:eastAsia="宋体" w:hint="default"/>
        </w:rPr>
        <w:t>1</w:t>
      </w:r>
      <w:r>
        <w:rPr>
          <w:rFonts w:ascii="宋体" w:hAnsi="宋体" w:cs="宋体" w:eastAsia="宋体" w:hint="default"/>
          <w:spacing w:val="-1"/>
        </w:rPr>
        <w:t>0</w:t>
      </w:r>
      <w:r>
        <w:rPr/>
        <w:t>、审议并通过《关于修改公司〈章程〉的议案</w:t>
      </w:r>
      <w:r>
        <w:rPr>
          <w:spacing w:val="-120"/>
        </w:rPr>
        <w:t>》</w:t>
      </w:r>
      <w:r>
        <w:rPr/>
        <w:t>；</w:t>
      </w:r>
    </w:p>
    <w:p>
      <w:pPr>
        <w:pStyle w:val="BodyText"/>
        <w:spacing w:line="240" w:lineRule="auto" w:before="154"/>
        <w:ind w:left="663" w:right="0"/>
        <w:jc w:val="left"/>
      </w:pPr>
      <w:r>
        <w:rPr>
          <w:rFonts w:ascii="宋体" w:hAnsi="宋体" w:cs="宋体" w:eastAsia="宋体" w:hint="default"/>
        </w:rPr>
        <w:t>1</w:t>
      </w:r>
      <w:r>
        <w:rPr>
          <w:rFonts w:ascii="宋体" w:hAnsi="宋体" w:cs="宋体" w:eastAsia="宋体" w:hint="default"/>
          <w:spacing w:val="-1"/>
        </w:rPr>
        <w:t>1</w:t>
      </w:r>
      <w:r>
        <w:rPr/>
        <w:t>、审议并通过《关于增补第四届董事会董事的议案</w:t>
      </w:r>
      <w:r>
        <w:rPr>
          <w:spacing w:val="-120"/>
        </w:rPr>
        <w:t>》</w:t>
      </w:r>
      <w:r>
        <w:rPr/>
        <w:t>；</w:t>
      </w:r>
    </w:p>
    <w:p>
      <w:pPr>
        <w:pStyle w:val="BodyText"/>
        <w:spacing w:line="240" w:lineRule="auto" w:before="154"/>
        <w:ind w:left="663" w:right="0"/>
        <w:jc w:val="left"/>
      </w:pPr>
      <w:r>
        <w:rPr>
          <w:rFonts w:ascii="宋体" w:hAnsi="宋体" w:cs="宋体" w:eastAsia="宋体" w:hint="default"/>
        </w:rPr>
        <w:t>1</w:t>
      </w:r>
      <w:r>
        <w:rPr>
          <w:rFonts w:ascii="宋体" w:hAnsi="宋体" w:cs="宋体" w:eastAsia="宋体" w:hint="default"/>
          <w:spacing w:val="-1"/>
        </w:rPr>
        <w:t>2</w:t>
      </w:r>
      <w:r>
        <w:rPr/>
        <w:t>、审议并通过《关于增补陆庆先生为公司第四届监事会监事的议案</w:t>
      </w:r>
      <w:r>
        <w:rPr>
          <w:spacing w:val="-120"/>
        </w:rPr>
        <w:t>》</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151" w:firstLine="480"/>
        <w:jc w:val="left"/>
      </w:pPr>
      <w:r>
        <w:rPr>
          <w:spacing w:val="-3"/>
        </w:rPr>
        <w:t>在本次股东大会上，独立董事高美萍女士、陈乐波先生进行述职，高美萍女士并受</w:t>
      </w:r>
      <w:r>
        <w:rPr/>
        <w:t> 托于独立董事何积丰先生宣读了</w:t>
      </w:r>
      <w:r>
        <w:rPr>
          <w:spacing w:val="-60"/>
        </w:rPr>
        <w:t> </w:t>
      </w:r>
      <w:r>
        <w:rPr>
          <w:rFonts w:ascii="宋体" w:hAnsi="宋体" w:cs="宋体" w:eastAsia="宋体" w:hint="default"/>
        </w:rPr>
        <w:t>2010</w:t>
      </w:r>
      <w:r>
        <w:rPr>
          <w:rFonts w:ascii="宋体" w:hAnsi="宋体" w:cs="宋体" w:eastAsia="宋体" w:hint="default"/>
          <w:spacing w:val="-60"/>
        </w:rPr>
        <w:t> </w:t>
      </w:r>
      <w:r>
        <w:rPr/>
        <w:t>年度述职报告。</w:t>
      </w:r>
    </w:p>
    <w:p>
      <w:pPr>
        <w:pStyle w:val="BodyText"/>
        <w:spacing w:line="357" w:lineRule="auto"/>
        <w:ind w:right="151" w:firstLine="480"/>
        <w:jc w:val="both"/>
      </w:pPr>
      <w:r>
        <w:rPr>
          <w:spacing w:val="-3"/>
        </w:rPr>
        <w:t>北京市天银律师事务所彭山涛律师及张宇律师是本次会议的见证律师，认为上海海</w:t>
      </w:r>
      <w:r>
        <w:rPr/>
        <w:t> 隆软件股份有限公司 </w:t>
      </w:r>
      <w:r>
        <w:rPr>
          <w:rFonts w:ascii="宋体" w:hAnsi="宋体" w:cs="宋体" w:eastAsia="宋体" w:hint="default"/>
        </w:rPr>
        <w:t>2010</w:t>
      </w:r>
      <w:r>
        <w:rPr>
          <w:rFonts w:ascii="宋体" w:hAnsi="宋体" w:cs="宋体" w:eastAsia="宋体" w:hint="default"/>
          <w:spacing w:val="-91"/>
        </w:rPr>
        <w:t> </w:t>
      </w:r>
      <w:r>
        <w:rPr/>
        <w:t>年度股东大会的召集召开程序、召集人及出席人员、表决程 </w:t>
      </w:r>
      <w:r>
        <w:rPr>
          <w:spacing w:val="-9"/>
        </w:rPr>
        <w:t>序均符合《公司法》、《上市公司股东大会规则》和《公司章程》的规定，本次股东大会</w:t>
      </w:r>
      <w:r>
        <w:rPr>
          <w:spacing w:val="-105"/>
        </w:rPr>
        <w:t> </w:t>
      </w:r>
      <w:r>
        <w:rPr>
          <w:spacing w:val="-105"/>
        </w:rPr>
      </w:r>
      <w:r>
        <w:rPr/>
        <w:t>作出的决议合法有效。</w:t>
      </w:r>
    </w:p>
    <w:p>
      <w:pPr>
        <w:pStyle w:val="BodyText"/>
        <w:spacing w:line="357" w:lineRule="auto"/>
        <w:ind w:right="148" w:firstLine="530"/>
        <w:jc w:val="left"/>
      </w:pPr>
      <w:r>
        <w:rPr/>
        <w:t>公司</w:t>
      </w:r>
      <w:r>
        <w:rPr>
          <w:spacing w:val="-63"/>
        </w:rPr>
        <w:t> </w:t>
      </w:r>
      <w:r>
        <w:rPr>
          <w:rFonts w:ascii="宋体" w:hAnsi="宋体" w:cs="宋体" w:eastAsia="宋体" w:hint="default"/>
        </w:rPr>
        <w:t>2010</w:t>
      </w:r>
      <w:r>
        <w:rPr>
          <w:rFonts w:ascii="宋体" w:hAnsi="宋体" w:cs="宋体" w:eastAsia="宋体" w:hint="default"/>
          <w:spacing w:val="-63"/>
        </w:rPr>
        <w:t> </w:t>
      </w:r>
      <w:r>
        <w:rPr/>
        <w:t>年度股东大会的决议公告见详</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13</w:t>
      </w:r>
      <w:r>
        <w:rPr>
          <w:rFonts w:ascii="宋体" w:hAnsi="宋体" w:cs="宋体" w:eastAsia="宋体" w:hint="default"/>
          <w:spacing w:val="-63"/>
        </w:rPr>
        <w:t> </w:t>
      </w:r>
      <w:r>
        <w:rPr/>
        <w:t>日《中国证券报》及巨潮 资讯网</w:t>
      </w:r>
      <w:r>
        <w:rPr>
          <w:rFonts w:ascii="宋体" w:hAnsi="宋体" w:cs="宋体" w:eastAsia="宋体" w:hint="default"/>
        </w:rPr>
        <w:t>(</w:t>
      </w:r>
      <w:r>
        <w:rPr/>
        <w:t>公告编号：</w:t>
      </w:r>
      <w:r>
        <w:rPr>
          <w:rFonts w:ascii="宋体" w:hAnsi="宋体" w:cs="宋体" w:eastAsia="宋体" w:hint="default"/>
        </w:rPr>
        <w:t>2011-019)</w:t>
      </w:r>
      <w:r>
        <w:rPr/>
        <w:t>。</w:t>
      </w:r>
    </w:p>
    <w:p>
      <w:pPr>
        <w:spacing w:after="0" w:line="357" w:lineRule="auto"/>
        <w:jc w:val="left"/>
        <w:sectPr>
          <w:pgSz w:w="11910" w:h="16840"/>
          <w:pgMar w:header="876" w:footer="1186" w:top="1100" w:bottom="1380" w:left="1300" w:right="1240"/>
        </w:sectPr>
      </w:pPr>
    </w:p>
    <w:p>
      <w:pPr>
        <w:spacing w:line="240" w:lineRule="auto" w:before="10"/>
        <w:rPr>
          <w:rFonts w:ascii="宋体" w:hAnsi="宋体" w:cs="宋体" w:eastAsia="宋体" w:hint="default"/>
          <w:sz w:val="28"/>
          <w:szCs w:val="28"/>
        </w:rPr>
      </w:pPr>
    </w:p>
    <w:p>
      <w:pPr>
        <w:pStyle w:val="Heading1"/>
        <w:tabs>
          <w:tab w:pos="1286" w:val="left" w:leader="none"/>
        </w:tabs>
        <w:spacing w:line="240" w:lineRule="auto"/>
        <w:ind w:right="52"/>
        <w:jc w:val="center"/>
        <w:rPr>
          <w:b w:val="0"/>
          <w:bCs w:val="0"/>
        </w:rPr>
      </w:pPr>
      <w:bookmarkStart w:name="_TOC_250004" w:id="9"/>
      <w:r>
        <w:rPr>
          <w:w w:val="95"/>
        </w:rPr>
        <w:t>第九节</w:t>
        <w:tab/>
      </w:r>
      <w:r>
        <w:rPr/>
        <w:t>董事会报告</w:t>
      </w:r>
      <w:bookmarkEnd w:id="9"/>
      <w:r>
        <w:rPr>
          <w:b w:val="0"/>
          <w:bCs w:val="0"/>
        </w:rPr>
      </w:r>
    </w:p>
    <w:p>
      <w:pPr>
        <w:pStyle w:val="Heading3"/>
        <w:spacing w:line="240" w:lineRule="auto" w:before="193"/>
        <w:ind w:right="879"/>
        <w:jc w:val="left"/>
        <w:rPr>
          <w:b w:val="0"/>
          <w:bCs w:val="0"/>
        </w:rPr>
      </w:pPr>
      <w:r>
        <w:rPr/>
        <w:t>一、报告期内公司经营情况回顾</w:t>
      </w:r>
      <w:r>
        <w:rPr>
          <w:b w:val="0"/>
          <w:bCs w:val="0"/>
        </w:rPr>
      </w:r>
    </w:p>
    <w:p>
      <w:pPr>
        <w:pStyle w:val="Heading3"/>
        <w:spacing w:line="240" w:lineRule="auto" w:before="154"/>
        <w:ind w:right="879"/>
        <w:jc w:val="left"/>
        <w:rPr>
          <w:b w:val="0"/>
          <w:bCs w:val="0"/>
        </w:rPr>
      </w:pPr>
      <w:r>
        <w:rPr/>
        <w:t>（一）报告期内公司总体经营情况</w:t>
      </w:r>
      <w:r>
        <w:rPr>
          <w:b w:val="0"/>
          <w:bCs w:val="0"/>
        </w:rPr>
      </w:r>
    </w:p>
    <w:p>
      <w:pPr>
        <w:pStyle w:val="BodyText"/>
        <w:spacing w:line="357" w:lineRule="auto" w:before="154"/>
        <w:ind w:right="232" w:firstLine="480"/>
        <w:jc w:val="both"/>
      </w:pPr>
      <w:r>
        <w:rPr>
          <w:rFonts w:ascii="宋体" w:hAnsi="宋体" w:cs="宋体" w:eastAsia="宋体" w:hint="default"/>
        </w:rPr>
        <w:t>2011</w:t>
      </w:r>
      <w:r>
        <w:rPr>
          <w:rFonts w:ascii="宋体" w:hAnsi="宋体" w:cs="宋体" w:eastAsia="宋体" w:hint="default"/>
          <w:spacing w:val="20"/>
        </w:rPr>
        <w:t> </w:t>
      </w:r>
      <w:r>
        <w:rPr/>
        <w:t>年，公司在顺应行业发展的基础上，结合市场结构和竞争优势，遵照董事会 </w:t>
      </w:r>
      <w:r>
        <w:rPr>
          <w:spacing w:val="-3"/>
        </w:rPr>
        <w:t>制定的经营计划和目标，通过积极拓展多方位市场、持续保持人才培养力度、加大研发</w:t>
      </w:r>
      <w:r>
        <w:rPr>
          <w:spacing w:val="-102"/>
        </w:rPr>
        <w:t> </w:t>
      </w:r>
      <w:r>
        <w:rPr>
          <w:spacing w:val="-102"/>
        </w:rPr>
      </w:r>
      <w:r>
        <w:rPr>
          <w:spacing w:val="-3"/>
        </w:rPr>
        <w:t>投入、进一步规范精细化管理、快速响应客户需求等措施，稳定提高面向海外的软件外</w:t>
      </w:r>
      <w:r>
        <w:rPr>
          <w:spacing w:val="-102"/>
        </w:rPr>
        <w:t> </w:t>
      </w:r>
      <w:r>
        <w:rPr>
          <w:spacing w:val="-102"/>
        </w:rPr>
      </w:r>
      <w:r>
        <w:rPr>
          <w:spacing w:val="-3"/>
        </w:rPr>
        <w:t>包业务的同时，积极布局国内市场，公司不仅克服了日本地震所带来的影响，而且在公</w:t>
      </w:r>
      <w:r>
        <w:rPr>
          <w:spacing w:val="-101"/>
        </w:rPr>
        <w:t> </w:t>
      </w:r>
      <w:r>
        <w:rPr>
          <w:spacing w:val="-101"/>
        </w:rPr>
      </w:r>
      <w:r>
        <w:rPr>
          <w:spacing w:val="-3"/>
        </w:rPr>
        <w:t>司经营管理层和全体员工的共同努力下，出色地完成了公司董事会年初下达的经营指标</w:t>
      </w:r>
      <w:r>
        <w:rPr>
          <w:spacing w:val="-98"/>
        </w:rPr>
        <w:t> </w:t>
      </w:r>
      <w:r>
        <w:rPr>
          <w:spacing w:val="-98"/>
        </w:rPr>
      </w:r>
      <w:r>
        <w:rPr/>
        <w:t>计划，使公司全年的营业收入和营业利润再创历史新高。</w:t>
      </w:r>
    </w:p>
    <w:p>
      <w:pPr>
        <w:pStyle w:val="BodyText"/>
        <w:spacing w:line="357" w:lineRule="auto" w:before="37"/>
        <w:ind w:right="0" w:firstLine="480"/>
        <w:jc w:val="left"/>
      </w:pPr>
      <w:r>
        <w:rPr>
          <w:rFonts w:ascii="宋体" w:hAnsi="宋体" w:cs="宋体" w:eastAsia="宋体" w:hint="default"/>
        </w:rPr>
        <w:t>1</w:t>
      </w:r>
      <w:r>
        <w:rPr/>
        <w:t>、报告期内，在对日服务外包领域，继续坚持“行业多元，客户一流”的一贯服 </w:t>
      </w:r>
      <w:r>
        <w:rPr>
          <w:spacing w:val="-3"/>
        </w:rPr>
        <w:t>务方针，集中公司的优质资源，服务于具有长期发展潜力的一流客户。公司重点巩固老</w:t>
      </w:r>
      <w:r>
        <w:rPr>
          <w:spacing w:val="-102"/>
        </w:rPr>
        <w:t> </w:t>
      </w:r>
      <w:r>
        <w:rPr>
          <w:spacing w:val="-102"/>
        </w:rPr>
      </w:r>
      <w:r>
        <w:rPr>
          <w:spacing w:val="-3"/>
        </w:rPr>
        <w:t>客户，扩大合作范围，与客户建立多元合作模式，通过自身不断地努力，赢取了客户高</w:t>
      </w:r>
      <w:r>
        <w:rPr>
          <w:spacing w:val="-96"/>
        </w:rPr>
        <w:t> </w:t>
      </w:r>
      <w:r>
        <w:rPr>
          <w:spacing w:val="-96"/>
        </w:rPr>
      </w:r>
      <w:r>
        <w:rPr>
          <w:spacing w:val="-6"/>
        </w:rPr>
        <w:t>度的信任。与此同时，公司积极开拓新客户、新业务、新市场，为今后的长期发展铺路。</w:t>
      </w:r>
      <w:r>
        <w:rPr>
          <w:spacing w:val="-101"/>
        </w:rPr>
        <w:t> </w:t>
      </w:r>
      <w:r>
        <w:rPr>
          <w:spacing w:val="-101"/>
        </w:rPr>
      </w:r>
      <w:r>
        <w:rPr>
          <w:spacing w:val="-6"/>
        </w:rPr>
        <w:t>长期经营的结果，使得公司的客户群有着良好的结构分布，不仅横跨证券、银行、保险、</w:t>
      </w:r>
      <w:r>
        <w:rPr>
          <w:spacing w:val="-98"/>
        </w:rPr>
        <w:t> </w:t>
      </w:r>
      <w:r>
        <w:rPr>
          <w:spacing w:val="-98"/>
        </w:rPr>
      </w:r>
      <w:r>
        <w:rPr>
          <w:spacing w:val="-11"/>
        </w:rPr>
        <w:t>制造业（嵌入式软件）、</w:t>
      </w:r>
      <w:r>
        <w:rPr>
          <w:rFonts w:ascii="宋体" w:hAnsi="宋体" w:cs="宋体" w:eastAsia="宋体" w:hint="default"/>
          <w:spacing w:val="-11"/>
        </w:rPr>
        <w:t>3G</w:t>
      </w:r>
      <w:r>
        <w:rPr>
          <w:rFonts w:ascii="宋体" w:hAnsi="宋体" w:cs="宋体" w:eastAsia="宋体" w:hint="default"/>
          <w:spacing w:val="-54"/>
        </w:rPr>
        <w:t> </w:t>
      </w:r>
      <w:r>
        <w:rPr>
          <w:spacing w:val="-1"/>
        </w:rPr>
        <w:t>手机内容服务业和电子商务等多个行业，且均是各行业中的</w:t>
      </w:r>
      <w:r>
        <w:rPr>
          <w:spacing w:val="-108"/>
        </w:rPr>
        <w:t> </w:t>
      </w:r>
      <w:r>
        <w:rPr>
          <w:spacing w:val="-108"/>
        </w:rPr>
      </w:r>
      <w:r>
        <w:rPr>
          <w:spacing w:val="-3"/>
        </w:rPr>
        <w:t>一流企业。客户行业多元化有效地分散了受制于某一特殊行业景气周期的经营风险，为</w:t>
      </w:r>
      <w:r>
        <w:rPr>
          <w:spacing w:val="-98"/>
        </w:rPr>
        <w:t> </w:t>
      </w:r>
      <w:r>
        <w:rPr>
          <w:spacing w:val="-98"/>
        </w:rPr>
      </w:r>
      <w:r>
        <w:rPr/>
        <w:t>今后长期稳健发展奠定了牢固的基础。</w:t>
      </w:r>
    </w:p>
    <w:p>
      <w:pPr>
        <w:pStyle w:val="BodyText"/>
        <w:spacing w:line="357" w:lineRule="auto"/>
        <w:ind w:right="227" w:firstLine="480"/>
        <w:jc w:val="both"/>
      </w:pPr>
      <w:r>
        <w:rPr>
          <w:spacing w:val="3"/>
        </w:rPr>
        <w:t>为应对国内人力资源成本持续上升的趋势，公司积极建设后方软件基地项目，于</w:t>
      </w:r>
      <w:r>
        <w:rPr>
          <w:spacing w:val="4"/>
        </w:rPr>
        <w:t> </w:t>
      </w:r>
      <w:r>
        <w:rPr>
          <w:rFonts w:ascii="宋体" w:hAnsi="宋体" w:cs="宋体" w:eastAsia="宋体" w:hint="default"/>
        </w:rPr>
        <w:t>2010</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月在南京设立了全资子公司江苏海隆软件技术有限公司，不仅扩大了人力资 </w:t>
      </w:r>
      <w:r>
        <w:rPr>
          <w:spacing w:val="-3"/>
        </w:rPr>
        <w:t>源规模，而且有效地控制了公司整体人力成本的上升。经过一年多运营，快速走上正常</w:t>
      </w:r>
      <w:r>
        <w:rPr>
          <w:spacing w:val="-103"/>
        </w:rPr>
        <w:t> </w:t>
      </w:r>
      <w:r>
        <w:rPr>
          <w:spacing w:val="-103"/>
        </w:rPr>
      </w:r>
      <w:r>
        <w:rPr>
          <w:spacing w:val="-3"/>
        </w:rPr>
        <w:t>经营轨道，达到预期的盈利目标，对公司面向海外的软件外包业务规模持续发展起到了</w:t>
      </w:r>
      <w:r>
        <w:rPr>
          <w:spacing w:val="-97"/>
        </w:rPr>
        <w:t> </w:t>
      </w:r>
      <w:r>
        <w:rPr>
          <w:spacing w:val="-97"/>
        </w:rPr>
      </w:r>
      <w:r>
        <w:rPr/>
        <w:t>重要的作用。</w:t>
      </w:r>
    </w:p>
    <w:p>
      <w:pPr>
        <w:pStyle w:val="BodyText"/>
        <w:spacing w:line="357" w:lineRule="auto"/>
        <w:ind w:right="90" w:firstLine="480"/>
        <w:jc w:val="left"/>
      </w:pPr>
      <w:r>
        <w:rPr>
          <w:rFonts w:ascii="宋体" w:hAnsi="宋体" w:cs="宋体" w:eastAsia="宋体" w:hint="default"/>
          <w:spacing w:val="-4"/>
        </w:rPr>
        <w:t>2</w:t>
      </w:r>
      <w:r>
        <w:rPr>
          <w:spacing w:val="-4"/>
        </w:rPr>
        <w:t>、报告期内，对美服务外包营业额保持稳定增长。继</w:t>
      </w:r>
      <w:r>
        <w:rPr>
          <w:spacing w:val="-60"/>
        </w:rPr>
        <w:t> </w:t>
      </w:r>
      <w:r>
        <w:rPr>
          <w:rFonts w:ascii="宋体" w:hAnsi="宋体" w:cs="宋体" w:eastAsia="宋体" w:hint="default"/>
        </w:rPr>
        <w:t>2010</w:t>
      </w:r>
      <w:r>
        <w:rPr>
          <w:rFonts w:ascii="宋体" w:hAnsi="宋体" w:cs="宋体" w:eastAsia="宋体" w:hint="default"/>
          <w:spacing w:val="-60"/>
        </w:rPr>
        <w:t> </w:t>
      </w:r>
      <w:r>
        <w:rPr/>
        <w:t>年形成了一个稳定的对 美开发团队后，</w:t>
      </w:r>
      <w:r>
        <w:rPr>
          <w:rFonts w:ascii="宋体" w:hAnsi="宋体" w:cs="宋体" w:eastAsia="宋体" w:hint="default"/>
        </w:rPr>
        <w:t>2012</w:t>
      </w:r>
      <w:r>
        <w:rPr>
          <w:rFonts w:ascii="宋体" w:hAnsi="宋体" w:cs="宋体" w:eastAsia="宋体" w:hint="default"/>
          <w:spacing w:val="-87"/>
        </w:rPr>
        <w:t> </w:t>
      </w:r>
      <w:r>
        <w:rPr/>
        <w:t>年将继续得到稳步发展。公司积极布局面向美国市场的营销体制， 加强开拓美国市场的力度，为未来公司市场多元化的持续发展布好基石。</w:t>
      </w:r>
    </w:p>
    <w:p>
      <w:pPr>
        <w:pStyle w:val="BodyText"/>
        <w:spacing w:line="357" w:lineRule="auto" w:before="37"/>
        <w:ind w:right="228" w:firstLine="480"/>
        <w:jc w:val="both"/>
      </w:pPr>
      <w:r>
        <w:rPr>
          <w:rFonts w:ascii="宋体" w:hAnsi="宋体" w:cs="宋体" w:eastAsia="宋体" w:hint="default"/>
        </w:rPr>
        <w:t>3</w:t>
      </w:r>
      <w:r>
        <w:rPr/>
        <w:t>、报告期内，在国内业务方面，公司积极摸索适合国内市场的新业务模式，抓住 机遇，开拓市场。</w:t>
      </w:r>
      <w:r>
        <w:rPr>
          <w:rFonts w:ascii="宋体" w:hAnsi="宋体" w:cs="宋体" w:eastAsia="宋体" w:hint="default"/>
        </w:rPr>
        <w:t>2010</w:t>
      </w:r>
      <w:r>
        <w:rPr>
          <w:rFonts w:ascii="宋体" w:hAnsi="宋体" w:cs="宋体" w:eastAsia="宋体" w:hint="default"/>
          <w:spacing w:val="-31"/>
        </w:rPr>
        <w:t> </w:t>
      </w:r>
      <w:r>
        <w:rPr/>
        <w:t>年度，公司与日本</w:t>
      </w:r>
      <w:r>
        <w:rPr>
          <w:spacing w:val="-32"/>
        </w:rPr>
        <w:t> </w:t>
      </w:r>
      <w:r>
        <w:rPr>
          <w:rFonts w:ascii="宋体" w:hAnsi="宋体" w:cs="宋体" w:eastAsia="宋体" w:hint="default"/>
        </w:rPr>
        <w:t>MTI</w:t>
      </w:r>
      <w:r>
        <w:rPr>
          <w:rFonts w:ascii="宋体" w:hAnsi="宋体" w:cs="宋体" w:eastAsia="宋体" w:hint="default"/>
          <w:spacing w:val="-31"/>
        </w:rPr>
        <w:t> </w:t>
      </w:r>
      <w:r>
        <w:rPr/>
        <w:t>株式会社合资成立了以提供手机内容服 务为主营业务的上海海隆宜通信息技术有限公司（公司占</w:t>
      </w:r>
      <w:r>
        <w:rPr>
          <w:spacing w:val="-86"/>
        </w:rPr>
        <w:t> </w:t>
      </w:r>
      <w:r>
        <w:rPr>
          <w:rFonts w:ascii="宋体" w:hAnsi="宋体" w:cs="宋体" w:eastAsia="宋体" w:hint="default"/>
        </w:rPr>
        <w:t>55%</w:t>
      </w:r>
      <w:r>
        <w:rPr/>
        <w:t>的股本）作为公司拓展国 内业务市场的先锋军。利用公司常年开发 </w:t>
      </w:r>
      <w:r>
        <w:rPr>
          <w:rFonts w:ascii="宋体" w:hAnsi="宋体" w:cs="宋体" w:eastAsia="宋体" w:hint="default"/>
        </w:rPr>
        <w:t>3G</w:t>
      </w:r>
      <w:r>
        <w:rPr>
          <w:rFonts w:ascii="宋体" w:hAnsi="宋体" w:cs="宋体" w:eastAsia="宋体" w:hint="default"/>
          <w:spacing w:val="-92"/>
        </w:rPr>
        <w:t> </w:t>
      </w:r>
      <w:r>
        <w:rPr/>
        <w:t>手机内容的技术人才优势，积极把握国内</w:t>
      </w:r>
    </w:p>
    <w:p>
      <w:pPr>
        <w:spacing w:after="0" w:line="357" w:lineRule="auto"/>
        <w:jc w:val="both"/>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230"/>
        <w:jc w:val="both"/>
      </w:pPr>
      <w:r>
        <w:rPr>
          <w:rFonts w:ascii="宋体" w:hAnsi="宋体" w:cs="宋体" w:eastAsia="宋体" w:hint="default"/>
        </w:rPr>
        <w:t>3G </w:t>
      </w:r>
      <w:r>
        <w:rPr/>
        <w:t>市场带来的巨大商机，并努力探索高效的业务模式。</w:t>
      </w:r>
      <w:r>
        <w:rPr>
          <w:rFonts w:ascii="宋体" w:hAnsi="宋体" w:cs="宋体" w:eastAsia="宋体" w:hint="default"/>
        </w:rPr>
        <w:t>2011 </w:t>
      </w:r>
      <w:r>
        <w:rPr/>
        <w:t>年，海隆宜通对中国</w:t>
      </w:r>
      <w:r>
        <w:rPr>
          <w:spacing w:val="27"/>
        </w:rPr>
        <w:t> </w:t>
      </w:r>
      <w:r>
        <w:rPr>
          <w:rFonts w:ascii="宋体" w:hAnsi="宋体" w:cs="宋体" w:eastAsia="宋体" w:hint="default"/>
        </w:rPr>
        <w:t>3G </w:t>
      </w:r>
      <w:r>
        <w:rPr/>
        <w:t>内容服务进行了充实的研究和布局，以待中国 </w:t>
      </w:r>
      <w:r>
        <w:rPr>
          <w:rFonts w:ascii="宋体" w:hAnsi="宋体" w:cs="宋体" w:eastAsia="宋体" w:hint="default"/>
        </w:rPr>
        <w:t>3G</w:t>
      </w:r>
      <w:r>
        <w:rPr>
          <w:rFonts w:ascii="宋体" w:hAnsi="宋体" w:cs="宋体" w:eastAsia="宋体" w:hint="default"/>
          <w:spacing w:val="-91"/>
        </w:rPr>
        <w:t> </w:t>
      </w:r>
      <w:r>
        <w:rPr/>
        <w:t>市场蓬勃发展起来之时，占据自己的 </w:t>
      </w:r>
      <w:r>
        <w:rPr>
          <w:spacing w:val="-7"/>
        </w:rPr>
        <w:t>一份天地。同时公司以自有资金</w:t>
      </w:r>
      <w:r>
        <w:rPr>
          <w:spacing w:val="-58"/>
        </w:rPr>
        <w:t> </w:t>
      </w:r>
      <w:r>
        <w:rPr>
          <w:rFonts w:ascii="宋体" w:hAnsi="宋体" w:cs="宋体" w:eastAsia="宋体" w:hint="default"/>
        </w:rPr>
        <w:t>2,000</w:t>
      </w:r>
      <w:r>
        <w:rPr>
          <w:rFonts w:ascii="宋体" w:hAnsi="宋体" w:cs="宋体" w:eastAsia="宋体" w:hint="default"/>
          <w:spacing w:val="-58"/>
        </w:rPr>
        <w:t> </w:t>
      </w:r>
      <w:r>
        <w:rPr/>
        <w:t>万元参与投资设立上海艾云慧信创业投资有限公 </w:t>
      </w:r>
      <w:r>
        <w:rPr>
          <w:spacing w:val="-3"/>
        </w:rPr>
        <w:t>司，通过投资艾云慧信创投，增加在信息技术服务领域内扩展业务的机会，符合公司中</w:t>
      </w:r>
      <w:r>
        <w:rPr>
          <w:spacing w:val="-102"/>
        </w:rPr>
        <w:t> </w:t>
      </w:r>
      <w:r>
        <w:rPr>
          <w:spacing w:val="-102"/>
        </w:rPr>
      </w:r>
      <w:r>
        <w:rPr/>
        <w:t>长期的发展战略。目前各项工作正逐步有效地开展中。</w:t>
      </w:r>
    </w:p>
    <w:p>
      <w:pPr>
        <w:pStyle w:val="BodyText"/>
        <w:spacing w:line="357" w:lineRule="auto"/>
        <w:ind w:right="100" w:firstLine="480"/>
        <w:jc w:val="left"/>
      </w:pPr>
      <w:r>
        <w:rPr>
          <w:rFonts w:ascii="宋体" w:hAnsi="宋体" w:cs="宋体" w:eastAsia="宋体" w:hint="default"/>
        </w:rPr>
        <w:t>4</w:t>
      </w:r>
      <w:r>
        <w:rPr/>
        <w:t>、报告期内，公司按照实际情况与计划相结合，加快募集资金项目的投资步伐。 截止</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8"/>
        </w:rPr>
        <w:t>日，公司全部募集资金项目已完成投资。“嵌入式软件研发中心项</w:t>
      </w:r>
      <w:r>
        <w:rPr>
          <w:spacing w:val="-115"/>
        </w:rPr>
        <w:t> </w:t>
      </w:r>
      <w:r>
        <w:rPr>
          <w:spacing w:val="-115"/>
        </w:rPr>
      </w:r>
      <w:r>
        <w:rPr>
          <w:spacing w:val="-17"/>
        </w:rPr>
        <w:t>目”、“移动电话内容服务研发中心项目”、“软件外包后方开发基地项目”达到计划进度，</w:t>
      </w:r>
      <w:r>
        <w:rPr>
          <w:spacing w:val="-113"/>
        </w:rPr>
        <w:t> </w:t>
      </w:r>
      <w:r>
        <w:rPr>
          <w:spacing w:val="-113"/>
        </w:rPr>
      </w:r>
      <w:r>
        <w:rPr>
          <w:spacing w:val="-3"/>
        </w:rPr>
        <w:t>并完成预计的阶段性收益目标。公司积极建设各项技术开发中心、合理布局人力资源地</w:t>
      </w:r>
      <w:r>
        <w:rPr>
          <w:spacing w:val="-98"/>
        </w:rPr>
        <w:t> </w:t>
      </w:r>
      <w:r>
        <w:rPr>
          <w:spacing w:val="-98"/>
        </w:rPr>
      </w:r>
      <w:r>
        <w:rPr/>
        <w:t>域构成，使公司的行业优势得到进一步的巩固，为公司的未来发展打下良好的基础。</w:t>
      </w:r>
    </w:p>
    <w:p>
      <w:pPr>
        <w:pStyle w:val="BodyText"/>
        <w:spacing w:line="357" w:lineRule="auto"/>
        <w:ind w:right="228" w:firstLine="480"/>
        <w:jc w:val="both"/>
      </w:pPr>
      <w:r>
        <w:rPr>
          <w:rFonts w:ascii="宋体" w:hAnsi="宋体" w:cs="宋体" w:eastAsia="宋体" w:hint="default"/>
        </w:rPr>
        <w:t>5</w:t>
      </w:r>
      <w:r>
        <w:rPr/>
        <w:t>、公司行业地位、品牌形象进一步提升。报告期内，公司再度被评为上海市“高 </w:t>
      </w:r>
      <w:r>
        <w:rPr>
          <w:spacing w:val="-10"/>
        </w:rPr>
        <w:t>新技术企业”、荣获“</w:t>
      </w:r>
      <w:r>
        <w:rPr>
          <w:rFonts w:ascii="宋体" w:hAnsi="宋体" w:cs="宋体" w:eastAsia="宋体" w:hint="default"/>
          <w:spacing w:val="-10"/>
        </w:rPr>
        <w:t>2011</w:t>
      </w:r>
      <w:r>
        <w:rPr>
          <w:rFonts w:ascii="宋体" w:hAnsi="宋体" w:cs="宋体" w:eastAsia="宋体" w:hint="default"/>
          <w:spacing w:val="-43"/>
        </w:rPr>
        <w:t> </w:t>
      </w:r>
      <w:r>
        <w:rPr>
          <w:spacing w:val="-10"/>
        </w:rPr>
        <w:t>年度上海明星软件企业（经营型、出口型、创新型）”，公司</w:t>
      </w:r>
      <w:r>
        <w:rPr>
          <w:spacing w:val="-118"/>
        </w:rPr>
        <w:t> </w:t>
      </w:r>
      <w:r>
        <w:rPr>
          <w:spacing w:val="-118"/>
        </w:rPr>
      </w:r>
      <w:r>
        <w:rPr>
          <w:spacing w:val="-6"/>
        </w:rPr>
        <w:t>注册商标“</w:t>
      </w:r>
      <w:r>
        <w:rPr>
          <w:rFonts w:ascii="宋体" w:hAnsi="宋体" w:cs="宋体" w:eastAsia="宋体" w:hint="default"/>
          <w:spacing w:val="-6"/>
        </w:rPr>
        <w:t>HYRON</w:t>
      </w:r>
      <w:r>
        <w:rPr>
          <w:spacing w:val="-6"/>
        </w:rPr>
        <w:t>”被上海市工商行政管理局认定为“上海市著名商标”。公司整体的开</w:t>
      </w:r>
      <w:r>
        <w:rPr>
          <w:spacing w:val="-85"/>
        </w:rPr>
        <w:t> </w:t>
      </w:r>
      <w:r>
        <w:rPr>
          <w:spacing w:val="-85"/>
        </w:rPr>
      </w:r>
      <w:r>
        <w:rPr/>
        <w:t>发管理水平、质量水平多次得到客户的嘉奖，在业内获得良好的评价。</w:t>
      </w:r>
    </w:p>
    <w:p>
      <w:pPr>
        <w:pStyle w:val="BodyText"/>
        <w:spacing w:line="357" w:lineRule="auto"/>
        <w:ind w:right="199" w:firstLine="480"/>
        <w:jc w:val="both"/>
      </w:pPr>
      <w:r>
        <w:rPr>
          <w:rFonts w:ascii="宋体" w:hAnsi="宋体" w:cs="宋体" w:eastAsia="宋体" w:hint="default"/>
        </w:rPr>
        <w:t>6</w:t>
      </w:r>
      <w:r>
        <w:rPr/>
        <w:t>、报告期内，公司整体经营保持长期稳健持续发展的态势，财务状况健康平稳， 公司实现营业收入</w:t>
      </w:r>
      <w:r>
        <w:rPr>
          <w:spacing w:val="-61"/>
        </w:rPr>
        <w:t> </w:t>
      </w:r>
      <w:r>
        <w:rPr>
          <w:rFonts w:ascii="宋体" w:hAnsi="宋体" w:cs="宋体" w:eastAsia="宋体" w:hint="default"/>
        </w:rPr>
        <w:t>39,070</w:t>
      </w:r>
      <w:r>
        <w:rPr>
          <w:rFonts w:ascii="宋体" w:hAnsi="宋体" w:cs="宋体" w:eastAsia="宋体" w:hint="default"/>
          <w:spacing w:val="-60"/>
        </w:rPr>
        <w:t> </w:t>
      </w:r>
      <w:r>
        <w:rPr/>
        <w:t>万元，较上年同比增长</w:t>
      </w:r>
      <w:r>
        <w:rPr>
          <w:spacing w:val="-60"/>
        </w:rPr>
        <w:t> </w:t>
      </w:r>
      <w:r>
        <w:rPr>
          <w:rFonts w:ascii="宋体" w:hAnsi="宋体" w:cs="宋体" w:eastAsia="宋体" w:hint="default"/>
        </w:rPr>
        <w:t>32.78%</w:t>
      </w:r>
      <w:r>
        <w:rPr/>
        <w:t>；实现营业利润</w:t>
      </w:r>
      <w:r>
        <w:rPr>
          <w:spacing w:val="-60"/>
        </w:rPr>
        <w:t> </w:t>
      </w:r>
      <w:r>
        <w:rPr>
          <w:rFonts w:ascii="宋体" w:hAnsi="宋体" w:cs="宋体" w:eastAsia="宋体" w:hint="default"/>
        </w:rPr>
        <w:t>7,224</w:t>
      </w:r>
      <w:r>
        <w:rPr>
          <w:rFonts w:ascii="宋体" w:hAnsi="宋体" w:cs="宋体" w:eastAsia="宋体" w:hint="default"/>
          <w:spacing w:val="-60"/>
        </w:rPr>
        <w:t> </w:t>
      </w:r>
      <w:r>
        <w:rPr/>
        <w:t>万元， 较上年同比增长</w:t>
      </w:r>
      <w:r>
        <w:rPr>
          <w:spacing w:val="-70"/>
        </w:rPr>
        <w:t> </w:t>
      </w:r>
      <w:r>
        <w:rPr>
          <w:rFonts w:ascii="宋体" w:hAnsi="宋体" w:cs="宋体" w:eastAsia="宋体" w:hint="default"/>
        </w:rPr>
        <w:t>61.20%</w:t>
      </w:r>
      <w:r>
        <w:rPr/>
        <w:t>；归属于上市公司股东的净利润</w:t>
      </w:r>
      <w:r>
        <w:rPr>
          <w:spacing w:val="-69"/>
        </w:rPr>
        <w:t> </w:t>
      </w:r>
      <w:r>
        <w:rPr>
          <w:rFonts w:ascii="宋体" w:hAnsi="宋体" w:cs="宋体" w:eastAsia="宋体" w:hint="default"/>
        </w:rPr>
        <w:t>6,497.02</w:t>
      </w:r>
      <w:r>
        <w:rPr>
          <w:rFonts w:ascii="宋体" w:hAnsi="宋体" w:cs="宋体" w:eastAsia="宋体" w:hint="default"/>
          <w:spacing w:val="-69"/>
        </w:rPr>
        <w:t> </w:t>
      </w:r>
      <w:r>
        <w:rPr/>
        <w:t>万元，较上年同比增 长</w:t>
      </w:r>
      <w:r>
        <w:rPr>
          <w:spacing w:val="-61"/>
        </w:rPr>
        <w:t> </w:t>
      </w:r>
      <w:r>
        <w:rPr>
          <w:rFonts w:ascii="宋体" w:hAnsi="宋体" w:cs="宋体" w:eastAsia="宋体" w:hint="default"/>
        </w:rPr>
        <w:t>43.73%</w:t>
      </w:r>
      <w:r>
        <w:rPr/>
        <w:t>。</w:t>
      </w:r>
    </w:p>
    <w:p>
      <w:pPr>
        <w:pStyle w:val="BodyText"/>
        <w:spacing w:line="357" w:lineRule="auto"/>
        <w:ind w:right="231" w:firstLine="480"/>
        <w:jc w:val="both"/>
      </w:pPr>
      <w:r>
        <w:rPr>
          <w:spacing w:val="-3"/>
        </w:rPr>
        <w:t>公司董事会及经营管理层将继续努力稳固业务发展趋势，保持公司长期稳定发展的</w:t>
      </w:r>
      <w:r>
        <w:rPr/>
        <w:t> 良好经营态势。</w:t>
      </w:r>
    </w:p>
    <w:p>
      <w:pPr>
        <w:spacing w:line="357" w:lineRule="auto" w:before="36"/>
        <w:ind w:left="603" w:right="183" w:hanging="420"/>
        <w:jc w:val="left"/>
        <w:rPr>
          <w:rFonts w:ascii="宋体" w:hAnsi="宋体" w:cs="宋体" w:eastAsia="宋体" w:hint="default"/>
          <w:sz w:val="24"/>
          <w:szCs w:val="24"/>
        </w:rPr>
      </w:pPr>
      <w:r>
        <w:rPr>
          <w:rFonts w:ascii="宋体" w:hAnsi="宋体" w:cs="宋体" w:eastAsia="宋体" w:hint="default"/>
          <w:b/>
          <w:bCs/>
          <w:sz w:val="24"/>
          <w:szCs w:val="24"/>
        </w:rPr>
        <w:t>（二）公司主营业务及其经营情况</w:t>
      </w:r>
      <w:r>
        <w:rPr>
          <w:rFonts w:ascii="宋体" w:hAnsi="宋体" w:cs="宋体" w:eastAsia="宋体" w:hint="default"/>
          <w:b/>
          <w:bCs/>
          <w:w w:val="99"/>
          <w:sz w:val="24"/>
          <w:szCs w:val="24"/>
        </w:rPr>
        <w:t> </w:t>
      </w:r>
      <w:r>
        <w:rPr>
          <w:rFonts w:ascii="宋体" w:hAnsi="宋体" w:cs="宋体" w:eastAsia="宋体" w:hint="default"/>
          <w:sz w:val="24"/>
          <w:szCs w:val="24"/>
        </w:rPr>
        <w:t>公司的主营业务为面向海外的软件外包服务，公司的主要客户均是金融、制造业、</w:t>
      </w:r>
    </w:p>
    <w:p>
      <w:pPr>
        <w:pStyle w:val="BodyText"/>
        <w:spacing w:line="240" w:lineRule="auto"/>
        <w:ind w:right="0"/>
        <w:jc w:val="both"/>
      </w:pPr>
      <w:r>
        <w:rPr/>
        <w:t>大型系统集成商等海外一流企业。</w:t>
      </w:r>
    </w:p>
    <w:p>
      <w:pPr>
        <w:spacing w:after="0" w:line="240" w:lineRule="auto"/>
        <w:jc w:val="both"/>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6" w:footer="1186" w:top="1100" w:bottom="1380" w:left="1240" w:right="1160"/>
        </w:sectPr>
      </w:pPr>
    </w:p>
    <w:p>
      <w:pPr>
        <w:pStyle w:val="Heading3"/>
        <w:spacing w:line="240" w:lineRule="auto"/>
        <w:ind w:left="243" w:right="0"/>
        <w:jc w:val="left"/>
        <w:rPr>
          <w:b w:val="0"/>
          <w:bCs w:val="0"/>
        </w:rPr>
      </w:pPr>
      <w:r>
        <w:rPr>
          <w:rFonts w:ascii="宋体" w:hAnsi="宋体" w:cs="宋体" w:eastAsia="宋体" w:hint="default"/>
          <w:w w:val="95"/>
        </w:rPr>
        <w:t>1</w:t>
      </w:r>
      <w:r>
        <w:rPr>
          <w:w w:val="95"/>
        </w:rPr>
        <w:t>、近三年主要财务数据、财务指标的变动情况及原因说明</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24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380" w:left="1240" w:right="1160"/>
          <w:cols w:num="2" w:equalWidth="0">
            <w:col w:w="6386" w:space="1699"/>
            <w:col w:w="1425"/>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525"/>
        <w:gridCol w:w="1826"/>
        <w:gridCol w:w="1793"/>
        <w:gridCol w:w="1424"/>
        <w:gridCol w:w="1697"/>
      </w:tblGrid>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56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54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32" w:right="178" w:hanging="53"/>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5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390,699,391.77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294,250,120.89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32.78%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192,961,837.63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72,238,297.16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44,813,549.38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61.20%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16,658,797.34</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79,189,253.76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53,926,503.80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46.85%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23,437,064.73</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pacing w:val="18"/>
                <w:sz w:val="21"/>
                <w:szCs w:val="21"/>
              </w:rPr>
              <w:t>归属于上市公司股东的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净利润</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64,970,176.54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45,202,806.42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43.73%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20,274,036.09</w:t>
            </w:r>
          </w:p>
        </w:tc>
      </w:tr>
      <w:tr>
        <w:trPr>
          <w:trHeight w:val="946"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5" w:right="99"/>
              <w:jc w:val="both"/>
              <w:rPr>
                <w:rFonts w:ascii="宋体" w:hAnsi="宋体" w:cs="宋体" w:eastAsia="宋体" w:hint="default"/>
                <w:sz w:val="21"/>
                <w:szCs w:val="21"/>
              </w:rPr>
            </w:pPr>
            <w:r>
              <w:rPr>
                <w:rFonts w:ascii="宋体" w:hAnsi="宋体" w:cs="宋体" w:eastAsia="宋体" w:hint="default"/>
                <w:spacing w:val="18"/>
                <w:sz w:val="21"/>
                <w:szCs w:val="21"/>
              </w:rPr>
              <w:t>归属于上市公司股东的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8"/>
                <w:sz w:val="21"/>
                <w:szCs w:val="21"/>
              </w:rPr>
              <w:t>扣除非经常性损益的净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利润</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59,349,124.77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37,418,074.50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58.61%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14,463,187.89</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pacing w:val="18"/>
                <w:sz w:val="21"/>
                <w:szCs w:val="21"/>
              </w:rPr>
              <w:t>经营活动产生的现金流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量净额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81,178,243.88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42,890,745.78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z w:val="21"/>
              </w:rPr>
              <w:t>89.27%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25,446,412.28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0.580454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0.403849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43.73%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0.181131</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6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4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5" w:firstLine="76"/>
              <w:jc w:val="left"/>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w w:val="100"/>
                <w:sz w:val="21"/>
                <w:szCs w:val="21"/>
              </w:rPr>
              <w:t> </w:t>
            </w:r>
            <w:r>
              <w:rPr>
                <w:rFonts w:ascii="宋体" w:hAnsi="宋体" w:cs="宋体" w:eastAsia="宋体" w:hint="default"/>
                <w:spacing w:val="-9"/>
                <w:sz w:val="21"/>
                <w:szCs w:val="21"/>
              </w:rPr>
              <w:t>年末增减（</w:t>
            </w:r>
            <w:r>
              <w:rPr>
                <w:rFonts w:ascii="宋体" w:hAnsi="宋体" w:cs="宋体" w:eastAsia="宋体" w:hint="default"/>
                <w:spacing w:val="-9"/>
                <w:sz w:val="21"/>
                <w:szCs w:val="21"/>
              </w:rPr>
              <w:t>%</w:t>
            </w:r>
            <w:r>
              <w:rPr>
                <w:rFonts w:ascii="宋体" w:hAnsi="宋体" w:cs="宋体" w:eastAsia="宋体" w:hint="default"/>
                <w:spacing w:val="-9"/>
                <w:sz w:val="21"/>
                <w:szCs w:val="21"/>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39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424,018,387.73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358,889,318.01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18.15%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314,805,245.41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40,748,732.50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37,704,471.48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8.07%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37,012,098.86</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pacing w:val="18"/>
                <w:sz w:val="21"/>
                <w:szCs w:val="21"/>
              </w:rPr>
              <w:t>归属于上市公司股东的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所有者权益</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367,214,329.07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305,786,338.42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20.09%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267,686,166.01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1" w:right="0"/>
              <w:jc w:val="left"/>
              <w:rPr>
                <w:rFonts w:ascii="宋体" w:hAnsi="宋体" w:cs="宋体" w:eastAsia="宋体" w:hint="default"/>
                <w:sz w:val="21"/>
                <w:szCs w:val="21"/>
              </w:rPr>
            </w:pPr>
            <w:r>
              <w:rPr>
                <w:rFonts w:ascii="宋体"/>
                <w:sz w:val="21"/>
              </w:rPr>
              <w:t>111,930,000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sz w:val="21"/>
              </w:rPr>
              <w:t>74,620,000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sz w:val="21"/>
              </w:rPr>
              <w:t>74,620,000</w:t>
            </w:r>
          </w:p>
        </w:tc>
      </w:tr>
    </w:tbl>
    <w:p>
      <w:pPr>
        <w:pStyle w:val="BodyText"/>
        <w:spacing w:line="240" w:lineRule="auto" w:before="39"/>
        <w:ind w:left="709" w:right="279"/>
        <w:jc w:val="left"/>
      </w:pPr>
      <w:r>
        <w:rPr/>
        <w:t>主要财务指标变动情况说明：</w:t>
      </w:r>
    </w:p>
    <w:p>
      <w:pPr>
        <w:pStyle w:val="BodyText"/>
        <w:spacing w:line="357" w:lineRule="auto" w:before="154"/>
        <w:ind w:left="243" w:right="231" w:firstLine="465"/>
        <w:jc w:val="both"/>
      </w:pPr>
      <w:r>
        <w:rPr>
          <w:rFonts w:ascii="宋体" w:hAnsi="宋体" w:cs="宋体" w:eastAsia="宋体" w:hint="default"/>
        </w:rPr>
        <w:t>2011 </w:t>
      </w:r>
      <w:r>
        <w:rPr/>
        <w:t>年度营业总收入同比增长</w:t>
      </w:r>
      <w:r>
        <w:rPr>
          <w:spacing w:val="-77"/>
        </w:rPr>
        <w:t> </w:t>
      </w:r>
      <w:r>
        <w:rPr>
          <w:rFonts w:ascii="宋体" w:hAnsi="宋体" w:cs="宋体" w:eastAsia="宋体" w:hint="default"/>
        </w:rPr>
        <w:t>32.78%</w:t>
      </w:r>
      <w:r>
        <w:rPr/>
        <w:t>的主要原因为：本年来自海外业务市场的订 单增加，对海外企业销售增长较快所致；</w:t>
      </w:r>
    </w:p>
    <w:p>
      <w:pPr>
        <w:pStyle w:val="BodyText"/>
        <w:spacing w:line="240" w:lineRule="auto"/>
        <w:ind w:left="709" w:right="183"/>
        <w:jc w:val="left"/>
      </w:pPr>
      <w:r>
        <w:rPr>
          <w:rFonts w:ascii="宋体" w:hAnsi="宋体" w:cs="宋体" w:eastAsia="宋体" w:hint="default"/>
        </w:rPr>
        <w:t>2011</w:t>
      </w:r>
      <w:r>
        <w:rPr>
          <w:rFonts w:ascii="宋体" w:hAnsi="宋体" w:cs="宋体" w:eastAsia="宋体" w:hint="default"/>
          <w:spacing w:val="-61"/>
        </w:rPr>
        <w:t> </w:t>
      </w:r>
      <w:r>
        <w:rPr/>
        <w:t>年度营业利润同比增长</w:t>
      </w:r>
      <w:r>
        <w:rPr>
          <w:spacing w:val="-60"/>
        </w:rPr>
        <w:t> </w:t>
      </w:r>
      <w:r>
        <w:rPr>
          <w:rFonts w:ascii="宋体" w:hAnsi="宋体" w:cs="宋体" w:eastAsia="宋体" w:hint="default"/>
        </w:rPr>
        <w:t>61.20%</w:t>
      </w:r>
      <w:r>
        <w:rPr/>
        <w:t>的主要原因为：公司主营业务规模增加所致；</w:t>
      </w:r>
    </w:p>
    <w:p>
      <w:pPr>
        <w:pStyle w:val="BodyText"/>
        <w:spacing w:line="357" w:lineRule="auto" w:before="154"/>
        <w:ind w:left="243" w:right="231" w:firstLine="465"/>
        <w:jc w:val="both"/>
      </w:pPr>
      <w:r>
        <w:rPr>
          <w:rFonts w:ascii="宋体" w:hAnsi="宋体" w:cs="宋体" w:eastAsia="宋体" w:hint="default"/>
        </w:rPr>
        <w:t>2011</w:t>
      </w:r>
      <w:r>
        <w:rPr>
          <w:rFonts w:ascii="宋体" w:hAnsi="宋体" w:cs="宋体" w:eastAsia="宋体" w:hint="default"/>
          <w:spacing w:val="36"/>
        </w:rPr>
        <w:t> </w:t>
      </w:r>
      <w:r>
        <w:rPr/>
        <w:t>年度利润总额、归属于上市公司股东的净利润、归属于上市公司股东的扣除 非经常性损益的净利润同期比分别增长 </w:t>
      </w:r>
      <w:r>
        <w:rPr>
          <w:rFonts w:ascii="宋体" w:hAnsi="宋体" w:cs="宋体" w:eastAsia="宋体" w:hint="default"/>
        </w:rPr>
        <w:t>46.85%</w:t>
      </w:r>
      <w:r>
        <w:rPr/>
        <w:t>、</w:t>
      </w:r>
      <w:r>
        <w:rPr>
          <w:rFonts w:ascii="宋体" w:hAnsi="宋体" w:cs="宋体" w:eastAsia="宋体" w:hint="default"/>
        </w:rPr>
        <w:t>43.73%</w:t>
      </w:r>
      <w:r>
        <w:rPr/>
        <w:t>和</w:t>
      </w:r>
      <w:r>
        <w:rPr>
          <w:spacing w:val="-92"/>
        </w:rPr>
        <w:t> </w:t>
      </w:r>
      <w:r>
        <w:rPr>
          <w:rFonts w:ascii="宋体" w:hAnsi="宋体" w:cs="宋体" w:eastAsia="宋体" w:hint="default"/>
        </w:rPr>
        <w:t>58.61%</w:t>
      </w:r>
      <w:r>
        <w:rPr/>
        <w:t>，主要系营业利润同 期比增加所致；</w:t>
      </w:r>
    </w:p>
    <w:p>
      <w:pPr>
        <w:pStyle w:val="BodyText"/>
        <w:spacing w:line="357" w:lineRule="auto"/>
        <w:ind w:left="243" w:right="231" w:firstLine="465"/>
        <w:jc w:val="both"/>
      </w:pPr>
      <w:r>
        <w:rPr>
          <w:rFonts w:ascii="宋体" w:hAnsi="宋体" w:cs="宋体" w:eastAsia="宋体" w:hint="default"/>
        </w:rPr>
        <w:t>2011 </w:t>
      </w:r>
      <w:r>
        <w:rPr/>
        <w:t>年度经营活动产生的现金流量净额同比增长</w:t>
      </w:r>
      <w:r>
        <w:rPr>
          <w:spacing w:val="-77"/>
        </w:rPr>
        <w:t> </w:t>
      </w:r>
      <w:r>
        <w:rPr>
          <w:rFonts w:ascii="宋体" w:hAnsi="宋体" w:cs="宋体" w:eastAsia="宋体" w:hint="default"/>
        </w:rPr>
        <w:t>89.27%</w:t>
      </w:r>
      <w:r>
        <w:rPr/>
        <w:t>的主要系营业收入增加， 且账款正常回收所致；</w:t>
      </w:r>
    </w:p>
    <w:p>
      <w:pPr>
        <w:pStyle w:val="BodyText"/>
        <w:spacing w:line="357" w:lineRule="auto"/>
        <w:ind w:left="243" w:right="231" w:firstLine="465"/>
        <w:jc w:val="both"/>
      </w:pPr>
      <w:r>
        <w:rPr>
          <w:rFonts w:ascii="宋体" w:hAnsi="宋体" w:cs="宋体" w:eastAsia="宋体" w:hint="default"/>
        </w:rPr>
        <w:t>2011 </w:t>
      </w:r>
      <w:r>
        <w:rPr/>
        <w:t>年度基本每股收益同比增长</w:t>
      </w:r>
      <w:r>
        <w:rPr>
          <w:spacing w:val="-77"/>
        </w:rPr>
        <w:t> </w:t>
      </w:r>
      <w:r>
        <w:rPr>
          <w:rFonts w:ascii="宋体" w:hAnsi="宋体" w:cs="宋体" w:eastAsia="宋体" w:hint="default"/>
        </w:rPr>
        <w:t>43.73%</w:t>
      </w:r>
      <w:r>
        <w:rPr/>
        <w:t>的主要原因：归属于上市公司股东的净利 润同期比增加所致；</w:t>
      </w:r>
    </w:p>
    <w:p>
      <w:pPr>
        <w:pStyle w:val="BodyText"/>
        <w:spacing w:line="240" w:lineRule="auto"/>
        <w:ind w:left="709" w:right="183"/>
        <w:jc w:val="left"/>
      </w:pPr>
      <w:r>
        <w:rPr>
          <w:rFonts w:ascii="宋体" w:hAnsi="宋体" w:cs="宋体" w:eastAsia="宋体" w:hint="default"/>
        </w:rPr>
        <w:t>2011</w:t>
      </w:r>
      <w:r>
        <w:rPr>
          <w:rFonts w:ascii="宋体" w:hAnsi="宋体" w:cs="宋体" w:eastAsia="宋体" w:hint="default"/>
          <w:spacing w:val="-64"/>
        </w:rPr>
        <w:t> </w:t>
      </w:r>
      <w:r>
        <w:rPr/>
        <w:t>年度总股本同比增长</w:t>
      </w:r>
      <w:r>
        <w:rPr>
          <w:spacing w:val="-63"/>
        </w:rPr>
        <w:t> </w:t>
      </w:r>
      <w:r>
        <w:rPr>
          <w:rFonts w:ascii="宋体" w:hAnsi="宋体" w:cs="宋体" w:eastAsia="宋体" w:hint="default"/>
        </w:rPr>
        <w:t>50%</w:t>
      </w:r>
      <w:r>
        <w:rPr/>
        <w:t>的主要原因：</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月，公司实施了</w:t>
      </w:r>
      <w:r>
        <w:rPr>
          <w:spacing w:val="-63"/>
        </w:rPr>
        <w:t> </w:t>
      </w:r>
      <w:r>
        <w:rPr>
          <w:rFonts w:ascii="宋体" w:hAnsi="宋体" w:cs="宋体" w:eastAsia="宋体" w:hint="default"/>
        </w:rPr>
        <w:t>2010</w:t>
      </w:r>
      <w:r>
        <w:rPr>
          <w:rFonts w:ascii="宋体" w:hAnsi="宋体" w:cs="宋体" w:eastAsia="宋体" w:hint="default"/>
          <w:spacing w:val="-63"/>
        </w:rPr>
        <w:t> </w:t>
      </w:r>
      <w:r>
        <w:rPr/>
        <w:t>年度权</w:t>
      </w:r>
    </w:p>
    <w:p>
      <w:pPr>
        <w:pStyle w:val="BodyText"/>
        <w:spacing w:line="240" w:lineRule="auto" w:before="154"/>
        <w:ind w:left="243" w:right="183"/>
        <w:jc w:val="left"/>
      </w:pPr>
      <w:r>
        <w:rPr>
          <w:spacing w:val="-5"/>
        </w:rPr>
        <w:t>益分派方案，以</w:t>
      </w:r>
      <w:r>
        <w:rPr>
          <w:spacing w:val="-60"/>
        </w:rPr>
        <w:t> </w:t>
      </w:r>
      <w:r>
        <w:rPr>
          <w:rFonts w:ascii="宋体" w:hAnsi="宋体" w:cs="宋体" w:eastAsia="宋体" w:hint="default"/>
        </w:rPr>
        <w:t>2010</w:t>
      </w:r>
      <w:r>
        <w:rPr>
          <w:rFonts w:ascii="宋体" w:hAnsi="宋体" w:cs="宋体" w:eastAsia="宋体" w:hint="default"/>
          <w:spacing w:val="-59"/>
        </w:rPr>
        <w:t> </w:t>
      </w:r>
      <w:r>
        <w:rPr/>
        <w:t>年末总股本</w:t>
      </w:r>
      <w:r>
        <w:rPr>
          <w:spacing w:val="-59"/>
        </w:rPr>
        <w:t> </w:t>
      </w:r>
      <w:r>
        <w:rPr>
          <w:rFonts w:ascii="宋体" w:hAnsi="宋体" w:cs="宋体" w:eastAsia="宋体" w:hint="default"/>
        </w:rPr>
        <w:t>7,462</w:t>
      </w:r>
      <w:r>
        <w:rPr>
          <w:rFonts w:ascii="宋体" w:hAnsi="宋体" w:cs="宋体" w:eastAsia="宋体" w:hint="default"/>
          <w:spacing w:val="-59"/>
        </w:rPr>
        <w:t> </w:t>
      </w:r>
      <w:r>
        <w:rPr>
          <w:spacing w:val="-3"/>
        </w:rPr>
        <w:t>万股为基数，向全体股东每</w:t>
      </w:r>
      <w:r>
        <w:rPr>
          <w:spacing w:val="-59"/>
        </w:rPr>
        <w:t> </w:t>
      </w:r>
      <w:r>
        <w:rPr>
          <w:rFonts w:ascii="宋体" w:hAnsi="宋体" w:cs="宋体" w:eastAsia="宋体" w:hint="default"/>
        </w:rPr>
        <w:t>10</w:t>
      </w:r>
      <w:r>
        <w:rPr>
          <w:rFonts w:ascii="宋体" w:hAnsi="宋体" w:cs="宋体" w:eastAsia="宋体" w:hint="default"/>
          <w:spacing w:val="-59"/>
        </w:rPr>
        <w:t> </w:t>
      </w:r>
      <w:r>
        <w:rPr/>
        <w:t>股转增</w:t>
      </w:r>
      <w:r>
        <w:rPr>
          <w:spacing w:val="-59"/>
        </w:rPr>
        <w:t> </w:t>
      </w:r>
      <w:r>
        <w:rPr>
          <w:rFonts w:ascii="宋体" w:hAnsi="宋体" w:cs="宋体" w:eastAsia="宋体" w:hint="default"/>
        </w:rPr>
        <w:t>5</w:t>
      </w:r>
      <w:r>
        <w:rPr>
          <w:rFonts w:ascii="宋体" w:hAnsi="宋体" w:cs="宋体" w:eastAsia="宋体" w:hint="default"/>
          <w:spacing w:val="-59"/>
        </w:rPr>
        <w:t> </w:t>
      </w:r>
      <w:r>
        <w:rPr>
          <w:spacing w:val="-11"/>
        </w:rPr>
        <w:t>股，共</w:t>
      </w:r>
    </w:p>
    <w:p>
      <w:pPr>
        <w:pStyle w:val="BodyText"/>
        <w:spacing w:line="240" w:lineRule="auto" w:before="154"/>
        <w:ind w:left="243" w:right="279"/>
        <w:jc w:val="left"/>
      </w:pPr>
      <w:r>
        <w:rPr/>
        <w:t>转增</w:t>
      </w:r>
      <w:r>
        <w:rPr>
          <w:spacing w:val="-61"/>
        </w:rPr>
        <w:t> </w:t>
      </w:r>
      <w:r>
        <w:rPr>
          <w:rFonts w:ascii="宋体" w:hAnsi="宋体" w:cs="宋体" w:eastAsia="宋体" w:hint="default"/>
        </w:rPr>
        <w:t>3,731</w:t>
      </w:r>
      <w:r>
        <w:rPr>
          <w:rFonts w:ascii="宋体" w:hAnsi="宋体" w:cs="宋体" w:eastAsia="宋体" w:hint="default"/>
          <w:spacing w:val="-60"/>
        </w:rPr>
        <w:t> </w:t>
      </w:r>
      <w:r>
        <w:rPr/>
        <w:t>万股所致。</w:t>
      </w:r>
    </w:p>
    <w:p>
      <w:pPr>
        <w:spacing w:after="0" w:line="240" w:lineRule="auto"/>
        <w:jc w:val="left"/>
        <w:sectPr>
          <w:type w:val="continuous"/>
          <w:pgSz w:w="11910" w:h="16840"/>
          <w:pgMar w:top="1100" w:bottom="1380" w:left="1240" w:right="116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6" w:footer="1186" w:top="1100" w:bottom="1380" w:left="1300" w:right="620"/>
        </w:sectPr>
      </w:pPr>
    </w:p>
    <w:p>
      <w:pPr>
        <w:pStyle w:val="Heading3"/>
        <w:spacing w:line="240" w:lineRule="auto"/>
        <w:ind w:right="0"/>
        <w:jc w:val="left"/>
        <w:rPr>
          <w:b w:val="0"/>
          <w:bCs w:val="0"/>
        </w:rPr>
      </w:pPr>
      <w:r>
        <w:rPr>
          <w:rFonts w:ascii="宋体" w:hAnsi="宋体" w:cs="宋体" w:eastAsia="宋体" w:hint="default"/>
          <w:w w:val="95"/>
        </w:rPr>
        <w:t>2</w:t>
      </w:r>
      <w:r>
        <w:rPr>
          <w:w w:val="95"/>
        </w:rPr>
        <w:t>、主要业务分行业、产品情况表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18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380" w:left="1300" w:right="620"/>
          <w:cols w:num="2" w:equalWidth="0">
            <w:col w:w="3677" w:space="4302"/>
            <w:col w:w="2011"/>
          </w:cols>
        </w:sectPr>
      </w:pP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1663"/>
        <w:gridCol w:w="677"/>
        <w:gridCol w:w="823"/>
        <w:gridCol w:w="348"/>
        <w:gridCol w:w="1162"/>
        <w:gridCol w:w="896"/>
        <w:gridCol w:w="1313"/>
        <w:gridCol w:w="1311"/>
        <w:gridCol w:w="1495"/>
      </w:tblGrid>
      <w:tr>
        <w:trPr>
          <w:trHeight w:val="322" w:hRule="exact"/>
        </w:trPr>
        <w:tc>
          <w:tcPr>
            <w:tcW w:w="968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234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17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2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4" w:right="122"/>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4" w:right="12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3"/>
              <w:ind w:left="271" w:right="105" w:hanging="156"/>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金融信息服务业</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23,017.91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12,860.35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44.13%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43.58%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39.68%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1.56%</w:t>
            </w:r>
          </w:p>
        </w:tc>
      </w:tr>
      <w:tr>
        <w:trPr>
          <w:trHeight w:val="324"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制造业（嵌入式等）</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0" w:right="0"/>
              <w:jc w:val="left"/>
              <w:rPr>
                <w:rFonts w:ascii="宋体" w:hAnsi="宋体" w:cs="宋体" w:eastAsia="宋体" w:hint="default"/>
                <w:sz w:val="21"/>
                <w:szCs w:val="21"/>
              </w:rPr>
            </w:pPr>
            <w:r>
              <w:rPr>
                <w:rFonts w:ascii="宋体"/>
                <w:sz w:val="21"/>
              </w:rPr>
              <w:t>5,791.04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0"/>
              <w:jc w:val="center"/>
              <w:rPr>
                <w:rFonts w:ascii="宋体" w:hAnsi="宋体" w:cs="宋体" w:eastAsia="宋体" w:hint="default"/>
                <w:sz w:val="21"/>
                <w:szCs w:val="21"/>
              </w:rPr>
            </w:pPr>
            <w:r>
              <w:rPr>
                <w:rFonts w:ascii="宋体"/>
                <w:sz w:val="21"/>
              </w:rPr>
              <w:t>3,649.53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36.98%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17.67%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12.92%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2.65%</w:t>
            </w:r>
          </w:p>
        </w:tc>
      </w:tr>
      <w:tr>
        <w:trPr>
          <w:trHeight w:val="634"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pacing w:val="13"/>
                <w:sz w:val="22"/>
                <w:szCs w:val="22"/>
              </w:rPr>
              <w:t>移动电话及移动互联</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网相关业务</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0" w:right="0"/>
              <w:jc w:val="left"/>
              <w:rPr>
                <w:rFonts w:ascii="宋体" w:hAnsi="宋体" w:cs="宋体" w:eastAsia="宋体" w:hint="default"/>
                <w:sz w:val="21"/>
                <w:szCs w:val="21"/>
              </w:rPr>
            </w:pPr>
            <w:r>
              <w:rPr>
                <w:rFonts w:ascii="宋体"/>
                <w:sz w:val="21"/>
              </w:rPr>
              <w:t>4,327.89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2" w:right="0"/>
              <w:jc w:val="center"/>
              <w:rPr>
                <w:rFonts w:ascii="宋体" w:hAnsi="宋体" w:cs="宋体" w:eastAsia="宋体" w:hint="default"/>
                <w:sz w:val="21"/>
                <w:szCs w:val="21"/>
              </w:rPr>
            </w:pPr>
            <w:r>
              <w:rPr>
                <w:rFonts w:ascii="宋体"/>
                <w:sz w:val="21"/>
              </w:rPr>
              <w:t>2,561.48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40.81%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10.73%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9.16%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0.85%</w:t>
            </w:r>
          </w:p>
        </w:tc>
      </w:tr>
      <w:tr>
        <w:trPr>
          <w:trHeight w:val="634"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流通行业系统软件及</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系统集成业务</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0" w:right="0"/>
              <w:jc w:val="left"/>
              <w:rPr>
                <w:rFonts w:ascii="宋体" w:hAnsi="宋体" w:cs="宋体" w:eastAsia="宋体" w:hint="default"/>
                <w:sz w:val="21"/>
                <w:szCs w:val="21"/>
              </w:rPr>
            </w:pPr>
            <w:r>
              <w:rPr>
                <w:rFonts w:ascii="宋体"/>
                <w:sz w:val="21"/>
              </w:rPr>
              <w:t>3,567.32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2" w:right="0"/>
              <w:jc w:val="center"/>
              <w:rPr>
                <w:rFonts w:ascii="宋体" w:hAnsi="宋体" w:cs="宋体" w:eastAsia="宋体" w:hint="default"/>
                <w:sz w:val="21"/>
                <w:szCs w:val="21"/>
              </w:rPr>
            </w:pPr>
            <w:r>
              <w:rPr>
                <w:rFonts w:ascii="宋体"/>
                <w:sz w:val="21"/>
              </w:rPr>
              <w:t>2,099.56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z w:val="21"/>
              </w:rPr>
              <w:t>41.14%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24.71%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22.33%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1.14%</w:t>
            </w:r>
          </w:p>
        </w:tc>
      </w:tr>
      <w:tr>
        <w:trPr>
          <w:trHeight w:val="322"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电子商务及其他</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sz w:val="21"/>
              </w:rPr>
              <w:t>2,322.30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sz w:val="21"/>
              </w:rPr>
              <w:t>1,446.93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37.69%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39.54%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36.20%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1.53%</w:t>
            </w:r>
          </w:p>
        </w:tc>
      </w:tr>
      <w:tr>
        <w:trPr>
          <w:trHeight w:val="322"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 w:right="0"/>
              <w:jc w:val="left"/>
              <w:rPr>
                <w:rFonts w:ascii="宋体" w:hAnsi="宋体" w:cs="宋体" w:eastAsia="宋体" w:hint="default"/>
                <w:sz w:val="21"/>
                <w:szCs w:val="21"/>
              </w:rPr>
            </w:pPr>
            <w:r>
              <w:rPr>
                <w:rFonts w:ascii="宋体"/>
                <w:sz w:val="21"/>
              </w:rPr>
              <w:t>39,026.46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sz w:val="21"/>
              </w:rPr>
              <w:t>22,617.85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42.04%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28.77%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1.81%</w:t>
            </w:r>
          </w:p>
        </w:tc>
      </w:tr>
      <w:tr>
        <w:trPr>
          <w:trHeight w:val="323" w:hRule="exact"/>
        </w:trPr>
        <w:tc>
          <w:tcPr>
            <w:tcW w:w="968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7" w:hRule="exact"/>
        </w:trPr>
        <w:tc>
          <w:tcPr>
            <w:tcW w:w="16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12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4" w:right="122"/>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4" w:right="12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271" w:right="105" w:hanging="156"/>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sz w:val="21"/>
              </w:rPr>
              <w:t>35,278.27</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sz w:val="21"/>
              </w:rPr>
              <w:t>19,727.74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44.08%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34.68%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29.21%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2.37%</w:t>
            </w:r>
          </w:p>
        </w:tc>
      </w:tr>
      <w:tr>
        <w:trPr>
          <w:trHeight w:val="32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硬件服务</w:t>
            </w: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9" w:right="0"/>
              <w:jc w:val="left"/>
              <w:rPr>
                <w:rFonts w:ascii="宋体" w:hAnsi="宋体" w:cs="宋体" w:eastAsia="宋体" w:hint="default"/>
                <w:sz w:val="21"/>
                <w:szCs w:val="21"/>
              </w:rPr>
            </w:pPr>
            <w:r>
              <w:rPr>
                <w:rFonts w:ascii="宋体"/>
                <w:sz w:val="21"/>
              </w:rPr>
              <w:t>3,748.19</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9" w:right="0"/>
              <w:jc w:val="left"/>
              <w:rPr>
                <w:rFonts w:ascii="宋体" w:hAnsi="宋体" w:cs="宋体" w:eastAsia="宋体" w:hint="default"/>
                <w:sz w:val="21"/>
                <w:szCs w:val="21"/>
              </w:rPr>
            </w:pPr>
            <w:r>
              <w:rPr>
                <w:rFonts w:ascii="宋体"/>
                <w:sz w:val="21"/>
              </w:rPr>
              <w:t>2,890.11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22.89%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17.44%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25.87%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-5.17%</w:t>
            </w:r>
          </w:p>
        </w:tc>
      </w:tr>
      <w:tr>
        <w:trPr>
          <w:trHeight w:val="322"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sz w:val="21"/>
              </w:rPr>
              <w:t>39,026.46</w:t>
            </w:r>
          </w:p>
        </w:tc>
        <w:tc>
          <w:tcPr>
            <w:tcW w:w="15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sz w:val="21"/>
              </w:rPr>
              <w:t>22,617.85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42.04%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28.77%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1.81%</w:t>
            </w:r>
          </w:p>
        </w:tc>
      </w:tr>
    </w:tbl>
    <w:p>
      <w:pPr>
        <w:spacing w:line="228" w:lineRule="exact" w:before="0"/>
        <w:ind w:left="322" w:right="760" w:firstLine="0"/>
        <w:jc w:val="left"/>
        <w:rPr>
          <w:rFonts w:ascii="宋体" w:hAnsi="宋体" w:cs="宋体" w:eastAsia="宋体" w:hint="default"/>
          <w:sz w:val="20"/>
          <w:szCs w:val="20"/>
        </w:rPr>
      </w:pPr>
      <w:r>
        <w:rPr>
          <w:rFonts w:ascii="宋体" w:hAnsi="宋体" w:cs="宋体" w:eastAsia="宋体" w:hint="default"/>
          <w:sz w:val="20"/>
          <w:szCs w:val="20"/>
        </w:rPr>
        <w:t>注：公司根据相关业务领域的规模变化及占总收入比例等相关内容，自</w:t>
      </w:r>
      <w:r>
        <w:rPr>
          <w:rFonts w:ascii="宋体" w:hAnsi="宋体" w:cs="宋体" w:eastAsia="宋体" w:hint="default"/>
          <w:spacing w:val="-76"/>
          <w:sz w:val="20"/>
          <w:szCs w:val="20"/>
        </w:rPr>
        <w:t> </w:t>
      </w:r>
      <w:r>
        <w:rPr>
          <w:rFonts w:ascii="宋体" w:hAnsi="宋体" w:cs="宋体" w:eastAsia="宋体" w:hint="default"/>
          <w:sz w:val="20"/>
          <w:szCs w:val="20"/>
        </w:rPr>
        <w:t>2011</w:t>
      </w:r>
      <w:r>
        <w:rPr>
          <w:rFonts w:ascii="宋体" w:hAnsi="宋体" w:cs="宋体" w:eastAsia="宋体" w:hint="default"/>
          <w:spacing w:val="-77"/>
          <w:sz w:val="20"/>
          <w:szCs w:val="20"/>
        </w:rPr>
        <w:t> </w:t>
      </w:r>
      <w:r>
        <w:rPr>
          <w:rFonts w:ascii="宋体" w:hAnsi="宋体" w:cs="宋体" w:eastAsia="宋体" w:hint="default"/>
          <w:sz w:val="20"/>
          <w:szCs w:val="20"/>
        </w:rPr>
        <w:t>年半年度报告起，对行</w:t>
      </w:r>
    </w:p>
    <w:p>
      <w:pPr>
        <w:spacing w:line="260" w:lineRule="exact" w:before="0"/>
        <w:ind w:left="699" w:right="760" w:firstLine="0"/>
        <w:jc w:val="left"/>
        <w:rPr>
          <w:rFonts w:ascii="宋体" w:hAnsi="宋体" w:cs="宋体" w:eastAsia="宋体" w:hint="default"/>
          <w:sz w:val="20"/>
          <w:szCs w:val="20"/>
        </w:rPr>
      </w:pPr>
      <w:r>
        <w:rPr>
          <w:rFonts w:ascii="宋体" w:hAnsi="宋体" w:cs="宋体" w:eastAsia="宋体" w:hint="default"/>
          <w:sz w:val="20"/>
          <w:szCs w:val="20"/>
        </w:rPr>
        <w:t>业分类进行了调整。</w:t>
      </w:r>
    </w:p>
    <w:p>
      <w:pPr>
        <w:spacing w:line="240" w:lineRule="auto" w:before="2"/>
        <w:rPr>
          <w:rFonts w:ascii="宋体" w:hAnsi="宋体" w:cs="宋体" w:eastAsia="宋体" w:hint="default"/>
          <w:sz w:val="19"/>
          <w:szCs w:val="19"/>
        </w:rPr>
      </w:pPr>
    </w:p>
    <w:p>
      <w:pPr>
        <w:pStyle w:val="BodyText"/>
        <w:spacing w:line="355" w:lineRule="auto" w:before="0"/>
        <w:ind w:right="760" w:firstLine="480"/>
        <w:jc w:val="left"/>
      </w:pPr>
      <w:r>
        <w:rPr/>
        <w:t>金融信息服务业营业收入同比增加</w:t>
      </w:r>
      <w:r>
        <w:rPr>
          <w:spacing w:val="23"/>
        </w:rPr>
        <w:t> </w:t>
      </w:r>
      <w:r>
        <w:rPr>
          <w:rFonts w:ascii="宋体" w:hAnsi="宋体" w:cs="宋体" w:eastAsia="宋体" w:hint="default"/>
        </w:rPr>
        <w:t>43.58%</w:t>
      </w:r>
      <w:r>
        <w:rPr/>
        <w:t>，主要系证券、银行行业业务规模扩大 所致。</w:t>
      </w:r>
    </w:p>
    <w:p>
      <w:pPr>
        <w:pStyle w:val="BodyText"/>
        <w:spacing w:line="355" w:lineRule="auto" w:before="38"/>
        <w:ind w:right="760" w:firstLine="480"/>
        <w:jc w:val="left"/>
      </w:pPr>
      <w:r>
        <w:rPr>
          <w:spacing w:val="7"/>
        </w:rPr>
        <w:t>电子商务、流通行业系统软件及系统集成业务营业收入同比分别增加</w:t>
      </w:r>
      <w:r>
        <w:rPr>
          <w:spacing w:val="44"/>
        </w:rPr>
        <w:t> </w:t>
      </w:r>
      <w:r>
        <w:rPr>
          <w:rFonts w:ascii="宋体" w:hAnsi="宋体" w:cs="宋体" w:eastAsia="宋体" w:hint="default"/>
        </w:rPr>
        <w:t>39.54%</w:t>
      </w:r>
      <w:r>
        <w:rPr/>
        <w:t>、 </w:t>
      </w:r>
      <w:r>
        <w:rPr>
          <w:rFonts w:ascii="宋体" w:hAnsi="宋体" w:cs="宋体" w:eastAsia="宋体" w:hint="default"/>
        </w:rPr>
        <w:t>24.71%</w:t>
      </w:r>
      <w:r>
        <w:rPr/>
        <w:t>，主要系相应行业业务规模增加所致。</w:t>
      </w:r>
    </w:p>
    <w:p>
      <w:pPr>
        <w:spacing w:after="0" w:line="355" w:lineRule="auto"/>
        <w:jc w:val="left"/>
        <w:sectPr>
          <w:type w:val="continuous"/>
          <w:pgSz w:w="11910" w:h="16840"/>
          <w:pgMar w:top="1100" w:bottom="1380" w:left="1300" w:right="620"/>
        </w:sectPr>
      </w:pPr>
    </w:p>
    <w:p>
      <w:pPr>
        <w:pStyle w:val="Heading3"/>
        <w:spacing w:line="240" w:lineRule="auto" w:before="118"/>
        <w:ind w:right="0"/>
        <w:jc w:val="left"/>
        <w:rPr>
          <w:b w:val="0"/>
          <w:bCs w:val="0"/>
        </w:rPr>
      </w:pPr>
      <w:r>
        <w:rPr>
          <w:rFonts w:ascii="宋体" w:hAnsi="宋体" w:cs="宋体" w:eastAsia="宋体" w:hint="default"/>
          <w:w w:val="95"/>
        </w:rPr>
        <w:t>3</w:t>
      </w:r>
      <w:r>
        <w:rPr>
          <w:w w:val="95"/>
        </w:rPr>
        <w:t>、主营业务分地区情况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20"/>
          <w:szCs w:val="20"/>
        </w:rPr>
      </w:pPr>
    </w:p>
    <w:p>
      <w:pPr>
        <w:spacing w:before="0"/>
        <w:ind w:left="18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380" w:left="1300" w:right="620"/>
          <w:cols w:num="2" w:equalWidth="0">
            <w:col w:w="2713" w:space="4846"/>
            <w:col w:w="2431"/>
          </w:cols>
        </w:sectPr>
      </w:pPr>
    </w:p>
    <w:p>
      <w:pPr>
        <w:spacing w:line="240" w:lineRule="auto" w:before="10"/>
        <w:rPr>
          <w:rFonts w:ascii="宋体" w:hAnsi="宋体" w:cs="宋体" w:eastAsia="宋体" w:hint="default"/>
          <w:sz w:val="3"/>
          <w:szCs w:val="3"/>
        </w:rPr>
      </w:pPr>
    </w:p>
    <w:tbl>
      <w:tblPr>
        <w:tblW w:w="0" w:type="auto"/>
        <w:jc w:val="left"/>
        <w:tblInd w:w="346" w:type="dxa"/>
        <w:tblLayout w:type="fixed"/>
        <w:tblCellMar>
          <w:top w:w="0" w:type="dxa"/>
          <w:left w:w="0" w:type="dxa"/>
          <w:bottom w:w="0" w:type="dxa"/>
          <w:right w:w="0" w:type="dxa"/>
        </w:tblCellMar>
        <w:tblLook w:val="01E0"/>
      </w:tblPr>
      <w:tblGrid>
        <w:gridCol w:w="1560"/>
        <w:gridCol w:w="1369"/>
        <w:gridCol w:w="1255"/>
        <w:gridCol w:w="896"/>
        <w:gridCol w:w="1318"/>
        <w:gridCol w:w="1316"/>
        <w:gridCol w:w="1258"/>
      </w:tblGrid>
      <w:tr>
        <w:trPr>
          <w:trHeight w:val="9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2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8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9" w:right="122"/>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7" w:right="123"/>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04" w:right="199"/>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880" w:val="left" w:leader="none"/>
              </w:tabs>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日</w:t>
              <w:tab/>
              <w:t>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31,166.83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16,857.18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45.91%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29.24%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2.86%</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880" w:val="left" w:leader="none"/>
              </w:tabs>
              <w:spacing w:line="263" w:lineRule="exact"/>
              <w:ind w:left="458" w:right="0"/>
              <w:jc w:val="left"/>
              <w:rPr>
                <w:rFonts w:ascii="宋体" w:hAnsi="宋体" w:cs="宋体" w:eastAsia="宋体" w:hint="default"/>
                <w:sz w:val="21"/>
                <w:szCs w:val="21"/>
              </w:rPr>
            </w:pPr>
            <w:r>
              <w:rPr>
                <w:rFonts w:ascii="宋体" w:hAnsi="宋体" w:cs="宋体" w:eastAsia="宋体" w:hint="default"/>
                <w:sz w:val="21"/>
                <w:szCs w:val="21"/>
              </w:rPr>
              <w:t>中</w:t>
              <w:tab/>
              <w:t>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6,591.61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4,978.57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24.47%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25.01%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31.27%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-3.6%</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880" w:val="left" w:leader="none"/>
              </w:tabs>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美</w:t>
              <w:tab/>
              <w:t>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1,268.03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782.10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38.32%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7.37%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-1.50%</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880" w:val="left" w:leader="none"/>
              </w:tabs>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39,026.46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22,617.85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42.04%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28.77%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1.81%</w:t>
            </w:r>
          </w:p>
        </w:tc>
      </w:tr>
    </w:tbl>
    <w:p>
      <w:pPr>
        <w:spacing w:after="0" w:line="262" w:lineRule="exact"/>
        <w:jc w:val="right"/>
        <w:rPr>
          <w:rFonts w:ascii="宋体" w:hAnsi="宋体" w:cs="宋体" w:eastAsia="宋体" w:hint="default"/>
          <w:sz w:val="21"/>
          <w:szCs w:val="21"/>
        </w:rPr>
        <w:sectPr>
          <w:type w:val="continuous"/>
          <w:pgSz w:w="11910" w:h="16840"/>
          <w:pgMar w:top="1100" w:bottom="1380" w:left="1300" w:right="62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6" w:footer="1186" w:top="1100" w:bottom="1380" w:left="1300" w:right="1160"/>
        </w:sectPr>
      </w:pPr>
    </w:p>
    <w:p>
      <w:pPr>
        <w:pStyle w:val="Heading3"/>
        <w:spacing w:line="240" w:lineRule="auto"/>
        <w:ind w:right="0"/>
        <w:jc w:val="left"/>
        <w:rPr>
          <w:b w:val="0"/>
          <w:bCs w:val="0"/>
        </w:rPr>
      </w:pPr>
      <w:r>
        <w:rPr>
          <w:rFonts w:ascii="宋体" w:hAnsi="宋体" w:cs="宋体" w:eastAsia="宋体" w:hint="default"/>
          <w:w w:val="95"/>
        </w:rPr>
        <w:t>4</w:t>
      </w:r>
      <w:r>
        <w:rPr>
          <w:w w:val="95"/>
        </w:rPr>
        <w:t>、非经常性损益</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18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380" w:left="1300" w:right="1160"/>
          <w:cols w:num="2" w:equalWidth="0">
            <w:col w:w="1991" w:space="6199"/>
            <w:col w:w="1260"/>
          </w:cols>
        </w:sectPr>
      </w:pP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4004"/>
        <w:gridCol w:w="1738"/>
        <w:gridCol w:w="1726"/>
        <w:gridCol w:w="1670"/>
      </w:tblGrid>
      <w:tr>
        <w:trPr>
          <w:trHeight w:val="317"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0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6"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非流动性资产处理损益</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-89,129.66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-47,352.73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-130,004.38</w:t>
            </w:r>
          </w:p>
        </w:tc>
      </w:tr>
      <w:tr>
        <w:trPr>
          <w:trHeight w:val="1259"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
                <w:sz w:val="21"/>
                <w:szCs w:val="21"/>
              </w:rPr>
              <w:t>计入当期损益的政府补助，但与公司正常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经营业务密切相关，符合国家正常规定、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按照一定标准定额或定量持续享受的政府</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补助除外</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6,941,321.00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9,386,179.00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6,850,420.20</w:t>
            </w:r>
          </w:p>
        </w:tc>
      </w:tr>
      <w:tr>
        <w:trPr>
          <w:trHeight w:val="323"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98,765.26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9"/>
              <w:jc w:val="right"/>
              <w:rPr>
                <w:rFonts w:ascii="宋体" w:hAnsi="宋体" w:cs="宋体" w:eastAsia="宋体" w:hint="default"/>
                <w:sz w:val="21"/>
                <w:szCs w:val="21"/>
              </w:rPr>
            </w:pPr>
            <w:r>
              <w:rPr>
                <w:rFonts w:ascii="宋体"/>
                <w:spacing w:val="-1"/>
                <w:sz w:val="21"/>
              </w:rPr>
              <w:t>-225,871.85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57,851.57</w:t>
            </w:r>
          </w:p>
        </w:tc>
      </w:tr>
      <w:tr>
        <w:trPr>
          <w:trHeight w:val="322"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-224,213.88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-331,980.13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-257,154.68</w:t>
            </w:r>
          </w:p>
        </w:tc>
      </w:tr>
      <w:tr>
        <w:trPr>
          <w:trHeight w:val="322"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-1,105,690.95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-996,242.37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-710,264.51</w:t>
            </w:r>
          </w:p>
        </w:tc>
      </w:tr>
      <w:tr>
        <w:trPr>
          <w:trHeight w:val="322" w:hRule="exact"/>
        </w:trPr>
        <w:tc>
          <w:tcPr>
            <w:tcW w:w="4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5,621,051.77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7,784,731.92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5,810,848.20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663" w:right="231" w:hanging="48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、订单的获取和执行情况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报告期内，公司加大营销力度，不断拓展市场，获取订单的金额较上年有进一步增</w:t>
      </w:r>
    </w:p>
    <w:p>
      <w:pPr>
        <w:pStyle w:val="BodyText"/>
        <w:spacing w:line="357" w:lineRule="auto"/>
        <w:ind w:right="231"/>
        <w:jc w:val="both"/>
      </w:pPr>
      <w:r>
        <w:rPr>
          <w:spacing w:val="-3"/>
        </w:rPr>
        <w:t>加。订单均得到了良好的执行，应收账款风险得到了有效控制。公司各个年度均会不同</w:t>
      </w:r>
      <w:r>
        <w:rPr>
          <w:spacing w:val="-102"/>
        </w:rPr>
        <w:t> </w:t>
      </w:r>
      <w:r>
        <w:rPr>
          <w:spacing w:val="-102"/>
        </w:rPr>
      </w:r>
      <w:r>
        <w:rPr>
          <w:spacing w:val="-3"/>
        </w:rPr>
        <w:t>程度地存在一定量需要跨年度执行的订单，主要原因在于一些软件系统订单结算周期与</w:t>
      </w:r>
      <w:r>
        <w:rPr>
          <w:spacing w:val="-98"/>
        </w:rPr>
        <w:t> </w:t>
      </w:r>
      <w:r>
        <w:rPr>
          <w:spacing w:val="-98"/>
        </w:rPr>
      </w:r>
      <w:r>
        <w:rPr/>
        <w:t>年度周期不一致。</w:t>
      </w:r>
    </w:p>
    <w:p>
      <w:pPr>
        <w:spacing w:line="357" w:lineRule="auto" w:before="36"/>
        <w:ind w:left="644" w:right="94" w:hanging="461"/>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、产品的销售和积压情况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公司产品销售情况良好，不存在积压情况。报告期末公司存货为</w:t>
      </w:r>
      <w:r>
        <w:rPr>
          <w:rFonts w:ascii="宋体" w:hAnsi="宋体" w:cs="宋体" w:eastAsia="宋体" w:hint="default"/>
          <w:spacing w:val="-54"/>
          <w:sz w:val="24"/>
          <w:szCs w:val="24"/>
        </w:rPr>
        <w:t> </w:t>
      </w:r>
      <w:r>
        <w:rPr>
          <w:rFonts w:ascii="宋体" w:hAnsi="宋体" w:cs="宋体" w:eastAsia="宋体" w:hint="default"/>
          <w:sz w:val="24"/>
          <w:szCs w:val="24"/>
        </w:rPr>
        <w:t>1,362,966.71</w:t>
      </w:r>
      <w:r>
        <w:rPr>
          <w:rFonts w:ascii="宋体" w:hAnsi="宋体" w:cs="宋体" w:eastAsia="宋体" w:hint="default"/>
          <w:spacing w:val="-54"/>
          <w:sz w:val="24"/>
          <w:szCs w:val="24"/>
        </w:rPr>
        <w:t> </w:t>
      </w:r>
      <w:r>
        <w:rPr>
          <w:rFonts w:ascii="宋体" w:hAnsi="宋体" w:cs="宋体" w:eastAsia="宋体" w:hint="default"/>
          <w:sz w:val="24"/>
          <w:szCs w:val="24"/>
        </w:rPr>
        <w:t>元，</w:t>
      </w:r>
    </w:p>
    <w:p>
      <w:pPr>
        <w:spacing w:line="357" w:lineRule="auto" w:before="36"/>
        <w:ind w:left="183" w:right="3963" w:firstLine="0"/>
        <w:jc w:val="left"/>
        <w:rPr>
          <w:rFonts w:ascii="宋体" w:hAnsi="宋体" w:cs="宋体" w:eastAsia="宋体" w:hint="default"/>
          <w:sz w:val="24"/>
          <w:szCs w:val="24"/>
        </w:rPr>
      </w:pPr>
      <w:r>
        <w:rPr>
          <w:rFonts w:ascii="宋体" w:hAnsi="宋体" w:cs="宋体" w:eastAsia="宋体" w:hint="default"/>
          <w:sz w:val="24"/>
          <w:szCs w:val="24"/>
        </w:rPr>
        <w:t>系控股子公司华钟公司系统集成业务在产品库存。 </w:t>
      </w:r>
      <w:r>
        <w:rPr>
          <w:rFonts w:ascii="宋体" w:hAnsi="宋体" w:cs="宋体" w:eastAsia="宋体" w:hint="default"/>
          <w:b/>
          <w:bCs/>
          <w:sz w:val="24"/>
          <w:szCs w:val="24"/>
        </w:rPr>
        <w:t>7</w:t>
      </w:r>
      <w:r>
        <w:rPr>
          <w:rFonts w:ascii="宋体" w:hAnsi="宋体" w:cs="宋体" w:eastAsia="宋体" w:hint="default"/>
          <w:b/>
          <w:bCs/>
          <w:sz w:val="24"/>
          <w:szCs w:val="24"/>
        </w:rPr>
        <w:t>、主要产品及原材料价格变动情况</w:t>
      </w:r>
      <w:r>
        <w:rPr>
          <w:rFonts w:ascii="宋体" w:hAnsi="宋体" w:cs="宋体" w:eastAsia="宋体" w:hint="default"/>
          <w:sz w:val="24"/>
          <w:szCs w:val="24"/>
        </w:rPr>
      </w:r>
    </w:p>
    <w:p>
      <w:pPr>
        <w:pStyle w:val="BodyText"/>
        <w:spacing w:line="357" w:lineRule="auto"/>
        <w:ind w:right="219" w:firstLine="420"/>
        <w:jc w:val="left"/>
      </w:pPr>
      <w:r>
        <w:rPr>
          <w:spacing w:val="-1"/>
        </w:rPr>
        <w:t>公司主要产品为软件系统，报告期内价格稳定，未发生异常变动。公司主营业务无</w:t>
      </w:r>
      <w:r>
        <w:rPr/>
        <w:t> 主要原材料。</w:t>
      </w:r>
    </w:p>
    <w:p>
      <w:pPr>
        <w:pStyle w:val="Heading3"/>
        <w:spacing w:line="240" w:lineRule="auto" w:before="36"/>
        <w:ind w:right="879"/>
        <w:jc w:val="left"/>
        <w:rPr>
          <w:b w:val="0"/>
          <w:bCs w:val="0"/>
        </w:rPr>
      </w:pPr>
      <w:r>
        <w:rPr>
          <w:rFonts w:ascii="宋体" w:hAnsi="宋体" w:cs="宋体" w:eastAsia="宋体" w:hint="default"/>
        </w:rPr>
        <w:t>8</w:t>
      </w:r>
      <w:r>
        <w:rPr/>
        <w:t>、主营业务销售毛利率变动情况</w:t>
      </w:r>
      <w:r>
        <w:rPr>
          <w:b w:val="0"/>
          <w:bCs w:val="0"/>
        </w:rPr>
      </w:r>
    </w:p>
    <w:p>
      <w:pPr>
        <w:spacing w:line="240" w:lineRule="auto" w:before="10"/>
        <w:rPr>
          <w:rFonts w:ascii="宋体" w:hAnsi="宋体" w:cs="宋体" w:eastAsia="宋体" w:hint="default"/>
          <w:b/>
          <w:bCs/>
          <w:sz w:val="8"/>
          <w:szCs w:val="8"/>
        </w:rPr>
      </w:pPr>
    </w:p>
    <w:tbl>
      <w:tblPr>
        <w:tblW w:w="0" w:type="auto"/>
        <w:jc w:val="left"/>
        <w:tblInd w:w="262" w:type="dxa"/>
        <w:tblLayout w:type="fixed"/>
        <w:tblCellMar>
          <w:top w:w="0" w:type="dxa"/>
          <w:left w:w="0" w:type="dxa"/>
          <w:bottom w:w="0" w:type="dxa"/>
          <w:right w:w="0" w:type="dxa"/>
        </w:tblCellMar>
        <w:tblLook w:val="01E0"/>
      </w:tblPr>
      <w:tblGrid>
        <w:gridCol w:w="1670"/>
        <w:gridCol w:w="1894"/>
        <w:gridCol w:w="1892"/>
        <w:gridCol w:w="2084"/>
        <w:gridCol w:w="1514"/>
      </w:tblGrid>
      <w:tr>
        <w:trPr>
          <w:trHeight w:val="322"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比上年增减幅度</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4"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42.04%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40.23%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1.81%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6" w:right="0"/>
              <w:jc w:val="left"/>
              <w:rPr>
                <w:rFonts w:ascii="宋体" w:hAnsi="宋体" w:cs="宋体" w:eastAsia="宋体" w:hint="default"/>
                <w:sz w:val="21"/>
                <w:szCs w:val="21"/>
              </w:rPr>
            </w:pPr>
            <w:r>
              <w:rPr>
                <w:rFonts w:ascii="宋体"/>
                <w:sz w:val="21"/>
              </w:rPr>
              <w:t>35.21%</w:t>
            </w:r>
          </w:p>
        </w:tc>
      </w:tr>
    </w:tbl>
    <w:p>
      <w:pPr>
        <w:pStyle w:val="BodyText"/>
        <w:spacing w:line="357" w:lineRule="auto" w:before="39"/>
        <w:ind w:right="215" w:firstLine="475"/>
        <w:jc w:val="left"/>
      </w:pPr>
      <w:r>
        <w:rPr/>
        <w:t>报告期内销售毛利率同比增加了 </w:t>
      </w:r>
      <w:r>
        <w:rPr>
          <w:rFonts w:ascii="宋体" w:hAnsi="宋体" w:cs="宋体" w:eastAsia="宋体" w:hint="default"/>
        </w:rPr>
        <w:t>1.81</w:t>
      </w:r>
      <w:r>
        <w:rPr>
          <w:rFonts w:ascii="宋体" w:hAnsi="宋体" w:cs="宋体" w:eastAsia="宋体" w:hint="default"/>
          <w:spacing w:val="-87"/>
        </w:rPr>
        <w:t> </w:t>
      </w:r>
      <w:r>
        <w:rPr/>
        <w:t>个百分点，主要系全年开工率上升及日元对 人民币汇率走高所致。</w:t>
      </w:r>
    </w:p>
    <w:p>
      <w:pPr>
        <w:spacing w:line="357" w:lineRule="auto" w:before="37"/>
        <w:ind w:left="649" w:right="0" w:hanging="466"/>
        <w:jc w:val="left"/>
        <w:rPr>
          <w:rFonts w:ascii="宋体" w:hAnsi="宋体" w:cs="宋体" w:eastAsia="宋体" w:hint="default"/>
          <w:sz w:val="24"/>
          <w:szCs w:val="24"/>
        </w:rPr>
      </w:pPr>
      <w:r>
        <w:rPr>
          <w:rFonts w:ascii="宋体" w:hAnsi="宋体" w:cs="宋体" w:eastAsia="宋体" w:hint="default"/>
          <w:b/>
          <w:bCs/>
          <w:sz w:val="24"/>
          <w:szCs w:val="24"/>
        </w:rPr>
        <w:t>9</w:t>
      </w:r>
      <w:r>
        <w:rPr>
          <w:rFonts w:ascii="宋体" w:hAnsi="宋体" w:cs="宋体" w:eastAsia="宋体" w:hint="default"/>
          <w:b/>
          <w:bCs/>
          <w:sz w:val="24"/>
          <w:szCs w:val="24"/>
        </w:rPr>
        <w:t>、公司主要供应商及客户情况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公司主营业务为软件外包服务，无主要原材料和设备供应商。报告期内，公司对前</w:t>
      </w:r>
    </w:p>
    <w:p>
      <w:pPr>
        <w:pStyle w:val="BodyText"/>
        <w:spacing w:line="240" w:lineRule="auto"/>
        <w:ind w:right="879"/>
        <w:jc w:val="left"/>
      </w:pPr>
      <w:r>
        <w:rPr/>
        <w:t>五名客户的销售情况如下：</w:t>
      </w:r>
    </w:p>
    <w:p>
      <w:pPr>
        <w:spacing w:after="0" w:line="240" w:lineRule="auto"/>
        <w:jc w:val="left"/>
        <w:sectPr>
          <w:type w:val="continuous"/>
          <w:pgSz w:w="11910" w:h="16840"/>
          <w:pgMar w:top="1100" w:bottom="1380" w:left="1300" w:right="1160"/>
        </w:sectPr>
      </w:pPr>
    </w:p>
    <w:p>
      <w:pPr>
        <w:spacing w:line="240" w:lineRule="auto" w:before="3"/>
        <w:rPr>
          <w:rFonts w:ascii="宋体" w:hAnsi="宋体" w:cs="宋体" w:eastAsia="宋体" w:hint="default"/>
          <w:sz w:val="21"/>
          <w:szCs w:val="21"/>
        </w:rPr>
      </w:pPr>
    </w:p>
    <w:p>
      <w:pPr>
        <w:spacing w:before="36"/>
        <w:ind w:left="0" w:right="627"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462" w:type="dxa"/>
        <w:tblLayout w:type="fixed"/>
        <w:tblCellMar>
          <w:top w:w="0" w:type="dxa"/>
          <w:left w:w="0" w:type="dxa"/>
          <w:bottom w:w="0" w:type="dxa"/>
          <w:right w:w="0" w:type="dxa"/>
        </w:tblCellMar>
        <w:tblLook w:val="01E0"/>
      </w:tblPr>
      <w:tblGrid>
        <w:gridCol w:w="2773"/>
        <w:gridCol w:w="3072"/>
        <w:gridCol w:w="2931"/>
      </w:tblGrid>
      <w:tr>
        <w:trPr>
          <w:trHeight w:val="480" w:hRule="exact"/>
        </w:trPr>
        <w:tc>
          <w:tcPr>
            <w:tcW w:w="2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806"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30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53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99"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第一名客户</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11,642.68</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29.80%</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第二名客户</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8,034.56</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20.56%</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第三名客户</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3,059.86</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7.83%</w:t>
            </w:r>
          </w:p>
        </w:tc>
      </w:tr>
      <w:tr>
        <w:trPr>
          <w:trHeight w:val="28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第四名客户</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2,244.62</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第五名客户</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1,925.67</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4.93%</w:t>
            </w:r>
          </w:p>
        </w:tc>
      </w:tr>
      <w:tr>
        <w:trPr>
          <w:trHeight w:val="28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26,907.40</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68.87%</w:t>
            </w:r>
          </w:p>
        </w:tc>
      </w:tr>
    </w:tbl>
    <w:p>
      <w:pPr>
        <w:pStyle w:val="BodyText"/>
        <w:spacing w:line="357" w:lineRule="auto" w:before="39"/>
        <w:ind w:right="615" w:firstLine="465"/>
        <w:jc w:val="left"/>
      </w:pPr>
      <w:r>
        <w:rPr/>
        <w:t>公司第二大客户贡献的营业收入占全年营业收入的比重达到 </w:t>
      </w:r>
      <w:r>
        <w:rPr>
          <w:rFonts w:ascii="宋体" w:hAnsi="宋体" w:cs="宋体" w:eastAsia="宋体" w:hint="default"/>
        </w:rPr>
        <w:t>20.56%</w:t>
      </w:r>
      <w:r>
        <w:rPr/>
        <w:t>，</w:t>
      </w:r>
      <w:r>
        <w:rPr>
          <w:spacing w:val="-77"/>
        </w:rPr>
        <w:t> </w:t>
      </w:r>
      <w:r>
        <w:rPr/>
        <w:t>有与第一大</w:t>
      </w:r>
      <w:r>
        <w:rPr/>
        <w:t> 客户并驾齐驱的势头，突显公司深耕客户带来的良好效果。</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6" w:footer="1186" w:top="1100" w:bottom="1380" w:left="1300" w:right="760"/>
        </w:sectPr>
      </w:pPr>
    </w:p>
    <w:p>
      <w:pPr>
        <w:pStyle w:val="BodyText"/>
        <w:spacing w:line="240" w:lineRule="auto" w:before="26"/>
        <w:ind w:left="649" w:right="-20"/>
        <w:jc w:val="left"/>
      </w:pPr>
      <w:r>
        <w:rPr/>
        <w:t>公司近三年对前五名客户销售情况如下：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spacing w:before="0"/>
        <w:ind w:left="649"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380" w:left="1300" w:right="760"/>
          <w:cols w:num="2" w:equalWidth="0">
            <w:col w:w="4970" w:space="2544"/>
            <w:col w:w="2336"/>
          </w:cols>
        </w:sectPr>
      </w:pPr>
    </w:p>
    <w:p>
      <w:pPr>
        <w:spacing w:line="240" w:lineRule="auto" w:before="10"/>
        <w:rPr>
          <w:rFonts w:ascii="宋体" w:hAnsi="宋体" w:cs="宋体" w:eastAsia="宋体" w:hint="default"/>
          <w:sz w:val="3"/>
          <w:szCs w:val="3"/>
        </w:rPr>
      </w:pPr>
    </w:p>
    <w:tbl>
      <w:tblPr>
        <w:tblW w:w="0" w:type="auto"/>
        <w:jc w:val="left"/>
        <w:tblInd w:w="430" w:type="dxa"/>
        <w:tblLayout w:type="fixed"/>
        <w:tblCellMar>
          <w:top w:w="0" w:type="dxa"/>
          <w:left w:w="0" w:type="dxa"/>
          <w:bottom w:w="0" w:type="dxa"/>
          <w:right w:w="0" w:type="dxa"/>
        </w:tblCellMar>
        <w:tblLook w:val="01E0"/>
      </w:tblPr>
      <w:tblGrid>
        <w:gridCol w:w="1231"/>
        <w:gridCol w:w="2321"/>
        <w:gridCol w:w="1786"/>
        <w:gridCol w:w="1658"/>
        <w:gridCol w:w="1889"/>
      </w:tblGrid>
      <w:tr>
        <w:trPr>
          <w:trHeight w:val="634" w:hRule="exact"/>
        </w:trPr>
        <w:tc>
          <w:tcPr>
            <w:tcW w:w="1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23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前五名客户销售金额</w:t>
            </w:r>
          </w:p>
        </w:tc>
        <w:tc>
          <w:tcPr>
            <w:tcW w:w="1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56" w:right="255" w:firstLine="105"/>
              <w:jc w:val="left"/>
              <w:rPr>
                <w:rFonts w:ascii="宋体" w:hAnsi="宋体" w:cs="宋体" w:eastAsia="宋体" w:hint="default"/>
                <w:sz w:val="21"/>
                <w:szCs w:val="21"/>
              </w:rPr>
            </w:pPr>
            <w:r>
              <w:rPr>
                <w:rFonts w:ascii="宋体" w:hAnsi="宋体" w:cs="宋体" w:eastAsia="宋体" w:hint="default"/>
                <w:sz w:val="21"/>
                <w:szCs w:val="21"/>
              </w:rPr>
              <w:t>占年度销售</w:t>
            </w:r>
            <w:r>
              <w:rPr>
                <w:rFonts w:ascii="宋体" w:hAnsi="宋体" w:cs="宋体" w:eastAsia="宋体" w:hint="default"/>
                <w:w w:val="100"/>
                <w:sz w:val="21"/>
                <w:szCs w:val="21"/>
              </w:rPr>
              <w:t> </w:t>
            </w:r>
            <w:r>
              <w:rPr>
                <w:rFonts w:ascii="宋体" w:hAnsi="宋体" w:cs="宋体" w:eastAsia="宋体" w:hint="default"/>
                <w:sz w:val="21"/>
                <w:szCs w:val="21"/>
              </w:rPr>
              <w:t>总金额的比例</w:t>
            </w:r>
          </w:p>
        </w:tc>
        <w:tc>
          <w:tcPr>
            <w:tcW w:w="1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60"/>
              <w:jc w:val="left"/>
              <w:rPr>
                <w:rFonts w:ascii="宋体" w:hAnsi="宋体" w:cs="宋体" w:eastAsia="宋体" w:hint="default"/>
                <w:sz w:val="21"/>
                <w:szCs w:val="21"/>
              </w:rPr>
            </w:pPr>
            <w:r>
              <w:rPr>
                <w:rFonts w:ascii="宋体" w:hAnsi="宋体" w:cs="宋体" w:eastAsia="宋体" w:hint="default"/>
                <w:spacing w:val="29"/>
                <w:sz w:val="21"/>
                <w:szCs w:val="21"/>
              </w:rPr>
              <w:t>应收账款的余</w:t>
            </w:r>
            <w:r>
              <w:rPr>
                <w:rFonts w:ascii="宋体" w:hAnsi="宋体" w:cs="宋体" w:eastAsia="宋体" w:hint="default"/>
                <w:spacing w:val="-92"/>
                <w:sz w:val="21"/>
                <w:szCs w:val="21"/>
              </w:rPr>
              <w:t> </w:t>
            </w:r>
            <w:r>
              <w:rPr>
                <w:rFonts w:ascii="宋体" w:hAnsi="宋体" w:cs="宋体" w:eastAsia="宋体" w:hint="default"/>
                <w:sz w:val="21"/>
                <w:szCs w:val="21"/>
              </w:rPr>
              <w:t>额</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应</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账</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总余额的比例</w:t>
            </w:r>
          </w:p>
        </w:tc>
      </w:tr>
      <w:tr>
        <w:trPr>
          <w:trHeight w:val="32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26,907.40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2,200.92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71%</w:t>
            </w:r>
          </w:p>
        </w:tc>
      </w:tr>
      <w:tr>
        <w:trPr>
          <w:trHeight w:val="32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18,229.16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2,143.15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84%</w:t>
            </w:r>
          </w:p>
        </w:tc>
      </w:tr>
      <w:tr>
        <w:trPr>
          <w:trHeight w:val="32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11,168.26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558.56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36%</w:t>
            </w:r>
          </w:p>
        </w:tc>
      </w:tr>
    </w:tbl>
    <w:p>
      <w:pPr>
        <w:pStyle w:val="BodyText"/>
        <w:spacing w:line="240" w:lineRule="auto" w:before="39"/>
        <w:ind w:left="663" w:right="493"/>
        <w:jc w:val="left"/>
      </w:pPr>
      <w:r>
        <w:rPr/>
        <w:t>公司</w:t>
      </w:r>
      <w:r>
        <w:rPr>
          <w:spacing w:val="-44"/>
        </w:rPr>
        <w:t> </w:t>
      </w:r>
      <w:r>
        <w:rPr>
          <w:rFonts w:ascii="宋体" w:hAnsi="宋体" w:cs="宋体" w:eastAsia="宋体" w:hint="default"/>
        </w:rPr>
        <w:t>2011</w:t>
      </w:r>
      <w:r>
        <w:rPr>
          <w:rFonts w:ascii="宋体" w:hAnsi="宋体" w:cs="宋体" w:eastAsia="宋体" w:hint="default"/>
          <w:spacing w:val="-44"/>
        </w:rPr>
        <w:t> </w:t>
      </w:r>
      <w:r>
        <w:rPr/>
        <w:t>年度对前五名的销售总额为</w:t>
      </w:r>
      <w:r>
        <w:rPr>
          <w:spacing w:val="-43"/>
        </w:rPr>
        <w:t> </w:t>
      </w:r>
      <w:r>
        <w:rPr>
          <w:rFonts w:ascii="宋体" w:hAnsi="宋体" w:cs="宋体" w:eastAsia="宋体" w:hint="default"/>
        </w:rPr>
        <w:t>26,907.40</w:t>
      </w:r>
      <w:r>
        <w:rPr>
          <w:rFonts w:ascii="宋体" w:hAnsi="宋体" w:cs="宋体" w:eastAsia="宋体" w:hint="default"/>
          <w:spacing w:val="-43"/>
        </w:rPr>
        <w:t> </w:t>
      </w:r>
      <w:r>
        <w:rPr/>
        <w:t>万元，占公司营业收入的</w:t>
      </w:r>
      <w:r>
        <w:rPr>
          <w:spacing w:val="-43"/>
        </w:rPr>
        <w:t> </w:t>
      </w:r>
      <w:r>
        <w:rPr>
          <w:rFonts w:ascii="宋体" w:hAnsi="宋体" w:cs="宋体" w:eastAsia="宋体" w:hint="default"/>
        </w:rPr>
        <w:t>69%</w:t>
      </w:r>
      <w:r>
        <w:rPr/>
        <w:t>；</w:t>
      </w:r>
    </w:p>
    <w:p>
      <w:pPr>
        <w:pStyle w:val="BodyText"/>
        <w:spacing w:line="357" w:lineRule="auto" w:before="154"/>
        <w:ind w:right="614"/>
        <w:jc w:val="left"/>
      </w:pPr>
      <w:r>
        <w:rPr/>
        <w:t>截止报告期末，对前五名客户的应收账款余额为 </w:t>
      </w:r>
      <w:r>
        <w:rPr>
          <w:rFonts w:ascii="宋体" w:hAnsi="宋体" w:cs="宋体" w:eastAsia="宋体" w:hint="default"/>
        </w:rPr>
        <w:t>2,200.92</w:t>
      </w:r>
      <w:r>
        <w:rPr>
          <w:rFonts w:ascii="宋体" w:hAnsi="宋体" w:cs="宋体" w:eastAsia="宋体" w:hint="default"/>
          <w:spacing w:val="-91"/>
        </w:rPr>
        <w:t> </w:t>
      </w:r>
      <w:r>
        <w:rPr/>
        <w:t>万元，占公司应收账款余额 的</w:t>
      </w:r>
      <w:r>
        <w:rPr>
          <w:spacing w:val="-61"/>
        </w:rPr>
        <w:t> </w:t>
      </w:r>
      <w:r>
        <w:rPr>
          <w:rFonts w:ascii="宋体" w:hAnsi="宋体" w:cs="宋体" w:eastAsia="宋体" w:hint="default"/>
        </w:rPr>
        <w:t>71%</w:t>
      </w:r>
      <w:r>
        <w:rPr/>
        <w:t>。公司未对单一客户销售比例超过</w:t>
      </w:r>
      <w:r>
        <w:rPr>
          <w:spacing w:val="-61"/>
        </w:rPr>
        <w:t> </w:t>
      </w:r>
      <w:r>
        <w:rPr>
          <w:rFonts w:ascii="宋体" w:hAnsi="宋体" w:cs="宋体" w:eastAsia="宋体" w:hint="default"/>
        </w:rPr>
        <w:t>30%</w:t>
      </w:r>
      <w:r>
        <w:rPr/>
        <w:t>，不存在过度依赖单一客户的风险。</w:t>
      </w:r>
    </w:p>
    <w:p>
      <w:pPr>
        <w:pStyle w:val="BodyText"/>
        <w:spacing w:line="357" w:lineRule="auto"/>
        <w:ind w:right="615" w:firstLine="480"/>
        <w:jc w:val="left"/>
        <w:rPr>
          <w:rFonts w:ascii="宋体" w:hAnsi="宋体" w:cs="宋体" w:eastAsia="宋体" w:hint="default"/>
        </w:rPr>
      </w:pPr>
      <w:r>
        <w:rPr>
          <w:spacing w:val="-3"/>
        </w:rPr>
        <w:t>公司与前五名客户不存在关联关系。公司董事、监事、高级管理人员、核心技术人</w:t>
      </w:r>
      <w:r>
        <w:rPr/>
        <w:t> 员、持股</w:t>
      </w:r>
      <w:r>
        <w:rPr>
          <w:spacing w:val="-61"/>
        </w:rPr>
        <w:t> </w:t>
      </w:r>
      <w:r>
        <w:rPr>
          <w:rFonts w:ascii="宋体" w:hAnsi="宋体" w:cs="宋体" w:eastAsia="宋体" w:hint="default"/>
        </w:rPr>
        <w:t>5%</w:t>
      </w:r>
      <w:r>
        <w:rPr/>
        <w:t>以上股东、实际控制人在主要客户中不直接或间接拥有权益。 </w:t>
      </w:r>
      <w:r>
        <w:rPr>
          <w:rFonts w:ascii="宋体" w:hAnsi="宋体" w:cs="宋体" w:eastAsia="宋体" w:hint="default"/>
          <w:b/>
          <w:bCs/>
        </w:rPr>
        <w:t>10</w:t>
      </w:r>
      <w:r>
        <w:rPr>
          <w:rFonts w:ascii="宋体" w:hAnsi="宋体" w:cs="宋体" w:eastAsia="宋体" w:hint="default"/>
          <w:b/>
          <w:bCs/>
        </w:rPr>
        <w:t>、薪酬分析</w:t>
      </w:r>
      <w:r>
        <w:rPr>
          <w:rFonts w:ascii="宋体" w:hAnsi="宋体" w:cs="宋体" w:eastAsia="宋体" w:hint="default"/>
        </w:rPr>
      </w:r>
    </w:p>
    <w:p>
      <w:pPr>
        <w:pStyle w:val="BodyText"/>
        <w:spacing w:line="240" w:lineRule="auto"/>
        <w:ind w:left="658" w:right="615"/>
        <w:jc w:val="left"/>
      </w:pPr>
      <w:r>
        <w:rPr/>
        <w:pict>
          <v:shape style="position:absolute;margin-left:305.23114pt;margin-top:39.455620pt;width:150.4pt;height:15.6pt;mso-position-horizontal-relative:page;mso-position-vertical-relative:paragraph;z-index:-796984"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前）</w:t>
                  </w:r>
                </w:p>
              </w:txbxContent>
            </v:textbox>
            <w10:wrap type="none"/>
          </v:shape>
        </w:pict>
      </w:r>
      <w:r>
        <w:rPr/>
        <w:t>报告期内，公司董事、监事和高级管理人员的薪酬情况如下：</w:t>
      </w:r>
    </w:p>
    <w:p>
      <w:pPr>
        <w:spacing w:line="240" w:lineRule="auto" w:before="12"/>
        <w:rPr>
          <w:rFonts w:ascii="宋体" w:hAnsi="宋体" w:cs="宋体" w:eastAsia="宋体" w:hint="default"/>
          <w:sz w:val="8"/>
          <w:szCs w:val="8"/>
        </w:rPr>
      </w:pPr>
    </w:p>
    <w:tbl>
      <w:tblPr>
        <w:tblW w:w="0" w:type="auto"/>
        <w:jc w:val="left"/>
        <w:tblInd w:w="346" w:type="dxa"/>
        <w:tblLayout w:type="fixed"/>
        <w:tblCellMar>
          <w:top w:w="0" w:type="dxa"/>
          <w:left w:w="0" w:type="dxa"/>
          <w:bottom w:w="0" w:type="dxa"/>
          <w:right w:w="0" w:type="dxa"/>
        </w:tblCellMar>
        <w:tblLook w:val="01E0"/>
      </w:tblPr>
      <w:tblGrid>
        <w:gridCol w:w="854"/>
        <w:gridCol w:w="1721"/>
        <w:gridCol w:w="2220"/>
        <w:gridCol w:w="2693"/>
        <w:gridCol w:w="1877"/>
      </w:tblGrid>
      <w:tr>
        <w:trPr>
          <w:trHeight w:val="635" w:hRule="exact"/>
        </w:trPr>
        <w:tc>
          <w:tcPr>
            <w:tcW w:w="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2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3" w:right="50" w:firstLine="31"/>
              <w:jc w:val="left"/>
              <w:rPr>
                <w:rFonts w:ascii="宋体" w:hAnsi="宋体" w:cs="宋体" w:eastAsia="宋体" w:hint="default"/>
                <w:sz w:val="21"/>
                <w:szCs w:val="21"/>
              </w:rPr>
            </w:pPr>
            <w:r>
              <w:rPr>
                <w:rFonts w:ascii="宋体" w:hAnsi="宋体" w:cs="宋体" w:eastAsia="宋体" w:hint="default"/>
                <w:spacing w:val="-2"/>
                <w:sz w:val="21"/>
                <w:szCs w:val="21"/>
              </w:rPr>
              <w:t>报告期内从公司领取的</w:t>
            </w:r>
            <w:r>
              <w:rPr>
                <w:rFonts w:ascii="宋体" w:hAnsi="宋体" w:cs="宋体" w:eastAsia="宋体" w:hint="default"/>
                <w:w w:val="100"/>
                <w:sz w:val="21"/>
                <w:szCs w:val="21"/>
              </w:rPr>
              <w:t> </w:t>
            </w:r>
            <w:r>
              <w:rPr>
                <w:rFonts w:ascii="宋体" w:hAnsi="宋体" w:cs="宋体" w:eastAsia="宋体" w:hint="default"/>
                <w:spacing w:val="-27"/>
                <w:w w:val="100"/>
                <w:sz w:val="21"/>
                <w:szCs w:val="21"/>
              </w:rPr>
              <w:t>报酬总额（万元）（税</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343" w:right="55" w:hanging="291"/>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年度从公司领取的报酬</w:t>
            </w:r>
            <w:r>
              <w:rPr>
                <w:rFonts w:ascii="宋体" w:hAnsi="宋体" w:cs="宋体" w:eastAsia="宋体" w:hint="default"/>
                <w:w w:val="100"/>
                <w:sz w:val="21"/>
                <w:szCs w:val="21"/>
              </w:rPr>
              <w:t> </w:t>
            </w:r>
            <w:r>
              <w:rPr>
                <w:rFonts w:ascii="宋体" w:hAnsi="宋体" w:cs="宋体" w:eastAsia="宋体" w:hint="default"/>
                <w:spacing w:val="-12"/>
                <w:w w:val="100"/>
                <w:sz w:val="21"/>
                <w:szCs w:val="21"/>
              </w:rPr>
              <w:t>总额（万元）（税前）</w:t>
            </w:r>
          </w:p>
        </w:tc>
        <w:tc>
          <w:tcPr>
            <w:tcW w:w="18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薪酬总额同比增减</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116.25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108.50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7.14%</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47.14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47.14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z w:val="21"/>
                <w:szCs w:val="21"/>
              </w:rPr>
              <w:t>无变化</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60.37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59.29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1.82%</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张强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53.50</w:t>
            </w:r>
            <w:r>
              <w:rPr>
                <w:rFonts w:ascii="宋体" w:hAnsi="宋体" w:cs="宋体" w:eastAsia="宋体" w:hint="default"/>
                <w:spacing w:val="-1"/>
                <w:sz w:val="21"/>
                <w:szCs w:val="21"/>
              </w:rPr>
              <w:t>（注）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z w:val="21"/>
                <w:szCs w:val="21"/>
              </w:rPr>
              <w:t>新任</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z w:val="21"/>
                <w:szCs w:val="21"/>
              </w:rPr>
              <w:t>无变化</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z w:val="21"/>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hAnsi="宋体" w:cs="宋体" w:eastAsia="宋体" w:hint="default"/>
                <w:sz w:val="21"/>
                <w:szCs w:val="21"/>
              </w:rPr>
              <w:t>无变化</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w:t>
            </w:r>
            <w:r>
              <w:rPr>
                <w:rFonts w:ascii="宋体" w:hAnsi="宋体" w:cs="宋体" w:eastAsia="宋体" w:hint="default"/>
                <w:spacing w:val="-1"/>
                <w:sz w:val="21"/>
                <w:szCs w:val="21"/>
              </w:rPr>
              <w:t>（税后）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3.60</w:t>
            </w:r>
            <w:r>
              <w:rPr>
                <w:rFonts w:ascii="宋体" w:hAnsi="宋体" w:cs="宋体" w:eastAsia="宋体" w:hint="default"/>
                <w:spacing w:val="-1"/>
                <w:sz w:val="21"/>
                <w:szCs w:val="21"/>
              </w:rPr>
              <w:t>（税后）</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z w:val="21"/>
                <w:szCs w:val="21"/>
              </w:rPr>
              <w:t>无变化</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w:t>
            </w:r>
            <w:r>
              <w:rPr>
                <w:rFonts w:ascii="宋体" w:hAnsi="宋体" w:cs="宋体" w:eastAsia="宋体" w:hint="default"/>
                <w:spacing w:val="-1"/>
                <w:sz w:val="21"/>
                <w:szCs w:val="21"/>
              </w:rPr>
              <w:t>（税后）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3.60</w:t>
            </w:r>
            <w:r>
              <w:rPr>
                <w:rFonts w:ascii="宋体" w:hAnsi="宋体" w:cs="宋体" w:eastAsia="宋体" w:hint="default"/>
                <w:spacing w:val="-1"/>
                <w:sz w:val="21"/>
                <w:szCs w:val="21"/>
              </w:rPr>
              <w:t>（税后）</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z w:val="21"/>
                <w:szCs w:val="21"/>
              </w:rPr>
              <w:t>无变化</w:t>
            </w:r>
          </w:p>
        </w:tc>
      </w:tr>
      <w:tr>
        <w:trPr>
          <w:trHeight w:val="63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陈乐波</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hAnsi="宋体" w:cs="宋体" w:eastAsia="宋体" w:hint="default"/>
                <w:spacing w:val="-1"/>
                <w:sz w:val="21"/>
                <w:szCs w:val="21"/>
              </w:rPr>
              <w:t>3.60</w:t>
            </w:r>
            <w:r>
              <w:rPr>
                <w:rFonts w:ascii="宋体" w:hAnsi="宋体" w:cs="宋体" w:eastAsia="宋体" w:hint="default"/>
                <w:spacing w:val="-1"/>
                <w:sz w:val="21"/>
                <w:szCs w:val="21"/>
              </w:rPr>
              <w:t>（税后）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hAnsi="宋体" w:cs="宋体" w:eastAsia="宋体" w:hint="default"/>
                <w:spacing w:val="-1"/>
                <w:sz w:val="21"/>
                <w:szCs w:val="21"/>
              </w:rPr>
              <w:t>2.40</w:t>
            </w:r>
            <w:r>
              <w:rPr>
                <w:rFonts w:ascii="宋体" w:hAnsi="宋体" w:cs="宋体" w:eastAsia="宋体" w:hint="default"/>
                <w:spacing w:val="-1"/>
                <w:sz w:val="21"/>
                <w:szCs w:val="21"/>
              </w:rPr>
              <w:t>（税后）</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58"/>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月起任独立董事</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hAnsi="宋体" w:cs="宋体" w:eastAsia="宋体" w:hint="default"/>
                <w:sz w:val="21"/>
                <w:szCs w:val="21"/>
              </w:rPr>
              <w:t>无变化</w:t>
            </w:r>
          </w:p>
        </w:tc>
      </w:tr>
    </w:tbl>
    <w:p>
      <w:pPr>
        <w:spacing w:after="0" w:line="262" w:lineRule="exact"/>
        <w:jc w:val="right"/>
        <w:rPr>
          <w:rFonts w:ascii="宋体" w:hAnsi="宋体" w:cs="宋体" w:eastAsia="宋体" w:hint="default"/>
          <w:sz w:val="21"/>
          <w:szCs w:val="21"/>
        </w:rPr>
        <w:sectPr>
          <w:type w:val="continuous"/>
          <w:pgSz w:w="11910" w:h="16840"/>
          <w:pgMar w:top="1100" w:bottom="1380" w:left="1300" w:right="760"/>
        </w:sectPr>
      </w:pPr>
    </w:p>
    <w:p>
      <w:pPr>
        <w:spacing w:line="240" w:lineRule="auto" w:before="12"/>
        <w:rPr>
          <w:rFonts w:ascii="宋体" w:hAnsi="宋体" w:cs="宋体" w:eastAsia="宋体" w:hint="default"/>
          <w:sz w:val="24"/>
          <w:szCs w:val="24"/>
        </w:rPr>
      </w:pPr>
    </w:p>
    <w:tbl>
      <w:tblPr>
        <w:tblW w:w="0" w:type="auto"/>
        <w:jc w:val="left"/>
        <w:tblInd w:w="346" w:type="dxa"/>
        <w:tblLayout w:type="fixed"/>
        <w:tblCellMar>
          <w:top w:w="0" w:type="dxa"/>
          <w:left w:w="0" w:type="dxa"/>
          <w:bottom w:w="0" w:type="dxa"/>
          <w:right w:w="0" w:type="dxa"/>
        </w:tblCellMar>
        <w:tblLook w:val="01E0"/>
      </w:tblPr>
      <w:tblGrid>
        <w:gridCol w:w="854"/>
        <w:gridCol w:w="1721"/>
        <w:gridCol w:w="2220"/>
        <w:gridCol w:w="2693"/>
        <w:gridCol w:w="1877"/>
      </w:tblGrid>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44.42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43.18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2.87%</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sz w:val="21"/>
              </w:rPr>
              <w:t>2011.1-2011.4</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2011.5</w:t>
            </w:r>
            <w:r>
              <w:rPr>
                <w:rFonts w:ascii="宋体" w:hAnsi="宋体" w:cs="宋体" w:eastAsia="宋体" w:hint="default"/>
                <w:spacing w:val="-52"/>
                <w:sz w:val="21"/>
                <w:szCs w:val="21"/>
              </w:rPr>
              <w:t> </w:t>
            </w:r>
            <w:r>
              <w:rPr>
                <w:rFonts w:ascii="宋体" w:hAnsi="宋体" w:cs="宋体" w:eastAsia="宋体" w:hint="default"/>
                <w:sz w:val="21"/>
                <w:szCs w:val="21"/>
              </w:rPr>
              <w:t>起监事</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36.10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z w:val="21"/>
              </w:rPr>
              <w:t>39.05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-7.55%</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梁恭杰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监事（历任）</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0.75</w:t>
            </w:r>
            <w:r>
              <w:rPr>
                <w:rFonts w:ascii="宋体" w:hAnsi="宋体" w:cs="宋体" w:eastAsia="宋体" w:hint="default"/>
                <w:spacing w:val="-1"/>
                <w:sz w:val="21"/>
                <w:szCs w:val="21"/>
              </w:rPr>
              <w:t>（税后）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1.80</w:t>
            </w:r>
            <w:r>
              <w:rPr>
                <w:rFonts w:ascii="宋体" w:hAnsi="宋体" w:cs="宋体" w:eastAsia="宋体" w:hint="default"/>
                <w:spacing w:val="-1"/>
                <w:sz w:val="21"/>
                <w:szCs w:val="21"/>
              </w:rPr>
              <w:t>（税后）</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-58.33%</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许俊峰</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1"/>
              <w:jc w:val="right"/>
              <w:rPr>
                <w:rFonts w:ascii="宋体" w:hAnsi="宋体" w:cs="宋体" w:eastAsia="宋体" w:hint="default"/>
                <w:sz w:val="21"/>
                <w:szCs w:val="21"/>
              </w:rPr>
            </w:pPr>
            <w:r>
              <w:rPr>
                <w:rFonts w:ascii="宋体"/>
                <w:sz w:val="21"/>
              </w:rPr>
              <w:t>60.99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w w:val="100"/>
                <w:sz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hAnsi="宋体" w:cs="宋体" w:eastAsia="宋体" w:hint="default"/>
                <w:sz w:val="21"/>
                <w:szCs w:val="21"/>
              </w:rPr>
              <w:t>新任</w:t>
            </w:r>
          </w:p>
        </w:tc>
      </w:tr>
      <w:tr>
        <w:trPr>
          <w:trHeight w:val="63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李静</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32"/>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董事会秘书</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36.70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35.02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4.80%</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34.13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30.85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10.63%</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w w:val="100"/>
                <w:sz w:val="21"/>
              </w:rPr>
              <w:t>-</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501.15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374.43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33.84%</w:t>
            </w:r>
          </w:p>
        </w:tc>
      </w:tr>
    </w:tbl>
    <w:p>
      <w:pPr>
        <w:spacing w:before="71"/>
        <w:ind w:left="534" w:right="615" w:firstLine="0"/>
        <w:jc w:val="left"/>
        <w:rPr>
          <w:rFonts w:ascii="宋体" w:hAnsi="宋体" w:cs="宋体" w:eastAsia="宋体" w:hint="default"/>
          <w:sz w:val="20"/>
          <w:szCs w:val="20"/>
        </w:rPr>
      </w:pPr>
      <w:r>
        <w:rPr>
          <w:rFonts w:ascii="宋体" w:hAnsi="宋体" w:cs="宋体" w:eastAsia="宋体" w:hint="default"/>
          <w:sz w:val="20"/>
          <w:szCs w:val="20"/>
        </w:rPr>
        <w:t>注：董事张强兼任公司全资子公司江苏海隆总经理，在江苏海隆领取薪酬。</w:t>
      </w:r>
    </w:p>
    <w:p>
      <w:pPr>
        <w:pStyle w:val="BodyText"/>
        <w:spacing w:line="357" w:lineRule="auto" w:before="174"/>
        <w:ind w:right="612" w:firstLine="420"/>
        <w:jc w:val="left"/>
      </w:pPr>
      <w:r>
        <w:rPr/>
        <w:t>公司董事、监事和高级管理人员的薪酬去年同期比增加</w:t>
      </w:r>
      <w:r>
        <w:rPr>
          <w:spacing w:val="-89"/>
        </w:rPr>
        <w:t> </w:t>
      </w:r>
      <w:r>
        <w:rPr>
          <w:rFonts w:ascii="宋体" w:hAnsi="宋体" w:cs="宋体" w:eastAsia="宋体" w:hint="default"/>
          <w:spacing w:val="-4"/>
        </w:rPr>
        <w:t>33.84%</w:t>
      </w:r>
      <w:r>
        <w:rPr>
          <w:spacing w:val="-4"/>
        </w:rPr>
        <w:t>，主要因人事调整造</w:t>
      </w:r>
      <w:r>
        <w:rPr/>
        <w:t> 成在公司领取薪酬人数增加。</w:t>
      </w:r>
    </w:p>
    <w:p>
      <w:pPr>
        <w:pStyle w:val="Heading3"/>
        <w:spacing w:line="240" w:lineRule="auto" w:before="36"/>
        <w:ind w:right="615"/>
        <w:jc w:val="left"/>
        <w:rPr>
          <w:b w:val="0"/>
          <w:bCs w:val="0"/>
        </w:rPr>
      </w:pPr>
      <w:r>
        <w:rPr>
          <w:rFonts w:ascii="宋体" w:hAnsi="宋体" w:cs="宋体" w:eastAsia="宋体" w:hint="default"/>
        </w:rPr>
        <w:t>11</w:t>
      </w:r>
      <w:r>
        <w:rPr/>
        <w:t>、报告期公司三项费用及所得税情况</w:t>
      </w:r>
      <w:r>
        <w:rPr>
          <w:b w:val="0"/>
          <w:bCs w:val="0"/>
        </w:rPr>
      </w:r>
    </w:p>
    <w:p>
      <w:pPr>
        <w:spacing w:before="102"/>
        <w:ind w:left="0" w:right="62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1303"/>
        <w:gridCol w:w="1645"/>
        <w:gridCol w:w="1644"/>
        <w:gridCol w:w="1479"/>
        <w:gridCol w:w="1645"/>
        <w:gridCol w:w="1423"/>
      </w:tblGrid>
      <w:tr>
        <w:trPr>
          <w:trHeight w:val="946" w:hRule="exact"/>
        </w:trPr>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3"/>
              <w:jc w:val="center"/>
              <w:rPr>
                <w:rFonts w:ascii="宋体" w:hAnsi="宋体" w:cs="宋体" w:eastAsia="宋体" w:hint="default"/>
                <w:sz w:val="21"/>
                <w:szCs w:val="21"/>
              </w:rPr>
            </w:pPr>
            <w:r>
              <w:rPr>
                <w:rFonts w:ascii="宋体" w:hAnsi="宋体" w:cs="宋体" w:eastAsia="宋体" w:hint="default"/>
                <w:spacing w:val="-1"/>
                <w:sz w:val="21"/>
                <w:szCs w:val="21"/>
              </w:rPr>
              <w:t>同比增减（</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6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9" w:right="127"/>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pacing w:val="-3"/>
                <w:sz w:val="21"/>
                <w:szCs w:val="21"/>
              </w:rPr>
              <w:t>年营</w:t>
            </w:r>
            <w:r>
              <w:rPr>
                <w:rFonts w:ascii="宋体" w:hAnsi="宋体" w:cs="宋体" w:eastAsia="宋体" w:hint="default"/>
                <w:spacing w:val="-3"/>
                <w:w w:val="100"/>
                <w:sz w:val="21"/>
                <w:szCs w:val="21"/>
              </w:rPr>
              <w:t> </w:t>
            </w:r>
            <w:r>
              <w:rPr>
                <w:rFonts w:ascii="宋体" w:hAnsi="宋体" w:cs="宋体" w:eastAsia="宋体" w:hint="default"/>
                <w:sz w:val="21"/>
                <w:szCs w:val="21"/>
              </w:rPr>
              <w:t>业收入的比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 w:right="0"/>
              <w:jc w:val="center"/>
              <w:rPr>
                <w:rFonts w:ascii="宋体" w:hAnsi="宋体" w:cs="宋体" w:eastAsia="宋体" w:hint="default"/>
                <w:sz w:val="21"/>
                <w:szCs w:val="21"/>
              </w:rPr>
            </w:pPr>
            <w:r>
              <w:rPr>
                <w:rFonts w:ascii="宋体"/>
                <w:sz w:val="21"/>
              </w:rPr>
              <w:t>17,048,357.14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13,693,061.69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sz w:val="21"/>
              </w:rPr>
              <w:t>24.50%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11,121,347.56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39"/>
              <w:jc w:val="right"/>
              <w:rPr>
                <w:rFonts w:ascii="宋体" w:hAnsi="宋体" w:cs="宋体" w:eastAsia="宋体" w:hint="default"/>
                <w:sz w:val="21"/>
                <w:szCs w:val="21"/>
              </w:rPr>
            </w:pPr>
            <w:r>
              <w:rPr>
                <w:rFonts w:ascii="宋体"/>
                <w:sz w:val="21"/>
              </w:rPr>
              <w:t>4.36%</w:t>
            </w:r>
          </w:p>
        </w:tc>
      </w:tr>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sz w:val="21"/>
              </w:rPr>
              <w:t>75,818,215.05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61,519,913.66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23.24%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43,194,968.62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6"/>
              <w:jc w:val="right"/>
              <w:rPr>
                <w:rFonts w:ascii="宋体" w:hAnsi="宋体" w:cs="宋体" w:eastAsia="宋体" w:hint="default"/>
                <w:sz w:val="21"/>
                <w:szCs w:val="21"/>
              </w:rPr>
            </w:pPr>
            <w:r>
              <w:rPr>
                <w:rFonts w:ascii="宋体"/>
                <w:sz w:val="21"/>
              </w:rPr>
              <w:t>19.42%</w:t>
            </w:r>
          </w:p>
        </w:tc>
      </w:tr>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sz w:val="21"/>
              </w:rPr>
              <w:t>-1,348,692.68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-1,886,313.64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28.50%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-3,057,838.30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9"/>
              <w:jc w:val="right"/>
              <w:rPr>
                <w:rFonts w:ascii="宋体" w:hAnsi="宋体" w:cs="宋体" w:eastAsia="宋体" w:hint="default"/>
                <w:sz w:val="21"/>
                <w:szCs w:val="21"/>
              </w:rPr>
            </w:pPr>
            <w:r>
              <w:rPr>
                <w:rFonts w:ascii="宋体"/>
                <w:sz w:val="21"/>
              </w:rPr>
              <w:t>0.35%</w:t>
            </w:r>
          </w:p>
        </w:tc>
      </w:tr>
      <w:tr>
        <w:trPr>
          <w:trHeight w:val="322"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sz w:val="21"/>
              </w:rPr>
              <w:t>13,094,823.17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6,580,544.01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98.99%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2,455,508.20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9"/>
              <w:jc w:val="right"/>
              <w:rPr>
                <w:rFonts w:ascii="宋体" w:hAnsi="宋体" w:cs="宋体" w:eastAsia="宋体" w:hint="default"/>
                <w:sz w:val="21"/>
                <w:szCs w:val="21"/>
              </w:rPr>
            </w:pPr>
            <w:r>
              <w:rPr>
                <w:rFonts w:ascii="宋体"/>
                <w:sz w:val="21"/>
              </w:rPr>
              <w:t>3.35%</w:t>
            </w:r>
          </w:p>
        </w:tc>
      </w:tr>
    </w:tbl>
    <w:p>
      <w:pPr>
        <w:pStyle w:val="BodyText"/>
        <w:spacing w:line="357" w:lineRule="auto" w:before="39"/>
        <w:ind w:right="493" w:firstLine="465"/>
        <w:jc w:val="left"/>
      </w:pPr>
      <w:r>
        <w:rPr/>
        <w:t>销售费用同比增加</w:t>
      </w:r>
      <w:r>
        <w:rPr>
          <w:spacing w:val="-75"/>
        </w:rPr>
        <w:t> </w:t>
      </w:r>
      <w:r>
        <w:rPr>
          <w:rFonts w:ascii="宋体" w:hAnsi="宋体" w:cs="宋体" w:eastAsia="宋体" w:hint="default"/>
        </w:rPr>
        <w:t>24.50%</w:t>
      </w:r>
      <w:r>
        <w:rPr/>
        <w:t>，主要系公司本年度营业收入增加，导致相关职工薪酬、 差旅费等费用增加所致。</w:t>
      </w:r>
    </w:p>
    <w:p>
      <w:pPr>
        <w:pStyle w:val="BodyText"/>
        <w:spacing w:line="357" w:lineRule="auto"/>
        <w:ind w:right="493" w:firstLine="465"/>
        <w:jc w:val="left"/>
      </w:pPr>
      <w:r>
        <w:rPr/>
        <w:t>管理费用同比增加</w:t>
      </w:r>
      <w:r>
        <w:rPr>
          <w:spacing w:val="-75"/>
        </w:rPr>
        <w:t> </w:t>
      </w:r>
      <w:r>
        <w:rPr>
          <w:rFonts w:ascii="宋体" w:hAnsi="宋体" w:cs="宋体" w:eastAsia="宋体" w:hint="default"/>
        </w:rPr>
        <w:t>23.24%</w:t>
      </w:r>
      <w:r>
        <w:rPr/>
        <w:t>，主要系公司本年度经营规模扩大，导致相关职工薪酬、 研发支出及股权激励等费用增加所致。</w:t>
      </w:r>
    </w:p>
    <w:p>
      <w:pPr>
        <w:pStyle w:val="BodyText"/>
        <w:spacing w:line="357" w:lineRule="auto"/>
        <w:ind w:left="649" w:right="2158"/>
        <w:jc w:val="left"/>
      </w:pPr>
      <w:r>
        <w:rPr/>
        <w:t>财务费用同比增加</w:t>
      </w:r>
      <w:r>
        <w:rPr>
          <w:spacing w:val="-61"/>
        </w:rPr>
        <w:t> </w:t>
      </w:r>
      <w:r>
        <w:rPr>
          <w:rFonts w:ascii="宋体" w:hAnsi="宋体" w:cs="宋体" w:eastAsia="宋体" w:hint="default"/>
        </w:rPr>
        <w:t>28.50%</w:t>
      </w:r>
      <w:r>
        <w:rPr/>
        <w:t>，主要系公司本年度汇兑损失增加所致。 所得税费用同比增加</w:t>
      </w:r>
      <w:r>
        <w:rPr>
          <w:spacing w:val="-60"/>
        </w:rPr>
        <w:t> </w:t>
      </w:r>
      <w:r>
        <w:rPr>
          <w:rFonts w:ascii="宋体" w:hAnsi="宋体" w:cs="宋体" w:eastAsia="宋体" w:hint="default"/>
        </w:rPr>
        <w:t>98.99%</w:t>
      </w:r>
      <w:r>
        <w:rPr/>
        <w:t>，主要原因为：</w:t>
      </w:r>
    </w:p>
    <w:p>
      <w:pPr>
        <w:pStyle w:val="BodyText"/>
        <w:spacing w:line="240" w:lineRule="auto"/>
        <w:ind w:left="649" w:right="615"/>
        <w:jc w:val="left"/>
      </w:pPr>
      <w:r>
        <w:rPr/>
        <w:t>（</w:t>
      </w:r>
      <w:r>
        <w:rPr>
          <w:rFonts w:ascii="宋体" w:hAnsi="宋体" w:cs="宋体" w:eastAsia="宋体" w:hint="default"/>
        </w:rPr>
        <w:t>1</w:t>
      </w:r>
      <w:r>
        <w:rPr/>
        <w:t>）公司本年利润总额增加；</w:t>
      </w:r>
    </w:p>
    <w:p>
      <w:pPr>
        <w:pStyle w:val="BodyText"/>
        <w:spacing w:line="357" w:lineRule="auto" w:before="154"/>
        <w:ind w:right="495" w:firstLine="465"/>
        <w:jc w:val="left"/>
      </w:pPr>
      <w:r>
        <w:rPr/>
        <w:t>（</w:t>
      </w:r>
      <w:r>
        <w:rPr>
          <w:rFonts w:ascii="宋体" w:hAnsi="宋体" w:cs="宋体" w:eastAsia="宋体" w:hint="default"/>
        </w:rPr>
        <w:t>2</w:t>
      </w:r>
      <w:r>
        <w:rPr/>
        <w:t>）母公司自</w:t>
      </w:r>
      <w:r>
        <w:rPr>
          <w:spacing w:val="-54"/>
        </w:rPr>
        <w:t> </w:t>
      </w:r>
      <w:r>
        <w:rPr>
          <w:rFonts w:ascii="宋体" w:hAnsi="宋体" w:cs="宋体" w:eastAsia="宋体" w:hint="default"/>
        </w:rPr>
        <w:t>2002</w:t>
      </w:r>
      <w:r>
        <w:rPr>
          <w:rFonts w:ascii="宋体" w:hAnsi="宋体" w:cs="宋体" w:eastAsia="宋体" w:hint="default"/>
          <w:spacing w:val="-54"/>
        </w:rPr>
        <w:t> </w:t>
      </w:r>
      <w:r>
        <w:rPr/>
        <w:t>年起至</w:t>
      </w:r>
      <w:r>
        <w:rPr>
          <w:spacing w:val="-54"/>
        </w:rPr>
        <w:t> </w:t>
      </w:r>
      <w:r>
        <w:rPr>
          <w:rFonts w:ascii="宋体" w:hAnsi="宋体" w:cs="宋体" w:eastAsia="宋体" w:hint="default"/>
        </w:rPr>
        <w:t>2010</w:t>
      </w:r>
      <w:r>
        <w:rPr>
          <w:rFonts w:ascii="宋体" w:hAnsi="宋体" w:cs="宋体" w:eastAsia="宋体" w:hint="default"/>
          <w:spacing w:val="-54"/>
        </w:rPr>
        <w:t> </w:t>
      </w:r>
      <w:r>
        <w:rPr/>
        <w:t>年，连续</w:t>
      </w:r>
      <w:r>
        <w:rPr>
          <w:spacing w:val="-54"/>
        </w:rPr>
        <w:t> </w:t>
      </w:r>
      <w:r>
        <w:rPr>
          <w:rFonts w:ascii="宋体" w:hAnsi="宋体" w:cs="宋体" w:eastAsia="宋体" w:hint="default"/>
        </w:rPr>
        <w:t>9</w:t>
      </w:r>
      <w:r>
        <w:rPr>
          <w:rFonts w:ascii="宋体" w:hAnsi="宋体" w:cs="宋体" w:eastAsia="宋体" w:hint="default"/>
          <w:spacing w:val="-54"/>
        </w:rPr>
        <w:t> </w:t>
      </w:r>
      <w:r>
        <w:rPr/>
        <w:t>年均被认定为“国家规划布局内重点 </w:t>
      </w:r>
      <w:r>
        <w:rPr>
          <w:spacing w:val="-12"/>
        </w:rPr>
        <w:t>软件企业”，持续享受减按</w:t>
      </w:r>
      <w:r>
        <w:rPr>
          <w:spacing w:val="-40"/>
        </w:rPr>
        <w:t> </w:t>
      </w:r>
      <w:r>
        <w:rPr>
          <w:rFonts w:ascii="宋体" w:hAnsi="宋体" w:cs="宋体" w:eastAsia="宋体" w:hint="default"/>
          <w:spacing w:val="-1"/>
        </w:rPr>
        <w:t>10%</w:t>
      </w:r>
      <w:r>
        <w:rPr>
          <w:spacing w:val="-1"/>
        </w:rPr>
        <w:t>的税率征收企业所得税的税收优惠政策。截至本报告日，</w:t>
      </w:r>
      <w:r>
        <w:rPr>
          <w:spacing w:val="-118"/>
        </w:rPr>
        <w:t> </w:t>
      </w:r>
      <w:r>
        <w:rPr>
          <w:spacing w:val="-118"/>
        </w:rPr>
      </w:r>
      <w:r>
        <w:rPr>
          <w:rFonts w:ascii="宋体" w:hAnsi="宋体" w:cs="宋体" w:eastAsia="宋体" w:hint="default"/>
        </w:rPr>
        <w:t>2011 </w:t>
      </w:r>
      <w:r>
        <w:rPr/>
        <w:t>年度“国家规划布局内重点软件企业”的申报工作尚未开始，故按已获得的上海</w:t>
      </w:r>
      <w:r>
        <w:rPr>
          <w:spacing w:val="-98"/>
        </w:rPr>
        <w:t> </w:t>
      </w:r>
      <w:r>
        <w:rPr>
          <w:spacing w:val="-98"/>
        </w:rPr>
      </w:r>
      <w:r>
        <w:rPr/>
        <w:t>市《高新技术企业》认证，享受减按</w:t>
      </w:r>
      <w:r>
        <w:rPr>
          <w:spacing w:val="-60"/>
        </w:rPr>
        <w:t> </w:t>
      </w:r>
      <w:r>
        <w:rPr>
          <w:rFonts w:ascii="宋体" w:hAnsi="宋体" w:cs="宋体" w:eastAsia="宋体" w:hint="default"/>
        </w:rPr>
        <w:t>15%</w:t>
      </w:r>
      <w:r>
        <w:rPr/>
        <w:t>的税率征收企业所得税的税收优惠政策。</w:t>
      </w:r>
    </w:p>
    <w:p>
      <w:pPr>
        <w:spacing w:after="0" w:line="357" w:lineRule="auto"/>
        <w:jc w:val="left"/>
        <w:sectPr>
          <w:pgSz w:w="11910" w:h="16840"/>
          <w:pgMar w:header="876" w:footer="1186" w:top="1100" w:bottom="1380" w:left="1300" w:right="76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6" w:footer="1186" w:top="1100" w:bottom="1380" w:left="1300" w:right="580"/>
        </w:sectPr>
      </w:pPr>
    </w:p>
    <w:p>
      <w:pPr>
        <w:pStyle w:val="Heading3"/>
        <w:spacing w:line="240" w:lineRule="auto"/>
        <w:ind w:right="0"/>
        <w:jc w:val="left"/>
        <w:rPr>
          <w:b w:val="0"/>
          <w:bCs w:val="0"/>
        </w:rPr>
      </w:pPr>
      <w:r>
        <w:rPr>
          <w:rFonts w:ascii="宋体" w:hAnsi="宋体" w:cs="宋体" w:eastAsia="宋体" w:hint="default"/>
          <w:w w:val="95"/>
        </w:rPr>
        <w:t>12</w:t>
      </w:r>
      <w:r>
        <w:rPr>
          <w:w w:val="95"/>
        </w:rPr>
        <w:t>、报告期现金流状况分析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3"/>
          <w:szCs w:val="13"/>
        </w:rPr>
      </w:pPr>
    </w:p>
    <w:p>
      <w:pPr>
        <w:spacing w:before="0"/>
        <w:ind w:left="18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380" w:left="1300" w:right="580"/>
          <w:cols w:num="2" w:equalWidth="0">
            <w:col w:w="3075" w:space="5115"/>
            <w:col w:w="1840"/>
          </w:cols>
        </w:sectPr>
      </w:pP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3404"/>
        <w:gridCol w:w="1820"/>
        <w:gridCol w:w="1706"/>
        <w:gridCol w:w="1078"/>
        <w:gridCol w:w="1723"/>
      </w:tblGrid>
      <w:tr>
        <w:trPr>
          <w:trHeight w:val="634"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5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0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4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一、经营活动产生的现金流量净额</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81,178,243.88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42,890,745.78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89.27%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25,446,412.28</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413,194,132.39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309,790,941.80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33.38%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197,265,379.53</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332,015,888.51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266,900,196.02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24.40%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171,818,967.25</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二、投资活动产生的现金流量净额</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-117,736,787.29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-10,917,350.61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-978.44%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14,156,011.73</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投资活动现在流入量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79,767.62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151,940.74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-47.50%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18,140,418.90</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117,816,554.91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11,069,291.35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964.35%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3,984,407.17</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三、筹资活动产生的现金流量净额</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-7,542,186.72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-9,718,338.90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22.39%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-10,575,779.54</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18,110,300.00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21,538,626.90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-15.92%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18,853,840.00</w:t>
            </w:r>
          </w:p>
        </w:tc>
      </w:tr>
      <w:tr>
        <w:trPr>
          <w:trHeight w:val="32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5"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25,652,486.72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31,256,965.80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-17.93%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29,429,619.54</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的影响</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-4,356,121.42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1,539,447.94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-382.97%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-4,159,845.11</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-48,456,851.55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23,794,504.21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-303.65%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24,866,799.36</w:t>
            </w:r>
          </w:p>
        </w:tc>
      </w:tr>
    </w:tbl>
    <w:p>
      <w:pPr>
        <w:pStyle w:val="BodyText"/>
        <w:spacing w:line="357" w:lineRule="auto" w:before="39"/>
        <w:ind w:right="797" w:firstLine="434"/>
        <w:jc w:val="left"/>
      </w:pPr>
      <w:r>
        <w:rPr/>
        <w:t>公司经营活动产生的现金流量净额同比增加</w:t>
      </w:r>
      <w:r>
        <w:rPr>
          <w:spacing w:val="-48"/>
        </w:rPr>
        <w:t> </w:t>
      </w:r>
      <w:r>
        <w:rPr>
          <w:rFonts w:ascii="宋体" w:hAnsi="宋体" w:cs="宋体" w:eastAsia="宋体" w:hint="default"/>
          <w:spacing w:val="-6"/>
        </w:rPr>
        <w:t>89.27%</w:t>
      </w:r>
      <w:r>
        <w:rPr>
          <w:spacing w:val="-6"/>
        </w:rPr>
        <w:t>，表明公司经营状况良好，应收</w:t>
      </w:r>
      <w:r>
        <w:rPr/>
        <w:t> 账款回收情况良好。</w:t>
      </w:r>
    </w:p>
    <w:p>
      <w:pPr>
        <w:pStyle w:val="BodyText"/>
        <w:spacing w:line="357" w:lineRule="auto"/>
        <w:ind w:right="795" w:firstLine="434"/>
        <w:jc w:val="left"/>
      </w:pPr>
      <w:r>
        <w:rPr/>
        <w:t>公司投资活动现金流出同比增加</w:t>
      </w:r>
      <w:r>
        <w:rPr>
          <w:spacing w:val="-46"/>
        </w:rPr>
        <w:t> </w:t>
      </w:r>
      <w:r>
        <w:rPr>
          <w:rFonts w:ascii="宋体" w:hAnsi="宋体" w:cs="宋体" w:eastAsia="宋体" w:hint="default"/>
        </w:rPr>
        <w:t>964.35%</w:t>
      </w:r>
      <w:r>
        <w:rPr/>
        <w:t>，主要为报告期内购买办公场所，增加固 定资产所致。</w:t>
      </w:r>
    </w:p>
    <w:p>
      <w:pPr>
        <w:pStyle w:val="BodyText"/>
        <w:spacing w:line="357" w:lineRule="auto"/>
        <w:ind w:right="797" w:firstLine="434"/>
        <w:jc w:val="left"/>
      </w:pPr>
      <w:r>
        <w:rPr>
          <w:spacing w:val="-2"/>
        </w:rPr>
        <w:t>公司筹资活动的现金流入主要为取得借款；现金流出主要为偿还借款支付的现金及</w:t>
      </w:r>
      <w:r>
        <w:rPr/>
        <w:t> 分配股利、利润或偿付利息。</w:t>
      </w:r>
    </w:p>
    <w:p>
      <w:pPr>
        <w:spacing w:line="357" w:lineRule="auto" w:before="36"/>
        <w:ind w:left="649" w:right="1677" w:hanging="466"/>
        <w:jc w:val="left"/>
        <w:rPr>
          <w:rFonts w:ascii="宋体" w:hAnsi="宋体" w:cs="宋体" w:eastAsia="宋体" w:hint="default"/>
          <w:sz w:val="24"/>
          <w:szCs w:val="24"/>
        </w:rPr>
      </w:pPr>
      <w:r>
        <w:rPr>
          <w:rFonts w:ascii="宋体" w:hAnsi="宋体" w:cs="宋体" w:eastAsia="宋体" w:hint="default"/>
          <w:b/>
          <w:bCs/>
          <w:sz w:val="24"/>
          <w:szCs w:val="24"/>
        </w:rPr>
        <w:t>13</w:t>
      </w:r>
      <w:r>
        <w:rPr>
          <w:rFonts w:ascii="宋体" w:hAnsi="宋体" w:cs="宋体" w:eastAsia="宋体" w:hint="default"/>
          <w:b/>
          <w:bCs/>
          <w:sz w:val="24"/>
          <w:szCs w:val="24"/>
        </w:rPr>
        <w:t>、会计制度实施情况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报告期内公司主要会计政策、会计估计及会计核算方法未发生重大变更。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00" w:bottom="1380" w:left="1300" w:right="580"/>
        </w:sectPr>
      </w:pPr>
    </w:p>
    <w:p>
      <w:pPr>
        <w:pStyle w:val="Heading3"/>
        <w:spacing w:line="240" w:lineRule="auto"/>
        <w:ind w:right="0"/>
        <w:jc w:val="left"/>
        <w:rPr>
          <w:b w:val="0"/>
          <w:bCs w:val="0"/>
        </w:rPr>
      </w:pPr>
      <w:r>
        <w:rPr>
          <w:w w:val="95"/>
        </w:rPr>
        <w:t>二、报告期主要资产、负债及重大投资事项</w:t>
      </w:r>
      <w:r>
        <w:rPr>
          <w:b w:val="0"/>
          <w:bCs w:val="0"/>
        </w:rPr>
      </w:r>
    </w:p>
    <w:p>
      <w:pPr>
        <w:pStyle w:val="Heading3"/>
        <w:spacing w:line="357" w:lineRule="auto" w:before="154"/>
        <w:ind w:right="1184"/>
        <w:jc w:val="left"/>
        <w:rPr>
          <w:b w:val="0"/>
          <w:bCs w:val="0"/>
        </w:rPr>
      </w:pPr>
      <w:r>
        <w:rPr/>
        <w:t>（一）报告期资产构成情况说明</w:t>
      </w:r>
      <w:r>
        <w:rPr>
          <w:w w:val="99"/>
        </w:rPr>
        <w:t> </w:t>
      </w:r>
      <w:r>
        <w:rPr>
          <w:rFonts w:ascii="宋体" w:hAnsi="宋体" w:cs="宋体" w:eastAsia="宋体" w:hint="default"/>
        </w:rPr>
        <w:t>1</w:t>
      </w:r>
      <w:r>
        <w:rPr/>
        <w:t>、主要资产构成变动情况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0"/>
        <w:ind w:left="18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00" w:bottom="1380" w:left="1300" w:right="580"/>
          <w:cols w:num="2" w:equalWidth="0">
            <w:col w:w="4761" w:space="3429"/>
            <w:col w:w="1840"/>
          </w:cols>
        </w:sectPr>
      </w:pPr>
    </w:p>
    <w:p>
      <w:pPr>
        <w:spacing w:line="240" w:lineRule="auto" w:before="10"/>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1498"/>
        <w:gridCol w:w="1695"/>
        <w:gridCol w:w="1414"/>
        <w:gridCol w:w="1685"/>
        <w:gridCol w:w="1438"/>
        <w:gridCol w:w="1330"/>
      </w:tblGrid>
      <w:tr>
        <w:trPr>
          <w:trHeight w:val="322" w:hRule="exact"/>
        </w:trPr>
        <w:tc>
          <w:tcPr>
            <w:tcW w:w="14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8"/>
              <w:ind w:left="323"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310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312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330" w:type="dxa"/>
            <w:vMerge w:val="restart"/>
            <w:tcBorders>
              <w:top w:val="single" w:sz="4" w:space="0" w:color="000000"/>
              <w:left w:val="single" w:sz="4" w:space="0" w:color="000000"/>
              <w:right w:val="single" w:sz="4" w:space="0" w:color="000000"/>
            </w:tcBorders>
            <w:shd w:val="clear" w:color="auto" w:fill="D9D9D9"/>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1498" w:type="dxa"/>
            <w:vMerge/>
            <w:tcBorders>
              <w:left w:val="single" w:sz="4" w:space="0" w:color="000000"/>
              <w:bottom w:val="single" w:sz="4" w:space="0" w:color="000000"/>
              <w:right w:val="single" w:sz="4" w:space="0" w:color="000000"/>
            </w:tcBorders>
            <w:shd w:val="clear" w:color="auto" w:fill="D9D9D9"/>
          </w:tcPr>
          <w:p>
            <w:pPr/>
          </w:p>
        </w:tc>
        <w:tc>
          <w:tcPr>
            <w:tcW w:w="1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占总资产的</w:t>
            </w:r>
            <w:r>
              <w:rPr>
                <w:rFonts w:ascii="宋体" w:hAnsi="宋体" w:cs="宋体" w:eastAsia="宋体" w:hint="default"/>
                <w:spacing w:val="-1"/>
                <w:sz w:val="21"/>
                <w:szCs w:val="21"/>
              </w:rPr>
              <w:t>%</w:t>
            </w: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占总资产的</w:t>
            </w:r>
            <w:r>
              <w:rPr>
                <w:rFonts w:ascii="宋体" w:hAnsi="宋体" w:cs="宋体" w:eastAsia="宋体" w:hint="default"/>
                <w:spacing w:val="-1"/>
                <w:sz w:val="21"/>
                <w:szCs w:val="21"/>
              </w:rPr>
              <w:t>%</w:t>
            </w:r>
          </w:p>
        </w:tc>
        <w:tc>
          <w:tcPr>
            <w:tcW w:w="1330" w:type="dxa"/>
            <w:vMerge/>
            <w:tcBorders>
              <w:left w:val="single" w:sz="4" w:space="0" w:color="000000"/>
              <w:bottom w:val="single" w:sz="4" w:space="0" w:color="000000"/>
              <w:right w:val="single" w:sz="4" w:space="0" w:color="000000"/>
            </w:tcBorders>
            <w:shd w:val="clear" w:color="auto" w:fill="D9D9D9"/>
          </w:tcPr>
          <w:p>
            <w:pPr/>
          </w:p>
        </w:tc>
      </w:tr>
      <w:tr>
        <w:trPr>
          <w:trHeight w:val="32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247,726,796.12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58.42%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296,183,647.67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82.53%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-16.36%</w:t>
            </w:r>
          </w:p>
        </w:tc>
      </w:tr>
      <w:tr>
        <w:trPr>
          <w:trHeight w:val="32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30,849,856.34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25,388,054.15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21.51%</w:t>
            </w:r>
          </w:p>
        </w:tc>
      </w:tr>
      <w:tr>
        <w:trPr>
          <w:trHeight w:val="32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3,197,618.00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6" w:right="0"/>
              <w:jc w:val="center"/>
              <w:rPr>
                <w:rFonts w:ascii="宋体" w:hAnsi="宋体" w:cs="宋体" w:eastAsia="宋体" w:hint="default"/>
                <w:sz w:val="21"/>
                <w:szCs w:val="21"/>
              </w:rPr>
            </w:pPr>
            <w:r>
              <w:rPr>
                <w:rFonts w:ascii="宋体"/>
                <w:sz w:val="21"/>
              </w:rPr>
              <w:t>8,115,134.41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-60.60%</w:t>
            </w:r>
          </w:p>
        </w:tc>
      </w:tr>
      <w:tr>
        <w:trPr>
          <w:trHeight w:val="32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123,119,088.45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14,062,094.49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775.54%</w:t>
            </w:r>
          </w:p>
        </w:tc>
      </w:tr>
      <w:tr>
        <w:trPr>
          <w:trHeight w:val="32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3,194,138.72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6" w:right="0"/>
              <w:jc w:val="center"/>
              <w:rPr>
                <w:rFonts w:ascii="宋体" w:hAnsi="宋体" w:cs="宋体" w:eastAsia="宋体" w:hint="default"/>
                <w:sz w:val="21"/>
                <w:szCs w:val="21"/>
              </w:rPr>
            </w:pPr>
            <w:r>
              <w:rPr>
                <w:rFonts w:ascii="宋体"/>
                <w:sz w:val="21"/>
              </w:rPr>
              <w:t>1,715,732.24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0.48%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86.17%</w:t>
            </w:r>
          </w:p>
        </w:tc>
      </w:tr>
    </w:tbl>
    <w:p>
      <w:pPr>
        <w:pStyle w:val="BodyText"/>
        <w:spacing w:line="240" w:lineRule="auto" w:before="39"/>
        <w:ind w:right="797"/>
        <w:jc w:val="left"/>
      </w:pPr>
      <w:r>
        <w:rPr/>
        <w:t>（</w:t>
      </w:r>
      <w:r>
        <w:rPr>
          <w:rFonts w:ascii="宋体" w:hAnsi="宋体" w:cs="宋体" w:eastAsia="宋体" w:hint="default"/>
        </w:rPr>
        <w:t>1</w:t>
      </w:r>
      <w:r>
        <w:rPr/>
        <w:t>）货币资金同比减少</w:t>
      </w:r>
      <w:r>
        <w:rPr>
          <w:rFonts w:ascii="宋体" w:hAnsi="宋体" w:cs="宋体" w:eastAsia="宋体" w:hint="default"/>
        </w:rPr>
        <w:t>-16.36%</w:t>
      </w:r>
      <w:r>
        <w:rPr/>
        <w:t>，主要系报告期内购买办公楼付款所致。</w:t>
      </w:r>
    </w:p>
    <w:p>
      <w:pPr>
        <w:spacing w:after="0" w:line="240" w:lineRule="auto"/>
        <w:jc w:val="left"/>
        <w:sectPr>
          <w:type w:val="continuous"/>
          <w:pgSz w:w="11910" w:h="16840"/>
          <w:pgMar w:top="1100" w:bottom="1380" w:left="1300" w:right="580"/>
        </w:sectPr>
      </w:pPr>
    </w:p>
    <w:p>
      <w:pPr>
        <w:spacing w:line="240" w:lineRule="auto" w:before="12"/>
        <w:rPr>
          <w:rFonts w:ascii="宋体" w:hAnsi="宋体" w:cs="宋体" w:eastAsia="宋体" w:hint="default"/>
          <w:sz w:val="25"/>
          <w:szCs w:val="25"/>
        </w:rPr>
      </w:pPr>
    </w:p>
    <w:p>
      <w:pPr>
        <w:pStyle w:val="BodyText"/>
        <w:spacing w:line="240" w:lineRule="auto" w:before="26"/>
        <w:ind w:left="198" w:right="0"/>
        <w:jc w:val="left"/>
      </w:pPr>
      <w:r>
        <w:rPr/>
        <w:t>（</w:t>
      </w:r>
      <w:r>
        <w:rPr>
          <w:rFonts w:ascii="宋体" w:hAnsi="宋体" w:cs="宋体" w:eastAsia="宋体" w:hint="default"/>
        </w:rPr>
        <w:t>2</w:t>
      </w:r>
      <w:r>
        <w:rPr/>
        <w:t>）应收账款同比增加</w:t>
      </w:r>
      <w:r>
        <w:rPr>
          <w:spacing w:val="-60"/>
        </w:rPr>
        <w:t> </w:t>
      </w:r>
      <w:r>
        <w:rPr>
          <w:rFonts w:ascii="宋体" w:hAnsi="宋体" w:cs="宋体" w:eastAsia="宋体" w:hint="default"/>
        </w:rPr>
        <w:t>21.51%</w:t>
      </w:r>
      <w:r>
        <w:rPr/>
        <w:t>，主要系营业收入增长导致应收账款相应增加所致。</w:t>
      </w:r>
    </w:p>
    <w:p>
      <w:pPr>
        <w:pStyle w:val="BodyText"/>
        <w:spacing w:line="357" w:lineRule="auto" w:before="154"/>
        <w:ind w:right="211" w:firstLine="14"/>
        <w:jc w:val="left"/>
      </w:pPr>
      <w:r>
        <w:rPr/>
        <w:t>（</w:t>
      </w:r>
      <w:r>
        <w:rPr>
          <w:rFonts w:ascii="宋体" w:hAnsi="宋体" w:cs="宋体" w:eastAsia="宋体" w:hint="default"/>
        </w:rPr>
        <w:t>3</w:t>
      </w:r>
      <w:r>
        <w:rPr/>
        <w:t>）其他应收款同比减少</w:t>
      </w:r>
      <w:r>
        <w:rPr>
          <w:spacing w:val="-74"/>
        </w:rPr>
        <w:t> </w:t>
      </w:r>
      <w:r>
        <w:rPr>
          <w:rFonts w:ascii="宋体" w:hAnsi="宋体" w:cs="宋体" w:eastAsia="宋体" w:hint="default"/>
        </w:rPr>
        <w:t>60.60%</w:t>
      </w:r>
      <w:r>
        <w:rPr/>
        <w:t>，主要系上年末暂付的购房意向金</w:t>
      </w:r>
      <w:r>
        <w:rPr>
          <w:spacing w:val="-74"/>
        </w:rPr>
        <w:t> </w:t>
      </w:r>
      <w:r>
        <w:rPr>
          <w:rFonts w:ascii="宋体" w:hAnsi="宋体" w:cs="宋体" w:eastAsia="宋体" w:hint="default"/>
        </w:rPr>
        <w:t>500</w:t>
      </w:r>
      <w:r>
        <w:rPr>
          <w:rFonts w:ascii="宋体" w:hAnsi="宋体" w:cs="宋体" w:eastAsia="宋体" w:hint="default"/>
          <w:spacing w:val="-74"/>
        </w:rPr>
        <w:t> </w:t>
      </w:r>
      <w:r>
        <w:rPr/>
        <w:t>万元本年转入 固定资产，导致本年末余额大幅减少。</w:t>
      </w:r>
    </w:p>
    <w:p>
      <w:pPr>
        <w:pStyle w:val="BodyText"/>
        <w:spacing w:line="240" w:lineRule="auto"/>
        <w:ind w:right="879"/>
        <w:jc w:val="left"/>
      </w:pPr>
      <w:r>
        <w:rPr/>
        <w:t>（</w:t>
      </w:r>
      <w:r>
        <w:rPr>
          <w:rFonts w:ascii="宋体" w:hAnsi="宋体" w:cs="宋体" w:eastAsia="宋体" w:hint="default"/>
        </w:rPr>
        <w:t>4</w:t>
      </w:r>
      <w:r>
        <w:rPr/>
        <w:t>）固定资产同比增加</w:t>
      </w:r>
      <w:r>
        <w:rPr>
          <w:spacing w:val="-60"/>
        </w:rPr>
        <w:t> </w:t>
      </w:r>
      <w:r>
        <w:rPr>
          <w:rFonts w:ascii="宋体" w:hAnsi="宋体" w:cs="宋体" w:eastAsia="宋体" w:hint="default"/>
        </w:rPr>
        <w:t>775.54%</w:t>
      </w:r>
      <w:r>
        <w:rPr/>
        <w:t>，主要系报告期内购买办公场所所致。</w:t>
      </w:r>
    </w:p>
    <w:p>
      <w:pPr>
        <w:pStyle w:val="BodyText"/>
        <w:spacing w:line="357" w:lineRule="auto" w:before="154"/>
        <w:ind w:right="210"/>
        <w:jc w:val="left"/>
      </w:pPr>
      <w:r>
        <w:rPr/>
        <w:t>（</w:t>
      </w:r>
      <w:r>
        <w:rPr>
          <w:rFonts w:ascii="宋体" w:hAnsi="宋体" w:cs="宋体" w:eastAsia="宋体" w:hint="default"/>
        </w:rPr>
        <w:t>5</w:t>
      </w:r>
      <w:r>
        <w:rPr/>
        <w:t>）开发支出同比增加</w:t>
      </w:r>
      <w:r>
        <w:rPr>
          <w:spacing w:val="-87"/>
        </w:rPr>
        <w:t> </w:t>
      </w:r>
      <w:r>
        <w:rPr>
          <w:rFonts w:ascii="宋体" w:hAnsi="宋体" w:cs="宋体" w:eastAsia="宋体" w:hint="default"/>
        </w:rPr>
        <w:t>86.17%</w:t>
      </w:r>
      <w:r>
        <w:rPr/>
        <w:t>，主要系报告期内新增开发轨道交通站务设备嵌入式软 件项目。</w:t>
      </w:r>
    </w:p>
    <w:p>
      <w:pPr>
        <w:spacing w:line="357" w:lineRule="auto" w:before="36"/>
        <w:ind w:left="663" w:right="213"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、核心资产使用、盈利能力及减值情况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报告期内，公司核心资产使用效率正常，未发生产能低于</w:t>
      </w:r>
      <w:r>
        <w:rPr>
          <w:rFonts w:ascii="宋体" w:hAnsi="宋体" w:cs="宋体" w:eastAsia="宋体" w:hint="default"/>
          <w:spacing w:val="-90"/>
          <w:sz w:val="24"/>
          <w:szCs w:val="24"/>
        </w:rPr>
        <w:t> </w:t>
      </w:r>
      <w:r>
        <w:rPr>
          <w:rFonts w:ascii="宋体" w:hAnsi="宋体" w:cs="宋体" w:eastAsia="宋体" w:hint="default"/>
          <w:sz w:val="24"/>
          <w:szCs w:val="24"/>
        </w:rPr>
        <w:t>70%</w:t>
      </w:r>
      <w:r>
        <w:rPr>
          <w:rFonts w:ascii="宋体" w:hAnsi="宋体" w:cs="宋体" w:eastAsia="宋体" w:hint="default"/>
          <w:sz w:val="24"/>
          <w:szCs w:val="24"/>
        </w:rPr>
        <w:t>的情况。公司核心资</w:t>
      </w:r>
    </w:p>
    <w:p>
      <w:pPr>
        <w:pStyle w:val="BodyText"/>
        <w:spacing w:line="357" w:lineRule="auto"/>
        <w:ind w:right="0"/>
        <w:jc w:val="left"/>
      </w:pPr>
      <w:r>
        <w:rPr>
          <w:spacing w:val="-3"/>
        </w:rPr>
        <w:t>产的盈利能力没有发生变化，也没有出现替代资产或资产升级换代导致公司核心资产盈</w:t>
      </w:r>
      <w:r>
        <w:rPr>
          <w:spacing w:val="-98"/>
        </w:rPr>
        <w:t> </w:t>
      </w:r>
      <w:r>
        <w:rPr>
          <w:spacing w:val="-98"/>
        </w:rPr>
      </w:r>
      <w:r>
        <w:rPr/>
        <w:t>利能力降低的情况。报告期末，公司核心资产不存在减值迹象。</w:t>
      </w:r>
    </w:p>
    <w:p>
      <w:pPr>
        <w:spacing w:line="357" w:lineRule="auto" w:before="36"/>
        <w:ind w:left="658" w:right="4448" w:hanging="476"/>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、主要资产的计量</w:t>
      </w:r>
      <w:r>
        <w:rPr>
          <w:rFonts w:ascii="宋体" w:hAnsi="宋体" w:cs="宋体" w:eastAsia="宋体" w:hint="default"/>
          <w:b/>
          <w:bCs/>
          <w:w w:val="99"/>
          <w:sz w:val="24"/>
          <w:szCs w:val="24"/>
        </w:rPr>
        <w:t> </w:t>
      </w:r>
      <w:r>
        <w:rPr>
          <w:rFonts w:ascii="宋体" w:hAnsi="宋体" w:cs="宋体" w:eastAsia="宋体" w:hint="default"/>
          <w:sz w:val="24"/>
          <w:szCs w:val="24"/>
        </w:rPr>
        <w:t>报告期内，主要资产均以历史成本计量。</w:t>
      </w:r>
    </w:p>
    <w:p>
      <w:pPr>
        <w:pStyle w:val="Heading3"/>
        <w:spacing w:line="240" w:lineRule="auto" w:before="36"/>
        <w:ind w:right="879"/>
        <w:jc w:val="left"/>
        <w:rPr>
          <w:b w:val="0"/>
          <w:bCs w:val="0"/>
        </w:rPr>
      </w:pPr>
      <w:r>
        <w:rPr>
          <w:rFonts w:ascii="宋体" w:hAnsi="宋体" w:cs="宋体" w:eastAsia="宋体" w:hint="default"/>
        </w:rPr>
        <w:t>4</w:t>
      </w:r>
      <w:r>
        <w:rPr/>
        <w:t>、主要债权债务变动情况</w:t>
      </w:r>
      <w:r>
        <w:rPr>
          <w:b w:val="0"/>
          <w:bCs w:val="0"/>
        </w:rPr>
      </w:r>
    </w:p>
    <w:p>
      <w:pPr>
        <w:spacing w:before="102"/>
        <w:ind w:left="0" w:right="64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1327"/>
        <w:gridCol w:w="1417"/>
        <w:gridCol w:w="1644"/>
        <w:gridCol w:w="1644"/>
        <w:gridCol w:w="1520"/>
        <w:gridCol w:w="1586"/>
      </w:tblGrid>
      <w:tr>
        <w:trPr>
          <w:trHeight w:val="322" w:hRule="exact"/>
        </w:trPr>
        <w:tc>
          <w:tcPr>
            <w:tcW w:w="27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6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39"/>
              <w:jc w:val="right"/>
              <w:rPr>
                <w:rFonts w:ascii="宋体" w:hAnsi="宋体" w:cs="宋体" w:eastAsia="宋体" w:hint="default"/>
                <w:sz w:val="21"/>
                <w:szCs w:val="21"/>
              </w:rPr>
            </w:pPr>
            <w:r>
              <w:rPr>
                <w:rFonts w:ascii="宋体" w:hAnsi="宋体" w:cs="宋体" w:eastAsia="宋体" w:hint="default"/>
                <w:spacing w:val="-2"/>
                <w:sz w:val="21"/>
                <w:szCs w:val="21"/>
              </w:rPr>
              <w:t>同比增减（</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2" w:hRule="exact"/>
        </w:trPr>
        <w:tc>
          <w:tcPr>
            <w:tcW w:w="13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8"/>
              <w:ind w:left="237" w:right="0"/>
              <w:jc w:val="left"/>
              <w:rPr>
                <w:rFonts w:ascii="宋体" w:hAnsi="宋体" w:cs="宋体" w:eastAsia="宋体" w:hint="default"/>
                <w:sz w:val="21"/>
                <w:szCs w:val="21"/>
              </w:rPr>
            </w:pPr>
            <w:r>
              <w:rPr>
                <w:rFonts w:ascii="宋体" w:hAnsi="宋体" w:cs="宋体" w:eastAsia="宋体" w:hint="default"/>
                <w:sz w:val="21"/>
                <w:szCs w:val="21"/>
              </w:rPr>
              <w:t>主要债权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30,849,856.34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25,388,054.15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21.51%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15,303,085.21</w:t>
            </w:r>
          </w:p>
        </w:tc>
      </w:tr>
      <w:tr>
        <w:trPr>
          <w:trHeight w:val="322" w:hRule="exact"/>
        </w:trPr>
        <w:tc>
          <w:tcPr>
            <w:tcW w:w="1327"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3,197,618.00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8,115,134.41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-60.60%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3,185,874.87</w:t>
            </w:r>
          </w:p>
        </w:tc>
      </w:tr>
      <w:tr>
        <w:trPr>
          <w:trHeight w:val="324" w:hRule="exact"/>
        </w:trPr>
        <w:tc>
          <w:tcPr>
            <w:tcW w:w="13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主要债务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14,866,180.00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14,063,000.00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5.71%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18,853,840.00</w:t>
            </w:r>
          </w:p>
        </w:tc>
      </w:tr>
      <w:tr>
        <w:trPr>
          <w:trHeight w:val="322" w:hRule="exact"/>
        </w:trPr>
        <w:tc>
          <w:tcPr>
            <w:tcW w:w="1327" w:type="dxa"/>
            <w:vMerge/>
            <w:tcBorders>
              <w:left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2,207,983.10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678,579.56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225.38%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2,549,660.00</w:t>
            </w:r>
          </w:p>
        </w:tc>
      </w:tr>
      <w:tr>
        <w:trPr>
          <w:trHeight w:val="322" w:hRule="exact"/>
        </w:trPr>
        <w:tc>
          <w:tcPr>
            <w:tcW w:w="1327"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374,933.55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958,910.34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-60.90%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443,157.90</w:t>
            </w:r>
          </w:p>
        </w:tc>
      </w:tr>
    </w:tbl>
    <w:p>
      <w:pPr>
        <w:pStyle w:val="BodyText"/>
        <w:spacing w:line="240" w:lineRule="auto" w:before="39"/>
        <w:ind w:left="171" w:right="879"/>
        <w:jc w:val="left"/>
      </w:pPr>
      <w:r>
        <w:rPr/>
        <w:t>（</w:t>
      </w:r>
      <w:r>
        <w:rPr>
          <w:rFonts w:ascii="宋体" w:hAnsi="宋体" w:cs="宋体" w:eastAsia="宋体" w:hint="default"/>
        </w:rPr>
        <w:t>1</w:t>
      </w:r>
      <w:r>
        <w:rPr/>
        <w:t>）应收账款、其他应收款变动参见“</w:t>
      </w:r>
      <w:r>
        <w:rPr>
          <w:rFonts w:ascii="宋体" w:hAnsi="宋体" w:cs="宋体" w:eastAsia="宋体" w:hint="default"/>
        </w:rPr>
        <w:t>1</w:t>
      </w:r>
      <w:r>
        <w:rPr/>
        <w:t>、主要资产构成变动情况</w:t>
      </w:r>
      <w:r>
        <w:rPr>
          <w:spacing w:val="-120"/>
        </w:rPr>
        <w:t>”。</w:t>
      </w:r>
      <w:r>
        <w:rPr/>
      </w:r>
    </w:p>
    <w:p>
      <w:pPr>
        <w:pStyle w:val="BodyText"/>
        <w:spacing w:line="240" w:lineRule="auto" w:before="154"/>
        <w:ind w:left="171" w:right="0"/>
        <w:jc w:val="left"/>
      </w:pPr>
      <w:r>
        <w:rPr/>
        <w:t>（</w:t>
      </w:r>
      <w:r>
        <w:rPr>
          <w:rFonts w:ascii="宋体" w:hAnsi="宋体" w:cs="宋体" w:eastAsia="宋体" w:hint="default"/>
        </w:rPr>
        <w:t>2</w:t>
      </w:r>
      <w:r>
        <w:rPr/>
        <w:t>）应付账款同比增加</w:t>
      </w:r>
      <w:r>
        <w:rPr>
          <w:spacing w:val="-60"/>
        </w:rPr>
        <w:t> </w:t>
      </w:r>
      <w:r>
        <w:rPr>
          <w:rFonts w:ascii="宋体" w:hAnsi="宋体" w:cs="宋体" w:eastAsia="宋体" w:hint="default"/>
        </w:rPr>
        <w:t>225.38%</w:t>
      </w:r>
      <w:r>
        <w:rPr/>
        <w:t>，主要系本年末应付外部公司软件开发费增加所致。</w:t>
      </w:r>
    </w:p>
    <w:p>
      <w:pPr>
        <w:spacing w:line="357" w:lineRule="auto" w:before="154"/>
        <w:ind w:left="183" w:right="1635" w:hanging="12"/>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）其他应付款同比减少</w:t>
      </w:r>
      <w:r>
        <w:rPr>
          <w:rFonts w:ascii="宋体" w:hAnsi="宋体" w:cs="宋体" w:eastAsia="宋体" w:hint="default"/>
          <w:spacing w:val="-60"/>
          <w:sz w:val="24"/>
          <w:szCs w:val="24"/>
        </w:rPr>
        <w:t> </w:t>
      </w:r>
      <w:r>
        <w:rPr>
          <w:rFonts w:ascii="宋体" w:hAnsi="宋体" w:cs="宋体" w:eastAsia="宋体" w:hint="default"/>
          <w:sz w:val="24"/>
          <w:szCs w:val="24"/>
        </w:rPr>
        <w:t>60.90%</w:t>
      </w:r>
      <w:r>
        <w:rPr>
          <w:rFonts w:ascii="宋体" w:hAnsi="宋体" w:cs="宋体" w:eastAsia="宋体" w:hint="default"/>
          <w:sz w:val="24"/>
          <w:szCs w:val="24"/>
        </w:rPr>
        <w:t>，主要系本年偿付了较多暂收款所致。 </w:t>
      </w:r>
      <w:r>
        <w:rPr>
          <w:rFonts w:ascii="宋体" w:hAnsi="宋体" w:cs="宋体" w:eastAsia="宋体" w:hint="default"/>
          <w:b/>
          <w:bCs/>
          <w:sz w:val="24"/>
          <w:szCs w:val="24"/>
        </w:rPr>
        <w:t>5</w:t>
      </w:r>
      <w:r>
        <w:rPr>
          <w:rFonts w:ascii="宋体" w:hAnsi="宋体" w:cs="宋体" w:eastAsia="宋体" w:hint="default"/>
          <w:b/>
          <w:bCs/>
          <w:sz w:val="24"/>
          <w:szCs w:val="24"/>
        </w:rPr>
        <w:t>、资产营运能力分析</w:t>
      </w:r>
      <w:r>
        <w:rPr>
          <w:rFonts w:ascii="宋体" w:hAnsi="宋体" w:cs="宋体" w:eastAsia="宋体" w:hint="default"/>
          <w:sz w:val="24"/>
          <w:szCs w:val="24"/>
        </w:rPr>
      </w:r>
    </w:p>
    <w:tbl>
      <w:tblPr>
        <w:tblW w:w="0" w:type="auto"/>
        <w:jc w:val="left"/>
        <w:tblInd w:w="178" w:type="dxa"/>
        <w:tblLayout w:type="fixed"/>
        <w:tblCellMar>
          <w:top w:w="0" w:type="dxa"/>
          <w:left w:w="0" w:type="dxa"/>
          <w:bottom w:w="0" w:type="dxa"/>
          <w:right w:w="0" w:type="dxa"/>
        </w:tblCellMar>
        <w:tblLook w:val="01E0"/>
      </w:tblPr>
      <w:tblGrid>
        <w:gridCol w:w="2213"/>
        <w:gridCol w:w="1750"/>
        <w:gridCol w:w="1726"/>
        <w:gridCol w:w="1656"/>
        <w:gridCol w:w="1793"/>
      </w:tblGrid>
      <w:tr>
        <w:trPr>
          <w:trHeight w:val="322" w:hRule="exact"/>
        </w:trPr>
        <w:tc>
          <w:tcPr>
            <w:tcW w:w="22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jc w:val="left"/>
              <w:rPr>
                <w:rFonts w:ascii="宋体" w:hAnsi="宋体" w:cs="宋体" w:eastAsia="宋体" w:hint="default"/>
                <w:sz w:val="21"/>
                <w:szCs w:val="21"/>
              </w:rPr>
            </w:pPr>
            <w:r>
              <w:rPr>
                <w:rFonts w:ascii="宋体" w:hAnsi="宋体" w:cs="宋体" w:eastAsia="宋体" w:hint="default"/>
                <w:spacing w:val="-2"/>
                <w:sz w:val="21"/>
                <w:szCs w:val="21"/>
              </w:rPr>
              <w:t>应收账款周转率（次）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14.16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sz w:val="21"/>
              </w:rPr>
              <w:t>-0.27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15.68</w:t>
            </w:r>
          </w:p>
        </w:tc>
      </w:tr>
      <w:tr>
        <w:trPr>
          <w:trHeight w:val="32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spacing w:val="-2"/>
                <w:sz w:val="21"/>
                <w:szCs w:val="21"/>
              </w:rPr>
              <w:t>流动资产周转率（次）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1.27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0.94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0.33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0.70</w:t>
            </w:r>
          </w:p>
        </w:tc>
      </w:tr>
      <w:tr>
        <w:trPr>
          <w:trHeight w:val="322"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总资产周转率（次）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0.87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sz w:val="21"/>
              </w:rPr>
              <w:t>0.13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0.64</w:t>
            </w:r>
          </w:p>
        </w:tc>
      </w:tr>
    </w:tbl>
    <w:p>
      <w:pPr>
        <w:pStyle w:val="BodyText"/>
        <w:spacing w:line="357" w:lineRule="auto" w:before="37"/>
        <w:ind w:right="222" w:firstLine="489"/>
        <w:jc w:val="left"/>
      </w:pPr>
      <w:r>
        <w:rPr>
          <w:spacing w:val="-3"/>
        </w:rPr>
        <w:t>应收账款周转率仍维持了良好的水平。营业收入的增加，使得流动资产周转率、总</w:t>
      </w:r>
      <w:r>
        <w:rPr/>
        <w:t> 资产周转率呈稳步上升趋势。</w:t>
      </w:r>
    </w:p>
    <w:p>
      <w:pPr>
        <w:spacing w:after="0" w:line="357" w:lineRule="auto"/>
        <w:jc w:val="left"/>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Heading3"/>
        <w:spacing w:line="240" w:lineRule="auto"/>
        <w:ind w:right="879"/>
        <w:jc w:val="left"/>
        <w:rPr>
          <w:b w:val="0"/>
          <w:bCs w:val="0"/>
        </w:rPr>
      </w:pPr>
      <w:r>
        <w:rPr>
          <w:rFonts w:ascii="宋体" w:hAnsi="宋体" w:cs="宋体" w:eastAsia="宋体" w:hint="default"/>
        </w:rPr>
        <w:t>6</w:t>
      </w:r>
      <w:r>
        <w:rPr/>
        <w:t>、偿债能力分析</w:t>
      </w:r>
      <w:r>
        <w:rPr>
          <w:b w:val="0"/>
          <w:bCs w:val="0"/>
        </w:rPr>
      </w:r>
    </w:p>
    <w:p>
      <w:pPr>
        <w:spacing w:line="240" w:lineRule="auto" w:before="11"/>
        <w:rPr>
          <w:rFonts w:ascii="宋体" w:hAnsi="宋体" w:cs="宋体" w:eastAsia="宋体" w:hint="default"/>
          <w:b/>
          <w:bCs/>
          <w:sz w:val="8"/>
          <w:szCs w:val="8"/>
        </w:rPr>
      </w:pPr>
    </w:p>
    <w:tbl>
      <w:tblPr>
        <w:tblW w:w="0" w:type="auto"/>
        <w:jc w:val="left"/>
        <w:tblInd w:w="178" w:type="dxa"/>
        <w:tblLayout w:type="fixed"/>
        <w:tblCellMar>
          <w:top w:w="0" w:type="dxa"/>
          <w:left w:w="0" w:type="dxa"/>
          <w:bottom w:w="0" w:type="dxa"/>
          <w:right w:w="0" w:type="dxa"/>
        </w:tblCellMar>
        <w:tblLook w:val="01E0"/>
      </w:tblPr>
      <w:tblGrid>
        <w:gridCol w:w="2227"/>
        <w:gridCol w:w="1736"/>
        <w:gridCol w:w="1724"/>
        <w:gridCol w:w="1651"/>
        <w:gridCol w:w="1801"/>
      </w:tblGrid>
      <w:tr>
        <w:trPr>
          <w:trHeight w:val="322" w:hRule="exact"/>
        </w:trPr>
        <w:tc>
          <w:tcPr>
            <w:tcW w:w="22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6.98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8.81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7.92</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6.94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8.77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7.84</w:t>
            </w:r>
          </w:p>
        </w:tc>
      </w:tr>
      <w:tr>
        <w:trPr>
          <w:trHeight w:val="32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sz w:val="21"/>
              </w:rPr>
              <w:t>9.61%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10.51%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1"/>
                <w:sz w:val="21"/>
                <w:szCs w:val="21"/>
              </w:rPr>
              <w:t> </w:t>
            </w:r>
            <w:r>
              <w:rPr>
                <w:rFonts w:ascii="宋体" w:hAnsi="宋体" w:cs="宋体" w:eastAsia="宋体" w:hint="default"/>
                <w:sz w:val="21"/>
                <w:szCs w:val="21"/>
              </w:rPr>
              <w:t>个百分点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11.76%</w:t>
            </w:r>
          </w:p>
        </w:tc>
      </w:tr>
    </w:tbl>
    <w:p>
      <w:pPr>
        <w:pStyle w:val="BodyText"/>
        <w:spacing w:line="357" w:lineRule="auto" w:before="39"/>
        <w:ind w:right="0" w:firstLine="475"/>
        <w:jc w:val="left"/>
      </w:pPr>
      <w:r>
        <w:rPr>
          <w:spacing w:val="-3"/>
        </w:rPr>
        <w:t>公司流动比率和速动比率保持了较高的水平，资产负债率低，显示了公司有较强的</w:t>
      </w:r>
      <w:r>
        <w:rPr/>
        <w:t> 流动性和偿债能力。</w:t>
      </w:r>
    </w:p>
    <w:p>
      <w:pPr>
        <w:pStyle w:val="Heading3"/>
        <w:spacing w:line="240" w:lineRule="auto" w:before="36"/>
        <w:ind w:right="879"/>
        <w:jc w:val="left"/>
        <w:rPr>
          <w:b w:val="0"/>
          <w:bCs w:val="0"/>
        </w:rPr>
      </w:pPr>
      <w:r>
        <w:rPr>
          <w:rFonts w:ascii="宋体" w:hAnsi="宋体" w:cs="宋体" w:eastAsia="宋体" w:hint="default"/>
        </w:rPr>
        <w:t>7</w:t>
      </w:r>
      <w:r>
        <w:rPr/>
        <w:t>、证券投资</w:t>
      </w:r>
      <w:r>
        <w:rPr>
          <w:b w:val="0"/>
          <w:bCs w:val="0"/>
        </w:rPr>
      </w:r>
    </w:p>
    <w:p>
      <w:pPr>
        <w:pStyle w:val="BodyText"/>
        <w:spacing w:line="357" w:lineRule="auto" w:before="154"/>
        <w:ind w:right="231" w:firstLine="480"/>
        <w:jc w:val="left"/>
      </w:pPr>
      <w:r>
        <w:rPr>
          <w:spacing w:val="-3"/>
        </w:rPr>
        <w:t>截止报告期末，公司不存在证券投资等金融资产、委托理财等财务性投资，也没有</w:t>
      </w:r>
      <w:r>
        <w:rPr/>
        <w:t> 持有境外金融资产。</w:t>
      </w:r>
    </w:p>
    <w:p>
      <w:pPr>
        <w:pStyle w:val="Heading3"/>
        <w:spacing w:line="240" w:lineRule="auto" w:before="37"/>
        <w:ind w:right="879"/>
        <w:jc w:val="left"/>
        <w:rPr>
          <w:b w:val="0"/>
          <w:bCs w:val="0"/>
        </w:rPr>
      </w:pPr>
      <w:r>
        <w:rPr>
          <w:rFonts w:ascii="宋体" w:hAnsi="宋体" w:cs="宋体" w:eastAsia="宋体" w:hint="default"/>
        </w:rPr>
        <w:t>8</w:t>
      </w:r>
      <w:r>
        <w:rPr/>
        <w:t>、近三年研发支出情况</w:t>
      </w:r>
      <w:r>
        <w:rPr>
          <w:b w:val="0"/>
          <w:bCs w:val="0"/>
        </w:rPr>
      </w:r>
    </w:p>
    <w:p>
      <w:pPr>
        <w:spacing w:before="102"/>
        <w:ind w:left="0" w:right="22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78" w:type="dxa"/>
        <w:tblLayout w:type="fixed"/>
        <w:tblCellMar>
          <w:top w:w="0" w:type="dxa"/>
          <w:left w:w="0" w:type="dxa"/>
          <w:bottom w:w="0" w:type="dxa"/>
          <w:right w:w="0" w:type="dxa"/>
        </w:tblCellMar>
        <w:tblLook w:val="01E0"/>
      </w:tblPr>
      <w:tblGrid>
        <w:gridCol w:w="2871"/>
        <w:gridCol w:w="1666"/>
        <w:gridCol w:w="1702"/>
        <w:gridCol w:w="1239"/>
        <w:gridCol w:w="1596"/>
      </w:tblGrid>
      <w:tr>
        <w:trPr>
          <w:trHeight w:val="322" w:hRule="exact"/>
        </w:trPr>
        <w:tc>
          <w:tcPr>
            <w:tcW w:w="287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9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34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17,534,504.40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12,727,051.62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37.77%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7,180,816.12</w:t>
            </w:r>
          </w:p>
        </w:tc>
      </w:tr>
      <w:tr>
        <w:trPr>
          <w:trHeight w:val="322"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其中：资产化的研发支出总额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4,397,509.56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3,126,669.98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40.65%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2,677,726.33</w:t>
            </w:r>
          </w:p>
        </w:tc>
      </w:tr>
      <w:tr>
        <w:trPr>
          <w:trHeight w:val="636"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8"/>
                <w:sz w:val="21"/>
                <w:szCs w:val="21"/>
              </w:rPr>
              <w:t>研发支出总额占营业收入的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比重</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4.33%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64"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0.16</w:t>
            </w:r>
            <w:r>
              <w:rPr>
                <w:rFonts w:ascii="宋体" w:hAnsi="宋体" w:cs="宋体" w:eastAsia="宋体" w:hint="default"/>
                <w:w w:val="100"/>
                <w:sz w:val="21"/>
                <w:szCs w:val="21"/>
              </w:rPr>
              <w:t> </w:t>
            </w:r>
            <w:r>
              <w:rPr>
                <w:rFonts w:ascii="宋体" w:hAnsi="宋体" w:cs="宋体" w:eastAsia="宋体" w:hint="default"/>
                <w:sz w:val="21"/>
                <w:szCs w:val="21"/>
              </w:rPr>
              <w:t>个百分点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3.72%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357" w:lineRule="auto"/>
        <w:ind w:right="4183"/>
        <w:jc w:val="left"/>
        <w:rPr>
          <w:b w:val="0"/>
          <w:bCs w:val="0"/>
        </w:rPr>
      </w:pPr>
      <w:r>
        <w:rPr/>
        <w:t>（二）公司主要控股公司及参股公司的经营情况</w:t>
      </w:r>
      <w:r>
        <w:rPr>
          <w:w w:val="99"/>
        </w:rPr>
        <w:t> </w:t>
      </w:r>
      <w:r>
        <w:rPr>
          <w:rFonts w:ascii="宋体" w:hAnsi="宋体" w:cs="宋体" w:eastAsia="宋体" w:hint="default"/>
        </w:rPr>
        <w:t>1</w:t>
      </w:r>
      <w:r>
        <w:rPr/>
        <w:t>、全资子公司</w:t>
      </w:r>
      <w:r>
        <w:rPr>
          <w:b w:val="0"/>
          <w:bCs w:val="0"/>
        </w:rPr>
      </w:r>
    </w:p>
    <w:p>
      <w:pPr>
        <w:pStyle w:val="BodyText"/>
        <w:spacing w:line="240" w:lineRule="auto"/>
        <w:ind w:right="0"/>
        <w:jc w:val="both"/>
      </w:pPr>
      <w:r>
        <w:rPr/>
        <w:t>（</w:t>
      </w:r>
      <w:r>
        <w:rPr>
          <w:rFonts w:ascii="宋体" w:hAnsi="宋体" w:cs="宋体" w:eastAsia="宋体" w:hint="default"/>
        </w:rPr>
        <w:t>1</w:t>
      </w:r>
      <w:r>
        <w:rPr/>
        <w:t>）日本海隆株式会社</w:t>
      </w:r>
    </w:p>
    <w:p>
      <w:pPr>
        <w:pStyle w:val="BodyText"/>
        <w:spacing w:line="357" w:lineRule="auto" w:before="154"/>
        <w:ind w:right="0" w:firstLine="420"/>
        <w:jc w:val="left"/>
        <w:rPr>
          <w:rFonts w:ascii="宋体" w:hAnsi="宋体" w:cs="宋体" w:eastAsia="宋体" w:hint="default"/>
        </w:rPr>
      </w:pPr>
      <w:r>
        <w:rPr>
          <w:spacing w:val="-5"/>
        </w:rPr>
        <w:t>日本海隆株式会社（以下简称“日本海隆”）注册资本为</w:t>
      </w:r>
      <w:r>
        <w:rPr/>
        <w:t> </w:t>
      </w:r>
      <w:r>
        <w:rPr>
          <w:rFonts w:ascii="宋体" w:hAnsi="宋体" w:cs="宋体" w:eastAsia="宋体" w:hint="default"/>
        </w:rPr>
        <w:t>5,000</w:t>
      </w:r>
      <w:r>
        <w:rPr>
          <w:rFonts w:ascii="宋体" w:hAnsi="宋体" w:cs="宋体" w:eastAsia="宋体" w:hint="default"/>
          <w:spacing w:val="-24"/>
        </w:rPr>
        <w:t> </w:t>
      </w:r>
      <w:r>
        <w:rPr>
          <w:spacing w:val="-1"/>
        </w:rPr>
        <w:t>万日元，本公司持</w:t>
      </w:r>
      <w:r>
        <w:rPr/>
        <w:t> 有其 </w:t>
      </w:r>
      <w:r>
        <w:rPr>
          <w:rFonts w:ascii="宋体" w:hAnsi="宋体" w:cs="宋体" w:eastAsia="宋体" w:hint="default"/>
        </w:rPr>
        <w:t>100%</w:t>
      </w:r>
      <w:r>
        <w:rPr/>
        <w:t>的股权。其主要经营范围为计算机系统的分析、设计业务；计算机软件的开</w:t>
      </w:r>
      <w:r>
        <w:rPr>
          <w:spacing w:val="-98"/>
        </w:rPr>
        <w:t> </w:t>
      </w:r>
      <w:r>
        <w:rPr>
          <w:spacing w:val="-98"/>
        </w:rPr>
      </w:r>
      <w:r>
        <w:rPr>
          <w:spacing w:val="-6"/>
        </w:rPr>
        <w:t>发及销售相关业务；计算机软件开发技术人员的派遣业务；计算机系统相关的咨询业务。</w:t>
      </w:r>
      <w:r>
        <w:rPr>
          <w:spacing w:val="-98"/>
        </w:rPr>
        <w:t> </w:t>
      </w:r>
      <w:r>
        <w:rPr>
          <w:spacing w:val="-98"/>
        </w:rPr>
      </w:r>
      <w:r>
        <w:rPr>
          <w:spacing w:val="-3"/>
        </w:rPr>
        <w:t>日本海隆为母公司在日本当地的窗口公司，主要任务为营销、维护客户关系及母公司现</w:t>
      </w:r>
      <w:r>
        <w:rPr>
          <w:spacing w:val="-98"/>
        </w:rPr>
        <w:t> </w:t>
      </w:r>
      <w:r>
        <w:rPr>
          <w:spacing w:val="-98"/>
        </w:rPr>
      </w:r>
      <w:r>
        <w:rPr>
          <w:spacing w:val="-8"/>
        </w:rPr>
        <w:t>场工作人员管理。截止报告期末，经审计后的总资产为</w:t>
      </w:r>
      <w:r>
        <w:rPr>
          <w:spacing w:val="-55"/>
        </w:rPr>
        <w:t> </w:t>
      </w:r>
      <w:r>
        <w:rPr>
          <w:rFonts w:ascii="宋体" w:hAnsi="宋体" w:cs="宋体" w:eastAsia="宋体" w:hint="default"/>
        </w:rPr>
        <w:t>4,553.18</w:t>
      </w:r>
      <w:r>
        <w:rPr>
          <w:rFonts w:ascii="宋体" w:hAnsi="宋体" w:cs="宋体" w:eastAsia="宋体" w:hint="default"/>
          <w:spacing w:val="-56"/>
        </w:rPr>
        <w:t> </w:t>
      </w:r>
      <w:r>
        <w:rPr>
          <w:spacing w:val="-14"/>
        </w:rPr>
        <w:t>万元，净资产为</w:t>
      </w:r>
      <w:r>
        <w:rPr>
          <w:spacing w:val="-56"/>
        </w:rPr>
        <w:t> </w:t>
      </w:r>
      <w:r>
        <w:rPr>
          <w:rFonts w:ascii="宋体" w:hAnsi="宋体" w:cs="宋体" w:eastAsia="宋体" w:hint="default"/>
        </w:rPr>
        <w:t>977.47</w:t>
      </w:r>
    </w:p>
    <w:p>
      <w:pPr>
        <w:pStyle w:val="BodyText"/>
        <w:spacing w:line="357" w:lineRule="auto"/>
        <w:ind w:right="233"/>
        <w:jc w:val="both"/>
      </w:pPr>
      <w:r>
        <w:rPr>
          <w:spacing w:val="-3"/>
        </w:rPr>
        <w:t>万元；报告期内实现营业收入</w:t>
      </w:r>
      <w:r>
        <w:rPr>
          <w:spacing w:val="-57"/>
        </w:rPr>
        <w:t> </w:t>
      </w:r>
      <w:r>
        <w:rPr>
          <w:rFonts w:ascii="宋体" w:hAnsi="宋体" w:cs="宋体" w:eastAsia="宋体" w:hint="default"/>
        </w:rPr>
        <w:t>24,150</w:t>
      </w:r>
      <w:r>
        <w:rPr>
          <w:rFonts w:ascii="宋体" w:hAnsi="宋体" w:cs="宋体" w:eastAsia="宋体" w:hint="default"/>
          <w:spacing w:val="-57"/>
        </w:rPr>
        <w:t> </w:t>
      </w:r>
      <w:r>
        <w:rPr>
          <w:spacing w:val="-6"/>
        </w:rPr>
        <w:t>万元，净利润</w:t>
      </w:r>
      <w:r>
        <w:rPr>
          <w:spacing w:val="-57"/>
        </w:rPr>
        <w:t> </w:t>
      </w:r>
      <w:r>
        <w:rPr>
          <w:rFonts w:ascii="宋体" w:hAnsi="宋体" w:cs="宋体" w:eastAsia="宋体" w:hint="default"/>
        </w:rPr>
        <w:t>278.76</w:t>
      </w:r>
      <w:r>
        <w:rPr>
          <w:rFonts w:ascii="宋体" w:hAnsi="宋体" w:cs="宋体" w:eastAsia="宋体" w:hint="default"/>
          <w:spacing w:val="-57"/>
        </w:rPr>
        <w:t> </w:t>
      </w:r>
      <w:r>
        <w:rPr>
          <w:spacing w:val="-3"/>
        </w:rPr>
        <w:t>万元。对公司合并净利润影</w:t>
      </w:r>
      <w:r>
        <w:rPr/>
        <w:t> 响不足</w:t>
      </w:r>
      <w:r>
        <w:rPr>
          <w:spacing w:val="-61"/>
        </w:rPr>
        <w:t> </w:t>
      </w:r>
      <w:r>
        <w:rPr>
          <w:rFonts w:ascii="宋体" w:hAnsi="宋体" w:cs="宋体" w:eastAsia="宋体" w:hint="default"/>
        </w:rPr>
        <w:t>10%</w:t>
      </w:r>
      <w:r>
        <w:rPr/>
        <w:t>。</w:t>
      </w:r>
    </w:p>
    <w:p>
      <w:pPr>
        <w:pStyle w:val="BodyText"/>
        <w:spacing w:line="357" w:lineRule="auto" w:before="37"/>
        <w:ind w:left="603" w:right="211" w:hanging="420"/>
        <w:jc w:val="left"/>
      </w:pPr>
      <w:r>
        <w:rPr/>
        <w:t>（</w:t>
      </w:r>
      <w:r>
        <w:rPr>
          <w:rFonts w:ascii="宋体" w:hAnsi="宋体" w:cs="宋体" w:eastAsia="宋体" w:hint="default"/>
        </w:rPr>
        <w:t>2</w:t>
      </w:r>
      <w:r>
        <w:rPr/>
        <w:t>）江苏海隆软件技术有限公司 </w:t>
      </w:r>
      <w:r>
        <w:rPr>
          <w:spacing w:val="-4"/>
        </w:rPr>
        <w:t>江苏海隆软件技术有限公司（以下简称“江苏海隆”）注册资本为人民币</w:t>
      </w:r>
      <w:r>
        <w:rPr/>
        <w:t> </w:t>
      </w:r>
      <w:r>
        <w:rPr>
          <w:rFonts w:ascii="宋体" w:hAnsi="宋体" w:cs="宋体" w:eastAsia="宋体" w:hint="default"/>
        </w:rPr>
        <w:t>1,000</w:t>
      </w:r>
      <w:r>
        <w:rPr>
          <w:rFonts w:ascii="宋体" w:hAnsi="宋体" w:cs="宋体" w:eastAsia="宋体" w:hint="default"/>
          <w:spacing w:val="-20"/>
        </w:rPr>
        <w:t> </w:t>
      </w:r>
      <w:r>
        <w:rPr/>
        <w:t>万</w:t>
      </w:r>
    </w:p>
    <w:p>
      <w:pPr>
        <w:pStyle w:val="BodyText"/>
        <w:spacing w:line="357" w:lineRule="auto"/>
        <w:ind w:right="230"/>
        <w:jc w:val="both"/>
      </w:pPr>
      <w:r>
        <w:rPr/>
        <w:t>元，本公司持有其</w:t>
      </w:r>
      <w:r>
        <w:rPr>
          <w:spacing w:val="21"/>
        </w:rPr>
        <w:t> </w:t>
      </w:r>
      <w:r>
        <w:rPr>
          <w:rFonts w:ascii="宋体" w:hAnsi="宋体" w:cs="宋体" w:eastAsia="宋体" w:hint="default"/>
        </w:rPr>
        <w:t>100%</w:t>
      </w:r>
      <w:r>
        <w:rPr/>
        <w:t>的股权。其经营范围主要包括计算机软硬件系统及其相关系统</w:t>
      </w:r>
      <w:r>
        <w:rPr>
          <w:spacing w:val="-118"/>
        </w:rPr>
        <w:t> </w:t>
      </w:r>
      <w:r>
        <w:rPr>
          <w:spacing w:val="-118"/>
        </w:rPr>
      </w:r>
      <w:r>
        <w:rPr>
          <w:spacing w:val="-3"/>
        </w:rPr>
        <w:t>的集成、技术开发、技术咨询、技术服务、销售。江苏海隆为母公司在南京设立的后方</w:t>
      </w:r>
      <w:r>
        <w:rPr>
          <w:spacing w:val="-100"/>
        </w:rPr>
        <w:t> </w:t>
      </w:r>
      <w:r>
        <w:rPr>
          <w:spacing w:val="-100"/>
        </w:rPr>
      </w:r>
      <w:r>
        <w:rPr>
          <w:spacing w:val="-3"/>
        </w:rPr>
        <w:t>开发基地，主要承接母公司发包的软件系统开发项目。截止报告期末，经审计后的总资</w:t>
      </w:r>
    </w:p>
    <w:p>
      <w:pPr>
        <w:spacing w:after="0" w:line="357" w:lineRule="auto"/>
        <w:jc w:val="both"/>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98"/>
        <w:jc w:val="left"/>
      </w:pPr>
      <w:r>
        <w:rPr/>
        <w:t>产为</w:t>
      </w:r>
      <w:r>
        <w:rPr>
          <w:spacing w:val="-60"/>
        </w:rPr>
        <w:t> </w:t>
      </w:r>
      <w:r>
        <w:rPr>
          <w:rFonts w:ascii="宋体" w:hAnsi="宋体" w:cs="宋体" w:eastAsia="宋体" w:hint="default"/>
        </w:rPr>
        <w:t>1,539.32</w:t>
      </w:r>
      <w:r>
        <w:rPr>
          <w:rFonts w:ascii="宋体" w:hAnsi="宋体" w:cs="宋体" w:eastAsia="宋体" w:hint="default"/>
          <w:spacing w:val="-59"/>
        </w:rPr>
        <w:t> </w:t>
      </w:r>
      <w:r>
        <w:rPr>
          <w:spacing w:val="-7"/>
        </w:rPr>
        <w:t>万元，净资产为</w:t>
      </w:r>
      <w:r>
        <w:rPr>
          <w:spacing w:val="-59"/>
        </w:rPr>
        <w:t> </w:t>
      </w:r>
      <w:r>
        <w:rPr>
          <w:rFonts w:ascii="宋体" w:hAnsi="宋体" w:cs="宋体" w:eastAsia="宋体" w:hint="default"/>
        </w:rPr>
        <w:t>1,467.58</w:t>
      </w:r>
      <w:r>
        <w:rPr>
          <w:rFonts w:ascii="宋体" w:hAnsi="宋体" w:cs="宋体" w:eastAsia="宋体" w:hint="default"/>
          <w:spacing w:val="-59"/>
        </w:rPr>
        <w:t> </w:t>
      </w:r>
      <w:r>
        <w:rPr>
          <w:spacing w:val="-4"/>
        </w:rPr>
        <w:t>万元；报告期内实现营业收入</w:t>
      </w:r>
      <w:r>
        <w:rPr>
          <w:spacing w:val="-58"/>
        </w:rPr>
        <w:t> </w:t>
      </w:r>
      <w:r>
        <w:rPr>
          <w:rFonts w:ascii="宋体" w:hAnsi="宋体" w:cs="宋体" w:eastAsia="宋体" w:hint="default"/>
        </w:rPr>
        <w:t>2,688.88</w:t>
      </w:r>
      <w:r>
        <w:rPr>
          <w:rFonts w:ascii="宋体" w:hAnsi="宋体" w:cs="宋体" w:eastAsia="宋体" w:hint="default"/>
          <w:spacing w:val="-59"/>
        </w:rPr>
        <w:t> </w:t>
      </w:r>
      <w:r>
        <w:rPr/>
        <w:t>万元， 净利润</w:t>
      </w:r>
      <w:r>
        <w:rPr>
          <w:spacing w:val="-61"/>
        </w:rPr>
        <w:t> </w:t>
      </w:r>
      <w:r>
        <w:rPr>
          <w:rFonts w:ascii="宋体" w:hAnsi="宋体" w:cs="宋体" w:eastAsia="宋体" w:hint="default"/>
        </w:rPr>
        <w:t>487.02</w:t>
      </w:r>
      <w:r>
        <w:rPr>
          <w:rFonts w:ascii="宋体" w:hAnsi="宋体" w:cs="宋体" w:eastAsia="宋体" w:hint="default"/>
          <w:spacing w:val="-60"/>
        </w:rPr>
        <w:t> </w:t>
      </w:r>
      <w:r>
        <w:rPr/>
        <w:t>万元。对公司合并净利润影响不足</w:t>
      </w:r>
      <w:r>
        <w:rPr>
          <w:spacing w:val="-59"/>
        </w:rPr>
        <w:t> </w:t>
      </w:r>
      <w:r>
        <w:rPr>
          <w:rFonts w:ascii="宋体" w:hAnsi="宋体" w:cs="宋体" w:eastAsia="宋体" w:hint="default"/>
        </w:rPr>
        <w:t>10%</w:t>
      </w:r>
      <w:r>
        <w:rPr/>
        <w:t>。</w:t>
      </w:r>
    </w:p>
    <w:p>
      <w:pPr>
        <w:pStyle w:val="Heading3"/>
        <w:spacing w:line="240" w:lineRule="auto" w:before="36"/>
        <w:ind w:right="879"/>
        <w:jc w:val="left"/>
        <w:rPr>
          <w:b w:val="0"/>
          <w:bCs w:val="0"/>
        </w:rPr>
      </w:pPr>
      <w:r>
        <w:rPr>
          <w:rFonts w:ascii="宋体" w:hAnsi="宋体" w:cs="宋体" w:eastAsia="宋体" w:hint="default"/>
        </w:rPr>
        <w:t>2</w:t>
      </w:r>
      <w:r>
        <w:rPr/>
        <w:t>、控股子公司</w:t>
      </w:r>
      <w:r>
        <w:rPr>
          <w:b w:val="0"/>
          <w:bCs w:val="0"/>
        </w:rPr>
      </w:r>
    </w:p>
    <w:p>
      <w:pPr>
        <w:pStyle w:val="BodyText"/>
        <w:spacing w:line="240" w:lineRule="auto" w:before="154"/>
        <w:ind w:right="879"/>
        <w:jc w:val="left"/>
      </w:pPr>
      <w:r>
        <w:rPr/>
        <w:t>（</w:t>
      </w:r>
      <w:r>
        <w:rPr>
          <w:rFonts w:ascii="宋体" w:hAnsi="宋体" w:cs="宋体" w:eastAsia="宋体" w:hint="default"/>
        </w:rPr>
        <w:t>1</w:t>
      </w:r>
      <w:r>
        <w:rPr/>
        <w:t>）上海华钟计算机软件开发有限公司</w:t>
      </w:r>
    </w:p>
    <w:p>
      <w:pPr>
        <w:pStyle w:val="BodyText"/>
        <w:spacing w:line="357" w:lineRule="auto" w:before="154"/>
        <w:ind w:right="230" w:firstLine="420"/>
        <w:jc w:val="both"/>
      </w:pPr>
      <w:r>
        <w:rPr>
          <w:spacing w:val="-2"/>
        </w:rPr>
        <w:t>上海华钟计算机软件开发有限公司（以下简称“华钟”）注册资本为人民币</w:t>
      </w:r>
      <w:r>
        <w:rPr>
          <w:spacing w:val="17"/>
        </w:rPr>
        <w:t> </w:t>
      </w:r>
      <w:r>
        <w:rPr>
          <w:rFonts w:ascii="宋体" w:hAnsi="宋体" w:cs="宋体" w:eastAsia="宋体" w:hint="default"/>
        </w:rPr>
        <w:t>1,000 </w:t>
      </w:r>
      <w:r>
        <w:rPr/>
        <w:t>万元，本公司持有其</w:t>
      </w:r>
      <w:r>
        <w:rPr>
          <w:spacing w:val="-89"/>
        </w:rPr>
        <w:t> </w:t>
      </w:r>
      <w:r>
        <w:rPr>
          <w:rFonts w:ascii="宋体" w:hAnsi="宋体" w:cs="宋体" w:eastAsia="宋体" w:hint="default"/>
        </w:rPr>
        <w:t>51%</w:t>
      </w:r>
      <w:r>
        <w:rPr/>
        <w:t>的股权。其经营范围主要包括研制、生产计算机软件、硬件和 </w:t>
      </w:r>
      <w:r>
        <w:rPr>
          <w:spacing w:val="-3"/>
        </w:rPr>
        <w:t>应用系统，销售自产产品，提供相关技术咨询、技术服务。截止报告期末，经审计后的</w:t>
      </w:r>
      <w:r>
        <w:rPr>
          <w:spacing w:val="-104"/>
        </w:rPr>
        <w:t> </w:t>
      </w:r>
      <w:r>
        <w:rPr>
          <w:spacing w:val="-104"/>
        </w:rPr>
      </w:r>
      <w:r>
        <w:rPr/>
        <w:t>总资产为</w:t>
      </w:r>
      <w:r>
        <w:rPr>
          <w:spacing w:val="-44"/>
        </w:rPr>
        <w:t> </w:t>
      </w:r>
      <w:r>
        <w:rPr>
          <w:rFonts w:ascii="宋体" w:hAnsi="宋体" w:cs="宋体" w:eastAsia="宋体" w:hint="default"/>
        </w:rPr>
        <w:t>3,171.68</w:t>
      </w:r>
      <w:r>
        <w:rPr>
          <w:rFonts w:ascii="宋体" w:hAnsi="宋体" w:cs="宋体" w:eastAsia="宋体" w:hint="default"/>
          <w:spacing w:val="-44"/>
        </w:rPr>
        <w:t> </w:t>
      </w:r>
      <w:r>
        <w:rPr/>
        <w:t>万元，净资产为</w:t>
      </w:r>
      <w:r>
        <w:rPr>
          <w:spacing w:val="-43"/>
        </w:rPr>
        <w:t> </w:t>
      </w:r>
      <w:r>
        <w:rPr>
          <w:rFonts w:ascii="宋体" w:hAnsi="宋体" w:cs="宋体" w:eastAsia="宋体" w:hint="default"/>
        </w:rPr>
        <w:t>2,932.19</w:t>
      </w:r>
      <w:r>
        <w:rPr>
          <w:rFonts w:ascii="宋体" w:hAnsi="宋体" w:cs="宋体" w:eastAsia="宋体" w:hint="default"/>
          <w:spacing w:val="-43"/>
        </w:rPr>
        <w:t> </w:t>
      </w:r>
      <w:r>
        <w:rPr/>
        <w:t>万元；报告期内实现营业收入</w:t>
      </w:r>
      <w:r>
        <w:rPr>
          <w:spacing w:val="-43"/>
        </w:rPr>
        <w:t> </w:t>
      </w:r>
      <w:r>
        <w:rPr>
          <w:rFonts w:ascii="宋体" w:hAnsi="宋体" w:cs="宋体" w:eastAsia="宋体" w:hint="default"/>
        </w:rPr>
        <w:t>8,357.15 </w:t>
      </w:r>
      <w:r>
        <w:rPr/>
        <w:t>万元，净利润</w:t>
      </w:r>
      <w:r>
        <w:rPr>
          <w:spacing w:val="-61"/>
        </w:rPr>
        <w:t> </w:t>
      </w:r>
      <w:r>
        <w:rPr>
          <w:rFonts w:ascii="宋体" w:hAnsi="宋体" w:cs="宋体" w:eastAsia="宋体" w:hint="default"/>
        </w:rPr>
        <w:t>537.66</w:t>
      </w:r>
      <w:r>
        <w:rPr>
          <w:rFonts w:ascii="宋体" w:hAnsi="宋体" w:cs="宋体" w:eastAsia="宋体" w:hint="default"/>
          <w:spacing w:val="-60"/>
        </w:rPr>
        <w:t> </w:t>
      </w:r>
      <w:r>
        <w:rPr/>
        <w:t>万元。对公司合并净利润影响不足</w:t>
      </w:r>
      <w:r>
        <w:rPr>
          <w:spacing w:val="-59"/>
        </w:rPr>
        <w:t> </w:t>
      </w:r>
      <w:r>
        <w:rPr>
          <w:rFonts w:ascii="宋体" w:hAnsi="宋体" w:cs="宋体" w:eastAsia="宋体" w:hint="default"/>
        </w:rPr>
        <w:t>10%</w:t>
      </w:r>
      <w:r>
        <w:rPr/>
        <w:t>。</w:t>
      </w:r>
    </w:p>
    <w:p>
      <w:pPr>
        <w:pStyle w:val="BodyText"/>
        <w:spacing w:line="240" w:lineRule="auto" w:before="37"/>
        <w:ind w:right="879"/>
        <w:jc w:val="left"/>
      </w:pPr>
      <w:r>
        <w:rPr/>
        <w:t>（</w:t>
      </w:r>
      <w:r>
        <w:rPr>
          <w:rFonts w:ascii="宋体" w:hAnsi="宋体" w:cs="宋体" w:eastAsia="宋体" w:hint="default"/>
        </w:rPr>
        <w:t>2</w:t>
      </w:r>
      <w:r>
        <w:rPr/>
        <w:t>）上海海隆宜通信息技术有限公司</w:t>
      </w:r>
    </w:p>
    <w:p>
      <w:pPr>
        <w:pStyle w:val="BodyText"/>
        <w:spacing w:line="357" w:lineRule="auto" w:before="154"/>
        <w:ind w:right="230" w:firstLine="434"/>
        <w:jc w:val="both"/>
      </w:pPr>
      <w:r>
        <w:rPr>
          <w:spacing w:val="-2"/>
        </w:rPr>
        <w:t>上海海隆宜通信息技术有限公司（以下简称“海隆宜通”）注册资本为人民币</w:t>
      </w:r>
      <w:r>
        <w:rPr>
          <w:spacing w:val="9"/>
        </w:rPr>
        <w:t> </w:t>
      </w:r>
      <w:r>
        <w:rPr>
          <w:rFonts w:ascii="宋体" w:hAnsi="宋体" w:cs="宋体" w:eastAsia="宋体" w:hint="default"/>
        </w:rPr>
        <w:t>750 </w:t>
      </w:r>
      <w:r>
        <w:rPr/>
        <w:t>万元，本公司持有其</w:t>
      </w:r>
      <w:r>
        <w:rPr>
          <w:spacing w:val="-88"/>
        </w:rPr>
        <w:t> </w:t>
      </w:r>
      <w:r>
        <w:rPr>
          <w:rFonts w:ascii="宋体" w:hAnsi="宋体" w:cs="宋体" w:eastAsia="宋体" w:hint="default"/>
        </w:rPr>
        <w:t>55%</w:t>
      </w:r>
      <w:r>
        <w:rPr/>
        <w:t>的股权。其经营范围主要包括移动电话内容服务软件、计算机 </w:t>
      </w:r>
      <w:r>
        <w:rPr>
          <w:spacing w:val="-3"/>
        </w:rPr>
        <w:t>信息技术软件的设计、开发、制作，销售自产产品；移动电话内容服务软件、计算机信</w:t>
      </w:r>
      <w:r>
        <w:rPr>
          <w:spacing w:val="-104"/>
        </w:rPr>
        <w:t> </w:t>
      </w:r>
      <w:r>
        <w:rPr>
          <w:spacing w:val="-104"/>
        </w:rPr>
      </w:r>
      <w:r>
        <w:rPr>
          <w:spacing w:val="-3"/>
        </w:rPr>
        <w:t>息技术软件的批发、进出口、佣金代理（拍卖除外）等。截止报告期末，经审计后的总</w:t>
      </w:r>
      <w:r>
        <w:rPr>
          <w:spacing w:val="-102"/>
        </w:rPr>
        <w:t> </w:t>
      </w:r>
      <w:r>
        <w:rPr>
          <w:spacing w:val="-102"/>
        </w:rPr>
      </w:r>
      <w:r>
        <w:rPr/>
        <w:t>资产为</w:t>
      </w:r>
      <w:r>
        <w:rPr>
          <w:spacing w:val="-56"/>
        </w:rPr>
        <w:t> </w:t>
      </w:r>
      <w:r>
        <w:rPr>
          <w:rFonts w:ascii="宋体" w:hAnsi="宋体" w:cs="宋体" w:eastAsia="宋体" w:hint="default"/>
        </w:rPr>
        <w:t>377.88</w:t>
      </w:r>
      <w:r>
        <w:rPr>
          <w:rFonts w:ascii="宋体" w:hAnsi="宋体" w:cs="宋体" w:eastAsia="宋体" w:hint="default"/>
          <w:spacing w:val="-56"/>
        </w:rPr>
        <w:t> </w:t>
      </w:r>
      <w:r>
        <w:rPr/>
        <w:t>万元，净资产为</w:t>
      </w:r>
      <w:r>
        <w:rPr>
          <w:spacing w:val="-55"/>
        </w:rPr>
        <w:t> </w:t>
      </w:r>
      <w:r>
        <w:rPr>
          <w:rFonts w:ascii="宋体" w:hAnsi="宋体" w:cs="宋体" w:eastAsia="宋体" w:hint="default"/>
        </w:rPr>
        <w:t>375.02</w:t>
      </w:r>
      <w:r>
        <w:rPr>
          <w:rFonts w:ascii="宋体" w:hAnsi="宋体" w:cs="宋体" w:eastAsia="宋体" w:hint="default"/>
          <w:spacing w:val="-56"/>
        </w:rPr>
        <w:t> </w:t>
      </w:r>
      <w:r>
        <w:rPr/>
        <w:t>万元；报告期内实现营业收入</w:t>
      </w:r>
      <w:r>
        <w:rPr>
          <w:spacing w:val="-55"/>
        </w:rPr>
        <w:t> </w:t>
      </w:r>
      <w:r>
        <w:rPr>
          <w:rFonts w:ascii="宋体" w:hAnsi="宋体" w:cs="宋体" w:eastAsia="宋体" w:hint="default"/>
        </w:rPr>
        <w:t>329.12</w:t>
      </w:r>
      <w:r>
        <w:rPr>
          <w:rFonts w:ascii="宋体" w:hAnsi="宋体" w:cs="宋体" w:eastAsia="宋体" w:hint="default"/>
          <w:spacing w:val="-55"/>
        </w:rPr>
        <w:t> </w:t>
      </w:r>
      <w:r>
        <w:rPr/>
        <w:t>万元，净 利润</w:t>
      </w:r>
      <w:r>
        <w:rPr>
          <w:rFonts w:ascii="宋体" w:hAnsi="宋体" w:cs="宋体" w:eastAsia="宋体" w:hint="default"/>
        </w:rPr>
        <w:t>-335.62</w:t>
      </w:r>
      <w:r>
        <w:rPr>
          <w:rFonts w:ascii="宋体" w:hAnsi="宋体" w:cs="宋体" w:eastAsia="宋体" w:hint="default"/>
          <w:spacing w:val="-61"/>
        </w:rPr>
        <w:t> </w:t>
      </w:r>
      <w:r>
        <w:rPr/>
        <w:t>万元。对公司合并净利润影响不足</w:t>
      </w:r>
      <w:r>
        <w:rPr>
          <w:spacing w:val="-60"/>
        </w:rPr>
        <w:t> </w:t>
      </w:r>
      <w:r>
        <w:rPr>
          <w:rFonts w:ascii="宋体" w:hAnsi="宋体" w:cs="宋体" w:eastAsia="宋体" w:hint="default"/>
        </w:rPr>
        <w:t>10%</w:t>
      </w:r>
      <w:r>
        <w:rPr/>
        <w:t>。</w:t>
      </w:r>
    </w:p>
    <w:p>
      <w:pPr>
        <w:spacing w:line="357" w:lineRule="auto" w:before="36"/>
        <w:ind w:left="630" w:right="4716" w:hanging="44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b/>
          <w:bCs/>
          <w:sz w:val="24"/>
          <w:szCs w:val="24"/>
        </w:rPr>
        <w:t>特殊目的主体</w:t>
      </w:r>
      <w:r>
        <w:rPr>
          <w:rFonts w:ascii="宋体" w:hAnsi="宋体" w:cs="宋体" w:eastAsia="宋体" w:hint="default"/>
          <w:b/>
          <w:bCs/>
          <w:w w:val="99"/>
          <w:sz w:val="24"/>
          <w:szCs w:val="24"/>
        </w:rPr>
        <w:t> </w:t>
      </w:r>
      <w:r>
        <w:rPr>
          <w:rFonts w:ascii="宋体" w:hAnsi="宋体" w:cs="宋体" w:eastAsia="宋体" w:hint="default"/>
          <w:sz w:val="24"/>
          <w:szCs w:val="24"/>
        </w:rPr>
        <w:t>公司不存在公司控制的特殊目的主体。</w:t>
      </w:r>
    </w:p>
    <w:p>
      <w:pPr>
        <w:spacing w:line="240" w:lineRule="auto" w:before="0"/>
        <w:rPr>
          <w:rFonts w:ascii="宋体" w:hAnsi="宋体" w:cs="宋体" w:eastAsia="宋体" w:hint="default"/>
          <w:sz w:val="24"/>
          <w:szCs w:val="24"/>
        </w:rPr>
      </w:pPr>
    </w:p>
    <w:p>
      <w:pPr>
        <w:pStyle w:val="Heading3"/>
        <w:spacing w:line="357" w:lineRule="auto" w:before="190"/>
        <w:ind w:right="4906"/>
        <w:jc w:val="left"/>
        <w:rPr>
          <w:b w:val="0"/>
          <w:bCs w:val="0"/>
        </w:rPr>
      </w:pPr>
      <w:r>
        <w:rPr/>
        <w:t>（三）报告期内公司的募集资金投资情况</w:t>
      </w:r>
      <w:r>
        <w:rPr>
          <w:w w:val="99"/>
        </w:rPr>
        <w:t> </w:t>
      </w:r>
      <w:r>
        <w:rPr>
          <w:rFonts w:ascii="宋体" w:hAnsi="宋体" w:cs="宋体" w:eastAsia="宋体" w:hint="default"/>
        </w:rPr>
        <w:t>1</w:t>
      </w:r>
      <w:r>
        <w:rPr/>
        <w:t>、募集资金基本情况</w:t>
      </w:r>
      <w:r>
        <w:rPr>
          <w:b w:val="0"/>
          <w:bCs w:val="0"/>
        </w:rPr>
      </w:r>
    </w:p>
    <w:p>
      <w:pPr>
        <w:pStyle w:val="BodyText"/>
        <w:spacing w:line="357" w:lineRule="auto"/>
        <w:ind w:right="230" w:firstLine="480"/>
        <w:jc w:val="both"/>
      </w:pPr>
      <w:r>
        <w:rPr>
          <w:rFonts w:ascii="宋体" w:hAnsi="宋体" w:cs="宋体" w:eastAsia="宋体" w:hint="default"/>
        </w:rPr>
        <w:t>2007</w:t>
      </w:r>
      <w:r>
        <w:rPr>
          <w:rFonts w:ascii="宋体" w:hAnsi="宋体" w:cs="宋体" w:eastAsia="宋体" w:hint="default"/>
          <w:spacing w:val="-68"/>
        </w:rPr>
        <w:t> </w:t>
      </w:r>
      <w:r>
        <w:rPr/>
        <w:t>年</w:t>
      </w:r>
      <w:r>
        <w:rPr>
          <w:spacing w:val="-67"/>
        </w:rPr>
        <w:t> </w:t>
      </w:r>
      <w:r>
        <w:rPr>
          <w:rFonts w:ascii="宋体" w:hAnsi="宋体" w:cs="宋体" w:eastAsia="宋体" w:hint="default"/>
        </w:rPr>
        <w:t>11</w:t>
      </w:r>
      <w:r>
        <w:rPr>
          <w:rFonts w:ascii="宋体" w:hAnsi="宋体" w:cs="宋体" w:eastAsia="宋体" w:hint="default"/>
          <w:spacing w:val="-67"/>
        </w:rPr>
        <w:t> </w:t>
      </w:r>
      <w:r>
        <w:rPr/>
        <w:t>月</w:t>
      </w:r>
      <w:r>
        <w:rPr>
          <w:spacing w:val="-67"/>
        </w:rPr>
        <w:t> </w:t>
      </w:r>
      <w:r>
        <w:rPr>
          <w:rFonts w:ascii="宋体" w:hAnsi="宋体" w:cs="宋体" w:eastAsia="宋体" w:hint="default"/>
        </w:rPr>
        <w:t>20</w:t>
      </w:r>
      <w:r>
        <w:rPr>
          <w:rFonts w:ascii="宋体" w:hAnsi="宋体" w:cs="宋体" w:eastAsia="宋体" w:hint="default"/>
          <w:spacing w:val="-67"/>
        </w:rPr>
        <w:t> </w:t>
      </w:r>
      <w:r>
        <w:rPr/>
        <w:t>日，经中国证券监督管理委员会证监发行字</w:t>
      </w:r>
      <w:r>
        <w:rPr>
          <w:rFonts w:ascii="宋体" w:hAnsi="宋体" w:cs="宋体" w:eastAsia="宋体" w:hint="default"/>
        </w:rPr>
        <w:t>[2007]413</w:t>
      </w:r>
      <w:r>
        <w:rPr>
          <w:rFonts w:ascii="宋体" w:hAnsi="宋体" w:cs="宋体" w:eastAsia="宋体" w:hint="default"/>
          <w:spacing w:val="-67"/>
        </w:rPr>
        <w:t> </w:t>
      </w:r>
      <w:r>
        <w:rPr>
          <w:spacing w:val="-10"/>
        </w:rPr>
        <w:t>号《关于核</w:t>
      </w:r>
      <w:r>
        <w:rPr/>
        <w:t> </w:t>
      </w:r>
      <w:r>
        <w:rPr>
          <w:spacing w:val="-3"/>
        </w:rPr>
        <w:t>准上海海隆软件股份有限公司首次公开发行股票的通知》核准，公司采用网下向询价对</w:t>
      </w:r>
      <w:r>
        <w:rPr>
          <w:spacing w:val="-98"/>
        </w:rPr>
        <w:t> </w:t>
      </w:r>
      <w:r>
        <w:rPr>
          <w:spacing w:val="-98"/>
        </w:rPr>
      </w:r>
      <w:r>
        <w:rPr/>
        <w:t>象询价配售和网上资金申购定价发行相结合的方式，向社会公开发行人民币普通股（</w:t>
      </w:r>
      <w:r>
        <w:rPr>
          <w:rFonts w:ascii="宋体" w:hAnsi="宋体" w:cs="宋体" w:eastAsia="宋体" w:hint="default"/>
        </w:rPr>
        <w:t>A</w:t>
      </w:r>
      <w:r>
        <w:rPr>
          <w:rFonts w:ascii="宋体" w:hAnsi="宋体" w:cs="宋体" w:eastAsia="宋体" w:hint="default"/>
          <w:spacing w:val="-98"/>
        </w:rPr>
        <w:t> </w:t>
      </w:r>
      <w:r>
        <w:rPr/>
        <w:t>股）</w:t>
      </w:r>
      <w:r>
        <w:rPr>
          <w:rFonts w:ascii="宋体" w:hAnsi="宋体" w:cs="宋体" w:eastAsia="宋体" w:hint="default"/>
        </w:rPr>
        <w:t>1,450</w:t>
      </w:r>
      <w:r>
        <w:rPr>
          <w:rFonts w:ascii="宋体" w:hAnsi="宋体" w:cs="宋体" w:eastAsia="宋体" w:hint="default"/>
          <w:spacing w:val="-44"/>
        </w:rPr>
        <w:t> </w:t>
      </w:r>
      <w:r>
        <w:rPr/>
        <w:t>万股，每股发行价格为</w:t>
      </w:r>
      <w:r>
        <w:rPr>
          <w:spacing w:val="-43"/>
        </w:rPr>
        <w:t> </w:t>
      </w:r>
      <w:r>
        <w:rPr>
          <w:rFonts w:ascii="宋体" w:hAnsi="宋体" w:cs="宋体" w:eastAsia="宋体" w:hint="default"/>
        </w:rPr>
        <w:t>10.49</w:t>
      </w:r>
      <w:r>
        <w:rPr>
          <w:rFonts w:ascii="宋体" w:hAnsi="宋体" w:cs="宋体" w:eastAsia="宋体" w:hint="default"/>
          <w:spacing w:val="-44"/>
        </w:rPr>
        <w:t> </w:t>
      </w:r>
      <w:r>
        <w:rPr/>
        <w:t>元，共募集资金</w:t>
      </w:r>
      <w:r>
        <w:rPr>
          <w:spacing w:val="-43"/>
        </w:rPr>
        <w:t> </w:t>
      </w:r>
      <w:r>
        <w:rPr>
          <w:rFonts w:ascii="宋体" w:hAnsi="宋体" w:cs="宋体" w:eastAsia="宋体" w:hint="default"/>
        </w:rPr>
        <w:t>152,105,000.00</w:t>
      </w:r>
      <w:r>
        <w:rPr>
          <w:rFonts w:ascii="宋体" w:hAnsi="宋体" w:cs="宋体" w:eastAsia="宋体" w:hint="default"/>
          <w:spacing w:val="-43"/>
        </w:rPr>
        <w:t> </w:t>
      </w:r>
      <w:r>
        <w:rPr/>
        <w:t>元，扣除发</w:t>
      </w:r>
    </w:p>
    <w:p>
      <w:pPr>
        <w:pStyle w:val="BodyText"/>
        <w:spacing w:line="240" w:lineRule="auto" w:before="37"/>
        <w:ind w:right="0"/>
        <w:jc w:val="left"/>
        <w:rPr>
          <w:rFonts w:ascii="宋体" w:hAnsi="宋体" w:cs="宋体" w:eastAsia="宋体" w:hint="default"/>
        </w:rPr>
      </w:pPr>
      <w:r>
        <w:rPr/>
        <w:t>行费用</w:t>
      </w:r>
      <w:r>
        <w:rPr>
          <w:spacing w:val="-67"/>
        </w:rPr>
        <w:t> </w:t>
      </w:r>
      <w:r>
        <w:rPr>
          <w:rFonts w:ascii="宋体" w:hAnsi="宋体" w:cs="宋体" w:eastAsia="宋体" w:hint="default"/>
        </w:rPr>
        <w:t>20,965,894.80</w:t>
      </w:r>
      <w:r>
        <w:rPr>
          <w:rFonts w:ascii="宋体" w:hAnsi="宋体" w:cs="宋体" w:eastAsia="宋体" w:hint="default"/>
          <w:spacing w:val="-66"/>
        </w:rPr>
        <w:t> </w:t>
      </w:r>
      <w:r>
        <w:rPr/>
        <w:t>元，募集资金净额为</w:t>
      </w:r>
      <w:r>
        <w:rPr>
          <w:spacing w:val="-66"/>
        </w:rPr>
        <w:t> </w:t>
      </w:r>
      <w:r>
        <w:rPr>
          <w:rFonts w:ascii="宋体" w:hAnsi="宋体" w:cs="宋体" w:eastAsia="宋体" w:hint="default"/>
        </w:rPr>
        <w:t>131,139,105.20</w:t>
      </w:r>
      <w:r>
        <w:rPr>
          <w:rFonts w:ascii="宋体" w:hAnsi="宋体" w:cs="宋体" w:eastAsia="宋体" w:hint="default"/>
          <w:spacing w:val="-66"/>
        </w:rPr>
        <w:t> </w:t>
      </w:r>
      <w:r>
        <w:rPr/>
        <w:t>元。该募集资金已于</w:t>
      </w:r>
      <w:r>
        <w:rPr>
          <w:spacing w:val="-66"/>
        </w:rPr>
        <w:t> </w:t>
      </w:r>
      <w:r>
        <w:rPr>
          <w:rFonts w:ascii="宋体" w:hAnsi="宋体" w:cs="宋体" w:eastAsia="宋体" w:hint="default"/>
        </w:rPr>
        <w:t>2007</w:t>
      </w:r>
    </w:p>
    <w:p>
      <w:pPr>
        <w:pStyle w:val="BodyText"/>
        <w:spacing w:line="240" w:lineRule="auto" w:before="154"/>
        <w:ind w:right="0"/>
        <w:jc w:val="left"/>
      </w:pP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3"/>
        </w:rPr>
        <w:t> </w:t>
      </w:r>
      <w:r>
        <w:rPr/>
        <w:t>日全部到位，并经上海众华沪银会计师事务所有限公司沪众会字（</w:t>
      </w:r>
      <w:r>
        <w:rPr>
          <w:rFonts w:ascii="宋体" w:hAnsi="宋体" w:cs="宋体" w:eastAsia="宋体" w:hint="default"/>
        </w:rPr>
        <w:t>2007</w:t>
      </w:r>
      <w:r>
        <w:rPr/>
        <w:t>）第</w:t>
      </w:r>
    </w:p>
    <w:p>
      <w:pPr>
        <w:pStyle w:val="BodyText"/>
        <w:spacing w:line="240" w:lineRule="auto" w:before="154"/>
        <w:ind w:right="879"/>
        <w:jc w:val="left"/>
      </w:pPr>
      <w:r>
        <w:rPr>
          <w:rFonts w:ascii="宋体" w:hAnsi="宋体" w:cs="宋体" w:eastAsia="宋体" w:hint="default"/>
        </w:rPr>
        <w:t>2897</w:t>
      </w:r>
      <w:r>
        <w:rPr>
          <w:rFonts w:ascii="宋体" w:hAnsi="宋体" w:cs="宋体" w:eastAsia="宋体" w:hint="default"/>
          <w:spacing w:val="-61"/>
        </w:rPr>
        <w:t> </w:t>
      </w:r>
      <w:r>
        <w:rPr/>
        <w:t>号验资报告审验确认。</w:t>
      </w:r>
    </w:p>
    <w:p>
      <w:pPr>
        <w:spacing w:after="0" w:line="240" w:lineRule="auto"/>
        <w:jc w:val="left"/>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240" w:lineRule="auto" w:before="26"/>
        <w:ind w:left="663" w:right="879"/>
        <w:jc w:val="left"/>
      </w:pPr>
      <w:r>
        <w:rPr/>
        <w:t>截止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日，本公司募集资金使用情况如下：</w:t>
      </w:r>
    </w:p>
    <w:p>
      <w:pPr>
        <w:spacing w:line="240" w:lineRule="auto" w:before="11"/>
        <w:rPr>
          <w:rFonts w:ascii="宋体" w:hAnsi="宋体" w:cs="宋体" w:eastAsia="宋体" w:hint="default"/>
          <w:sz w:val="8"/>
          <w:szCs w:val="8"/>
        </w:rPr>
      </w:pPr>
    </w:p>
    <w:tbl>
      <w:tblPr>
        <w:tblW w:w="0" w:type="auto"/>
        <w:jc w:val="left"/>
        <w:tblInd w:w="654" w:type="dxa"/>
        <w:tblLayout w:type="fixed"/>
        <w:tblCellMar>
          <w:top w:w="0" w:type="dxa"/>
          <w:left w:w="0" w:type="dxa"/>
          <w:bottom w:w="0" w:type="dxa"/>
          <w:right w:w="0" w:type="dxa"/>
        </w:tblCellMar>
        <w:tblLook w:val="01E0"/>
      </w:tblPr>
      <w:tblGrid>
        <w:gridCol w:w="4688"/>
        <w:gridCol w:w="3574"/>
      </w:tblGrid>
      <w:tr>
        <w:trPr>
          <w:trHeight w:val="322" w:hRule="exact"/>
        </w:trPr>
        <w:tc>
          <w:tcPr>
            <w:tcW w:w="4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金额（人民币元）</w:t>
            </w:r>
          </w:p>
        </w:tc>
      </w:tr>
      <w:tr>
        <w:trPr>
          <w:trHeight w:val="322"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募集资金净额</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131,139,105.20</w:t>
            </w:r>
          </w:p>
        </w:tc>
      </w:tr>
      <w:tr>
        <w:trPr>
          <w:trHeight w:val="322"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减：累计使用募集资金</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142,846,072.81</w:t>
            </w:r>
          </w:p>
        </w:tc>
      </w:tr>
      <w:tr>
        <w:trPr>
          <w:trHeight w:val="324"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7" w:right="0"/>
              <w:jc w:val="left"/>
              <w:rPr>
                <w:rFonts w:ascii="宋体" w:hAnsi="宋体" w:cs="宋体" w:eastAsia="宋体" w:hint="default"/>
                <w:sz w:val="21"/>
                <w:szCs w:val="21"/>
              </w:rPr>
            </w:pPr>
            <w:r>
              <w:rPr>
                <w:rFonts w:ascii="宋体" w:hAnsi="宋体" w:cs="宋体" w:eastAsia="宋体" w:hint="default"/>
                <w:sz w:val="21"/>
                <w:szCs w:val="21"/>
              </w:rPr>
              <w:t>其中：以前年度已使用金额</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37,342,630.31</w:t>
            </w:r>
          </w:p>
        </w:tc>
      </w:tr>
      <w:tr>
        <w:trPr>
          <w:trHeight w:val="322"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56" w:right="0"/>
              <w:jc w:val="left"/>
              <w:rPr>
                <w:rFonts w:ascii="宋体" w:hAnsi="宋体" w:cs="宋体" w:eastAsia="宋体" w:hint="default"/>
                <w:sz w:val="21"/>
                <w:szCs w:val="21"/>
              </w:rPr>
            </w:pPr>
            <w:r>
              <w:rPr>
                <w:rFonts w:ascii="宋体" w:hAnsi="宋体" w:cs="宋体" w:eastAsia="宋体" w:hint="default"/>
                <w:sz w:val="21"/>
                <w:szCs w:val="21"/>
              </w:rPr>
              <w:t>本年度使用金额</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105,503,442.50</w:t>
            </w:r>
          </w:p>
        </w:tc>
      </w:tr>
      <w:tr>
        <w:trPr>
          <w:trHeight w:val="322"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加：累计募集资金利息</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11,706,967.61</w:t>
            </w:r>
          </w:p>
        </w:tc>
      </w:tr>
      <w:tr>
        <w:trPr>
          <w:trHeight w:val="322" w:hRule="exact"/>
        </w:trPr>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尚未使用的募集资金余额</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r>
    </w:tbl>
    <w:p>
      <w:pPr>
        <w:pStyle w:val="BodyText"/>
        <w:spacing w:line="240" w:lineRule="auto" w:before="39"/>
        <w:ind w:left="663" w:right="0"/>
        <w:jc w:val="left"/>
      </w:pPr>
      <w:r>
        <w:rPr/>
        <w:t>其中，</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11</w:t>
      </w:r>
      <w:r>
        <w:rPr>
          <w:rFonts w:ascii="宋体" w:hAnsi="宋体" w:cs="宋体" w:eastAsia="宋体" w:hint="default"/>
          <w:spacing w:val="-46"/>
        </w:rPr>
        <w:t> </w:t>
      </w:r>
      <w:r>
        <w:rPr/>
        <w:t>日，公司第四届董事会第六次会议审议通过并提交</w:t>
      </w:r>
      <w:r>
        <w:rPr>
          <w:spacing w:val="-48"/>
        </w:rPr>
        <w:t> </w:t>
      </w:r>
      <w:r>
        <w:rPr>
          <w:rFonts w:ascii="宋体" w:hAnsi="宋体" w:cs="宋体" w:eastAsia="宋体" w:hint="default"/>
        </w:rPr>
        <w:t>2011</w:t>
      </w:r>
      <w:r>
        <w:rPr>
          <w:rFonts w:ascii="宋体" w:hAnsi="宋体" w:cs="宋体" w:eastAsia="宋体" w:hint="default"/>
          <w:spacing w:val="-48"/>
        </w:rPr>
        <w:t> </w:t>
      </w:r>
      <w:r>
        <w:rPr/>
        <w:t>年</w:t>
      </w:r>
    </w:p>
    <w:p>
      <w:pPr>
        <w:pStyle w:val="BodyText"/>
        <w:spacing w:line="240" w:lineRule="auto" w:before="154"/>
        <w:ind w:right="0"/>
        <w:jc w:val="both"/>
      </w:pPr>
      <w:r>
        <w:rPr/>
        <w:t>度股东大会表决通过了《关于使用募集资金购置普天信息产业园</w:t>
      </w:r>
      <w:r>
        <w:rPr>
          <w:spacing w:val="-54"/>
        </w:rPr>
        <w:t> </w:t>
      </w:r>
      <w:r>
        <w:rPr>
          <w:rFonts w:ascii="宋体" w:hAnsi="宋体" w:cs="宋体" w:eastAsia="宋体" w:hint="default"/>
        </w:rPr>
        <w:t>2</w:t>
      </w:r>
      <w:r>
        <w:rPr>
          <w:rFonts w:ascii="宋体" w:hAnsi="宋体" w:cs="宋体" w:eastAsia="宋体" w:hint="default"/>
          <w:spacing w:val="-54"/>
        </w:rPr>
        <w:t> </w:t>
      </w:r>
      <w:r>
        <w:rPr/>
        <w:t>号楼第</w:t>
      </w:r>
      <w:r>
        <w:rPr>
          <w:spacing w:val="-54"/>
        </w:rPr>
        <w:t> </w:t>
      </w:r>
      <w:r>
        <w:rPr>
          <w:rFonts w:ascii="宋体" w:hAnsi="宋体" w:cs="宋体" w:eastAsia="宋体" w:hint="default"/>
        </w:rPr>
        <w:t>8-11</w:t>
      </w:r>
      <w:r>
        <w:rPr>
          <w:rFonts w:ascii="宋体" w:hAnsi="宋体" w:cs="宋体" w:eastAsia="宋体" w:hint="default"/>
          <w:spacing w:val="-54"/>
        </w:rPr>
        <w:t> </w:t>
      </w:r>
      <w:r>
        <w:rPr/>
        <w:t>层房产</w:t>
      </w:r>
    </w:p>
    <w:p>
      <w:pPr>
        <w:pStyle w:val="BodyText"/>
        <w:spacing w:line="240" w:lineRule="auto" w:before="154"/>
        <w:ind w:right="0"/>
        <w:jc w:val="both"/>
      </w:pPr>
      <w:r>
        <w:rPr/>
        <w:t>的议案</w:t>
      </w:r>
      <w:r>
        <w:rPr>
          <w:spacing w:val="-120"/>
        </w:rPr>
        <w:t>》</w:t>
      </w:r>
      <w:r>
        <w:rPr/>
        <w:t>，相应购房款已支付完毕。截止报告期末，公司已取得上海市宜山路</w:t>
      </w:r>
      <w:r>
        <w:rPr>
          <w:spacing w:val="-45"/>
        </w:rPr>
        <w:t> </w:t>
      </w:r>
      <w:r>
        <w:rPr>
          <w:rFonts w:ascii="宋体" w:hAnsi="宋体" w:cs="宋体" w:eastAsia="宋体" w:hint="default"/>
        </w:rPr>
        <w:t>700</w:t>
      </w:r>
      <w:r>
        <w:rPr>
          <w:rFonts w:ascii="宋体" w:hAnsi="宋体" w:cs="宋体" w:eastAsia="宋体" w:hint="default"/>
          <w:spacing w:val="-46"/>
        </w:rPr>
        <w:t> </w:t>
      </w:r>
      <w:r>
        <w:rPr/>
        <w:t>号普</w:t>
      </w:r>
    </w:p>
    <w:p>
      <w:pPr>
        <w:pStyle w:val="BodyText"/>
        <w:spacing w:line="357" w:lineRule="auto" w:before="154"/>
        <w:ind w:right="230"/>
        <w:jc w:val="both"/>
      </w:pPr>
      <w:r>
        <w:rPr/>
        <w:t>天信息产业园</w:t>
      </w:r>
      <w:r>
        <w:rPr>
          <w:spacing w:val="-32"/>
        </w:rPr>
        <w:t> </w:t>
      </w:r>
      <w:r>
        <w:rPr>
          <w:rFonts w:ascii="宋体" w:hAnsi="宋体" w:cs="宋体" w:eastAsia="宋体" w:hint="default"/>
        </w:rPr>
        <w:t>2</w:t>
      </w:r>
      <w:r>
        <w:rPr>
          <w:rFonts w:ascii="宋体" w:hAnsi="宋体" w:cs="宋体" w:eastAsia="宋体" w:hint="default"/>
          <w:spacing w:val="-32"/>
        </w:rPr>
        <w:t> </w:t>
      </w:r>
      <w:r>
        <w:rPr/>
        <w:t>号楼（房屋产权证所显示地址：上海市宜山路</w:t>
      </w:r>
      <w:r>
        <w:rPr>
          <w:spacing w:val="-30"/>
        </w:rPr>
        <w:t> </w:t>
      </w:r>
      <w:r>
        <w:rPr>
          <w:rFonts w:ascii="宋体" w:hAnsi="宋体" w:cs="宋体" w:eastAsia="宋体" w:hint="default"/>
        </w:rPr>
        <w:t>700</w:t>
      </w:r>
      <w:r>
        <w:rPr>
          <w:rFonts w:ascii="宋体" w:hAnsi="宋体" w:cs="宋体" w:eastAsia="宋体" w:hint="default"/>
          <w:spacing w:val="-31"/>
        </w:rPr>
        <w:t> </w:t>
      </w:r>
      <w:r>
        <w:rPr/>
        <w:t>号</w:t>
      </w:r>
      <w:r>
        <w:rPr>
          <w:spacing w:val="-31"/>
        </w:rPr>
        <w:t> </w:t>
      </w:r>
      <w:r>
        <w:rPr>
          <w:rFonts w:ascii="宋体" w:hAnsi="宋体" w:cs="宋体" w:eastAsia="宋体" w:hint="default"/>
        </w:rPr>
        <w:t>85</w:t>
      </w:r>
      <w:r>
        <w:rPr>
          <w:rFonts w:ascii="宋体" w:hAnsi="宋体" w:cs="宋体" w:eastAsia="宋体" w:hint="default"/>
          <w:spacing w:val="-32"/>
        </w:rPr>
        <w:t> </w:t>
      </w:r>
      <w:r>
        <w:rPr/>
        <w:t>幢）第</w:t>
      </w:r>
      <w:r>
        <w:rPr>
          <w:spacing w:val="-31"/>
        </w:rPr>
        <w:t> </w:t>
      </w:r>
      <w:r>
        <w:rPr>
          <w:rFonts w:ascii="宋体" w:hAnsi="宋体" w:cs="宋体" w:eastAsia="宋体" w:hint="default"/>
        </w:rPr>
        <w:t>8-11 </w:t>
      </w:r>
      <w:r>
        <w:rPr/>
        <w:t>层房屋产权证。</w:t>
      </w:r>
    </w:p>
    <w:p>
      <w:pPr>
        <w:pStyle w:val="BodyText"/>
        <w:spacing w:line="240" w:lineRule="auto"/>
        <w:ind w:left="663" w:right="0"/>
        <w:jc w:val="left"/>
      </w:pPr>
      <w:r>
        <w:rPr/>
        <w:t>截止</w:t>
      </w:r>
      <w:r>
        <w:rPr>
          <w:spacing w:val="-60"/>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日，本公司累计使用募集资金</w:t>
      </w:r>
      <w:r>
        <w:rPr>
          <w:spacing w:val="-59"/>
        </w:rPr>
        <w:t> </w:t>
      </w:r>
      <w:r>
        <w:rPr>
          <w:rFonts w:ascii="宋体" w:hAnsi="宋体" w:cs="宋体" w:eastAsia="宋体" w:hint="default"/>
        </w:rPr>
        <w:t>142,846,072.81</w:t>
      </w:r>
      <w:r>
        <w:rPr>
          <w:rFonts w:ascii="宋体" w:hAnsi="宋体" w:cs="宋体" w:eastAsia="宋体" w:hint="default"/>
          <w:spacing w:val="-59"/>
        </w:rPr>
        <w:t> </w:t>
      </w:r>
      <w:r>
        <w:rPr>
          <w:spacing w:val="-8"/>
        </w:rPr>
        <w:t>元，募集资金</w:t>
      </w:r>
    </w:p>
    <w:p>
      <w:pPr>
        <w:pStyle w:val="BodyText"/>
        <w:spacing w:line="240" w:lineRule="auto" w:before="154"/>
        <w:ind w:right="0"/>
        <w:jc w:val="both"/>
      </w:pPr>
      <w:r>
        <w:rPr>
          <w:spacing w:val="-5"/>
        </w:rPr>
        <w:t>包括其滋生的利息收入已经全部使用完毕，并在</w:t>
      </w:r>
      <w:r>
        <w:rPr>
          <w:spacing w:val="-54"/>
        </w:rPr>
        <w:t> </w:t>
      </w:r>
      <w:r>
        <w:rPr>
          <w:rFonts w:ascii="宋体" w:hAnsi="宋体" w:cs="宋体" w:eastAsia="宋体" w:hint="default"/>
        </w:rPr>
        <w:t>2011</w:t>
      </w:r>
      <w:r>
        <w:rPr>
          <w:rFonts w:ascii="宋体" w:hAnsi="宋体" w:cs="宋体" w:eastAsia="宋体" w:hint="default"/>
          <w:spacing w:val="-54"/>
        </w:rPr>
        <w:t> </w:t>
      </w:r>
      <w:r>
        <w:rPr/>
        <w:t>年内注销所开立的募集资金专户；</w:t>
      </w:r>
    </w:p>
    <w:p>
      <w:pPr>
        <w:pStyle w:val="BodyText"/>
        <w:spacing w:line="240" w:lineRule="auto" w:before="154"/>
        <w:ind w:right="0"/>
        <w:jc w:val="both"/>
      </w:pPr>
      <w:r>
        <w:rPr/>
        <w:t>本公司于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5"/>
        </w:rPr>
        <w:t> </w:t>
      </w:r>
      <w:r>
        <w:rPr>
          <w:rFonts w:ascii="宋体" w:hAnsi="宋体" w:cs="宋体" w:eastAsia="宋体" w:hint="default"/>
        </w:rPr>
        <w:t>17</w:t>
      </w:r>
      <w:r>
        <w:rPr>
          <w:rFonts w:ascii="宋体" w:hAnsi="宋体" w:cs="宋体" w:eastAsia="宋体" w:hint="default"/>
          <w:spacing w:val="-56"/>
        </w:rPr>
        <w:t> </w:t>
      </w:r>
      <w:r>
        <w:rPr/>
        <w:t>日将开立在招商银行股份有限公司上海分行徐家汇支行的募</w:t>
      </w:r>
    </w:p>
    <w:p>
      <w:pPr>
        <w:pStyle w:val="BodyText"/>
        <w:spacing w:line="240" w:lineRule="auto" w:before="154"/>
        <w:ind w:right="0"/>
        <w:jc w:val="both"/>
        <w:rPr>
          <w:rFonts w:ascii="宋体" w:hAnsi="宋体" w:cs="宋体" w:eastAsia="宋体" w:hint="default"/>
        </w:rPr>
      </w:pPr>
      <w:r>
        <w:rPr>
          <w:spacing w:val="-4"/>
        </w:rPr>
        <w:t>集资金专户（账号为</w:t>
      </w:r>
      <w:r>
        <w:rPr>
          <w:spacing w:val="-76"/>
        </w:rPr>
        <w:t> </w:t>
      </w:r>
      <w:r>
        <w:rPr>
          <w:rFonts w:ascii="宋体" w:hAnsi="宋体" w:cs="宋体" w:eastAsia="宋体" w:hint="default"/>
        </w:rPr>
        <w:t>212886477510001</w:t>
      </w:r>
      <w:r>
        <w:rPr/>
        <w:t>）注销，本公司下属子公司江苏海隆于</w:t>
      </w:r>
      <w:r>
        <w:rPr>
          <w:spacing w:val="-75"/>
        </w:rPr>
        <w:t> </w:t>
      </w:r>
      <w:r>
        <w:rPr>
          <w:rFonts w:ascii="宋体" w:hAnsi="宋体" w:cs="宋体" w:eastAsia="宋体" w:hint="default"/>
        </w:rPr>
        <w:t>2011</w:t>
      </w:r>
      <w:r>
        <w:rPr>
          <w:rFonts w:ascii="宋体" w:hAnsi="宋体" w:cs="宋体" w:eastAsia="宋体" w:hint="default"/>
          <w:spacing w:val="-75"/>
        </w:rPr>
        <w:t> </w:t>
      </w:r>
      <w:r>
        <w:rPr/>
        <w:t>年</w:t>
      </w:r>
      <w:r>
        <w:rPr>
          <w:spacing w:val="-75"/>
        </w:rPr>
        <w:t> </w:t>
      </w:r>
      <w:r>
        <w:rPr>
          <w:rFonts w:ascii="宋体" w:hAnsi="宋体" w:cs="宋体" w:eastAsia="宋体" w:hint="default"/>
        </w:rPr>
        <w:t>7</w:t>
      </w:r>
    </w:p>
    <w:p>
      <w:pPr>
        <w:pStyle w:val="BodyText"/>
        <w:spacing w:line="357" w:lineRule="auto" w:before="154"/>
        <w:ind w:right="229"/>
        <w:jc w:val="both"/>
      </w:pPr>
      <w:r>
        <w:rPr/>
        <w:t>月 </w:t>
      </w:r>
      <w:r>
        <w:rPr>
          <w:rFonts w:ascii="宋体" w:hAnsi="宋体" w:cs="宋体" w:eastAsia="宋体" w:hint="default"/>
        </w:rPr>
        <w:t>14</w:t>
      </w:r>
      <w:r>
        <w:rPr>
          <w:rFonts w:ascii="宋体" w:hAnsi="宋体" w:cs="宋体" w:eastAsia="宋体" w:hint="default"/>
          <w:spacing w:val="47"/>
        </w:rPr>
        <w:t> </w:t>
      </w:r>
      <w:r>
        <w:rPr>
          <w:spacing w:val="18"/>
        </w:rPr>
        <w:t>日将开立在南京银行股份有限公司阳光广场支行的募集资金专户（账户为</w:t>
      </w:r>
      <w:r>
        <w:rPr/>
        <w:t> </w:t>
      </w:r>
      <w:r>
        <w:rPr>
          <w:rFonts w:ascii="宋体" w:hAnsi="宋体" w:cs="宋体" w:eastAsia="宋体" w:hint="default"/>
        </w:rPr>
        <w:t>01770120210012956</w:t>
      </w:r>
      <w:r>
        <w:rPr/>
        <w:t>）注销。</w:t>
      </w:r>
    </w:p>
    <w:p>
      <w:pPr>
        <w:spacing w:line="357" w:lineRule="auto" w:before="36"/>
        <w:ind w:left="663" w:right="231"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、募集资金管理情况</w:t>
      </w:r>
      <w:r>
        <w:rPr>
          <w:rFonts w:ascii="宋体" w:hAnsi="宋体" w:cs="宋体" w:eastAsia="宋体" w:hint="default"/>
          <w:b/>
          <w:bCs/>
          <w:w w:val="99"/>
          <w:sz w:val="24"/>
          <w:szCs w:val="24"/>
        </w:rPr>
        <w:t> </w:t>
      </w:r>
      <w:r>
        <w:rPr>
          <w:rFonts w:ascii="宋体" w:hAnsi="宋体" w:cs="宋体" w:eastAsia="宋体" w:hint="default"/>
          <w:spacing w:val="-3"/>
          <w:sz w:val="24"/>
          <w:szCs w:val="24"/>
        </w:rPr>
        <w:t>为规范募集资金的管理和使用，保障公司、股东、债权人及其他利益相关人的合法</w:t>
      </w:r>
    </w:p>
    <w:p>
      <w:pPr>
        <w:pStyle w:val="BodyText"/>
        <w:spacing w:line="357" w:lineRule="auto"/>
        <w:ind w:right="229"/>
        <w:jc w:val="both"/>
      </w:pPr>
      <w:r>
        <w:rPr>
          <w:spacing w:val="-15"/>
        </w:rPr>
        <w:t>权益，本公司根据《公司法》、《深圳证券交易所股票上市规则》、《进一步规范上市公司</w:t>
      </w:r>
      <w:r>
        <w:rPr>
          <w:spacing w:val="-91"/>
        </w:rPr>
        <w:t> </w:t>
      </w:r>
      <w:r>
        <w:rPr>
          <w:spacing w:val="-91"/>
        </w:rPr>
      </w:r>
      <w:r>
        <w:rPr>
          <w:spacing w:val="-9"/>
        </w:rPr>
        <w:t>募集资金使用的通知》等有关法律、法规的规定和要求，结合本公司的实际情况对原《募</w:t>
      </w:r>
      <w:r>
        <w:rPr>
          <w:spacing w:val="-100"/>
        </w:rPr>
        <w:t> </w:t>
      </w:r>
      <w:r>
        <w:rPr>
          <w:spacing w:val="-100"/>
        </w:rPr>
      </w:r>
      <w:r>
        <w:rPr>
          <w:spacing w:val="-6"/>
        </w:rPr>
        <w:t>集资金管理办法（草案）》进行了修订，并于</w:t>
      </w:r>
      <w:r>
        <w:rPr>
          <w:spacing w:val="-55"/>
        </w:rPr>
        <w:t> </w:t>
      </w:r>
      <w:r>
        <w:rPr>
          <w:rFonts w:ascii="宋体" w:hAnsi="宋体" w:cs="宋体" w:eastAsia="宋体" w:hint="default"/>
        </w:rPr>
        <w:t>2008</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t>日第三届董事会第七次会</w:t>
      </w:r>
    </w:p>
    <w:p>
      <w:pPr>
        <w:pStyle w:val="BodyText"/>
        <w:spacing w:line="357" w:lineRule="auto"/>
        <w:ind w:right="111"/>
        <w:jc w:val="both"/>
      </w:pPr>
      <w:r>
        <w:rPr>
          <w:spacing w:val="-6"/>
        </w:rPr>
        <w:t>议审议通过了修订后的《募集资金管理办法》；同年</w:t>
      </w:r>
      <w:r>
        <w:rPr>
          <w:spacing w:val="-49"/>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19</w:t>
      </w:r>
      <w:r>
        <w:rPr>
          <w:rFonts w:ascii="宋体" w:hAnsi="宋体" w:cs="宋体" w:eastAsia="宋体" w:hint="default"/>
          <w:spacing w:val="-50"/>
        </w:rPr>
        <w:t> </w:t>
      </w:r>
      <w:r>
        <w:rPr/>
        <w:t>日，本公司针对专项治理</w:t>
      </w:r>
      <w:r>
        <w:rPr>
          <w:spacing w:val="-115"/>
        </w:rPr>
        <w:t> </w:t>
      </w:r>
      <w:r>
        <w:rPr>
          <w:spacing w:val="-3"/>
        </w:rPr>
        <w:t>活动发现的情况，经第三届董事会第十三次会议审议通过了再次修订后的《募集资金管</w:t>
      </w:r>
      <w:r>
        <w:rPr>
          <w:spacing w:val="-98"/>
        </w:rPr>
        <w:t> </w:t>
      </w:r>
      <w:r>
        <w:rPr>
          <w:spacing w:val="-98"/>
        </w:rPr>
      </w:r>
      <w:r>
        <w:rPr>
          <w:spacing w:val="-3"/>
        </w:rPr>
        <w:t>理办法》。根据《募集资金管理办法》的要求，本公司对募集资金采用专户存储制度，</w:t>
      </w:r>
      <w:r>
        <w:rPr>
          <w:spacing w:val="-107"/>
        </w:rPr>
        <w:t> </w:t>
      </w:r>
      <w:r>
        <w:rPr>
          <w:spacing w:val="-107"/>
        </w:rPr>
      </w:r>
      <w:r>
        <w:rPr>
          <w:spacing w:val="-6"/>
        </w:rPr>
        <w:t>并认真履行募集资金使用审批手续，对募集资金的管理和使用进行监督，保证专款专用。</w:t>
      </w:r>
    </w:p>
    <w:p>
      <w:pPr>
        <w:pStyle w:val="BodyText"/>
        <w:spacing w:line="240" w:lineRule="auto"/>
        <w:ind w:left="663" w:right="0"/>
        <w:jc w:val="left"/>
      </w:pPr>
      <w:r>
        <w:rPr>
          <w:rFonts w:ascii="宋体" w:hAnsi="宋体" w:cs="宋体" w:eastAsia="宋体" w:hint="default"/>
        </w:rPr>
        <w:t>2008</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w:t>
      </w:r>
      <w:r>
        <w:rPr>
          <w:spacing w:val="-67"/>
        </w:rPr>
        <w:t> </w:t>
      </w:r>
      <w:r>
        <w:rPr>
          <w:rFonts w:ascii="宋体" w:hAnsi="宋体" w:cs="宋体" w:eastAsia="宋体" w:hint="default"/>
        </w:rPr>
        <w:t>31</w:t>
      </w:r>
      <w:r>
        <w:rPr>
          <w:rFonts w:ascii="宋体" w:hAnsi="宋体" w:cs="宋体" w:eastAsia="宋体" w:hint="default"/>
          <w:spacing w:val="-67"/>
        </w:rPr>
        <w:t> </w:t>
      </w:r>
      <w:r>
        <w:rPr/>
        <w:t>日，本公司与保荐机构国信证券股份有限公司、招商银行股份有限</w:t>
      </w:r>
    </w:p>
    <w:p>
      <w:pPr>
        <w:pStyle w:val="BodyText"/>
        <w:spacing w:line="240" w:lineRule="auto" w:before="154"/>
        <w:ind w:right="0"/>
        <w:jc w:val="both"/>
      </w:pPr>
      <w:r>
        <w:rPr/>
        <w:t>公司上海分行徐家汇支行签订</w:t>
      </w:r>
      <w:r>
        <w:rPr>
          <w:spacing w:val="-15"/>
        </w:rPr>
        <w:t>了</w:t>
      </w:r>
      <w:r>
        <w:rPr/>
        <w:t>《募集资金三方监管协议</w:t>
      </w:r>
      <w:r>
        <w:rPr>
          <w:spacing w:val="-120"/>
        </w:rPr>
        <w:t>》</w:t>
      </w:r>
      <w:r>
        <w:rPr>
          <w:spacing w:val="-14"/>
        </w:rPr>
        <w:t>；</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日本公司投</w:t>
      </w:r>
    </w:p>
    <w:p>
      <w:pPr>
        <w:pStyle w:val="BodyText"/>
        <w:spacing w:line="357" w:lineRule="auto" w:before="154"/>
        <w:ind w:right="231"/>
        <w:jc w:val="both"/>
      </w:pPr>
      <w:r>
        <w:rPr/>
        <w:t>资成立全资子公司江苏海隆公司，于</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w:t>
      </w:r>
      <w:r>
        <w:rPr>
          <w:spacing w:val="-64"/>
        </w:rPr>
        <w:t> </w:t>
      </w:r>
      <w:r>
        <w:rPr>
          <w:rFonts w:ascii="宋体" w:hAnsi="宋体" w:cs="宋体" w:eastAsia="宋体" w:hint="default"/>
        </w:rPr>
        <w:t>30</w:t>
      </w:r>
      <w:r>
        <w:rPr>
          <w:rFonts w:ascii="宋体" w:hAnsi="宋体" w:cs="宋体" w:eastAsia="宋体" w:hint="default"/>
          <w:spacing w:val="-64"/>
        </w:rPr>
        <w:t> </w:t>
      </w:r>
      <w:r>
        <w:rPr>
          <w:spacing w:val="-5"/>
        </w:rPr>
        <w:t>日，本公司、江苏海隆公司和保荐</w:t>
      </w:r>
      <w:r>
        <w:rPr/>
        <w:t> </w:t>
      </w:r>
      <w:r>
        <w:rPr>
          <w:spacing w:val="-3"/>
        </w:rPr>
        <w:t>机构国信证券股份有限公司、南京银行股份有限公司阳光广场支行签订了《募集资金四</w:t>
      </w:r>
    </w:p>
    <w:p>
      <w:pPr>
        <w:spacing w:after="0" w:line="357" w:lineRule="auto"/>
        <w:jc w:val="both"/>
        <w:sectPr>
          <w:pgSz w:w="11910" w:h="16840"/>
          <w:pgMar w:header="876" w:footer="1186" w:top="1100" w:bottom="1380" w:left="1300" w:right="1160"/>
        </w:sectPr>
      </w:pPr>
    </w:p>
    <w:p>
      <w:pPr>
        <w:spacing w:line="240" w:lineRule="auto" w:before="12"/>
        <w:rPr>
          <w:rFonts w:ascii="宋体" w:hAnsi="宋体" w:cs="宋体" w:eastAsia="宋体" w:hint="default"/>
          <w:sz w:val="25"/>
          <w:szCs w:val="25"/>
        </w:rPr>
      </w:pPr>
    </w:p>
    <w:p>
      <w:pPr>
        <w:pStyle w:val="BodyText"/>
        <w:spacing w:line="357" w:lineRule="auto" w:before="26"/>
        <w:ind w:right="151"/>
        <w:jc w:val="both"/>
      </w:pPr>
      <w:r>
        <w:rPr>
          <w:spacing w:val="-3"/>
        </w:rPr>
        <w:t>方监管协议》。在使用募集资金时，严格履行相应的申请和审批手续，并及时通知保荐</w:t>
      </w:r>
      <w:r>
        <w:rPr>
          <w:spacing w:val="-107"/>
        </w:rPr>
        <w:t> </w:t>
      </w:r>
      <w:r>
        <w:rPr>
          <w:spacing w:val="-107"/>
        </w:rPr>
      </w:r>
      <w:r>
        <w:rPr>
          <w:spacing w:val="-3"/>
        </w:rPr>
        <w:t>机构，接受保荐代表人监督。本公司及江苏海隆公司定期由内部审计部门对募集资金的</w:t>
      </w:r>
      <w:r>
        <w:rPr>
          <w:spacing w:val="-98"/>
        </w:rPr>
        <w:t> </w:t>
      </w:r>
      <w:r>
        <w:rPr>
          <w:spacing w:val="-98"/>
        </w:rPr>
      </w:r>
      <w:r>
        <w:rPr/>
        <w:t>使用与存放情况进行检查，并将检查结果向董事会、审计委员会报告。</w:t>
      </w:r>
    </w:p>
    <w:p>
      <w:pPr>
        <w:spacing w:after="0" w:line="357" w:lineRule="auto"/>
        <w:jc w:val="both"/>
        <w:sectPr>
          <w:pgSz w:w="11910" w:h="16840"/>
          <w:pgMar w:header="876" w:footer="1186" w:top="1100" w:bottom="1380" w:left="1300" w:right="12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57" w:lineRule="auto" w:before="26"/>
        <w:ind w:right="196" w:firstLine="480"/>
        <w:jc w:val="left"/>
      </w:pPr>
      <w:r>
        <w:rPr/>
        <w:t>截止</w:t>
      </w:r>
      <w:r>
        <w:rPr>
          <w:spacing w:val="-49"/>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6"/>
        </w:rPr>
        <w:t> </w:t>
      </w:r>
      <w:r>
        <w:rPr/>
        <w:t>日，募集资金专户银行存款余额为</w:t>
      </w:r>
      <w:r>
        <w:rPr>
          <w:spacing w:val="-48"/>
        </w:rPr>
        <w:t> </w:t>
      </w:r>
      <w:r>
        <w:rPr>
          <w:rFonts w:ascii="宋体" w:hAnsi="宋体" w:cs="宋体" w:eastAsia="宋体" w:hint="default"/>
        </w:rPr>
        <w:t>0</w:t>
      </w:r>
      <w:r>
        <w:rPr/>
        <w:t>，账户已经注销，详见 下表：</w:t>
      </w:r>
    </w:p>
    <w:tbl>
      <w:tblPr>
        <w:tblW w:w="0" w:type="auto"/>
        <w:jc w:val="left"/>
        <w:tblInd w:w="178" w:type="dxa"/>
        <w:tblLayout w:type="fixed"/>
        <w:tblCellMar>
          <w:top w:w="0" w:type="dxa"/>
          <w:left w:w="0" w:type="dxa"/>
          <w:bottom w:w="0" w:type="dxa"/>
          <w:right w:w="0" w:type="dxa"/>
        </w:tblCellMar>
        <w:tblLook w:val="01E0"/>
      </w:tblPr>
      <w:tblGrid>
        <w:gridCol w:w="1152"/>
        <w:gridCol w:w="1745"/>
        <w:gridCol w:w="1498"/>
        <w:gridCol w:w="1570"/>
        <w:gridCol w:w="1549"/>
        <w:gridCol w:w="1601"/>
      </w:tblGrid>
      <w:tr>
        <w:trPr>
          <w:trHeight w:val="634"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300" w:right="120" w:hanging="180"/>
              <w:jc w:val="left"/>
              <w:rPr>
                <w:rFonts w:ascii="宋体" w:hAnsi="宋体" w:cs="宋体" w:eastAsia="宋体" w:hint="default"/>
                <w:sz w:val="18"/>
                <w:szCs w:val="18"/>
              </w:rPr>
            </w:pPr>
            <w:r>
              <w:rPr>
                <w:rFonts w:ascii="宋体" w:hAnsi="宋体" w:cs="宋体" w:eastAsia="宋体" w:hint="default"/>
                <w:sz w:val="18"/>
                <w:szCs w:val="18"/>
              </w:rPr>
              <w:t>募集资金存 放银行</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center"/>
              <w:rPr>
                <w:rFonts w:ascii="宋体" w:hAnsi="宋体" w:cs="宋体" w:eastAsia="宋体" w:hint="default"/>
                <w:sz w:val="20"/>
                <w:szCs w:val="20"/>
              </w:rPr>
            </w:pPr>
            <w:r>
              <w:rPr>
                <w:rFonts w:ascii="宋体" w:hAnsi="宋体" w:cs="宋体" w:eastAsia="宋体" w:hint="default"/>
                <w:sz w:val="20"/>
                <w:szCs w:val="20"/>
              </w:rPr>
              <w:t>银行帐号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9"/>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宋体" w:hAnsi="宋体" w:cs="宋体" w:eastAsia="宋体" w:hint="default"/>
                <w:sz w:val="16"/>
                <w:szCs w:val="16"/>
              </w:rPr>
              <w:t>12</w:t>
            </w:r>
            <w:r>
              <w:rPr>
                <w:rFonts w:ascii="宋体" w:hAnsi="宋体" w:cs="宋体" w:eastAsia="宋体" w:hint="default"/>
                <w:spacing w:val="-49"/>
                <w:sz w:val="16"/>
                <w:szCs w:val="16"/>
              </w:rPr>
              <w:t> </w:t>
            </w:r>
            <w:r>
              <w:rPr>
                <w:rFonts w:ascii="宋体" w:hAnsi="宋体" w:cs="宋体" w:eastAsia="宋体" w:hint="default"/>
                <w:sz w:val="16"/>
                <w:szCs w:val="16"/>
              </w:rPr>
              <w:t>月</w:t>
            </w:r>
            <w:r>
              <w:rPr>
                <w:rFonts w:ascii="宋体" w:hAnsi="宋体" w:cs="宋体" w:eastAsia="宋体" w:hint="default"/>
                <w:spacing w:val="-48"/>
                <w:sz w:val="16"/>
                <w:szCs w:val="16"/>
              </w:rPr>
              <w:t> </w:t>
            </w:r>
            <w:r>
              <w:rPr>
                <w:rFonts w:ascii="宋体" w:hAnsi="宋体" w:cs="宋体" w:eastAsia="宋体" w:hint="default"/>
                <w:sz w:val="16"/>
                <w:szCs w:val="16"/>
              </w:rPr>
              <w:t>31</w:t>
            </w:r>
            <w:r>
              <w:rPr>
                <w:rFonts w:ascii="宋体" w:hAnsi="宋体" w:cs="宋体" w:eastAsia="宋体" w:hint="default"/>
                <w:spacing w:val="-49"/>
                <w:sz w:val="16"/>
                <w:szCs w:val="16"/>
              </w:rPr>
              <w:t> </w:t>
            </w:r>
            <w:r>
              <w:rPr>
                <w:rFonts w:ascii="宋体" w:hAnsi="宋体" w:cs="宋体" w:eastAsia="宋体" w:hint="default"/>
                <w:sz w:val="16"/>
                <w:szCs w:val="16"/>
              </w:rPr>
              <w:t>日</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40" w:lineRule="auto" w:before="102"/>
              <w:ind w:left="5"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40" w:lineRule="auto" w:before="102"/>
              <w:ind w:left="1" w:right="0"/>
              <w:jc w:val="center"/>
              <w:rPr>
                <w:rFonts w:ascii="宋体" w:hAnsi="宋体" w:cs="宋体" w:eastAsia="宋体" w:hint="default"/>
                <w:sz w:val="16"/>
                <w:szCs w:val="16"/>
              </w:rPr>
            </w:pPr>
            <w:r>
              <w:rPr>
                <w:rFonts w:ascii="宋体" w:hAnsi="宋体" w:cs="宋体" w:eastAsia="宋体" w:hint="default"/>
                <w:sz w:val="16"/>
                <w:szCs w:val="16"/>
              </w:rPr>
              <w:t>余额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40" w:lineRule="auto" w:before="102"/>
              <w:ind w:left="7" w:right="0"/>
              <w:jc w:val="center"/>
              <w:rPr>
                <w:rFonts w:ascii="宋体" w:hAnsi="宋体" w:cs="宋体" w:eastAsia="宋体" w:hint="default"/>
                <w:sz w:val="16"/>
                <w:szCs w:val="16"/>
              </w:rPr>
            </w:pPr>
            <w:r>
              <w:rPr>
                <w:rFonts w:ascii="宋体" w:hAnsi="宋体" w:cs="宋体" w:eastAsia="宋体" w:hint="default"/>
                <w:sz w:val="16"/>
                <w:szCs w:val="16"/>
              </w:rPr>
              <w:t>余额</w:t>
            </w:r>
          </w:p>
        </w:tc>
      </w:tr>
      <w:tr>
        <w:trPr>
          <w:trHeight w:val="125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103" w:right="89"/>
              <w:jc w:val="both"/>
              <w:rPr>
                <w:rFonts w:ascii="宋体" w:hAnsi="宋体" w:cs="宋体" w:eastAsia="宋体" w:hint="default"/>
                <w:sz w:val="18"/>
                <w:szCs w:val="18"/>
              </w:rPr>
            </w:pPr>
            <w:r>
              <w:rPr>
                <w:rFonts w:ascii="宋体" w:hAnsi="宋体" w:cs="宋体" w:eastAsia="宋体" w:hint="default"/>
                <w:spacing w:val="9"/>
                <w:sz w:val="18"/>
                <w:szCs w:val="18"/>
              </w:rPr>
              <w:t>招商银行股 份有限公司 上海分行徐 </w:t>
            </w:r>
            <w:r>
              <w:rPr>
                <w:rFonts w:ascii="宋体" w:hAnsi="宋体" w:cs="宋体" w:eastAsia="宋体" w:hint="default"/>
                <w:sz w:val="18"/>
                <w:szCs w:val="18"/>
              </w:rPr>
              <w:t>家汇支行</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212886477510001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130,900,405.62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121,274,893.00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99,101,637.79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436" w:right="432"/>
              <w:jc w:val="left"/>
              <w:rPr>
                <w:rFonts w:ascii="宋体" w:hAnsi="宋体" w:cs="宋体" w:eastAsia="宋体" w:hint="default"/>
                <w:sz w:val="18"/>
                <w:szCs w:val="18"/>
              </w:rPr>
            </w:pPr>
            <w:r>
              <w:rPr>
                <w:rFonts w:ascii="宋体" w:hAnsi="宋体" w:cs="宋体" w:eastAsia="宋体" w:hint="default"/>
                <w:sz w:val="18"/>
                <w:szCs w:val="18"/>
              </w:rPr>
              <w:t>使用完毕 账户注销</w:t>
            </w:r>
          </w:p>
        </w:tc>
      </w:tr>
      <w:tr>
        <w:trPr>
          <w:trHeight w:val="126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
              <w:ind w:left="103" w:right="89"/>
              <w:jc w:val="both"/>
              <w:rPr>
                <w:rFonts w:ascii="宋体" w:hAnsi="宋体" w:cs="宋体" w:eastAsia="宋体" w:hint="default"/>
                <w:sz w:val="18"/>
                <w:szCs w:val="18"/>
              </w:rPr>
            </w:pPr>
            <w:r>
              <w:rPr>
                <w:rFonts w:ascii="宋体" w:hAnsi="宋体" w:cs="宋体" w:eastAsia="宋体" w:hint="default"/>
                <w:spacing w:val="9"/>
                <w:sz w:val="18"/>
                <w:szCs w:val="18"/>
              </w:rPr>
              <w:t>南京银行股 份有限公司 阳光广场支 </w:t>
            </w:r>
            <w:r>
              <w:rPr>
                <w:rFonts w:ascii="宋体" w:hAnsi="宋体" w:cs="宋体" w:eastAsia="宋体" w:hint="default"/>
                <w:sz w:val="18"/>
                <w:szCs w:val="18"/>
              </w:rPr>
              <w:t>行</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01770120210012956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3,689,693.00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436" w:right="432"/>
              <w:jc w:val="left"/>
              <w:rPr>
                <w:rFonts w:ascii="宋体" w:hAnsi="宋体" w:cs="宋体" w:eastAsia="宋体" w:hint="default"/>
                <w:sz w:val="18"/>
                <w:szCs w:val="18"/>
              </w:rPr>
            </w:pPr>
            <w:r>
              <w:rPr>
                <w:rFonts w:ascii="宋体" w:hAnsi="宋体" w:cs="宋体" w:eastAsia="宋体" w:hint="default"/>
                <w:sz w:val="18"/>
                <w:szCs w:val="18"/>
              </w:rPr>
              <w:t>使用完毕 账户注销</w:t>
            </w:r>
          </w:p>
        </w:tc>
      </w:tr>
    </w:tbl>
    <w:p>
      <w:pPr>
        <w:pStyle w:val="BodyText"/>
        <w:spacing w:line="357" w:lineRule="auto"/>
        <w:ind w:right="210" w:firstLine="489"/>
        <w:jc w:val="both"/>
      </w:pPr>
      <w:r>
        <w:rPr/>
        <w:t>募集资金专户资金余额年末较年初减少</w:t>
      </w:r>
      <w:r>
        <w:rPr>
          <w:spacing w:val="-60"/>
        </w:rPr>
        <w:t> </w:t>
      </w:r>
      <w:r>
        <w:rPr>
          <w:rFonts w:ascii="宋体" w:hAnsi="宋体" w:cs="宋体" w:eastAsia="宋体" w:hint="default"/>
        </w:rPr>
        <w:t>102,791,330.79</w:t>
      </w:r>
      <w:r>
        <w:rPr>
          <w:rFonts w:ascii="宋体" w:hAnsi="宋体" w:cs="宋体" w:eastAsia="宋体" w:hint="default"/>
          <w:spacing w:val="-60"/>
        </w:rPr>
        <w:t> </w:t>
      </w:r>
      <w:r>
        <w:rPr>
          <w:spacing w:val="-26"/>
        </w:rPr>
        <w:t>元，其中</w:t>
      </w:r>
      <w:r>
        <w:rPr>
          <w:spacing w:val="-60"/>
        </w:rPr>
        <w:t> </w:t>
      </w:r>
      <w:r>
        <w:rPr>
          <w:rFonts w:ascii="宋体" w:hAnsi="宋体" w:cs="宋体" w:eastAsia="宋体" w:hint="default"/>
        </w:rPr>
        <w:t>2011</w:t>
      </w:r>
      <w:r>
        <w:rPr>
          <w:rFonts w:ascii="宋体" w:hAnsi="宋体" w:cs="宋体" w:eastAsia="宋体" w:hint="default"/>
          <w:spacing w:val="-60"/>
        </w:rPr>
        <w:t> </w:t>
      </w:r>
      <w:r>
        <w:rPr/>
        <w:t>年内因专户 </w:t>
      </w:r>
      <w:r>
        <w:rPr>
          <w:spacing w:val="20"/>
        </w:rPr>
        <w:t>存储资金利息收入增加 </w:t>
      </w:r>
      <w:r>
        <w:rPr>
          <w:rFonts w:ascii="宋体" w:hAnsi="宋体" w:cs="宋体" w:eastAsia="宋体" w:hint="default"/>
        </w:rPr>
        <w:t>2,712,111.71 </w:t>
      </w:r>
      <w:r>
        <w:rPr>
          <w:spacing w:val="10"/>
        </w:rPr>
        <w:t>元， </w:t>
      </w:r>
      <w:r>
        <w:rPr>
          <w:rFonts w:ascii="宋体" w:hAnsi="宋体" w:cs="宋体" w:eastAsia="宋体" w:hint="default"/>
        </w:rPr>
        <w:t>2011</w:t>
      </w:r>
      <w:r>
        <w:rPr>
          <w:rFonts w:ascii="宋体" w:hAnsi="宋体" w:cs="宋体" w:eastAsia="宋体" w:hint="default"/>
          <w:spacing w:val="103"/>
        </w:rPr>
        <w:t> </w:t>
      </w:r>
      <w:r>
        <w:rPr>
          <w:spacing w:val="20"/>
        </w:rPr>
        <w:t>年内因募集资金使用划出资金</w:t>
      </w:r>
      <w:r>
        <w:rPr/>
        <w:t> </w:t>
      </w:r>
      <w:r>
        <w:rPr>
          <w:rFonts w:ascii="宋体" w:hAnsi="宋体" w:cs="宋体" w:eastAsia="宋体" w:hint="default"/>
        </w:rPr>
        <w:t>105,503,442.50</w:t>
      </w:r>
      <w:r>
        <w:rPr>
          <w:rFonts w:ascii="宋体" w:hAnsi="宋体" w:cs="宋体" w:eastAsia="宋体" w:hint="default"/>
          <w:spacing w:val="-61"/>
        </w:rPr>
        <w:t> </w:t>
      </w:r>
      <w:r>
        <w:rPr/>
        <w:t>元。</w:t>
      </w:r>
    </w:p>
    <w:p>
      <w:pPr>
        <w:pStyle w:val="BodyText"/>
        <w:spacing w:line="240" w:lineRule="auto"/>
        <w:ind w:right="2480"/>
        <w:jc w:val="left"/>
      </w:pPr>
      <w:r>
        <w:rPr>
          <w:rFonts w:ascii="宋体" w:hAnsi="宋体" w:cs="宋体" w:eastAsia="宋体" w:hint="default"/>
        </w:rPr>
        <w:t>3</w:t>
      </w:r>
      <w:r>
        <w:rPr/>
        <w:t>、本年度募集资金的实际使用情况</w:t>
      </w:r>
    </w:p>
    <w:p>
      <w:pPr>
        <w:pStyle w:val="BodyText"/>
        <w:spacing w:line="357" w:lineRule="auto" w:before="154"/>
        <w:ind w:right="210" w:firstLine="460"/>
        <w:jc w:val="both"/>
      </w:pPr>
      <w:r>
        <w:rPr>
          <w:rFonts w:ascii="宋体" w:hAnsi="宋体" w:cs="宋体" w:eastAsia="宋体" w:hint="default"/>
        </w:rPr>
        <w:t>2011</w:t>
      </w:r>
      <w:r>
        <w:rPr>
          <w:rFonts w:ascii="宋体" w:hAnsi="宋体" w:cs="宋体" w:eastAsia="宋体" w:hint="default"/>
          <w:spacing w:val="-39"/>
        </w:rPr>
        <w:t> </w:t>
      </w:r>
      <w:r>
        <w:rPr/>
        <w:t>年度本公司从募集资金专户划出资金</w:t>
      </w:r>
      <w:r>
        <w:rPr>
          <w:spacing w:val="-38"/>
        </w:rPr>
        <w:t> </w:t>
      </w:r>
      <w:r>
        <w:rPr>
          <w:rFonts w:ascii="宋体" w:hAnsi="宋体" w:cs="宋体" w:eastAsia="宋体" w:hint="default"/>
        </w:rPr>
        <w:t>105,503,442.50</w:t>
      </w:r>
      <w:r>
        <w:rPr>
          <w:rFonts w:ascii="宋体" w:hAnsi="宋体" w:cs="宋体" w:eastAsia="宋体" w:hint="default"/>
          <w:spacing w:val="-39"/>
        </w:rPr>
        <w:t> </w:t>
      </w:r>
      <w:r>
        <w:rPr/>
        <w:t>元均为</w:t>
      </w:r>
      <w:r>
        <w:rPr>
          <w:spacing w:val="-38"/>
        </w:rPr>
        <w:t> </w:t>
      </w:r>
      <w:r>
        <w:rPr>
          <w:rFonts w:ascii="宋体" w:hAnsi="宋体" w:cs="宋体" w:eastAsia="宋体" w:hint="default"/>
        </w:rPr>
        <w:t>2011</w:t>
      </w:r>
      <w:r>
        <w:rPr>
          <w:rFonts w:ascii="宋体" w:hAnsi="宋体" w:cs="宋体" w:eastAsia="宋体" w:hint="default"/>
          <w:spacing w:val="-39"/>
        </w:rPr>
        <w:t> </w:t>
      </w:r>
      <w:r>
        <w:rPr/>
        <w:t>年度投入 的募集资金总额。</w:t>
      </w:r>
      <w:r>
        <w:rPr>
          <w:rFonts w:ascii="宋体" w:hAnsi="宋体" w:cs="宋体" w:eastAsia="宋体" w:hint="default"/>
        </w:rPr>
        <w:t>2011</w:t>
      </w:r>
      <w:r>
        <w:rPr>
          <w:rFonts w:ascii="宋体" w:hAnsi="宋体" w:cs="宋体" w:eastAsia="宋体" w:hint="default"/>
          <w:spacing w:val="-61"/>
        </w:rPr>
        <w:t> </w:t>
      </w:r>
      <w:r>
        <w:rPr/>
        <w:t>年度本公司募集资金的实际使用情况详见下表。</w:t>
      </w:r>
    </w:p>
    <w:p>
      <w:pPr>
        <w:spacing w:after="0" w:line="357" w:lineRule="auto"/>
        <w:jc w:val="both"/>
        <w:sectPr>
          <w:pgSz w:w="11910" w:h="16840"/>
          <w:pgMar w:header="876" w:footer="1186" w:top="1100" w:bottom="1380" w:left="1300" w:right="1180"/>
        </w:sectPr>
      </w:pPr>
    </w:p>
    <w:p>
      <w:pPr>
        <w:spacing w:line="240" w:lineRule="auto" w:before="7"/>
        <w:rPr>
          <w:rFonts w:ascii="宋体" w:hAnsi="宋体" w:cs="宋体" w:eastAsia="宋体" w:hint="default"/>
          <w:sz w:val="3"/>
          <w:szCs w:val="3"/>
        </w:rPr>
      </w:pPr>
    </w:p>
    <w:p>
      <w:pPr>
        <w:spacing w:line="20" w:lineRule="exact"/>
        <w:ind w:left="1240" w:right="0" w:firstLine="0"/>
        <w:rPr>
          <w:rFonts w:ascii="宋体" w:hAnsi="宋体" w:cs="宋体" w:eastAsia="宋体" w:hint="default"/>
          <w:sz w:val="2"/>
          <w:szCs w:val="2"/>
        </w:rPr>
      </w:pPr>
      <w:r>
        <w:rPr>
          <w:rFonts w:ascii="宋体" w:hAnsi="宋体" w:cs="宋体" w:eastAsia="宋体" w:hint="default"/>
          <w:sz w:val="2"/>
          <w:szCs w:val="2"/>
        </w:rPr>
        <w:pict>
          <v:group style="width:703.8pt;height:.75pt;mso-position-horizontal-relative:char;mso-position-vertical-relative:line" coordorigin="0,0" coordsize="14076,15">
            <v:group style="position:absolute;left:7;top:7;width:14062;height:2" coordorigin="7,7" coordsize="14062,2">
              <v:shape style="position:absolute;left:7;top:7;width:14062;height:2" coordorigin="7,7" coordsize="14062,0" path="m7,7l14068,7e" filled="false" stroked="true" strokeweight=".72pt" strokecolor="#000000">
                <v:path arrowok="t"/>
              </v:shape>
            </v:group>
          </v:group>
        </w:pict>
      </w:r>
      <w:r>
        <w:rPr>
          <w:rFonts w:ascii="宋体" w:hAnsi="宋体" w:cs="宋体" w:eastAsia="宋体" w:hint="default"/>
          <w:sz w:val="2"/>
          <w:szCs w:val="2"/>
        </w:rPr>
      </w:r>
    </w:p>
    <w:p>
      <w:pPr>
        <w:spacing w:before="3"/>
        <w:ind w:left="216" w:right="0" w:firstLine="0"/>
        <w:jc w:val="left"/>
        <w:rPr>
          <w:rFonts w:ascii="宋体" w:hAnsi="宋体" w:cs="宋体" w:eastAsia="宋体" w:hint="default"/>
          <w:sz w:val="18"/>
          <w:szCs w:val="18"/>
        </w:rPr>
      </w:pPr>
      <w:r>
        <w:rPr>
          <w:rFonts w:ascii="宋体" w:hAnsi="宋体" w:cs="宋体" w:eastAsia="宋体" w:hint="default"/>
          <w:sz w:val="18"/>
          <w:szCs w:val="18"/>
        </w:rPr>
        <w:t>附表：</w:t>
      </w:r>
    </w:p>
    <w:p>
      <w:pPr>
        <w:spacing w:line="240" w:lineRule="auto" w:before="3"/>
        <w:rPr>
          <w:rFonts w:ascii="宋体" w:hAnsi="宋体" w:cs="宋体" w:eastAsia="宋体" w:hint="default"/>
          <w:sz w:val="11"/>
          <w:szCs w:val="11"/>
        </w:rPr>
      </w:pPr>
    </w:p>
    <w:p>
      <w:pPr>
        <w:spacing w:before="44"/>
        <w:ind w:left="0" w:right="22" w:firstLine="0"/>
        <w:jc w:val="center"/>
        <w:rPr>
          <w:rFonts w:ascii="宋体" w:hAnsi="宋体" w:cs="宋体" w:eastAsia="宋体" w:hint="default"/>
          <w:sz w:val="18"/>
          <w:szCs w:val="18"/>
        </w:rPr>
      </w:pPr>
      <w:r>
        <w:rPr>
          <w:rFonts w:ascii="宋体" w:hAnsi="宋体" w:cs="宋体" w:eastAsia="宋体" w:hint="default"/>
          <w:b/>
          <w:bCs/>
          <w:sz w:val="18"/>
          <w:szCs w:val="18"/>
        </w:rPr>
        <w:t>募集资金使用情况对照表</w:t>
      </w:r>
      <w:r>
        <w:rPr>
          <w:rFonts w:ascii="宋体" w:hAnsi="宋体" w:cs="宋体" w:eastAsia="宋体" w:hint="default"/>
          <w:sz w:val="18"/>
          <w:szCs w:val="18"/>
        </w:rPr>
      </w:r>
    </w:p>
    <w:p>
      <w:pPr>
        <w:spacing w:line="240" w:lineRule="auto" w:before="2"/>
        <w:rPr>
          <w:rFonts w:ascii="宋体" w:hAnsi="宋体" w:cs="宋体" w:eastAsia="宋体" w:hint="default"/>
          <w:b/>
          <w:bCs/>
          <w:sz w:val="20"/>
          <w:szCs w:val="20"/>
        </w:rPr>
      </w:pPr>
    </w:p>
    <w:p>
      <w:pPr>
        <w:tabs>
          <w:tab w:pos="14130" w:val="left" w:leader="none"/>
        </w:tabs>
        <w:spacing w:before="0"/>
        <w:ind w:left="0" w:right="33" w:firstLine="0"/>
        <w:jc w:val="center"/>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t>金额单位：人民币万元</w:t>
      </w:r>
    </w:p>
    <w:p>
      <w:pPr>
        <w:spacing w:line="240" w:lineRule="auto" w:before="9"/>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507"/>
        <w:gridCol w:w="1512"/>
        <w:gridCol w:w="1418"/>
        <w:gridCol w:w="1275"/>
        <w:gridCol w:w="1135"/>
        <w:gridCol w:w="1274"/>
        <w:gridCol w:w="1419"/>
        <w:gridCol w:w="1274"/>
        <w:gridCol w:w="1560"/>
        <w:gridCol w:w="1208"/>
        <w:gridCol w:w="991"/>
        <w:gridCol w:w="1586"/>
      </w:tblGrid>
      <w:tr>
        <w:trPr>
          <w:trHeight w:val="322" w:hRule="exact"/>
        </w:trPr>
        <w:tc>
          <w:tcPr>
            <w:tcW w:w="443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13,113.91</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1" w:right="0"/>
              <w:jc w:val="left"/>
              <w:rPr>
                <w:rFonts w:ascii="宋体" w:hAnsi="宋体" w:cs="宋体" w:eastAsia="宋体" w:hint="default"/>
                <w:sz w:val="18"/>
                <w:szCs w:val="18"/>
              </w:rPr>
            </w:pPr>
            <w:r>
              <w:rPr>
                <w:rFonts w:ascii="宋体" w:hAnsi="宋体" w:cs="宋体" w:eastAsia="宋体" w:hint="default"/>
                <w:sz w:val="18"/>
                <w:szCs w:val="18"/>
              </w:rPr>
              <w:t>报告期内投入募集资金总额</w:t>
            </w:r>
          </w:p>
        </w:tc>
        <w:tc>
          <w:tcPr>
            <w:tcW w:w="37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10,550.34</w:t>
            </w:r>
          </w:p>
        </w:tc>
      </w:tr>
      <w:tr>
        <w:trPr>
          <w:trHeight w:val="324" w:hRule="exact"/>
        </w:trPr>
        <w:tc>
          <w:tcPr>
            <w:tcW w:w="443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86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4253"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3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3785" w:type="dxa"/>
            <w:gridSpan w:val="3"/>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14,284.61</w:t>
            </w:r>
          </w:p>
        </w:tc>
      </w:tr>
      <w:tr>
        <w:trPr>
          <w:trHeight w:val="322" w:hRule="exact"/>
        </w:trPr>
        <w:tc>
          <w:tcPr>
            <w:tcW w:w="443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4253" w:type="dxa"/>
            <w:gridSpan w:val="3"/>
            <w:vMerge/>
            <w:tcBorders>
              <w:left w:val="single" w:sz="4" w:space="0" w:color="000000"/>
              <w:right w:val="single" w:sz="4" w:space="0" w:color="000000"/>
            </w:tcBorders>
            <w:shd w:val="clear" w:color="auto" w:fill="D9D9D9"/>
          </w:tcPr>
          <w:p>
            <w:pPr/>
          </w:p>
        </w:tc>
        <w:tc>
          <w:tcPr>
            <w:tcW w:w="3785" w:type="dxa"/>
            <w:gridSpan w:val="3"/>
            <w:vMerge/>
            <w:tcBorders>
              <w:left w:val="single" w:sz="4" w:space="0" w:color="000000"/>
              <w:right w:val="single" w:sz="4" w:space="0" w:color="000000"/>
            </w:tcBorders>
          </w:tcPr>
          <w:p>
            <w:pPr/>
          </w:p>
        </w:tc>
      </w:tr>
      <w:tr>
        <w:trPr>
          <w:trHeight w:val="327" w:hRule="exact"/>
        </w:trPr>
        <w:tc>
          <w:tcPr>
            <w:tcW w:w="443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4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累计变更用途的募集资金比例</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4253" w:type="dxa"/>
            <w:gridSpan w:val="3"/>
            <w:vMerge/>
            <w:tcBorders>
              <w:left w:val="single" w:sz="4" w:space="0" w:color="000000"/>
              <w:bottom w:val="single" w:sz="4" w:space="0" w:color="000000"/>
              <w:right w:val="single" w:sz="4" w:space="0" w:color="000000"/>
            </w:tcBorders>
            <w:shd w:val="clear" w:color="auto" w:fill="D9D9D9"/>
          </w:tcPr>
          <w:p>
            <w:pPr/>
          </w:p>
        </w:tc>
        <w:tc>
          <w:tcPr>
            <w:tcW w:w="3785" w:type="dxa"/>
            <w:gridSpan w:val="3"/>
            <w:vMerge/>
            <w:tcBorders>
              <w:left w:val="single" w:sz="4" w:space="0" w:color="000000"/>
              <w:bottom w:val="single" w:sz="4" w:space="0" w:color="000000"/>
              <w:right w:val="single" w:sz="4" w:space="0" w:color="000000"/>
            </w:tcBorders>
          </w:tcPr>
          <w:p>
            <w:pPr/>
          </w:p>
        </w:tc>
      </w:tr>
      <w:tr>
        <w:trPr>
          <w:trHeight w:val="1253" w:hRule="exact"/>
        </w:trPr>
        <w:tc>
          <w:tcPr>
            <w:tcW w:w="150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0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5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是否已变更项目</w:t>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z w:val="18"/>
                <w:szCs w:val="18"/>
              </w:rPr>
              <w:t>（含部分变更）</w:t>
            </w: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343" w:right="163"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27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pacing w:val="-50"/>
                <w:sz w:val="18"/>
                <w:szCs w:val="18"/>
              </w:rPr>
              <w:t> </w:t>
            </w:r>
            <w:r>
              <w:rPr>
                <w:rFonts w:ascii="宋体" w:hAnsi="宋体" w:cs="宋体" w:eastAsia="宋体" w:hint="default"/>
                <w:sz w:val="18"/>
                <w:szCs w:val="18"/>
              </w:rPr>
              <w:t>整</w:t>
            </w:r>
            <w:r>
              <w:rPr>
                <w:rFonts w:ascii="宋体" w:hAnsi="宋体" w:cs="宋体" w:eastAsia="宋体" w:hint="default"/>
                <w:spacing w:val="-50"/>
                <w:sz w:val="18"/>
                <w:szCs w:val="18"/>
              </w:rPr>
              <w:t> </w:t>
            </w:r>
            <w:r>
              <w:rPr>
                <w:rFonts w:ascii="宋体" w:hAnsi="宋体" w:cs="宋体" w:eastAsia="宋体" w:hint="default"/>
                <w:sz w:val="18"/>
                <w:szCs w:val="18"/>
              </w:rPr>
              <w:t>后</w:t>
            </w:r>
            <w:r>
              <w:rPr>
                <w:rFonts w:ascii="宋体" w:hAnsi="宋体" w:cs="宋体" w:eastAsia="宋体" w:hint="default"/>
                <w:spacing w:val="-52"/>
                <w:sz w:val="18"/>
                <w:szCs w:val="18"/>
              </w:rPr>
              <w:t> </w:t>
            </w:r>
            <w:r>
              <w:rPr>
                <w:rFonts w:ascii="宋体" w:hAnsi="宋体" w:cs="宋体" w:eastAsia="宋体" w:hint="default"/>
                <w:sz w:val="18"/>
                <w:szCs w:val="18"/>
              </w:rPr>
              <w:t>投</w:t>
            </w:r>
            <w:r>
              <w:rPr>
                <w:rFonts w:ascii="宋体" w:hAnsi="宋体" w:cs="宋体" w:eastAsia="宋体" w:hint="default"/>
                <w:spacing w:val="-50"/>
                <w:sz w:val="18"/>
                <w:szCs w:val="18"/>
              </w:rPr>
              <w:t> </w:t>
            </w:r>
            <w:r>
              <w:rPr>
                <w:rFonts w:ascii="宋体" w:hAnsi="宋体" w:cs="宋体" w:eastAsia="宋体" w:hint="default"/>
                <w:sz w:val="18"/>
                <w:szCs w:val="18"/>
              </w:rPr>
              <w:t>资</w:t>
            </w:r>
            <w:r>
              <w:rPr>
                <w:rFonts w:ascii="宋体" w:hAnsi="宋体" w:cs="宋体" w:eastAsia="宋体" w:hint="default"/>
                <w:sz w:val="18"/>
                <w:szCs w:val="18"/>
              </w:rPr>
              <w:t> 总额</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c>
          <w:tcPr>
            <w:tcW w:w="11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381" w:right="113"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2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79" w:right="182"/>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
              <w:ind w:left="103" w:right="81"/>
              <w:jc w:val="both"/>
              <w:rPr>
                <w:rFonts w:ascii="宋体" w:hAnsi="宋体" w:cs="宋体" w:eastAsia="宋体" w:hint="default"/>
                <w:sz w:val="18"/>
                <w:szCs w:val="18"/>
              </w:rPr>
            </w:pPr>
            <w:r>
              <w:rPr>
                <w:rFonts w:ascii="宋体" w:hAnsi="宋体" w:cs="宋体" w:eastAsia="宋体" w:hint="default"/>
                <w:spacing w:val="20"/>
                <w:sz w:val="18"/>
                <w:szCs w:val="18"/>
              </w:rPr>
              <w:t>截至期末累计</w:t>
            </w:r>
            <w:r>
              <w:rPr>
                <w:rFonts w:ascii="宋体" w:hAnsi="宋体" w:cs="宋体" w:eastAsia="宋体" w:hint="default"/>
                <w:spacing w:val="-66"/>
                <w:sz w:val="18"/>
                <w:szCs w:val="18"/>
              </w:rPr>
              <w:t> </w:t>
            </w:r>
            <w:r>
              <w:rPr>
                <w:rFonts w:ascii="宋体" w:hAnsi="宋体" w:cs="宋体" w:eastAsia="宋体" w:hint="default"/>
                <w:spacing w:val="20"/>
                <w:sz w:val="18"/>
                <w:szCs w:val="18"/>
              </w:rPr>
              <w:t>投入金额与承</w:t>
            </w:r>
            <w:r>
              <w:rPr>
                <w:rFonts w:ascii="宋体" w:hAnsi="宋体" w:cs="宋体" w:eastAsia="宋体" w:hint="default"/>
                <w:spacing w:val="-66"/>
                <w:sz w:val="18"/>
                <w:szCs w:val="18"/>
              </w:rPr>
              <w:t> </w:t>
            </w:r>
            <w:r>
              <w:rPr>
                <w:rFonts w:ascii="宋体" w:hAnsi="宋体" w:cs="宋体" w:eastAsia="宋体" w:hint="default"/>
                <w:spacing w:val="20"/>
                <w:sz w:val="18"/>
                <w:szCs w:val="18"/>
              </w:rPr>
              <w:t>诺投入金额的</w:t>
            </w:r>
            <w:r>
              <w:rPr>
                <w:rFonts w:ascii="宋体" w:hAnsi="宋体" w:cs="宋体" w:eastAsia="宋体" w:hint="default"/>
                <w:spacing w:val="-66"/>
                <w:sz w:val="18"/>
                <w:szCs w:val="18"/>
              </w:rPr>
              <w:t> </w:t>
            </w:r>
            <w:r>
              <w:rPr>
                <w:rFonts w:ascii="宋体" w:hAnsi="宋体" w:cs="宋体" w:eastAsia="宋体" w:hint="default"/>
                <w:sz w:val="18"/>
                <w:szCs w:val="18"/>
              </w:rPr>
              <w:t>差额</w:t>
            </w:r>
          </w:p>
        </w:tc>
        <w:tc>
          <w:tcPr>
            <w:tcW w:w="12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6" w:right="134"/>
              <w:jc w:val="center"/>
              <w:rPr>
                <w:rFonts w:ascii="宋体" w:hAnsi="宋体" w:cs="宋体" w:eastAsia="宋体" w:hint="default"/>
                <w:sz w:val="18"/>
                <w:szCs w:val="18"/>
              </w:rPr>
            </w:pPr>
            <w:r>
              <w:rPr>
                <w:rFonts w:ascii="宋体" w:hAnsi="宋体" w:cs="宋体" w:eastAsia="宋体" w:hint="default"/>
                <w:sz w:val="18"/>
                <w:szCs w:val="18"/>
              </w:rPr>
              <w:t>截至期末投 入进度（</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(4)</w:t>
            </w:r>
            <w:r>
              <w:rPr>
                <w:rFonts w:ascii="宋体" w:hAnsi="宋体" w:cs="宋体" w:eastAsia="宋体" w:hint="default"/>
                <w:sz w:val="18"/>
                <w:szCs w:val="18"/>
              </w:rPr>
              <w:t>＝ </w:t>
            </w:r>
            <w:r>
              <w:rPr>
                <w:rFonts w:ascii="宋体" w:hAnsi="宋体" w:cs="宋体" w:eastAsia="宋体" w:hint="default"/>
                <w:sz w:val="18"/>
                <w:szCs w:val="18"/>
              </w:rPr>
              <w:t>(2)/(1)</w:t>
            </w:r>
          </w:p>
        </w:tc>
        <w:tc>
          <w:tcPr>
            <w:tcW w:w="15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3" w:right="84"/>
              <w:jc w:val="left"/>
              <w:rPr>
                <w:rFonts w:ascii="宋体" w:hAnsi="宋体" w:cs="宋体" w:eastAsia="宋体" w:hint="default"/>
                <w:sz w:val="18"/>
                <w:szCs w:val="18"/>
              </w:rPr>
            </w:pPr>
            <w:r>
              <w:rPr>
                <w:rFonts w:ascii="宋体" w:hAnsi="宋体" w:cs="宋体" w:eastAsia="宋体" w:hint="default"/>
                <w:spacing w:val="14"/>
                <w:sz w:val="18"/>
                <w:szCs w:val="18"/>
              </w:rPr>
              <w:t>项目达到预定可 </w:t>
            </w:r>
            <w:r>
              <w:rPr>
                <w:rFonts w:ascii="宋体" w:hAnsi="宋体" w:cs="宋体" w:eastAsia="宋体" w:hint="default"/>
                <w:sz w:val="18"/>
                <w:szCs w:val="18"/>
              </w:rPr>
              <w:t>使用状态日期</w:t>
            </w:r>
          </w:p>
        </w:tc>
        <w:tc>
          <w:tcPr>
            <w:tcW w:w="12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37" w:right="147" w:hanging="89"/>
              <w:jc w:val="left"/>
              <w:rPr>
                <w:rFonts w:ascii="宋体" w:hAnsi="宋体" w:cs="宋体" w:eastAsia="宋体" w:hint="default"/>
                <w:sz w:val="18"/>
                <w:szCs w:val="18"/>
              </w:rPr>
            </w:pPr>
            <w:r>
              <w:rPr>
                <w:rFonts w:ascii="宋体" w:hAnsi="宋体" w:cs="宋体" w:eastAsia="宋体" w:hint="default"/>
                <w:sz w:val="18"/>
                <w:szCs w:val="18"/>
              </w:rPr>
              <w:t>报告期内实 现的效益</w:t>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29" w:right="13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58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47" w:right="156" w:hanging="89"/>
              <w:jc w:val="left"/>
              <w:rPr>
                <w:rFonts w:ascii="宋体" w:hAnsi="宋体" w:cs="宋体" w:eastAsia="宋体" w:hint="default"/>
                <w:sz w:val="18"/>
                <w:szCs w:val="18"/>
              </w:rPr>
            </w:pPr>
            <w:r>
              <w:rPr>
                <w:rFonts w:ascii="宋体" w:hAnsi="宋体" w:cs="宋体" w:eastAsia="宋体" w:hint="default"/>
                <w:sz w:val="18"/>
                <w:szCs w:val="18"/>
              </w:rPr>
              <w:t>项目可行性是否 发生重大变化</w:t>
            </w:r>
          </w:p>
        </w:tc>
      </w:tr>
      <w:tr>
        <w:trPr>
          <w:trHeight w:val="322" w:hRule="exact"/>
        </w:trPr>
        <w:tc>
          <w:tcPr>
            <w:tcW w:w="1507" w:type="dxa"/>
            <w:vMerge/>
            <w:tcBorders>
              <w:left w:val="single" w:sz="4" w:space="0" w:color="000000"/>
              <w:bottom w:val="single" w:sz="4" w:space="0" w:color="000000"/>
              <w:right w:val="single" w:sz="4" w:space="0" w:color="000000"/>
            </w:tcBorders>
            <w:shd w:val="clear" w:color="auto" w:fill="D9D9D9"/>
          </w:tcPr>
          <w:p>
            <w:pPr/>
          </w:p>
        </w:tc>
        <w:tc>
          <w:tcPr>
            <w:tcW w:w="1512" w:type="dxa"/>
            <w:vMerge/>
            <w:tcBorders>
              <w:left w:val="single" w:sz="4" w:space="0" w:color="000000"/>
              <w:bottom w:val="single" w:sz="4" w:space="0" w:color="000000"/>
              <w:right w:val="single" w:sz="4" w:space="0" w:color="000000"/>
            </w:tcBorders>
            <w:shd w:val="clear" w:color="auto" w:fill="D9D9D9"/>
          </w:tcPr>
          <w:p>
            <w:pPr/>
          </w:p>
        </w:tc>
        <w:tc>
          <w:tcPr>
            <w:tcW w:w="1418" w:type="dxa"/>
            <w:vMerge/>
            <w:tcBorders>
              <w:left w:val="single" w:sz="4" w:space="0" w:color="000000"/>
              <w:bottom w:val="single" w:sz="4" w:space="0" w:color="000000"/>
              <w:right w:val="single" w:sz="4" w:space="0" w:color="000000"/>
            </w:tcBorders>
            <w:shd w:val="clear" w:color="auto" w:fill="D9D9D9"/>
          </w:tcPr>
          <w:p>
            <w:pPr/>
          </w:p>
        </w:tc>
        <w:tc>
          <w:tcPr>
            <w:tcW w:w="1275" w:type="dxa"/>
            <w:vMerge/>
            <w:tcBorders>
              <w:left w:val="single" w:sz="4" w:space="0" w:color="000000"/>
              <w:bottom w:val="single" w:sz="4" w:space="0" w:color="000000"/>
              <w:right w:val="single" w:sz="4" w:space="0" w:color="000000"/>
            </w:tcBorders>
            <w:shd w:val="clear" w:color="auto" w:fill="D9D9D9"/>
          </w:tcPr>
          <w:p>
            <w:pPr/>
          </w:p>
        </w:tc>
        <w:tc>
          <w:tcPr>
            <w:tcW w:w="1135" w:type="dxa"/>
            <w:vMerge/>
            <w:tcBorders>
              <w:left w:val="single" w:sz="4" w:space="0" w:color="000000"/>
              <w:bottom w:val="single" w:sz="4" w:space="0" w:color="000000"/>
              <w:right w:val="single" w:sz="4" w:space="0" w:color="000000"/>
            </w:tcBorders>
            <w:shd w:val="clear" w:color="auto" w:fill="D9D9D9"/>
          </w:tcPr>
          <w:p>
            <w:pPr/>
          </w:p>
        </w:tc>
        <w:tc>
          <w:tcPr>
            <w:tcW w:w="1274"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(2)-(1)</w:t>
            </w:r>
          </w:p>
        </w:tc>
        <w:tc>
          <w:tcPr>
            <w:tcW w:w="1274" w:type="dxa"/>
            <w:vMerge/>
            <w:tcBorders>
              <w:left w:val="single" w:sz="4" w:space="0" w:color="000000"/>
              <w:bottom w:val="single" w:sz="4" w:space="0" w:color="000000"/>
              <w:right w:val="single" w:sz="4" w:space="0" w:color="000000"/>
            </w:tcBorders>
            <w:shd w:val="clear" w:color="auto" w:fill="D9D9D9"/>
          </w:tcPr>
          <w:p>
            <w:pPr/>
          </w:p>
        </w:tc>
        <w:tc>
          <w:tcPr>
            <w:tcW w:w="1560" w:type="dxa"/>
            <w:vMerge/>
            <w:tcBorders>
              <w:left w:val="single" w:sz="4" w:space="0" w:color="000000"/>
              <w:bottom w:val="single" w:sz="4" w:space="0" w:color="000000"/>
              <w:right w:val="single" w:sz="4" w:space="0" w:color="000000"/>
            </w:tcBorders>
            <w:shd w:val="clear" w:color="auto" w:fill="D9D9D9"/>
          </w:tcPr>
          <w:p>
            <w:pPr/>
          </w:p>
        </w:tc>
        <w:tc>
          <w:tcPr>
            <w:tcW w:w="1208"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1586" w:type="dxa"/>
            <w:vMerge/>
            <w:tcBorders>
              <w:left w:val="single" w:sz="4" w:space="0" w:color="000000"/>
              <w:bottom w:val="single" w:sz="4" w:space="0" w:color="000000"/>
              <w:right w:val="single" w:sz="4" w:space="0" w:color="000000"/>
            </w:tcBorders>
            <w:shd w:val="clear" w:color="auto" w:fill="D9D9D9"/>
          </w:tcPr>
          <w:p>
            <w:pPr/>
          </w:p>
        </w:tc>
      </w:tr>
      <w:tr>
        <w:trPr>
          <w:trHeight w:val="646"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5"/>
              <w:ind w:left="388" w:right="119" w:hanging="272"/>
              <w:jc w:val="left"/>
              <w:rPr>
                <w:rFonts w:ascii="宋体" w:hAnsi="宋体" w:cs="宋体" w:eastAsia="宋体" w:hint="default"/>
                <w:sz w:val="18"/>
                <w:szCs w:val="18"/>
              </w:rPr>
            </w:pPr>
            <w:r>
              <w:rPr>
                <w:rFonts w:ascii="宋体" w:hAnsi="宋体" w:cs="宋体" w:eastAsia="宋体" w:hint="default"/>
                <w:sz w:val="18"/>
                <w:szCs w:val="18"/>
              </w:rPr>
              <w:t>嵌入式软件研发 中心项目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4,550.00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4,550.00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3,591.48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5,129.36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579.36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112.73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1,714.38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12"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97"/>
              <w:ind w:left="117" w:right="119"/>
              <w:jc w:val="left"/>
              <w:rPr>
                <w:rFonts w:ascii="宋体" w:hAnsi="宋体" w:cs="宋体" w:eastAsia="宋体" w:hint="default"/>
                <w:sz w:val="18"/>
                <w:szCs w:val="18"/>
              </w:rPr>
            </w:pPr>
            <w:r>
              <w:rPr>
                <w:rFonts w:ascii="宋体" w:hAnsi="宋体" w:cs="宋体" w:eastAsia="宋体" w:hint="default"/>
                <w:sz w:val="18"/>
                <w:szCs w:val="18"/>
              </w:rPr>
              <w:t>移动电话内容服 务研发中心项目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4,422.00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4,422.00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3,826.26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4,586.13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164.13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103.71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1,972.86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3"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297" w:right="119" w:hanging="180"/>
              <w:jc w:val="left"/>
              <w:rPr>
                <w:rFonts w:ascii="宋体" w:hAnsi="宋体" w:cs="宋体" w:eastAsia="宋体" w:hint="default"/>
                <w:sz w:val="18"/>
                <w:szCs w:val="18"/>
              </w:rPr>
            </w:pPr>
            <w:r>
              <w:rPr>
                <w:rFonts w:ascii="宋体" w:hAnsi="宋体" w:cs="宋体" w:eastAsia="宋体" w:hint="default"/>
                <w:sz w:val="18"/>
                <w:szCs w:val="18"/>
              </w:rPr>
              <w:t>软件外包后方开 发基地项目</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4,387.30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4,387.30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3,132.61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4,569.13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181.83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104.14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6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13,359.30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13,359.30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10,550.34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14,284.61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925.31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106.93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4,174.25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1258"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03" w:right="131"/>
              <w:jc w:val="both"/>
              <w:rPr>
                <w:rFonts w:ascii="宋体" w:hAnsi="宋体" w:cs="宋体" w:eastAsia="宋体" w:hint="default"/>
                <w:sz w:val="18"/>
                <w:szCs w:val="18"/>
              </w:rPr>
            </w:pPr>
            <w:r>
              <w:rPr>
                <w:rFonts w:ascii="宋体" w:hAnsi="宋体" w:cs="宋体" w:eastAsia="宋体" w:hint="default"/>
                <w:sz w:val="18"/>
                <w:szCs w:val="18"/>
              </w:rPr>
              <w:t>未达到计划进度 或预计收益的情 况和原因</w:t>
            </w:r>
            <w:r>
              <w:rPr>
                <w:rFonts w:ascii="宋体" w:hAnsi="宋体" w:cs="宋体" w:eastAsia="宋体" w:hint="default"/>
                <w:spacing w:val="2"/>
                <w:sz w:val="18"/>
                <w:szCs w:val="18"/>
              </w:rPr>
              <w:t> </w:t>
            </w:r>
            <w:r>
              <w:rPr>
                <w:rFonts w:ascii="宋体" w:hAnsi="宋体" w:cs="宋体" w:eastAsia="宋体" w:hint="default"/>
                <w:sz w:val="18"/>
                <w:szCs w:val="18"/>
              </w:rPr>
              <w:t>（分</w:t>
            </w:r>
            <w:r>
              <w:rPr>
                <w:rFonts w:ascii="宋体" w:hAnsi="宋体" w:cs="宋体" w:eastAsia="宋体" w:hint="default"/>
                <w:sz w:val="18"/>
                <w:szCs w:val="18"/>
              </w:rPr>
              <w:t> 具体项目）</w:t>
            </w:r>
          </w:p>
        </w:tc>
        <w:tc>
          <w:tcPr>
            <w:tcW w:w="146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已达到计划进度，完成预计收益。</w:t>
            </w:r>
          </w:p>
        </w:tc>
      </w:tr>
      <w:tr>
        <w:trPr>
          <w:trHeight w:val="946"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4"/>
                <w:sz w:val="18"/>
                <w:szCs w:val="18"/>
              </w:rPr>
              <w:t>项目可行性发生 重大变化的情况 </w:t>
            </w:r>
            <w:r>
              <w:rPr>
                <w:rFonts w:ascii="宋体" w:hAnsi="宋体" w:cs="宋体" w:eastAsia="宋体" w:hint="default"/>
                <w:sz w:val="18"/>
                <w:szCs w:val="18"/>
              </w:rPr>
              <w:t>说明</w:t>
            </w:r>
          </w:p>
        </w:tc>
        <w:tc>
          <w:tcPr>
            <w:tcW w:w="146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57" w:footer="1186" w:top="1040" w:bottom="1380" w:left="120" w:right="320"/>
          <w:pgNumType w:start="51"/>
        </w:sectPr>
      </w:pPr>
    </w:p>
    <w:tbl>
      <w:tblPr>
        <w:tblW w:w="0" w:type="auto"/>
        <w:jc w:val="left"/>
        <w:tblInd w:w="103" w:type="dxa"/>
        <w:tblLayout w:type="fixed"/>
        <w:tblCellMar>
          <w:top w:w="0" w:type="dxa"/>
          <w:left w:w="0" w:type="dxa"/>
          <w:bottom w:w="0" w:type="dxa"/>
          <w:right w:w="0" w:type="dxa"/>
        </w:tblCellMar>
        <w:tblLook w:val="01E0"/>
      </w:tblPr>
      <w:tblGrid>
        <w:gridCol w:w="1507"/>
        <w:gridCol w:w="14654"/>
      </w:tblGrid>
      <w:tr>
        <w:trPr>
          <w:trHeight w:val="956" w:hRule="exact"/>
        </w:trPr>
        <w:tc>
          <w:tcPr>
            <w:tcW w:w="1507" w:type="dxa"/>
            <w:tcBorders>
              <w:top w:val="single" w:sz="6"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5"/>
              <w:ind w:left="103" w:right="98"/>
              <w:jc w:val="both"/>
              <w:rPr>
                <w:rFonts w:ascii="宋体" w:hAnsi="宋体" w:cs="宋体" w:eastAsia="宋体" w:hint="default"/>
                <w:sz w:val="18"/>
                <w:szCs w:val="18"/>
              </w:rPr>
            </w:pPr>
            <w:r>
              <w:rPr>
                <w:rFonts w:ascii="宋体" w:hAnsi="宋体" w:cs="宋体" w:eastAsia="宋体" w:hint="default"/>
                <w:spacing w:val="4"/>
                <w:sz w:val="18"/>
                <w:szCs w:val="18"/>
              </w:rPr>
              <w:t>募集资金投资项 目实施地点变更 </w:t>
            </w:r>
            <w:r>
              <w:rPr>
                <w:rFonts w:ascii="宋体" w:hAnsi="宋体" w:cs="宋体" w:eastAsia="宋体" w:hint="default"/>
                <w:sz w:val="18"/>
                <w:szCs w:val="18"/>
              </w:rPr>
              <w:t>情况</w:t>
            </w:r>
          </w:p>
        </w:tc>
        <w:tc>
          <w:tcPr>
            <w:tcW w:w="146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37"/>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募集资金投资项目实施地点变更情况：嵌入式软件研发中心项目和移动电话内容服务研发中心项目实施地点由原办公地点毗邻的上海市徐家汇商圈的数码科技大厦变更至本年新购置的 上海市宜山路</w:t>
            </w:r>
            <w:r>
              <w:rPr>
                <w:rFonts w:ascii="宋体" w:hAnsi="宋体" w:cs="宋体" w:eastAsia="宋体" w:hint="default"/>
                <w:spacing w:val="-46"/>
                <w:sz w:val="18"/>
                <w:szCs w:val="18"/>
              </w:rPr>
              <w:t> </w:t>
            </w:r>
            <w:r>
              <w:rPr>
                <w:rFonts w:ascii="宋体" w:hAnsi="宋体" w:cs="宋体" w:eastAsia="宋体" w:hint="default"/>
                <w:sz w:val="18"/>
                <w:szCs w:val="18"/>
              </w:rPr>
              <w:t>700</w:t>
            </w:r>
            <w:r>
              <w:rPr>
                <w:rFonts w:ascii="宋体" w:hAnsi="宋体" w:cs="宋体" w:eastAsia="宋体" w:hint="default"/>
                <w:spacing w:val="-46"/>
                <w:sz w:val="18"/>
                <w:szCs w:val="18"/>
              </w:rPr>
              <w:t> </w:t>
            </w:r>
            <w:r>
              <w:rPr>
                <w:rFonts w:ascii="宋体" w:hAnsi="宋体" w:cs="宋体" w:eastAsia="宋体" w:hint="default"/>
                <w:sz w:val="18"/>
                <w:szCs w:val="18"/>
              </w:rPr>
              <w:t>号普天信息产业园</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号楼，软件外包后方开发基地项目实施地点由原西安与南京变更为上海和南京。</w:t>
            </w:r>
          </w:p>
        </w:tc>
      </w:tr>
      <w:tr>
        <w:trPr>
          <w:trHeight w:val="946"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4"/>
                <w:sz w:val="18"/>
                <w:szCs w:val="18"/>
              </w:rPr>
              <w:t>募集资金投资项 目实施方式调整 </w:t>
            </w:r>
            <w:r>
              <w:rPr>
                <w:rFonts w:ascii="宋体" w:hAnsi="宋体" w:cs="宋体" w:eastAsia="宋体" w:hint="default"/>
                <w:sz w:val="18"/>
                <w:szCs w:val="18"/>
              </w:rPr>
              <w:t>情况</w:t>
            </w:r>
          </w:p>
        </w:tc>
        <w:tc>
          <w:tcPr>
            <w:tcW w:w="1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无调整情况。</w:t>
            </w:r>
          </w:p>
        </w:tc>
      </w:tr>
      <w:tr>
        <w:trPr>
          <w:trHeight w:val="946"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03" w:right="98"/>
              <w:jc w:val="both"/>
              <w:rPr>
                <w:rFonts w:ascii="宋体" w:hAnsi="宋体" w:cs="宋体" w:eastAsia="宋体" w:hint="default"/>
                <w:sz w:val="18"/>
                <w:szCs w:val="18"/>
              </w:rPr>
            </w:pPr>
            <w:r>
              <w:rPr>
                <w:rFonts w:ascii="宋体" w:hAnsi="宋体" w:cs="宋体" w:eastAsia="宋体" w:hint="default"/>
                <w:spacing w:val="4"/>
                <w:sz w:val="18"/>
                <w:szCs w:val="18"/>
              </w:rPr>
              <w:t>募集资金投资项 目先期投入及置 </w:t>
            </w:r>
            <w:r>
              <w:rPr>
                <w:rFonts w:ascii="宋体" w:hAnsi="宋体" w:cs="宋体" w:eastAsia="宋体" w:hint="default"/>
                <w:sz w:val="18"/>
                <w:szCs w:val="18"/>
              </w:rPr>
              <w:t>换情况</w:t>
            </w:r>
          </w:p>
        </w:tc>
        <w:tc>
          <w:tcPr>
            <w:tcW w:w="1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年度以自有资金垫支</w:t>
            </w:r>
            <w:r>
              <w:rPr>
                <w:rFonts w:ascii="宋体" w:hAnsi="宋体" w:cs="宋体" w:eastAsia="宋体" w:hint="default"/>
                <w:spacing w:val="-50"/>
                <w:sz w:val="18"/>
                <w:szCs w:val="18"/>
              </w:rPr>
              <w:t> </w:t>
            </w:r>
            <w:r>
              <w:rPr>
                <w:rFonts w:ascii="宋体" w:hAnsi="宋体" w:cs="宋体" w:eastAsia="宋体" w:hint="default"/>
                <w:sz w:val="18"/>
                <w:szCs w:val="18"/>
              </w:rPr>
              <w:t>441.41</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年已置换；</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年度没有发生先期投入及置换的情况；</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年度没有发生先期投入及置换的情况。</w:t>
            </w:r>
          </w:p>
        </w:tc>
      </w:tr>
      <w:tr>
        <w:trPr>
          <w:trHeight w:val="946"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4"/>
                <w:sz w:val="18"/>
                <w:szCs w:val="18"/>
              </w:rPr>
              <w:t>用闲置募集资金 暂时补充流动资 </w:t>
            </w:r>
            <w:r>
              <w:rPr>
                <w:rFonts w:ascii="宋体" w:hAnsi="宋体" w:cs="宋体" w:eastAsia="宋体" w:hint="default"/>
                <w:sz w:val="18"/>
                <w:szCs w:val="18"/>
              </w:rPr>
              <w:t>金情况</w:t>
            </w:r>
          </w:p>
        </w:tc>
        <w:tc>
          <w:tcPr>
            <w:tcW w:w="1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无此情况。</w:t>
            </w:r>
          </w:p>
        </w:tc>
      </w:tr>
      <w:tr>
        <w:trPr>
          <w:trHeight w:val="946"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4"/>
                <w:sz w:val="18"/>
                <w:szCs w:val="18"/>
              </w:rPr>
              <w:t>项目实施出现募 集资金结余的金 </w:t>
            </w:r>
            <w:r>
              <w:rPr>
                <w:rFonts w:ascii="宋体" w:hAnsi="宋体" w:cs="宋体" w:eastAsia="宋体" w:hint="default"/>
                <w:sz w:val="18"/>
                <w:szCs w:val="18"/>
              </w:rPr>
              <w:t>额及原因</w:t>
            </w:r>
          </w:p>
        </w:tc>
        <w:tc>
          <w:tcPr>
            <w:tcW w:w="1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无此情况。</w:t>
            </w:r>
          </w:p>
        </w:tc>
      </w:tr>
      <w:tr>
        <w:trPr>
          <w:trHeight w:val="730"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6"/>
              <w:ind w:left="103" w:right="98"/>
              <w:jc w:val="left"/>
              <w:rPr>
                <w:rFonts w:ascii="宋体" w:hAnsi="宋体" w:cs="宋体" w:eastAsia="宋体" w:hint="default"/>
                <w:sz w:val="18"/>
                <w:szCs w:val="18"/>
              </w:rPr>
            </w:pPr>
            <w:r>
              <w:rPr>
                <w:rFonts w:ascii="宋体" w:hAnsi="宋体" w:cs="宋体" w:eastAsia="宋体" w:hint="default"/>
                <w:spacing w:val="4"/>
                <w:sz w:val="18"/>
                <w:szCs w:val="18"/>
              </w:rPr>
              <w:t>尚未使用的募集 </w:t>
            </w:r>
            <w:r>
              <w:rPr>
                <w:rFonts w:ascii="宋体" w:hAnsi="宋体" w:cs="宋体" w:eastAsia="宋体" w:hint="default"/>
                <w:sz w:val="18"/>
                <w:szCs w:val="18"/>
              </w:rPr>
              <w:t>资金用途及去向</w:t>
            </w:r>
          </w:p>
        </w:tc>
        <w:tc>
          <w:tcPr>
            <w:tcW w:w="1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募集资金已使用完毕并已注销募集资金账户。</w:t>
            </w:r>
          </w:p>
        </w:tc>
      </w:tr>
      <w:tr>
        <w:trPr>
          <w:trHeight w:val="948" w:hRule="exact"/>
        </w:trPr>
        <w:tc>
          <w:tcPr>
            <w:tcW w:w="15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03" w:right="98"/>
              <w:jc w:val="both"/>
              <w:rPr>
                <w:rFonts w:ascii="宋体" w:hAnsi="宋体" w:cs="宋体" w:eastAsia="宋体" w:hint="default"/>
                <w:sz w:val="18"/>
                <w:szCs w:val="18"/>
              </w:rPr>
            </w:pPr>
            <w:r>
              <w:rPr>
                <w:rFonts w:ascii="宋体" w:hAnsi="宋体" w:cs="宋体" w:eastAsia="宋体" w:hint="default"/>
                <w:spacing w:val="4"/>
                <w:sz w:val="18"/>
                <w:szCs w:val="18"/>
              </w:rPr>
              <w:t>募集资金使用及 披露中存在的问 </w:t>
            </w:r>
            <w:r>
              <w:rPr>
                <w:rFonts w:ascii="宋体" w:hAnsi="宋体" w:cs="宋体" w:eastAsia="宋体" w:hint="default"/>
                <w:sz w:val="18"/>
                <w:szCs w:val="18"/>
              </w:rPr>
              <w:t>题或其他情况</w:t>
            </w:r>
          </w:p>
        </w:tc>
        <w:tc>
          <w:tcPr>
            <w:tcW w:w="1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spacing w:after="0" w:line="240" w:lineRule="auto"/>
        <w:jc w:val="left"/>
        <w:rPr>
          <w:rFonts w:ascii="宋体" w:hAnsi="宋体" w:cs="宋体" w:eastAsia="宋体" w:hint="default"/>
          <w:sz w:val="18"/>
          <w:szCs w:val="18"/>
        </w:rPr>
        <w:sectPr>
          <w:pgSz w:w="16840" w:h="11910" w:orient="landscape"/>
          <w:pgMar w:header="857" w:footer="1186" w:top="1100" w:bottom="1380" w:left="120" w:right="320"/>
        </w:sectPr>
      </w:pPr>
    </w:p>
    <w:p>
      <w:pPr>
        <w:spacing w:line="240" w:lineRule="auto" w:before="7"/>
        <w:rPr>
          <w:rFonts w:ascii="宋体" w:hAnsi="宋体" w:cs="宋体" w:eastAsia="宋体" w:hint="default"/>
          <w:sz w:val="25"/>
          <w:szCs w:val="25"/>
        </w:rPr>
      </w:pPr>
    </w:p>
    <w:p>
      <w:pPr>
        <w:pStyle w:val="BodyText"/>
        <w:spacing w:line="240" w:lineRule="auto" w:before="26"/>
        <w:ind w:left="197" w:right="2480"/>
        <w:jc w:val="left"/>
      </w:pPr>
      <w:r>
        <w:rPr>
          <w:rFonts w:ascii="宋体" w:hAnsi="宋体" w:cs="宋体" w:eastAsia="宋体" w:hint="default"/>
        </w:rPr>
        <w:t>4</w:t>
      </w:r>
      <w:r>
        <w:rPr/>
        <w:t>、变更募集资金投资项目的资金使用情况</w:t>
      </w:r>
    </w:p>
    <w:p>
      <w:pPr>
        <w:pStyle w:val="BodyText"/>
        <w:spacing w:line="240" w:lineRule="auto" w:before="154"/>
        <w:ind w:left="662" w:right="2480"/>
        <w:jc w:val="left"/>
      </w:pPr>
      <w:r>
        <w:rPr>
          <w:rFonts w:ascii="宋体" w:hAnsi="宋体" w:cs="宋体" w:eastAsia="宋体" w:hint="default"/>
        </w:rPr>
        <w:t>2011</w:t>
      </w:r>
      <w:r>
        <w:rPr>
          <w:rFonts w:ascii="宋体" w:hAnsi="宋体" w:cs="宋体" w:eastAsia="宋体" w:hint="default"/>
          <w:spacing w:val="-61"/>
        </w:rPr>
        <w:t> </w:t>
      </w:r>
      <w:r>
        <w:rPr/>
        <w:t>年度本公司没有发生变更募集资金投资项目的情况。</w:t>
      </w:r>
    </w:p>
    <w:p>
      <w:pPr>
        <w:pStyle w:val="BodyText"/>
        <w:spacing w:line="240" w:lineRule="auto" w:before="154"/>
        <w:ind w:left="197" w:right="2480"/>
        <w:jc w:val="left"/>
      </w:pPr>
      <w:r>
        <w:rPr>
          <w:rFonts w:ascii="宋体" w:hAnsi="宋体" w:cs="宋体" w:eastAsia="宋体" w:hint="default"/>
        </w:rPr>
        <w:t>5</w:t>
      </w:r>
      <w:r>
        <w:rPr/>
        <w:t>、募集资金使用及披露中存在的问题</w:t>
      </w:r>
    </w:p>
    <w:p>
      <w:pPr>
        <w:pStyle w:val="BodyText"/>
        <w:spacing w:line="240" w:lineRule="auto" w:before="154"/>
        <w:ind w:left="629" w:right="2480"/>
        <w:jc w:val="left"/>
      </w:pPr>
      <w:r>
        <w:rPr>
          <w:rFonts w:ascii="宋体" w:hAnsi="宋体" w:cs="宋体" w:eastAsia="宋体" w:hint="default"/>
        </w:rPr>
        <w:t>2011</w:t>
      </w:r>
      <w:r>
        <w:rPr>
          <w:rFonts w:ascii="宋体" w:hAnsi="宋体" w:cs="宋体" w:eastAsia="宋体" w:hint="default"/>
          <w:spacing w:val="-61"/>
        </w:rPr>
        <w:t> </w:t>
      </w:r>
      <w:r>
        <w:rPr/>
        <w:t>年度本公司没有发生募集资金使用及披露中的问题。</w:t>
      </w:r>
    </w:p>
    <w:p>
      <w:pPr>
        <w:pStyle w:val="Heading3"/>
        <w:spacing w:line="357" w:lineRule="auto" w:before="154"/>
        <w:ind w:left="197" w:right="5354"/>
        <w:jc w:val="left"/>
        <w:rPr>
          <w:b w:val="0"/>
          <w:bCs w:val="0"/>
        </w:rPr>
      </w:pPr>
      <w:r>
        <w:rPr/>
        <w:t>（四）报告期内非募集资金投资情况</w:t>
      </w:r>
      <w:r>
        <w:rPr>
          <w:w w:val="99"/>
        </w:rPr>
        <w:t> </w:t>
      </w:r>
      <w:r>
        <w:rPr>
          <w:rFonts w:ascii="宋体" w:hAnsi="宋体" w:cs="宋体" w:eastAsia="宋体" w:hint="default"/>
        </w:rPr>
        <w:t>1</w:t>
      </w:r>
      <w:r>
        <w:rPr/>
        <w:t>．对外投资：</w:t>
      </w:r>
      <w:r>
        <w:rPr>
          <w:b w:val="0"/>
          <w:bCs w:val="0"/>
        </w:rPr>
      </w:r>
    </w:p>
    <w:tbl>
      <w:tblPr>
        <w:tblW w:w="0" w:type="auto"/>
        <w:jc w:val="left"/>
        <w:tblInd w:w="247" w:type="dxa"/>
        <w:tblLayout w:type="fixed"/>
        <w:tblCellMar>
          <w:top w:w="0" w:type="dxa"/>
          <w:left w:w="0" w:type="dxa"/>
          <w:bottom w:w="0" w:type="dxa"/>
          <w:right w:w="0" w:type="dxa"/>
        </w:tblCellMar>
        <w:tblLook w:val="01E0"/>
      </w:tblPr>
      <w:tblGrid>
        <w:gridCol w:w="2497"/>
        <w:gridCol w:w="1135"/>
        <w:gridCol w:w="3875"/>
        <w:gridCol w:w="1428"/>
      </w:tblGrid>
      <w:tr>
        <w:trPr>
          <w:trHeight w:val="322"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38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63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参与出资设立上海艾云慧</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信创业投资有限公司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center"/>
              <w:rPr>
                <w:rFonts w:ascii="宋体" w:hAnsi="宋体" w:cs="宋体" w:eastAsia="宋体" w:hint="default"/>
                <w:sz w:val="21"/>
                <w:szCs w:val="21"/>
              </w:rPr>
            </w:pPr>
            <w:r>
              <w:rPr>
                <w:rFonts w:ascii="宋体" w:hAnsi="宋体" w:cs="宋体" w:eastAsia="宋体" w:hint="default"/>
                <w:spacing w:val="-6"/>
                <w:sz w:val="21"/>
                <w:szCs w:val="21"/>
              </w:rPr>
              <w:t>已完成工商登记、取得企业法人营业执照</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目前各项工作正在有序有效的展开中</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right="0"/>
              <w:jc w:val="center"/>
              <w:rPr>
                <w:rFonts w:ascii="宋体" w:hAnsi="宋体" w:cs="宋体" w:eastAsia="宋体" w:hint="default"/>
                <w:sz w:val="21"/>
                <w:szCs w:val="21"/>
              </w:rPr>
            </w:pPr>
            <w:r>
              <w:rPr>
                <w:rFonts w:ascii="宋体"/>
                <w:w w:val="100"/>
                <w:sz w:val="21"/>
              </w:rPr>
              <w:t>0</w:t>
            </w:r>
          </w:p>
        </w:tc>
      </w:tr>
      <w:tr>
        <w:trPr>
          <w:trHeight w:val="324" w:hRule="exact"/>
        </w:trPr>
        <w:tc>
          <w:tcPr>
            <w:tcW w:w="24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91"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w w:val="100"/>
                <w:sz w:val="21"/>
              </w:rPr>
              <w:t>0</w:t>
            </w:r>
          </w:p>
        </w:tc>
      </w:tr>
    </w:tbl>
    <w:p>
      <w:pPr>
        <w:pStyle w:val="Heading3"/>
        <w:spacing w:line="240" w:lineRule="auto" w:before="37"/>
        <w:ind w:left="197" w:right="2480"/>
        <w:jc w:val="left"/>
        <w:rPr>
          <w:b w:val="0"/>
          <w:bCs w:val="0"/>
        </w:rPr>
      </w:pPr>
      <w:r>
        <w:rPr>
          <w:rFonts w:ascii="宋体" w:hAnsi="宋体" w:cs="宋体" w:eastAsia="宋体" w:hint="default"/>
        </w:rPr>
        <w:t>2</w:t>
      </w:r>
      <w:r>
        <w:rPr/>
        <w:t>．购置房产：</w:t>
      </w:r>
      <w:r>
        <w:rPr>
          <w:b w:val="0"/>
          <w:bCs w:val="0"/>
        </w:rPr>
      </w:r>
    </w:p>
    <w:p>
      <w:pPr>
        <w:pStyle w:val="BodyText"/>
        <w:spacing w:line="357" w:lineRule="auto" w:before="154"/>
        <w:ind w:left="197" w:right="155" w:firstLine="420"/>
        <w:jc w:val="both"/>
      </w:pP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7"/>
        </w:rPr>
        <w:t> </w:t>
      </w:r>
      <w:r>
        <w:rPr/>
        <w:t>月</w:t>
      </w:r>
      <w:r>
        <w:rPr>
          <w:spacing w:val="-47"/>
        </w:rPr>
        <w:t> </w:t>
      </w:r>
      <w:r>
        <w:rPr>
          <w:rFonts w:ascii="宋体" w:hAnsi="宋体" w:cs="宋体" w:eastAsia="宋体" w:hint="default"/>
        </w:rPr>
        <w:t>11</w:t>
      </w:r>
      <w:r>
        <w:rPr>
          <w:rFonts w:ascii="宋体" w:hAnsi="宋体" w:cs="宋体" w:eastAsia="宋体" w:hint="default"/>
          <w:spacing w:val="-47"/>
        </w:rPr>
        <w:t> </w:t>
      </w:r>
      <w:r>
        <w:rPr/>
        <w:t>日，公司第四届董事会第六次会议审议通过了《关于授权总经理办 理购置普天信息产业园</w:t>
      </w:r>
      <w:r>
        <w:rPr>
          <w:spacing w:val="-56"/>
        </w:rPr>
        <w:t> </w:t>
      </w:r>
      <w:r>
        <w:rPr>
          <w:rFonts w:ascii="宋体" w:hAnsi="宋体" w:cs="宋体" w:eastAsia="宋体" w:hint="default"/>
        </w:rPr>
        <w:t>2</w:t>
      </w:r>
      <w:r>
        <w:rPr>
          <w:rFonts w:ascii="宋体" w:hAnsi="宋体" w:cs="宋体" w:eastAsia="宋体" w:hint="default"/>
          <w:spacing w:val="-56"/>
        </w:rPr>
        <w:t> </w:t>
      </w:r>
      <w:r>
        <w:rPr/>
        <w:t>号楼第</w:t>
      </w:r>
      <w:r>
        <w:rPr>
          <w:spacing w:val="-56"/>
        </w:rPr>
        <w:t> </w:t>
      </w:r>
      <w:r>
        <w:rPr>
          <w:rFonts w:ascii="宋体" w:hAnsi="宋体" w:cs="宋体" w:eastAsia="宋体" w:hint="default"/>
          <w:spacing w:val="-4"/>
        </w:rPr>
        <w:t>12</w:t>
      </w:r>
      <w:r>
        <w:rPr>
          <w:spacing w:val="-4"/>
        </w:rPr>
        <w:t>、</w:t>
      </w:r>
      <w:r>
        <w:rPr>
          <w:rFonts w:ascii="宋体" w:hAnsi="宋体" w:cs="宋体" w:eastAsia="宋体" w:hint="default"/>
          <w:spacing w:val="-4"/>
        </w:rPr>
        <w:t>13</w:t>
      </w:r>
      <w:r>
        <w:rPr>
          <w:rFonts w:ascii="宋体" w:hAnsi="宋体" w:cs="宋体" w:eastAsia="宋体" w:hint="default"/>
          <w:spacing w:val="-56"/>
        </w:rPr>
        <w:t> </w:t>
      </w:r>
      <w:r>
        <w:rPr>
          <w:spacing w:val="-8"/>
        </w:rPr>
        <w:t>层房产的议案》，相应购房款已支付完毕。截止</w:t>
      </w:r>
      <w:r>
        <w:rPr/>
        <w:t> </w:t>
      </w:r>
      <w:r>
        <w:rPr>
          <w:spacing w:val="-4"/>
        </w:rPr>
        <w:t>报告期末，公司已取得上海市宜山路</w:t>
      </w:r>
      <w:r>
        <w:rPr>
          <w:spacing w:val="-57"/>
        </w:rPr>
        <w:t> </w:t>
      </w:r>
      <w:r>
        <w:rPr>
          <w:rFonts w:ascii="宋体" w:hAnsi="宋体" w:cs="宋体" w:eastAsia="宋体" w:hint="default"/>
        </w:rPr>
        <w:t>700</w:t>
      </w:r>
      <w:r>
        <w:rPr>
          <w:rFonts w:ascii="宋体" w:hAnsi="宋体" w:cs="宋体" w:eastAsia="宋体" w:hint="default"/>
          <w:spacing w:val="-57"/>
        </w:rPr>
        <w:t> </w:t>
      </w:r>
      <w:r>
        <w:rPr/>
        <w:t>号普天信息产业园</w:t>
      </w:r>
      <w:r>
        <w:rPr>
          <w:spacing w:val="6"/>
        </w:rPr>
        <w:t> </w:t>
      </w:r>
      <w:r>
        <w:rPr>
          <w:rFonts w:ascii="宋体" w:hAnsi="宋体" w:cs="宋体" w:eastAsia="宋体" w:hint="default"/>
        </w:rPr>
        <w:t>2</w:t>
      </w:r>
      <w:r>
        <w:rPr>
          <w:rFonts w:ascii="宋体" w:hAnsi="宋体" w:cs="宋体" w:eastAsia="宋体" w:hint="default"/>
          <w:spacing w:val="-57"/>
        </w:rPr>
        <w:t> </w:t>
      </w:r>
      <w:r>
        <w:rPr>
          <w:spacing w:val="-6"/>
        </w:rPr>
        <w:t>号楼（房屋产权证所显示</w:t>
      </w:r>
      <w:r>
        <w:rPr/>
        <w:t> 地址：上海市宜山路</w:t>
      </w:r>
      <w:r>
        <w:rPr>
          <w:spacing w:val="-61"/>
        </w:rPr>
        <w:t> </w:t>
      </w:r>
      <w:r>
        <w:rPr>
          <w:rFonts w:ascii="宋体" w:hAnsi="宋体" w:cs="宋体" w:eastAsia="宋体" w:hint="default"/>
        </w:rPr>
        <w:t>700</w:t>
      </w:r>
      <w:r>
        <w:rPr>
          <w:rFonts w:ascii="宋体" w:hAnsi="宋体" w:cs="宋体" w:eastAsia="宋体" w:hint="default"/>
          <w:spacing w:val="-60"/>
        </w:rPr>
        <w:t> </w:t>
      </w:r>
      <w:r>
        <w:rPr/>
        <w:t>号</w:t>
      </w:r>
      <w:r>
        <w:rPr>
          <w:spacing w:val="-60"/>
        </w:rPr>
        <w:t> </w:t>
      </w:r>
      <w:r>
        <w:rPr>
          <w:rFonts w:ascii="宋体" w:hAnsi="宋体" w:cs="宋体" w:eastAsia="宋体" w:hint="default"/>
        </w:rPr>
        <w:t>85</w:t>
      </w:r>
      <w:r>
        <w:rPr>
          <w:rFonts w:ascii="宋体" w:hAnsi="宋体" w:cs="宋体" w:eastAsia="宋体" w:hint="default"/>
          <w:spacing w:val="-60"/>
        </w:rPr>
        <w:t> </w:t>
      </w:r>
      <w:r>
        <w:rPr/>
        <w:t>幢）第</w:t>
      </w:r>
      <w:r>
        <w:rPr>
          <w:spacing w:val="-60"/>
        </w:rPr>
        <w:t> </w:t>
      </w:r>
      <w:r>
        <w:rPr>
          <w:rFonts w:ascii="宋体" w:hAnsi="宋体" w:cs="宋体" w:eastAsia="宋体" w:hint="default"/>
        </w:rPr>
        <w:t>12</w:t>
      </w:r>
      <w:r>
        <w:rPr/>
        <w:t>、</w:t>
      </w:r>
      <w:r>
        <w:rPr>
          <w:rFonts w:ascii="宋体" w:hAnsi="宋体" w:cs="宋体" w:eastAsia="宋体" w:hint="default"/>
        </w:rPr>
        <w:t>13</w:t>
      </w:r>
      <w:r>
        <w:rPr>
          <w:rFonts w:ascii="宋体" w:hAnsi="宋体" w:cs="宋体" w:eastAsia="宋体" w:hint="default"/>
          <w:spacing w:val="-60"/>
        </w:rPr>
        <w:t> </w:t>
      </w:r>
      <w:r>
        <w:rPr/>
        <w:t>层房屋产权证。</w:t>
      </w:r>
    </w:p>
    <w:p>
      <w:pPr>
        <w:spacing w:line="240" w:lineRule="auto" w:before="0"/>
        <w:rPr>
          <w:rFonts w:ascii="宋体" w:hAnsi="宋体" w:cs="宋体" w:eastAsia="宋体" w:hint="default"/>
          <w:sz w:val="24"/>
          <w:szCs w:val="24"/>
        </w:rPr>
      </w:pPr>
    </w:p>
    <w:p>
      <w:pPr>
        <w:pStyle w:val="Heading3"/>
        <w:spacing w:line="240" w:lineRule="auto" w:before="190"/>
        <w:ind w:left="197" w:right="2480"/>
        <w:jc w:val="left"/>
        <w:rPr>
          <w:b w:val="0"/>
          <w:bCs w:val="0"/>
        </w:rPr>
      </w:pPr>
      <w:r>
        <w:rPr/>
        <w:t>三、公司未来发展的展望</w:t>
      </w:r>
      <w:r>
        <w:rPr>
          <w:b w:val="0"/>
          <w:bCs w:val="0"/>
        </w:rPr>
      </w:r>
    </w:p>
    <w:p>
      <w:pPr>
        <w:spacing w:line="357" w:lineRule="auto" w:before="154"/>
        <w:ind w:left="624" w:right="154" w:hanging="428"/>
        <w:jc w:val="left"/>
        <w:rPr>
          <w:rFonts w:ascii="宋体" w:hAnsi="宋体" w:cs="宋体" w:eastAsia="宋体" w:hint="default"/>
          <w:sz w:val="24"/>
          <w:szCs w:val="24"/>
        </w:rPr>
      </w:pPr>
      <w:r>
        <w:rPr>
          <w:rFonts w:ascii="宋体" w:hAnsi="宋体" w:cs="宋体" w:eastAsia="宋体" w:hint="default"/>
          <w:b/>
          <w:bCs/>
          <w:sz w:val="24"/>
          <w:szCs w:val="24"/>
        </w:rPr>
        <w:t>（一）宏观环境及行业发展趋势</w:t>
      </w:r>
      <w:r>
        <w:rPr>
          <w:rFonts w:ascii="宋体" w:hAnsi="宋体" w:cs="宋体" w:eastAsia="宋体" w:hint="default"/>
          <w:b/>
          <w:bCs/>
          <w:w w:val="99"/>
          <w:sz w:val="24"/>
          <w:szCs w:val="24"/>
        </w:rPr>
        <w:t> </w:t>
      </w:r>
      <w:r>
        <w:rPr>
          <w:rFonts w:ascii="宋体" w:hAnsi="宋体" w:cs="宋体" w:eastAsia="宋体" w:hint="default"/>
          <w:spacing w:val="3"/>
          <w:sz w:val="24"/>
          <w:szCs w:val="24"/>
        </w:rPr>
        <w:t>尽管新的一年世界经济形势还存在着很多不确定因素</w:t>
      </w:r>
      <w:r>
        <w:rPr>
          <w:rFonts w:ascii="宋体" w:hAnsi="宋体" w:cs="宋体" w:eastAsia="宋体" w:hint="default"/>
          <w:spacing w:val="3"/>
          <w:sz w:val="24"/>
          <w:szCs w:val="24"/>
        </w:rPr>
        <w:t>,</w:t>
      </w:r>
      <w:r>
        <w:rPr>
          <w:rFonts w:ascii="宋体" w:hAnsi="宋体" w:cs="宋体" w:eastAsia="宋体" w:hint="default"/>
          <w:spacing w:val="3"/>
          <w:sz w:val="24"/>
          <w:szCs w:val="24"/>
        </w:rPr>
        <w:t>但信息化与经济全球化相互</w:t>
      </w:r>
    </w:p>
    <w:p>
      <w:pPr>
        <w:pStyle w:val="BodyText"/>
        <w:spacing w:line="357" w:lineRule="auto"/>
        <w:ind w:left="197" w:right="97"/>
        <w:jc w:val="left"/>
      </w:pPr>
      <w:r>
        <w:rPr>
          <w:spacing w:val="-2"/>
        </w:rPr>
        <w:t>交织、推动着全球产业分工深化和经济结构调整，重塑全球经济竞争格局已呈现着不可</w:t>
      </w:r>
      <w:r>
        <w:rPr>
          <w:spacing w:val="-92"/>
        </w:rPr>
        <w:t> </w:t>
      </w:r>
      <w:r>
        <w:rPr>
          <w:spacing w:val="-92"/>
        </w:rPr>
      </w:r>
      <w:r>
        <w:rPr/>
        <w:t>避免的趋势。</w:t>
      </w:r>
    </w:p>
    <w:p>
      <w:pPr>
        <w:pStyle w:val="BodyText"/>
        <w:spacing w:line="357" w:lineRule="auto"/>
        <w:ind w:left="197" w:right="153" w:firstLine="427"/>
        <w:jc w:val="both"/>
      </w:pPr>
      <w:r>
        <w:rPr/>
        <w:t>纵观全球，软件外包行业市场潜力巨大，随着主要发达国家的本国适龄劳动力数量 </w:t>
      </w:r>
      <w:r>
        <w:rPr>
          <w:spacing w:val="-2"/>
        </w:rPr>
        <w:t>持续下滑和人力成本上升，各行业面临的竞争和利润压力与日俱增，离岸外包服务已成</w:t>
      </w:r>
      <w:r>
        <w:rPr>
          <w:spacing w:val="-92"/>
        </w:rPr>
        <w:t> </w:t>
      </w:r>
      <w:r>
        <w:rPr>
          <w:spacing w:val="-92"/>
        </w:rPr>
      </w:r>
      <w:r>
        <w:rPr>
          <w:spacing w:val="-2"/>
        </w:rPr>
        <w:t>为跨国企业全球布局、应对竞争并提升国际竞争力的重要手段。离岸服务外包可利用发</w:t>
      </w:r>
      <w:r>
        <w:rPr>
          <w:spacing w:val="-92"/>
        </w:rPr>
        <w:t> </w:t>
      </w:r>
      <w:r>
        <w:rPr>
          <w:spacing w:val="-92"/>
        </w:rPr>
      </w:r>
      <w:r>
        <w:rPr>
          <w:spacing w:val="-2"/>
        </w:rPr>
        <w:t>展中国家高素质低成本的人力资源，来大大降低成本，且可以借助多个时区的外包提供</w:t>
      </w:r>
      <w:r>
        <w:rPr>
          <w:spacing w:val="-92"/>
        </w:rPr>
        <w:t> </w:t>
      </w:r>
      <w:r>
        <w:rPr>
          <w:spacing w:val="-92"/>
        </w:rPr>
      </w:r>
      <w:r>
        <w:rPr/>
        <w:t>商延长服务时间满足全球各地客户的要求。</w:t>
      </w:r>
    </w:p>
    <w:p>
      <w:pPr>
        <w:pStyle w:val="BodyText"/>
        <w:spacing w:line="357" w:lineRule="auto" w:before="37"/>
        <w:ind w:left="197" w:right="154" w:firstLine="427"/>
        <w:jc w:val="both"/>
      </w:pPr>
      <w:r>
        <w:rPr/>
        <w:t>中国不仅拥有大量高性价比理工科</w:t>
      </w:r>
      <w:r>
        <w:rPr>
          <w:spacing w:val="-59"/>
        </w:rPr>
        <w:t> </w:t>
      </w:r>
      <w:r>
        <w:rPr>
          <w:rFonts w:ascii="宋体" w:hAnsi="宋体" w:cs="宋体" w:eastAsia="宋体" w:hint="default"/>
        </w:rPr>
        <w:t>IT</w:t>
      </w:r>
      <w:r>
        <w:rPr>
          <w:rFonts w:ascii="宋体" w:hAnsi="宋体" w:cs="宋体" w:eastAsia="宋体" w:hint="default"/>
          <w:spacing w:val="-59"/>
        </w:rPr>
        <w:t> </w:t>
      </w:r>
      <w:r>
        <w:rPr>
          <w:spacing w:val="-6"/>
        </w:rPr>
        <w:t>专门人才，而且软件外包具有成熟度较高、交</w:t>
      </w:r>
      <w:r>
        <w:rPr/>
        <w:t> </w:t>
      </w:r>
      <w:r>
        <w:rPr>
          <w:spacing w:val="-2"/>
        </w:rPr>
        <w:t>付能力强等优势，未来将会有更加宽阔的市场机遇。因此公司所处的面向发达国家的软</w:t>
      </w:r>
      <w:r>
        <w:rPr>
          <w:spacing w:val="-92"/>
        </w:rPr>
        <w:t> </w:t>
      </w:r>
      <w:r>
        <w:rPr>
          <w:spacing w:val="-92"/>
        </w:rPr>
      </w:r>
      <w:r>
        <w:rPr/>
        <w:t>件外包行业有着长期看好的发展前景。</w:t>
      </w:r>
    </w:p>
    <w:p>
      <w:pPr>
        <w:pStyle w:val="BodyText"/>
        <w:spacing w:line="357" w:lineRule="auto"/>
        <w:ind w:left="197" w:right="153" w:firstLine="427"/>
        <w:jc w:val="both"/>
      </w:pPr>
      <w:r>
        <w:rPr/>
        <w:t>由于全球产业转移仍在继续，未来国际软件外包业务向中国转移的态势将进一步加 </w:t>
      </w:r>
      <w:r>
        <w:rPr>
          <w:spacing w:val="-2"/>
        </w:rPr>
        <w:t>快。随着我国软件外包行业的高速发展，政府对行业的高度重视，国务院及有关部门先</w:t>
      </w:r>
    </w:p>
    <w:p>
      <w:pPr>
        <w:spacing w:after="0" w:line="357" w:lineRule="auto"/>
        <w:jc w:val="both"/>
        <w:sectPr>
          <w:headerReference w:type="default" r:id="rId17"/>
          <w:footerReference w:type="default" r:id="rId18"/>
          <w:pgSz w:w="11910" w:h="16840"/>
          <w:pgMar w:header="876" w:footer="1186" w:top="1100" w:bottom="1380" w:left="1260" w:right="1220"/>
          <w:pgNumType w:start="53"/>
        </w:sectPr>
      </w:pPr>
    </w:p>
    <w:p>
      <w:pPr>
        <w:spacing w:line="240" w:lineRule="auto" w:before="7"/>
        <w:rPr>
          <w:rFonts w:ascii="宋体" w:hAnsi="宋体" w:cs="宋体" w:eastAsia="宋体" w:hint="default"/>
          <w:sz w:val="25"/>
          <w:szCs w:val="25"/>
        </w:rPr>
      </w:pPr>
    </w:p>
    <w:p>
      <w:pPr>
        <w:pStyle w:val="BodyText"/>
        <w:spacing w:line="357" w:lineRule="auto" w:before="26"/>
        <w:ind w:left="197" w:right="116"/>
        <w:jc w:val="both"/>
      </w:pPr>
      <w:r>
        <w:rPr/>
        <w:t>后颁布了一系列优惠政策，为公司大力发展 </w:t>
      </w:r>
      <w:r>
        <w:rPr>
          <w:rFonts w:ascii="宋体" w:hAnsi="宋体" w:cs="宋体" w:eastAsia="宋体" w:hint="default"/>
        </w:rPr>
        <w:t>IT</w:t>
      </w:r>
      <w:r>
        <w:rPr>
          <w:rFonts w:ascii="宋体" w:hAnsi="宋体" w:cs="宋体" w:eastAsia="宋体" w:hint="default"/>
          <w:spacing w:val="-48"/>
        </w:rPr>
        <w:t> </w:t>
      </w:r>
      <w:r>
        <w:rPr/>
        <w:t>服务业建立了优良的政策环境。公司在 加大力度巩固扩大日本市场的基础上，进一步拓展欧美等海外市场，并积极布局国内市 场，以实现业务领域、业务模式的多样化，争取将公司打造成为国际综合</w:t>
      </w:r>
      <w:r>
        <w:rPr>
          <w:spacing w:val="-85"/>
        </w:rPr>
        <w:t> </w:t>
      </w:r>
      <w:r>
        <w:rPr>
          <w:rFonts w:ascii="宋体" w:hAnsi="宋体" w:cs="宋体" w:eastAsia="宋体" w:hint="default"/>
        </w:rPr>
        <w:t>IT</w:t>
      </w:r>
      <w:r>
        <w:rPr>
          <w:rFonts w:ascii="宋体" w:hAnsi="宋体" w:cs="宋体" w:eastAsia="宋体" w:hint="default"/>
          <w:spacing w:val="-86"/>
        </w:rPr>
        <w:t> </w:t>
      </w:r>
      <w:r>
        <w:rPr/>
        <w:t>服务企业。</w:t>
      </w:r>
    </w:p>
    <w:p>
      <w:pPr>
        <w:spacing w:line="357" w:lineRule="auto" w:before="36"/>
        <w:ind w:left="624" w:right="222" w:hanging="428"/>
        <w:jc w:val="left"/>
        <w:rPr>
          <w:rFonts w:ascii="宋体" w:hAnsi="宋体" w:cs="宋体" w:eastAsia="宋体" w:hint="default"/>
          <w:sz w:val="24"/>
          <w:szCs w:val="24"/>
        </w:rPr>
      </w:pPr>
      <w:r>
        <w:rPr>
          <w:rFonts w:ascii="宋体" w:hAnsi="宋体" w:cs="宋体" w:eastAsia="宋体" w:hint="default"/>
          <w:b/>
          <w:bCs/>
          <w:sz w:val="24"/>
          <w:szCs w:val="24"/>
        </w:rPr>
        <w:t>（二）行业比较分析</w:t>
      </w:r>
      <w:r>
        <w:rPr>
          <w:rFonts w:ascii="宋体" w:hAnsi="宋体" w:cs="宋体" w:eastAsia="宋体" w:hint="default"/>
          <w:b/>
          <w:bCs/>
          <w:w w:val="99"/>
          <w:sz w:val="24"/>
          <w:szCs w:val="24"/>
        </w:rPr>
        <w:t> </w:t>
      </w:r>
      <w:r>
        <w:rPr>
          <w:rFonts w:ascii="宋体" w:hAnsi="宋体" w:cs="宋体" w:eastAsia="宋体" w:hint="default"/>
          <w:sz w:val="24"/>
          <w:szCs w:val="24"/>
        </w:rPr>
        <w:t>在软件外包行业有着广阔发展前景的同时，还存在着激烈的市场竞争。未来全球软</w:t>
      </w:r>
    </w:p>
    <w:p>
      <w:pPr>
        <w:pStyle w:val="BodyText"/>
        <w:spacing w:line="357" w:lineRule="auto"/>
        <w:ind w:left="624" w:right="222" w:hanging="428"/>
        <w:jc w:val="left"/>
      </w:pPr>
      <w:r>
        <w:rPr/>
        <w:t>件外包行业的市场竞争将从单纯规模的扩张转向核心业务的强化和品牌的提升。 公司在面向海外软件外包的行业中，需不断地探索更加高效合理的经营模式，加大</w:t>
      </w:r>
    </w:p>
    <w:p>
      <w:pPr>
        <w:pStyle w:val="BodyText"/>
        <w:spacing w:line="357" w:lineRule="auto"/>
        <w:ind w:left="197" w:right="235"/>
        <w:jc w:val="both"/>
      </w:pPr>
      <w:r>
        <w:rPr>
          <w:spacing w:val="-2"/>
        </w:rPr>
        <w:t>人力资源的投入，持续提高开发管理、产品质量、专业领域业务水平，才能确保行业综</w:t>
      </w:r>
      <w:r>
        <w:rPr>
          <w:spacing w:val="-92"/>
        </w:rPr>
        <w:t> </w:t>
      </w:r>
      <w:r>
        <w:rPr>
          <w:spacing w:val="-92"/>
        </w:rPr>
      </w:r>
      <w:r>
        <w:rPr>
          <w:spacing w:val="-2"/>
        </w:rPr>
        <w:t>合领先优势、更深度地占据高端市场、稳定扩大市场份额。特别是面对美国的软件外包</w:t>
      </w:r>
      <w:r>
        <w:rPr>
          <w:spacing w:val="-95"/>
        </w:rPr>
        <w:t> </w:t>
      </w:r>
      <w:r>
        <w:rPr>
          <w:spacing w:val="-95"/>
        </w:rPr>
      </w:r>
      <w:r>
        <w:rPr>
          <w:spacing w:val="-2"/>
        </w:rPr>
        <w:t>业务，势必会遭遇到印度等国家成熟的同行业竞争，更应注重强化自身的核心能力，提</w:t>
      </w:r>
      <w:r>
        <w:rPr>
          <w:spacing w:val="-95"/>
        </w:rPr>
        <w:t> </w:t>
      </w:r>
      <w:r>
        <w:rPr>
          <w:spacing w:val="-95"/>
        </w:rPr>
      </w:r>
      <w:r>
        <w:rPr/>
        <w:t>高综合竞争力。</w:t>
      </w:r>
    </w:p>
    <w:p>
      <w:pPr>
        <w:pStyle w:val="BodyText"/>
        <w:spacing w:line="357" w:lineRule="auto"/>
        <w:ind w:left="197" w:right="114" w:firstLine="427"/>
        <w:jc w:val="both"/>
      </w:pPr>
      <w:r>
        <w:rPr>
          <w:spacing w:val="-4"/>
        </w:rPr>
        <w:t>公司面向国内市场的开拓，同样有着激烈的市场竞争。公司进入国内市场时日尚浅，</w:t>
      </w:r>
      <w:r>
        <w:rPr/>
        <w:t> 还未积累出足够的经验和成熟的经营模式。尚需审慎分析局势，慎重寻找合适的方式、 时机，充分发挥公司常年面向海外开发管理的优势，才能有效地控制风险，取得成功。</w:t>
      </w:r>
    </w:p>
    <w:p>
      <w:pPr>
        <w:spacing w:line="240" w:lineRule="auto" w:before="0"/>
        <w:rPr>
          <w:rFonts w:ascii="宋体" w:hAnsi="宋体" w:cs="宋体" w:eastAsia="宋体" w:hint="default"/>
          <w:sz w:val="24"/>
          <w:szCs w:val="24"/>
        </w:rPr>
      </w:pPr>
    </w:p>
    <w:p>
      <w:pPr>
        <w:pStyle w:val="Heading3"/>
        <w:spacing w:line="357" w:lineRule="auto" w:before="190"/>
        <w:ind w:left="209" w:right="4711" w:hanging="12"/>
        <w:jc w:val="left"/>
        <w:rPr>
          <w:b w:val="0"/>
          <w:bCs w:val="0"/>
        </w:rPr>
      </w:pPr>
      <w:r>
        <w:rPr/>
        <w:t>（三）管理层所关注的公司发展机遇和挑战</w:t>
      </w:r>
      <w:r>
        <w:rPr>
          <w:w w:val="99"/>
        </w:rPr>
        <w:t> </w:t>
      </w:r>
      <w:r>
        <w:rPr/>
        <w:t>公司面临的主要发展机遇：</w:t>
      </w:r>
      <w:r>
        <w:rPr>
          <w:b w:val="0"/>
          <w:bCs w:val="0"/>
        </w:rPr>
      </w:r>
    </w:p>
    <w:p>
      <w:pPr>
        <w:pStyle w:val="BodyText"/>
        <w:spacing w:line="357" w:lineRule="auto"/>
        <w:ind w:left="197" w:right="234" w:firstLine="420"/>
        <w:jc w:val="both"/>
      </w:pPr>
      <w:r>
        <w:rPr>
          <w:spacing w:val="-4"/>
        </w:rPr>
        <w:t>（</w:t>
      </w:r>
      <w:r>
        <w:rPr>
          <w:rFonts w:ascii="宋体" w:hAnsi="宋体" w:cs="宋体" w:eastAsia="宋体" w:hint="default"/>
          <w:spacing w:val="-4"/>
        </w:rPr>
        <w:t>1</w:t>
      </w:r>
      <w:r>
        <w:rPr>
          <w:spacing w:val="-4"/>
        </w:rPr>
        <w:t>）软件服务外包是国家重点扶持的行业之一，国家出台了关于软件外包行业一系</w:t>
      </w:r>
      <w:r>
        <w:rPr/>
        <w:t> </w:t>
      </w:r>
      <w:r>
        <w:rPr>
          <w:spacing w:val="-3"/>
        </w:rPr>
        <w:t>列的优惠政策，特别是</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3"/>
        </w:rPr>
        <w:t> </w:t>
      </w:r>
      <w:r>
        <w:rPr/>
        <w:t>日国务院颁布了《进一步鼓励软件产业和集成电 </w:t>
      </w:r>
      <w:r>
        <w:rPr>
          <w:spacing w:val="-2"/>
        </w:rPr>
        <w:t>路产业发展的若干政策》，继续从财税政策、投融资政策、进出口政策、人才政策等诸</w:t>
      </w:r>
      <w:r>
        <w:rPr>
          <w:spacing w:val="-103"/>
        </w:rPr>
        <w:t> </w:t>
      </w:r>
      <w:r>
        <w:rPr>
          <w:spacing w:val="-103"/>
        </w:rPr>
      </w:r>
      <w:r>
        <w:rPr/>
        <w:t>多方面对软件产业发展提供了强有力的支持，为公司开拓市场提供了广阔的空间；</w:t>
      </w:r>
    </w:p>
    <w:p>
      <w:pPr>
        <w:pStyle w:val="BodyText"/>
        <w:spacing w:line="357" w:lineRule="auto"/>
        <w:ind w:left="197" w:right="235" w:firstLine="420"/>
        <w:jc w:val="both"/>
      </w:pPr>
      <w:r>
        <w:rPr>
          <w:spacing w:val="-3"/>
        </w:rPr>
        <w:t>（</w:t>
      </w:r>
      <w:r>
        <w:rPr>
          <w:rFonts w:ascii="宋体" w:hAnsi="宋体" w:cs="宋体" w:eastAsia="宋体" w:hint="default"/>
          <w:spacing w:val="-3"/>
        </w:rPr>
        <w:t>2</w:t>
      </w:r>
      <w:r>
        <w:rPr>
          <w:spacing w:val="-3"/>
        </w:rPr>
        <w:t>）中国有充足的高素质人才供应，良好的基础设施和有利的劳动力成本，使中国</w:t>
      </w:r>
      <w:r>
        <w:rPr/>
        <w:t> 的重要性与日俱增，越来越多的海外优秀企业将其大量的</w:t>
      </w:r>
      <w:r>
        <w:rPr>
          <w:spacing w:val="-60"/>
        </w:rPr>
        <w:t> </w:t>
      </w:r>
      <w:r>
        <w:rPr>
          <w:rFonts w:ascii="宋体" w:hAnsi="宋体" w:cs="宋体" w:eastAsia="宋体" w:hint="default"/>
        </w:rPr>
        <w:t>IT</w:t>
      </w:r>
      <w:r>
        <w:rPr>
          <w:rFonts w:ascii="宋体" w:hAnsi="宋体" w:cs="宋体" w:eastAsia="宋体" w:hint="default"/>
          <w:spacing w:val="-60"/>
        </w:rPr>
        <w:t> </w:t>
      </w:r>
      <w:r>
        <w:rPr/>
        <w:t>服务需求外包给中国；</w:t>
      </w:r>
    </w:p>
    <w:p>
      <w:pPr>
        <w:pStyle w:val="BodyText"/>
        <w:spacing w:line="357" w:lineRule="auto"/>
        <w:ind w:left="197" w:right="237" w:firstLine="420"/>
        <w:jc w:val="both"/>
      </w:pPr>
      <w:r>
        <w:rPr>
          <w:spacing w:val="-4"/>
        </w:rPr>
        <w:t>（</w:t>
      </w:r>
      <w:r>
        <w:rPr>
          <w:rFonts w:ascii="宋体" w:hAnsi="宋体" w:cs="宋体" w:eastAsia="宋体" w:hint="default"/>
          <w:spacing w:val="-4"/>
        </w:rPr>
        <w:t>3</w:t>
      </w:r>
      <w:r>
        <w:rPr>
          <w:spacing w:val="-4"/>
        </w:rPr>
        <w:t>）国家产业政策支持行业内兼并重组，有利于优势企业通过收购兼并等资本运作</w:t>
      </w:r>
      <w:r>
        <w:rPr/>
        <w:t> 方式发展壮大。</w:t>
      </w:r>
    </w:p>
    <w:p>
      <w:pPr>
        <w:spacing w:line="240" w:lineRule="auto" w:before="0"/>
        <w:rPr>
          <w:rFonts w:ascii="宋体" w:hAnsi="宋体" w:cs="宋体" w:eastAsia="宋体" w:hint="default"/>
          <w:sz w:val="24"/>
          <w:szCs w:val="24"/>
        </w:rPr>
      </w:pPr>
    </w:p>
    <w:p>
      <w:pPr>
        <w:pStyle w:val="Heading3"/>
        <w:spacing w:line="240" w:lineRule="auto" w:before="191"/>
        <w:ind w:left="197" w:right="0"/>
        <w:jc w:val="both"/>
        <w:rPr>
          <w:b w:val="0"/>
          <w:bCs w:val="0"/>
        </w:rPr>
      </w:pPr>
      <w:r>
        <w:rPr/>
        <w:t>公司自身的主要优势分析：</w:t>
      </w:r>
      <w:r>
        <w:rPr>
          <w:b w:val="0"/>
          <w:bCs w:val="0"/>
        </w:rPr>
      </w:r>
    </w:p>
    <w:p>
      <w:pPr>
        <w:pStyle w:val="BodyText"/>
        <w:spacing w:line="357" w:lineRule="auto" w:before="154"/>
        <w:ind w:left="197" w:right="235" w:firstLine="420"/>
        <w:jc w:val="both"/>
      </w:pPr>
      <w:r>
        <w:rPr>
          <w:spacing w:val="-3"/>
        </w:rPr>
        <w:t>（</w:t>
      </w:r>
      <w:r>
        <w:rPr>
          <w:rFonts w:ascii="宋体" w:hAnsi="宋体" w:cs="宋体" w:eastAsia="宋体" w:hint="default"/>
          <w:spacing w:val="-3"/>
        </w:rPr>
        <w:t>1</w:t>
      </w:r>
      <w:r>
        <w:rPr>
          <w:spacing w:val="-3"/>
        </w:rPr>
        <w:t>）良好的业务模式：公司长期的营销管理中，积累了一套兼顾成长性和稳定性的</w:t>
      </w:r>
      <w:r>
        <w:rPr/>
        <w:t> </w:t>
      </w:r>
      <w:r>
        <w:rPr>
          <w:spacing w:val="-2"/>
        </w:rPr>
        <w:t>业务合作模式，拥有一批长期稳定合作关系的客户，为公司的稳定经营和持续发展打下</w:t>
      </w:r>
    </w:p>
    <w:p>
      <w:pPr>
        <w:spacing w:after="0" w:line="357" w:lineRule="auto"/>
        <w:jc w:val="both"/>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240" w:lineRule="auto" w:before="26"/>
        <w:ind w:left="197" w:right="279"/>
        <w:jc w:val="left"/>
      </w:pPr>
      <w:r>
        <w:rPr/>
        <w:t>了坚实的基础。</w:t>
      </w:r>
    </w:p>
    <w:p>
      <w:pPr>
        <w:pStyle w:val="BodyText"/>
        <w:spacing w:line="357" w:lineRule="auto" w:before="154"/>
        <w:ind w:left="197" w:right="231" w:firstLine="420"/>
        <w:jc w:val="both"/>
      </w:pPr>
      <w:r>
        <w:rPr>
          <w:spacing w:val="-3"/>
        </w:rPr>
        <w:t>（</w:t>
      </w:r>
      <w:r>
        <w:rPr>
          <w:rFonts w:ascii="宋体" w:hAnsi="宋体" w:cs="宋体" w:eastAsia="宋体" w:hint="default"/>
          <w:spacing w:val="-3"/>
        </w:rPr>
        <w:t>2</w:t>
      </w:r>
      <w:r>
        <w:rPr>
          <w:spacing w:val="-3"/>
        </w:rPr>
        <w:t>）优秀管理团队和人才：公司核心管理团队有国外经验丰富、业内资深、长期稳</w:t>
      </w:r>
      <w:r>
        <w:rPr/>
        <w:t> 定的特点。公司拥有的优秀开发管理人才，大多具有长期的 </w:t>
      </w:r>
      <w:r>
        <w:rPr>
          <w:rFonts w:ascii="宋体" w:hAnsi="宋体" w:cs="宋体" w:eastAsia="宋体" w:hint="default"/>
        </w:rPr>
        <w:t>IT</w:t>
      </w:r>
      <w:r>
        <w:rPr>
          <w:rFonts w:ascii="宋体" w:hAnsi="宋体" w:cs="宋体" w:eastAsia="宋体" w:hint="default"/>
          <w:spacing w:val="-48"/>
        </w:rPr>
        <w:t> </w:t>
      </w:r>
      <w:r>
        <w:rPr/>
        <w:t>从业、研发与服务外包 </w:t>
      </w:r>
      <w:r>
        <w:rPr>
          <w:spacing w:val="-2"/>
        </w:rPr>
        <w:t>经历，对行业发展趋势具有敏锐的洞察力和把握能力。同时，公司注重员工专业技能的</w:t>
      </w:r>
      <w:r>
        <w:rPr>
          <w:spacing w:val="-95"/>
        </w:rPr>
        <w:t> </w:t>
      </w:r>
      <w:r>
        <w:rPr>
          <w:spacing w:val="-95"/>
        </w:rPr>
      </w:r>
      <w:r>
        <w:rPr/>
        <w:t>培养，发挥协作精神，形成一套完整的人才队伍建设体系。</w:t>
      </w:r>
    </w:p>
    <w:p>
      <w:pPr>
        <w:pStyle w:val="BodyText"/>
        <w:spacing w:line="357" w:lineRule="auto"/>
        <w:ind w:left="197" w:right="100" w:firstLine="420"/>
        <w:jc w:val="left"/>
      </w:pPr>
      <w:r>
        <w:rPr>
          <w:spacing w:val="-4"/>
        </w:rPr>
        <w:t>（</w:t>
      </w:r>
      <w:r>
        <w:rPr>
          <w:rFonts w:ascii="宋体" w:hAnsi="宋体" w:cs="宋体" w:eastAsia="宋体" w:hint="default"/>
          <w:spacing w:val="-4"/>
        </w:rPr>
        <w:t>3</w:t>
      </w:r>
      <w:r>
        <w:rPr>
          <w:spacing w:val="-4"/>
        </w:rPr>
        <w:t>）运营管理：软件外包的竞争集中体现在运营管理能力上，包含质量管理、运营</w:t>
      </w:r>
      <w:r>
        <w:rPr/>
        <w:t> </w:t>
      </w:r>
      <w:r>
        <w:rPr>
          <w:spacing w:val="-5"/>
        </w:rPr>
        <w:t>成本控制、交付能力与交付速度，以及运营的柔性管理等方面。公司始终秉承质量第一、</w:t>
      </w:r>
      <w:r>
        <w:rPr>
          <w:spacing w:val="-93"/>
        </w:rPr>
        <w:t> </w:t>
      </w:r>
      <w:r>
        <w:rPr>
          <w:spacing w:val="-93"/>
        </w:rPr>
      </w:r>
      <w:r>
        <w:rPr/>
        <w:t>客户至上的方针，以质量管理作为核心，严格要求产品及服务质量，获得客户的一致认</w:t>
      </w:r>
      <w:r>
        <w:rPr/>
        <w:t> 可和好评。</w:t>
      </w:r>
    </w:p>
    <w:p>
      <w:pPr>
        <w:pStyle w:val="BodyText"/>
        <w:spacing w:line="357" w:lineRule="auto" w:before="37"/>
        <w:ind w:left="197" w:right="234" w:firstLine="420"/>
        <w:jc w:val="both"/>
      </w:pPr>
      <w:r>
        <w:rPr>
          <w:spacing w:val="-3"/>
        </w:rPr>
        <w:t>（</w:t>
      </w:r>
      <w:r>
        <w:rPr>
          <w:rFonts w:ascii="宋体" w:hAnsi="宋体" w:cs="宋体" w:eastAsia="宋体" w:hint="default"/>
          <w:spacing w:val="-3"/>
        </w:rPr>
        <w:t>4</w:t>
      </w:r>
      <w:r>
        <w:rPr>
          <w:spacing w:val="-3"/>
        </w:rPr>
        <w:t>）国际水平的经验积累：公司长年面向海外发达国家提供软件开发服务，长期稳</w:t>
      </w:r>
      <w:r>
        <w:rPr/>
        <w:t> </w:t>
      </w:r>
      <w:r>
        <w:rPr>
          <w:spacing w:val="-2"/>
        </w:rPr>
        <w:t>定保持国际通行的质量水平，积累了国际一流的开发管理经验。这些经验也会为国内的</w:t>
      </w:r>
      <w:r>
        <w:rPr>
          <w:spacing w:val="-92"/>
        </w:rPr>
        <w:t> </w:t>
      </w:r>
      <w:r>
        <w:rPr>
          <w:spacing w:val="-92"/>
        </w:rPr>
      </w:r>
      <w:r>
        <w:rPr/>
        <w:t>客户带来优质的服务，是开拓国内市场的一大优势。</w:t>
      </w:r>
    </w:p>
    <w:p>
      <w:pPr>
        <w:spacing w:line="240" w:lineRule="auto" w:before="0"/>
        <w:rPr>
          <w:rFonts w:ascii="宋体" w:hAnsi="宋体" w:cs="宋体" w:eastAsia="宋体" w:hint="default"/>
          <w:sz w:val="24"/>
          <w:szCs w:val="24"/>
        </w:rPr>
      </w:pPr>
    </w:p>
    <w:p>
      <w:pPr>
        <w:pStyle w:val="Heading3"/>
        <w:spacing w:line="240" w:lineRule="auto" w:before="190"/>
        <w:ind w:left="197" w:right="279"/>
        <w:jc w:val="left"/>
        <w:rPr>
          <w:b w:val="0"/>
          <w:bCs w:val="0"/>
        </w:rPr>
      </w:pPr>
      <w:r>
        <w:rPr/>
        <w:t>公司面临的主要挑战：</w:t>
      </w:r>
      <w:r>
        <w:rPr>
          <w:b w:val="0"/>
          <w:bCs w:val="0"/>
        </w:rPr>
      </w:r>
    </w:p>
    <w:p>
      <w:pPr>
        <w:pStyle w:val="BodyText"/>
        <w:spacing w:line="357" w:lineRule="auto" w:before="154"/>
        <w:ind w:left="197" w:right="100" w:firstLine="420"/>
        <w:jc w:val="left"/>
      </w:pPr>
      <w:r>
        <w:rPr>
          <w:spacing w:val="-3"/>
        </w:rPr>
        <w:t>（</w:t>
      </w:r>
      <w:r>
        <w:rPr>
          <w:rFonts w:ascii="宋体" w:hAnsi="宋体" w:cs="宋体" w:eastAsia="宋体" w:hint="default"/>
          <w:spacing w:val="-3"/>
        </w:rPr>
        <w:t>1</w:t>
      </w:r>
      <w:r>
        <w:rPr>
          <w:spacing w:val="-3"/>
        </w:rPr>
        <w:t>）公司近几年面向海外的软件服务外包业务规模稳步扩张，同时，国内经济持续</w:t>
      </w:r>
      <w:r>
        <w:rPr/>
        <w:t> </w:t>
      </w:r>
      <w:r>
        <w:rPr>
          <w:spacing w:val="-5"/>
        </w:rPr>
        <w:t>高速发展，造成了跨行业的激烈人才竞争。劳动力供应的结构性矛盾和大范围人才竞争，</w:t>
      </w:r>
      <w:r>
        <w:rPr>
          <w:spacing w:val="-93"/>
        </w:rPr>
        <w:t> </w:t>
      </w:r>
      <w:r>
        <w:rPr>
          <w:spacing w:val="-93"/>
        </w:rPr>
      </w:r>
      <w:r>
        <w:rPr/>
        <w:t>导致公司人力成本持续攀升。面对挑战，公司必须不断地调整人力资源政策，以适应新</w:t>
      </w:r>
      <w:r>
        <w:rPr/>
        <w:t> 的形势变化，才能使人力资源与业务规模相匹配，保证公司业务规模的持续发展。</w:t>
      </w:r>
    </w:p>
    <w:p>
      <w:pPr>
        <w:pStyle w:val="BodyText"/>
        <w:spacing w:line="240" w:lineRule="auto"/>
        <w:ind w:left="617" w:right="100"/>
        <w:jc w:val="left"/>
      </w:pPr>
      <w:r>
        <w:rPr>
          <w:spacing w:val="-7"/>
        </w:rPr>
        <w:t>（</w:t>
      </w:r>
      <w:r>
        <w:rPr>
          <w:rFonts w:ascii="宋体" w:hAnsi="宋体" w:cs="宋体" w:eastAsia="宋体" w:hint="default"/>
          <w:spacing w:val="-7"/>
        </w:rPr>
        <w:t>2</w:t>
      </w:r>
      <w:r>
        <w:rPr>
          <w:spacing w:val="-7"/>
        </w:rPr>
        <w:t>）公司目前最大的市场为日本，日元收入占比较高，日元汇率波动风险依然存在；</w:t>
      </w:r>
    </w:p>
    <w:p>
      <w:pPr>
        <w:pStyle w:val="BodyText"/>
        <w:spacing w:line="240" w:lineRule="auto" w:before="154"/>
        <w:ind w:left="617" w:right="279"/>
        <w:jc w:val="left"/>
      </w:pPr>
      <w:r>
        <w:rPr/>
        <w:t>（</w:t>
      </w:r>
      <w:r>
        <w:rPr>
          <w:rFonts w:ascii="宋体" w:hAnsi="宋体" w:cs="宋体" w:eastAsia="宋体" w:hint="default"/>
        </w:rPr>
        <w:t>3</w:t>
      </w:r>
      <w:r>
        <w:rPr/>
        <w:t>）大规模开拓欧美市场，还需要引进优秀的人才，建立更有效的营销体制。</w:t>
      </w:r>
    </w:p>
    <w:p>
      <w:pPr>
        <w:pStyle w:val="BodyText"/>
        <w:spacing w:line="357" w:lineRule="auto" w:before="154"/>
        <w:ind w:left="197" w:right="233" w:firstLine="420"/>
        <w:jc w:val="both"/>
      </w:pPr>
      <w:r>
        <w:rPr>
          <w:spacing w:val="-3"/>
        </w:rPr>
        <w:t>（</w:t>
      </w:r>
      <w:r>
        <w:rPr>
          <w:rFonts w:ascii="宋体" w:hAnsi="宋体" w:cs="宋体" w:eastAsia="宋体" w:hint="default"/>
          <w:spacing w:val="-3"/>
        </w:rPr>
        <w:t>4</w:t>
      </w:r>
      <w:r>
        <w:rPr>
          <w:spacing w:val="-3"/>
        </w:rPr>
        <w:t>）近些年，国内经济一直保持高速增长，带来了市场的发展和机遇。公司积极布</w:t>
      </w:r>
      <w:r>
        <w:rPr/>
        <w:t> </w:t>
      </w:r>
      <w:r>
        <w:rPr>
          <w:spacing w:val="-2"/>
        </w:rPr>
        <w:t>局国内业务，以期实现均衡的市场构造。但与发达国家相比，国内市场的成熟度、市场</w:t>
      </w:r>
      <w:r>
        <w:rPr>
          <w:spacing w:val="-92"/>
        </w:rPr>
        <w:t> </w:t>
      </w:r>
      <w:r>
        <w:rPr>
          <w:spacing w:val="-92"/>
        </w:rPr>
      </w:r>
      <w:r>
        <w:rPr>
          <w:spacing w:val="-2"/>
        </w:rPr>
        <w:t>规模都还有一定的差距，公司在国内市场的开拓方面也需要进一步积累经验。在国内市</w:t>
      </w:r>
      <w:r>
        <w:rPr>
          <w:spacing w:val="-91"/>
        </w:rPr>
        <w:t> </w:t>
      </w:r>
      <w:r>
        <w:rPr>
          <w:spacing w:val="-91"/>
        </w:rPr>
      </w:r>
      <w:r>
        <w:rPr/>
        <w:t>场寻找有效的经营模式，将是公司未来经营的重要课题。</w:t>
      </w:r>
    </w:p>
    <w:p>
      <w:pPr>
        <w:spacing w:line="240" w:lineRule="auto" w:before="0"/>
        <w:rPr>
          <w:rFonts w:ascii="宋体" w:hAnsi="宋体" w:cs="宋体" w:eastAsia="宋体" w:hint="default"/>
          <w:sz w:val="24"/>
          <w:szCs w:val="24"/>
        </w:rPr>
      </w:pPr>
    </w:p>
    <w:p>
      <w:pPr>
        <w:spacing w:line="357" w:lineRule="auto" w:before="191"/>
        <w:ind w:left="617" w:right="229" w:hanging="420"/>
        <w:jc w:val="left"/>
        <w:rPr>
          <w:rFonts w:ascii="宋体" w:hAnsi="宋体" w:cs="宋体" w:eastAsia="宋体" w:hint="default"/>
          <w:sz w:val="24"/>
          <w:szCs w:val="24"/>
        </w:rPr>
      </w:pPr>
      <w:r>
        <w:rPr>
          <w:rFonts w:ascii="宋体" w:hAnsi="宋体" w:cs="宋体" w:eastAsia="宋体" w:hint="default"/>
          <w:b/>
          <w:bCs/>
          <w:sz w:val="24"/>
          <w:szCs w:val="24"/>
        </w:rPr>
        <w:t>（四）公司发展战略</w:t>
      </w:r>
      <w:r>
        <w:rPr>
          <w:rFonts w:ascii="宋体" w:hAnsi="宋体" w:cs="宋体" w:eastAsia="宋体" w:hint="default"/>
          <w:b/>
          <w:bCs/>
          <w:w w:val="99"/>
          <w:sz w:val="24"/>
          <w:szCs w:val="24"/>
        </w:rPr>
        <w:t> </w:t>
      </w:r>
      <w:r>
        <w:rPr>
          <w:rFonts w:ascii="宋体" w:hAnsi="宋体" w:cs="宋体" w:eastAsia="宋体" w:hint="default"/>
          <w:sz w:val="24"/>
          <w:szCs w:val="24"/>
        </w:rPr>
        <w:t>公司将顺应软件外包发展趋势，扩大生产能力，不断提高技术水平、开发管理、质</w:t>
      </w:r>
    </w:p>
    <w:p>
      <w:pPr>
        <w:pStyle w:val="BodyText"/>
        <w:spacing w:line="357" w:lineRule="auto"/>
        <w:ind w:left="197" w:right="100"/>
        <w:jc w:val="left"/>
      </w:pPr>
      <w:r>
        <w:rPr/>
        <w:t>量管理能力，保证高规格的交付质量。未来几年，公司将围绕打造“国际化综合 </w:t>
      </w:r>
      <w:r>
        <w:rPr>
          <w:rFonts w:ascii="宋体" w:hAnsi="宋体" w:cs="宋体" w:eastAsia="宋体" w:hint="default"/>
        </w:rPr>
        <w:t>IT</w:t>
      </w:r>
      <w:r>
        <w:rPr>
          <w:rFonts w:ascii="宋体" w:hAnsi="宋体" w:cs="宋体" w:eastAsia="宋体" w:hint="default"/>
          <w:spacing w:val="-48"/>
        </w:rPr>
        <w:t> </w:t>
      </w:r>
      <w:r>
        <w:rPr/>
        <w:t>服 </w:t>
      </w:r>
      <w:r>
        <w:rPr>
          <w:spacing w:val="-5"/>
        </w:rPr>
        <w:t>务企业”的目标开展工作，不断提高市场响应速度，加大对客户上游价值链的嵌入深度，</w:t>
      </w:r>
    </w:p>
    <w:p>
      <w:pPr>
        <w:spacing w:after="0" w:line="357" w:lineRule="auto"/>
        <w:jc w:val="left"/>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357" w:lineRule="auto" w:before="26"/>
        <w:ind w:left="197" w:right="237"/>
        <w:jc w:val="both"/>
      </w:pPr>
      <w:r>
        <w:rPr>
          <w:spacing w:val="-2"/>
        </w:rPr>
        <w:t>通过积极开拓市场、引进和培养各类人才等措施，进一步做大做强国内外市场，提高公</w:t>
      </w:r>
      <w:r>
        <w:rPr>
          <w:spacing w:val="-95"/>
        </w:rPr>
        <w:t> </w:t>
      </w:r>
      <w:r>
        <w:rPr>
          <w:spacing w:val="-95"/>
        </w:rPr>
      </w:r>
      <w:r>
        <w:rPr/>
        <w:t>司的综合竞争能力。</w:t>
      </w:r>
    </w:p>
    <w:p>
      <w:pPr>
        <w:spacing w:line="240" w:lineRule="auto" w:before="0"/>
        <w:rPr>
          <w:rFonts w:ascii="宋体" w:hAnsi="宋体" w:cs="宋体" w:eastAsia="宋体" w:hint="default"/>
          <w:sz w:val="24"/>
          <w:szCs w:val="24"/>
        </w:rPr>
      </w:pPr>
    </w:p>
    <w:p>
      <w:pPr>
        <w:pStyle w:val="Heading3"/>
        <w:spacing w:line="240" w:lineRule="auto" w:before="190"/>
        <w:ind w:left="197" w:right="0"/>
        <w:jc w:val="both"/>
        <w:rPr>
          <w:b w:val="0"/>
          <w:bCs w:val="0"/>
        </w:rPr>
      </w:pPr>
      <w:r>
        <w:rPr/>
        <w:t>（五）</w:t>
      </w:r>
      <w:r>
        <w:rPr>
          <w:rFonts w:ascii="宋体" w:hAnsi="宋体" w:cs="宋体" w:eastAsia="宋体" w:hint="default"/>
        </w:rPr>
        <w:t>2012</w:t>
      </w:r>
      <w:r>
        <w:rPr>
          <w:rFonts w:ascii="宋体" w:hAnsi="宋体" w:cs="宋体" w:eastAsia="宋体" w:hint="default"/>
          <w:spacing w:val="-65"/>
        </w:rPr>
        <w:t> </w:t>
      </w:r>
      <w:r>
        <w:rPr/>
        <w:t>年经营计划</w:t>
      </w:r>
      <w:r>
        <w:rPr>
          <w:b w:val="0"/>
          <w:bCs w:val="0"/>
        </w:rPr>
      </w:r>
    </w:p>
    <w:p>
      <w:pPr>
        <w:pStyle w:val="BodyText"/>
        <w:spacing w:line="357" w:lineRule="auto" w:before="154"/>
        <w:ind w:left="197" w:right="223" w:firstLine="42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6"/>
        </w:rPr>
        <w:t> </w:t>
      </w:r>
      <w:r>
        <w:rPr>
          <w:spacing w:val="-2"/>
        </w:rPr>
        <w:t>年的经营方针为：稳定扩大现有业务、保持公司业绩稳步增长、积极探索多元</w:t>
      </w:r>
      <w:r>
        <w:rPr/>
        <w:t> 化市场经营模式，为打造国际化综合</w:t>
      </w:r>
      <w:r>
        <w:rPr>
          <w:spacing w:val="-61"/>
        </w:rPr>
        <w:t> </w:t>
      </w:r>
      <w:r>
        <w:rPr>
          <w:rFonts w:ascii="宋体" w:hAnsi="宋体" w:cs="宋体" w:eastAsia="宋体" w:hint="default"/>
        </w:rPr>
        <w:t>IT</w:t>
      </w:r>
      <w:r>
        <w:rPr>
          <w:rFonts w:ascii="宋体" w:hAnsi="宋体" w:cs="宋体" w:eastAsia="宋体" w:hint="default"/>
          <w:spacing w:val="-61"/>
        </w:rPr>
        <w:t> </w:t>
      </w:r>
      <w:r>
        <w:rPr/>
        <w:t>服务企业奠定基础。 </w:t>
      </w:r>
      <w:r>
        <w:rPr>
          <w:rFonts w:ascii="宋体" w:hAnsi="宋体" w:cs="宋体" w:eastAsia="宋体" w:hint="default"/>
          <w:b/>
          <w:bCs/>
        </w:rPr>
        <w:t>1</w:t>
      </w:r>
      <w:r>
        <w:rPr>
          <w:rFonts w:ascii="宋体" w:hAnsi="宋体" w:cs="宋体" w:eastAsia="宋体" w:hint="default"/>
          <w:b/>
          <w:bCs/>
        </w:rPr>
        <w:t>、稳固扩大业绩，丰富客户行业分布</w:t>
      </w:r>
      <w:r>
        <w:rPr>
          <w:rFonts w:ascii="宋体" w:hAnsi="宋体" w:cs="宋体" w:eastAsia="宋体" w:hint="default"/>
        </w:rPr>
      </w:r>
    </w:p>
    <w:p>
      <w:pPr>
        <w:pStyle w:val="BodyText"/>
        <w:spacing w:line="357" w:lineRule="auto"/>
        <w:ind w:left="197" w:right="234" w:firstLine="420"/>
        <w:jc w:val="both"/>
      </w:pPr>
      <w:r>
        <w:rPr/>
        <w:t>国际市场是</w:t>
      </w:r>
      <w:r>
        <w:rPr>
          <w:spacing w:val="-58"/>
        </w:rPr>
        <w:t> </w:t>
      </w:r>
      <w:r>
        <w:rPr>
          <w:rFonts w:ascii="宋体" w:hAnsi="宋体" w:cs="宋体" w:eastAsia="宋体" w:hint="default"/>
        </w:rPr>
        <w:t>IT</w:t>
      </w:r>
      <w:r>
        <w:rPr>
          <w:rFonts w:ascii="宋体" w:hAnsi="宋体" w:cs="宋体" w:eastAsia="宋体" w:hint="default"/>
          <w:spacing w:val="-58"/>
        </w:rPr>
        <w:t> </w:t>
      </w:r>
      <w:r>
        <w:rPr/>
        <w:t>服务行业的大蛋糕，其中印度和中国是国际</w:t>
      </w:r>
      <w:r>
        <w:rPr>
          <w:spacing w:val="-57"/>
        </w:rPr>
        <w:t> </w:t>
      </w:r>
      <w:r>
        <w:rPr>
          <w:rFonts w:ascii="宋体" w:hAnsi="宋体" w:cs="宋体" w:eastAsia="宋体" w:hint="default"/>
        </w:rPr>
        <w:t>IT</w:t>
      </w:r>
      <w:r>
        <w:rPr>
          <w:rFonts w:ascii="宋体" w:hAnsi="宋体" w:cs="宋体" w:eastAsia="宋体" w:hint="default"/>
          <w:spacing w:val="-58"/>
        </w:rPr>
        <w:t> </w:t>
      </w:r>
      <w:r>
        <w:rPr/>
        <w:t>服务外包市场的两大 </w:t>
      </w:r>
      <w:r>
        <w:rPr>
          <w:spacing w:val="-2"/>
        </w:rPr>
        <w:t>主角，赢得了国际大客户的认可与尊重。广阔的海外市场既能保障未来公司外包业务的</w:t>
      </w:r>
      <w:r>
        <w:rPr>
          <w:spacing w:val="-92"/>
        </w:rPr>
        <w:t> </w:t>
      </w:r>
      <w:r>
        <w:rPr>
          <w:spacing w:val="-92"/>
        </w:rPr>
      </w:r>
      <w:r>
        <w:rPr/>
        <w:t>稳定增长，同时能为公司拓展国内客户提供品牌和技术、管理优势。</w:t>
      </w:r>
    </w:p>
    <w:p>
      <w:pPr>
        <w:pStyle w:val="BodyText"/>
        <w:spacing w:line="357" w:lineRule="auto"/>
        <w:ind w:left="197" w:right="187" w:firstLine="516"/>
        <w:jc w:val="both"/>
      </w:pPr>
      <w:r>
        <w:rPr>
          <w:spacing w:val="-3"/>
        </w:rPr>
        <w:t>面对公司常年的海外主营业务市场，公司仍将一如既往地集中已有的优势资源，对</w:t>
      </w:r>
      <w:r>
        <w:rPr/>
        <w:t> 有潜力客户深耕细作，不断提高服务质量，从而全面提升占据高端业务的深度和广度； </w:t>
      </w:r>
      <w:r>
        <w:rPr>
          <w:spacing w:val="-2"/>
        </w:rPr>
        <w:t>在稳定和深化与现有大客户的战略合作伙伴关系的基础上，加大开拓新客户的力度，积</w:t>
      </w:r>
      <w:r>
        <w:rPr>
          <w:spacing w:val="-92"/>
        </w:rPr>
        <w:t> </w:t>
      </w:r>
      <w:r>
        <w:rPr>
          <w:spacing w:val="-92"/>
        </w:rPr>
      </w:r>
      <w:r>
        <w:rPr>
          <w:spacing w:val="-2"/>
        </w:rPr>
        <w:t>极发掘新行业的客户需求，使得公司客户行业分布更加丰富、更加均衡合理，为长期的</w:t>
      </w:r>
      <w:r>
        <w:rPr>
          <w:spacing w:val="-95"/>
        </w:rPr>
        <w:t> </w:t>
      </w:r>
      <w:r>
        <w:rPr>
          <w:spacing w:val="-95"/>
        </w:rPr>
      </w:r>
      <w:r>
        <w:rPr/>
        <w:t>稳健发展打下基础。</w:t>
      </w:r>
    </w:p>
    <w:p>
      <w:pPr>
        <w:pStyle w:val="BodyText"/>
        <w:spacing w:line="357" w:lineRule="auto"/>
        <w:ind w:left="197" w:right="100" w:firstLine="420"/>
        <w:jc w:val="left"/>
        <w:rPr>
          <w:rFonts w:ascii="宋体" w:hAnsi="宋体" w:cs="宋体" w:eastAsia="宋体" w:hint="default"/>
        </w:rPr>
      </w:pPr>
      <w:r>
        <w:rPr>
          <w:spacing w:val="-3"/>
        </w:rPr>
        <w:t>公司常年经营面向发达国家的软件外包开发业务，积累了大量国际一流水平的技术、</w:t>
      </w:r>
      <w:r>
        <w:rPr/>
        <w:t> 业务领域知识和高水平的开发管理经验。面对国内市场，公司将努力开发受众广泛及经 济实力雄厚的行业，充分依托国内经济高速发展的大环境，发展高附加值的业务模式。 </w:t>
      </w:r>
      <w:r>
        <w:rPr>
          <w:rFonts w:ascii="宋体" w:hAnsi="宋体" w:cs="宋体" w:eastAsia="宋体" w:hint="default"/>
          <w:b/>
          <w:bCs/>
        </w:rPr>
        <w:t>2</w:t>
      </w:r>
      <w:r>
        <w:rPr>
          <w:rFonts w:ascii="宋体" w:hAnsi="宋体" w:cs="宋体" w:eastAsia="宋体" w:hint="default"/>
          <w:b/>
          <w:bCs/>
        </w:rPr>
        <w:t>、加强研发与创新</w:t>
      </w:r>
      <w:r>
        <w:rPr>
          <w:rFonts w:ascii="宋体" w:hAnsi="宋体" w:cs="宋体" w:eastAsia="宋体" w:hint="default"/>
        </w:rPr>
      </w:r>
    </w:p>
    <w:p>
      <w:pPr>
        <w:pStyle w:val="BodyText"/>
        <w:spacing w:line="357" w:lineRule="auto"/>
        <w:ind w:left="197" w:right="237" w:firstLine="420"/>
        <w:jc w:val="both"/>
      </w:pPr>
      <w:r>
        <w:rPr/>
        <w:t>公司密切关注国内外软件开发和服务市场的技术趋势，根据市场需求不断完善产品 </w:t>
      </w:r>
      <w:r>
        <w:rPr>
          <w:spacing w:val="-2"/>
        </w:rPr>
        <w:t>和服务，不断强化管理和技术创新能力，加大自主知识产权产品的研发力度，注重自主</w:t>
      </w:r>
      <w:r>
        <w:rPr>
          <w:spacing w:val="-95"/>
        </w:rPr>
        <w:t> </w:t>
      </w:r>
      <w:r>
        <w:rPr>
          <w:spacing w:val="-95"/>
        </w:rPr>
      </w:r>
      <w:r>
        <w:rPr/>
        <w:t>知识产权的保护，持续提高公司的技术和产品开发能力。</w:t>
      </w:r>
    </w:p>
    <w:p>
      <w:pPr>
        <w:pStyle w:val="BodyText"/>
        <w:spacing w:line="357" w:lineRule="auto"/>
        <w:ind w:left="617" w:right="100" w:hanging="420"/>
        <w:jc w:val="left"/>
      </w:pPr>
      <w:r>
        <w:rPr>
          <w:rFonts w:ascii="宋体" w:hAnsi="宋体" w:cs="宋体" w:eastAsia="宋体" w:hint="default"/>
          <w:b/>
          <w:bCs/>
        </w:rPr>
        <w:t>3</w:t>
      </w:r>
      <w:r>
        <w:rPr>
          <w:rFonts w:ascii="宋体" w:hAnsi="宋体" w:cs="宋体" w:eastAsia="宋体" w:hint="default"/>
          <w:b/>
          <w:bCs/>
        </w:rPr>
        <w:t>、加强品牌建设</w:t>
      </w:r>
      <w:r>
        <w:rPr>
          <w:rFonts w:ascii="宋体" w:hAnsi="宋体" w:cs="宋体" w:eastAsia="宋体" w:hint="default"/>
          <w:b/>
          <w:bCs/>
          <w:w w:val="99"/>
        </w:rPr>
        <w:t> </w:t>
      </w:r>
      <w:r>
        <w:rPr>
          <w:spacing w:val="-4"/>
        </w:rPr>
        <w:t>公司在成功上市后，继续加强品牌建设和宣传，增强了公司的知名度和品牌影响力，</w:t>
      </w:r>
    </w:p>
    <w:p>
      <w:pPr>
        <w:pStyle w:val="BodyText"/>
        <w:spacing w:line="357" w:lineRule="auto"/>
        <w:ind w:left="197" w:right="234"/>
        <w:jc w:val="both"/>
      </w:pPr>
      <w:r>
        <w:rPr/>
        <w:t>对公司的业务发展起到良好作用。</w:t>
      </w:r>
      <w:r>
        <w:rPr>
          <w:rFonts w:ascii="宋体" w:hAnsi="宋体" w:cs="宋体" w:eastAsia="宋体" w:hint="default"/>
        </w:rPr>
        <w:t>2011</w:t>
      </w:r>
      <w:r>
        <w:rPr>
          <w:rFonts w:ascii="宋体" w:hAnsi="宋体" w:cs="宋体" w:eastAsia="宋体" w:hint="default"/>
          <w:spacing w:val="-48"/>
        </w:rPr>
        <w:t> </w:t>
      </w:r>
      <w:r>
        <w:rPr/>
        <w:t>年公司注册商标“</w:t>
      </w:r>
      <w:r>
        <w:rPr>
          <w:rFonts w:ascii="宋体" w:hAnsi="宋体" w:cs="宋体" w:eastAsia="宋体" w:hint="default"/>
        </w:rPr>
        <w:t>HYRON</w:t>
      </w:r>
      <w:r>
        <w:rPr/>
        <w:t>”被上海市工商行政管 </w:t>
      </w:r>
      <w:r>
        <w:rPr>
          <w:spacing w:val="-2"/>
        </w:rPr>
        <w:t>理局认定为“上海市著名商标”，这是对公司的肯定，同时也是公司未来发展的责任和</w:t>
      </w:r>
      <w:r>
        <w:rPr>
          <w:spacing w:val="-103"/>
        </w:rPr>
        <w:t> </w:t>
      </w:r>
      <w:r>
        <w:rPr>
          <w:spacing w:val="-103"/>
        </w:rPr>
      </w:r>
      <w:r>
        <w:rPr>
          <w:spacing w:val="-6"/>
        </w:rPr>
        <w:t>动力。</w:t>
      </w:r>
      <w:r>
        <w:rPr>
          <w:rFonts w:ascii="宋体" w:hAnsi="宋体" w:cs="宋体" w:eastAsia="宋体" w:hint="default"/>
          <w:spacing w:val="-6"/>
        </w:rPr>
        <w:t>2012</w:t>
      </w:r>
      <w:r>
        <w:rPr>
          <w:rFonts w:ascii="宋体" w:hAnsi="宋体" w:cs="宋体" w:eastAsia="宋体" w:hint="default"/>
          <w:spacing w:val="-32"/>
        </w:rPr>
        <w:t> </w:t>
      </w:r>
      <w:r>
        <w:rPr>
          <w:spacing w:val="-3"/>
        </w:rPr>
        <w:t>年将进一步加强品牌建设和宣传，提升公司品牌价值，实现企业持续健康发</w:t>
      </w:r>
      <w:r>
        <w:rPr>
          <w:spacing w:val="-117"/>
        </w:rPr>
        <w:t> </w:t>
      </w:r>
      <w:r>
        <w:rPr>
          <w:spacing w:val="-117"/>
        </w:rPr>
      </w:r>
      <w:r>
        <w:rPr/>
        <w:t>展。</w:t>
      </w:r>
    </w:p>
    <w:p>
      <w:pPr>
        <w:spacing w:after="0" w:line="357" w:lineRule="auto"/>
        <w:jc w:val="both"/>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Heading3"/>
        <w:spacing w:line="240" w:lineRule="auto"/>
        <w:ind w:left="197" w:right="0"/>
        <w:jc w:val="both"/>
        <w:rPr>
          <w:b w:val="0"/>
          <w:bCs w:val="0"/>
        </w:rPr>
      </w:pPr>
      <w:r>
        <w:rPr>
          <w:rFonts w:ascii="宋体" w:hAnsi="宋体" w:cs="宋体" w:eastAsia="宋体" w:hint="default"/>
        </w:rPr>
        <w:t>4</w:t>
      </w:r>
      <w:r>
        <w:rPr/>
        <w:t>、进一步提高软件质量管理水平</w:t>
      </w:r>
      <w:r>
        <w:rPr>
          <w:b w:val="0"/>
          <w:bCs w:val="0"/>
        </w:rPr>
      </w:r>
    </w:p>
    <w:p>
      <w:pPr>
        <w:pStyle w:val="BodyText"/>
        <w:spacing w:line="357" w:lineRule="auto" w:before="154"/>
        <w:ind w:left="197" w:right="107" w:firstLine="420"/>
        <w:jc w:val="both"/>
      </w:pPr>
      <w:r>
        <w:rPr/>
        <w:t>公司作为</w:t>
      </w:r>
      <w:r>
        <w:rPr>
          <w:spacing w:val="-57"/>
        </w:rPr>
        <w:t> </w:t>
      </w:r>
      <w:r>
        <w:rPr>
          <w:rFonts w:ascii="宋体" w:hAnsi="宋体" w:cs="宋体" w:eastAsia="宋体" w:hint="default"/>
        </w:rPr>
        <w:t>IT</w:t>
      </w:r>
      <w:r>
        <w:rPr>
          <w:rFonts w:ascii="宋体" w:hAnsi="宋体" w:cs="宋体" w:eastAsia="宋体" w:hint="default"/>
          <w:spacing w:val="-56"/>
        </w:rPr>
        <w:t> </w:t>
      </w:r>
      <w:r>
        <w:rPr>
          <w:spacing w:val="-4"/>
        </w:rPr>
        <w:t>服务业，不断提高软件开发的质量管理水平是一个长期课题。符合国际</w:t>
      </w:r>
      <w:r>
        <w:rPr/>
        <w:t> </w:t>
      </w:r>
      <w:r>
        <w:rPr>
          <w:spacing w:val="-2"/>
        </w:rPr>
        <w:t>市场质量要求的软件系统需要国际水准的开发质量管理能力。生产过程中持续的改善活</w:t>
      </w:r>
      <w:r>
        <w:rPr>
          <w:spacing w:val="-92"/>
        </w:rPr>
        <w:t> </w:t>
      </w:r>
      <w:r>
        <w:rPr>
          <w:spacing w:val="-92"/>
        </w:rPr>
      </w:r>
      <w:r>
        <w:rPr>
          <w:spacing w:val="4"/>
        </w:rPr>
        <w:t>动使得公司的软件开发质量管理水平不断地提高，高质量的软件服务得到了客户的认</w:t>
      </w:r>
      <w:r>
        <w:rPr>
          <w:spacing w:val="-113"/>
        </w:rPr>
        <w:t> </w:t>
      </w:r>
      <w:r>
        <w:rPr>
          <w:spacing w:val="-113"/>
        </w:rPr>
      </w:r>
      <w:r>
        <w:rPr/>
        <w:t>可，形成了一批稳定的客户群。公司在已取得</w:t>
      </w:r>
      <w:r>
        <w:rPr>
          <w:spacing w:val="-78"/>
        </w:rPr>
        <w:t> </w:t>
      </w:r>
      <w:r>
        <w:rPr>
          <w:rFonts w:ascii="宋体" w:hAnsi="宋体" w:cs="宋体" w:eastAsia="宋体" w:hint="default"/>
        </w:rPr>
        <w:t>CMMI4</w:t>
      </w:r>
      <w:r>
        <w:rPr>
          <w:rFonts w:ascii="宋体" w:hAnsi="宋体" w:cs="宋体" w:eastAsia="宋体" w:hint="default"/>
          <w:spacing w:val="-78"/>
        </w:rPr>
        <w:t> </w:t>
      </w:r>
      <w:r>
        <w:rPr/>
        <w:t>的认证基础上，将持续投入相应的 人力、物力，不断完善健全开发质量的管理制度，提高推进软件开发管理水平的力度， 以期尽快达到国际软件成熟度模型集成最高等级</w:t>
      </w:r>
      <w:r>
        <w:rPr>
          <w:spacing w:val="-60"/>
        </w:rPr>
        <w:t> </w:t>
      </w:r>
      <w:r>
        <w:rPr>
          <w:rFonts w:ascii="宋体" w:hAnsi="宋体" w:cs="宋体" w:eastAsia="宋体" w:hint="default"/>
        </w:rPr>
        <w:t>CMMI5</w:t>
      </w:r>
      <w:r>
        <w:rPr>
          <w:rFonts w:ascii="宋体" w:hAnsi="宋体" w:cs="宋体" w:eastAsia="宋体" w:hint="default"/>
          <w:spacing w:val="-60"/>
        </w:rPr>
        <w:t> </w:t>
      </w:r>
      <w:r>
        <w:rPr/>
        <w:t>的标准。</w:t>
      </w:r>
    </w:p>
    <w:p>
      <w:pPr>
        <w:pStyle w:val="BodyText"/>
        <w:spacing w:line="357" w:lineRule="auto"/>
        <w:ind w:left="617" w:right="149" w:hanging="420"/>
        <w:jc w:val="left"/>
      </w:pPr>
      <w:r>
        <w:rPr>
          <w:rFonts w:ascii="宋体" w:hAnsi="宋体" w:cs="宋体" w:eastAsia="宋体" w:hint="default"/>
          <w:b/>
          <w:bCs/>
        </w:rPr>
        <w:t>5</w:t>
      </w:r>
      <w:r>
        <w:rPr>
          <w:rFonts w:ascii="宋体" w:hAnsi="宋体" w:cs="宋体" w:eastAsia="宋体" w:hint="default"/>
          <w:b/>
          <w:bCs/>
        </w:rPr>
        <w:t>、人力资源计划</w:t>
      </w:r>
      <w:r>
        <w:rPr>
          <w:rFonts w:ascii="宋体" w:hAnsi="宋体" w:cs="宋体" w:eastAsia="宋体" w:hint="default"/>
          <w:b/>
          <w:bCs/>
          <w:w w:val="99"/>
        </w:rPr>
        <w:t> </w:t>
      </w:r>
      <w:r>
        <w:rPr/>
        <w:t>要长期保持公司的创新能力、竞争实力及规模发展的需求，保质保量地扩大人力资</w:t>
      </w:r>
    </w:p>
    <w:p>
      <w:pPr>
        <w:pStyle w:val="BodyText"/>
        <w:spacing w:line="357" w:lineRule="auto" w:before="37"/>
        <w:ind w:left="197" w:right="106"/>
        <w:jc w:val="both"/>
      </w:pPr>
      <w:r>
        <w:rPr>
          <w:spacing w:val="-2"/>
        </w:rPr>
        <w:t>源规模是关键。公司在开放大门不断引进专业海内外开发人才和经营人才的同时，适时</w:t>
      </w:r>
      <w:r>
        <w:rPr>
          <w:spacing w:val="-93"/>
        </w:rPr>
        <w:t> </w:t>
      </w:r>
      <w:r>
        <w:rPr>
          <w:spacing w:val="-93"/>
        </w:rPr>
      </w:r>
      <w:r>
        <w:rPr/>
        <w:t>调整人员招聘政策，以适应不断变化的人力资源市场，在人力成本持续攀升的情况下， </w:t>
      </w:r>
      <w:r>
        <w:rPr>
          <w:spacing w:val="-2"/>
        </w:rPr>
        <w:t>做好应届大学生的招聘工作。公司将不断完善职工的培训体制，调整人才结构，通过新</w:t>
      </w:r>
      <w:r>
        <w:rPr>
          <w:spacing w:val="-95"/>
        </w:rPr>
        <w:t> </w:t>
      </w:r>
      <w:r>
        <w:rPr>
          <w:spacing w:val="-95"/>
        </w:rPr>
      </w:r>
      <w:r>
        <w:rPr>
          <w:spacing w:val="-2"/>
        </w:rPr>
        <w:t>入职员工脱产培训和在职员工的职业生涯持续培训等多种形式，培养复合型人才和专业</w:t>
      </w:r>
    </w:p>
    <w:p>
      <w:pPr>
        <w:pStyle w:val="BodyText"/>
        <w:spacing w:line="357" w:lineRule="auto"/>
        <w:ind w:left="197" w:right="153"/>
        <w:jc w:val="both"/>
      </w:pPr>
      <w:r>
        <w:rPr/>
        <w:t>岗位人才</w:t>
      </w:r>
      <w:r>
        <w:rPr>
          <w:rFonts w:ascii="宋体" w:hAnsi="宋体" w:cs="宋体" w:eastAsia="宋体" w:hint="default"/>
        </w:rPr>
        <w:t>,</w:t>
      </w:r>
      <w:r>
        <w:rPr/>
        <w:t>充实公司研发、生产、营销及管理等部门，促使内部员工良性竞争和主动进</w:t>
      </w:r>
      <w:r>
        <w:rPr>
          <w:spacing w:val="-59"/>
        </w:rPr>
        <w:t> </w:t>
      </w:r>
      <w:r>
        <w:rPr>
          <w:spacing w:val="-59"/>
        </w:rPr>
      </w:r>
      <w:r>
        <w:rPr>
          <w:spacing w:val="-2"/>
        </w:rPr>
        <w:t>步，以适应公司不断发展和提高的技能要求，为公司实施业务发展计划提供符合要求的</w:t>
      </w:r>
      <w:r>
        <w:rPr>
          <w:spacing w:val="-91"/>
        </w:rPr>
        <w:t> </w:t>
      </w:r>
      <w:r>
        <w:rPr>
          <w:spacing w:val="-91"/>
        </w:rPr>
      </w:r>
      <w:r>
        <w:rPr>
          <w:spacing w:val="-2"/>
        </w:rPr>
        <w:t>人才储备。在此同时，也为员工个人的未来发展打下良好的职业技能基础，以实现员工</w:t>
      </w:r>
      <w:r>
        <w:rPr>
          <w:spacing w:val="-94"/>
        </w:rPr>
        <w:t> </w:t>
      </w:r>
      <w:r>
        <w:rPr>
          <w:spacing w:val="-94"/>
        </w:rPr>
      </w:r>
      <w:r>
        <w:rPr/>
        <w:t>价值与企业价值共同成长。</w:t>
      </w:r>
    </w:p>
    <w:p>
      <w:pPr>
        <w:pStyle w:val="Heading3"/>
        <w:spacing w:line="240" w:lineRule="auto" w:before="36"/>
        <w:ind w:left="197" w:right="0"/>
        <w:jc w:val="both"/>
        <w:rPr>
          <w:b w:val="0"/>
          <w:bCs w:val="0"/>
        </w:rPr>
      </w:pPr>
      <w:r>
        <w:rPr>
          <w:rFonts w:ascii="宋体" w:hAnsi="宋体" w:cs="宋体" w:eastAsia="宋体" w:hint="default"/>
        </w:rPr>
        <w:t>6</w:t>
      </w:r>
      <w:r>
        <w:rPr/>
        <w:t>、收购兼并</w:t>
      </w:r>
      <w:r>
        <w:rPr>
          <w:b w:val="0"/>
          <w:bCs w:val="0"/>
        </w:rPr>
      </w:r>
    </w:p>
    <w:p>
      <w:pPr>
        <w:pStyle w:val="BodyText"/>
        <w:spacing w:line="357" w:lineRule="auto" w:before="154"/>
        <w:ind w:left="197" w:right="159" w:firstLine="420"/>
        <w:jc w:val="both"/>
      </w:pPr>
      <w:r>
        <w:rPr/>
        <w:t>公司将根据整体发展战略以及未来发展方向，积极采用收购兼并等方式整合行业内 优质的企业、整合创新技术，提升公司竞争地位。</w:t>
      </w:r>
    </w:p>
    <w:p>
      <w:pPr>
        <w:pStyle w:val="Heading3"/>
        <w:spacing w:line="240" w:lineRule="auto" w:before="36"/>
        <w:ind w:left="197" w:right="0"/>
        <w:jc w:val="both"/>
        <w:rPr>
          <w:b w:val="0"/>
          <w:bCs w:val="0"/>
        </w:rPr>
      </w:pPr>
      <w:r>
        <w:rPr>
          <w:rFonts w:ascii="宋体" w:hAnsi="宋体" w:cs="宋体" w:eastAsia="宋体" w:hint="default"/>
        </w:rPr>
        <w:t>7</w:t>
      </w:r>
      <w:r>
        <w:rPr/>
        <w:t>、年度投资计划</w:t>
      </w:r>
      <w:r>
        <w:rPr>
          <w:b w:val="0"/>
          <w:bCs w:val="0"/>
        </w:rPr>
      </w:r>
    </w:p>
    <w:p>
      <w:pPr>
        <w:pStyle w:val="BodyText"/>
        <w:spacing w:line="357" w:lineRule="auto" w:before="154"/>
        <w:ind w:left="197" w:right="146" w:firstLine="480"/>
        <w:jc w:val="both"/>
      </w:pPr>
      <w:r>
        <w:rPr/>
        <w:t>（</w:t>
      </w:r>
      <w:r>
        <w:rPr>
          <w:rFonts w:ascii="宋体" w:hAnsi="宋体" w:cs="宋体" w:eastAsia="宋体" w:hint="default"/>
        </w:rPr>
        <w:t>1</w:t>
      </w:r>
      <w:r>
        <w:rPr/>
        <w:t>）截止报告期末，公司募集资金已全部使用完毕，三个募投项目“嵌入式软件</w:t>
      </w:r>
      <w:r>
        <w:rPr>
          <w:spacing w:val="2"/>
        </w:rPr>
        <w:t> </w:t>
      </w:r>
      <w:r>
        <w:rPr>
          <w:spacing w:val="-14"/>
        </w:rPr>
        <w:t>研发中心项目”、“移动电话内容服务研发中心项目”、“软件外包后方开发基地项目”已</w:t>
      </w:r>
      <w:r>
        <w:rPr>
          <w:spacing w:val="-91"/>
        </w:rPr>
        <w:t> </w:t>
      </w:r>
      <w:r>
        <w:rPr>
          <w:spacing w:val="-91"/>
        </w:rPr>
      </w:r>
      <w:r>
        <w:rPr>
          <w:spacing w:val="-2"/>
        </w:rPr>
        <w:t>达到计划进度，并完成预计收益。公司将根据业务发展情况以自有资金对具有发展潜力</w:t>
      </w:r>
      <w:r>
        <w:rPr>
          <w:spacing w:val="-92"/>
        </w:rPr>
        <w:t> </w:t>
      </w:r>
      <w:r>
        <w:rPr>
          <w:spacing w:val="-92"/>
        </w:rPr>
      </w:r>
      <w:r>
        <w:rPr/>
        <w:t>的项目继续投资，以期获得持续的效益。</w:t>
      </w:r>
    </w:p>
    <w:p>
      <w:pPr>
        <w:pStyle w:val="BodyText"/>
        <w:spacing w:line="240" w:lineRule="auto" w:before="37"/>
        <w:ind w:left="677" w:right="97"/>
        <w:jc w:val="left"/>
      </w:pPr>
      <w:r>
        <w:rPr>
          <w:spacing w:val="-6"/>
        </w:rPr>
        <w:t>（</w:t>
      </w:r>
      <w:r>
        <w:rPr>
          <w:rFonts w:ascii="宋体" w:hAnsi="宋体" w:cs="宋体" w:eastAsia="宋体" w:hint="default"/>
          <w:spacing w:val="-6"/>
        </w:rPr>
        <w:t>2</w:t>
      </w:r>
      <w:r>
        <w:rPr>
          <w:spacing w:val="-6"/>
        </w:rPr>
        <w:t>）</w:t>
      </w:r>
      <w:r>
        <w:rPr>
          <w:rFonts w:ascii="宋体" w:hAnsi="宋体" w:cs="宋体" w:eastAsia="宋体" w:hint="default"/>
          <w:spacing w:val="-6"/>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spacing w:val="-3"/>
        </w:rPr>
        <w:t>日，公司第四届董事会第十一次会议审议通过了《关于拟出资</w:t>
      </w:r>
    </w:p>
    <w:p>
      <w:pPr>
        <w:pStyle w:val="BodyText"/>
        <w:spacing w:line="240" w:lineRule="auto" w:before="154"/>
        <w:ind w:left="197" w:right="0"/>
        <w:jc w:val="both"/>
      </w:pPr>
      <w:r>
        <w:rPr/>
        <w:t>设立上海艾云慧信创业投资有限公司的议案</w:t>
      </w:r>
      <w:r>
        <w:rPr>
          <w:spacing w:val="-120"/>
        </w:rPr>
        <w:t>》</w:t>
      </w:r>
      <w:r>
        <w:rPr/>
        <w:t>，公司拟以自有资金出资人民币</w:t>
      </w:r>
      <w:r>
        <w:rPr>
          <w:spacing w:val="-23"/>
        </w:rPr>
        <w:t> </w:t>
      </w:r>
      <w:r>
        <w:rPr>
          <w:rFonts w:ascii="宋体" w:hAnsi="宋体" w:cs="宋体" w:eastAsia="宋体" w:hint="default"/>
        </w:rPr>
        <w:t>2,000</w:t>
      </w:r>
      <w:r>
        <w:rPr>
          <w:rFonts w:ascii="宋体" w:hAnsi="宋体" w:cs="宋体" w:eastAsia="宋体" w:hint="default"/>
          <w:spacing w:val="-24"/>
        </w:rPr>
        <w:t> </w:t>
      </w:r>
      <w:r>
        <w:rPr/>
        <w:t>万</w:t>
      </w:r>
    </w:p>
    <w:p>
      <w:pPr>
        <w:pStyle w:val="BodyText"/>
        <w:spacing w:line="240" w:lineRule="auto" w:before="154"/>
        <w:ind w:left="197" w:right="0"/>
        <w:jc w:val="both"/>
      </w:pPr>
      <w:r>
        <w:rPr/>
        <w:t>元，占艾云慧信创投</w:t>
      </w:r>
      <w:r>
        <w:rPr>
          <w:spacing w:val="-52"/>
        </w:rPr>
        <w:t> </w:t>
      </w:r>
      <w:r>
        <w:rPr>
          <w:rFonts w:ascii="宋体" w:hAnsi="宋体" w:cs="宋体" w:eastAsia="宋体" w:hint="default"/>
        </w:rPr>
        <w:t>9.90%</w:t>
      </w:r>
      <w:r>
        <w:rPr/>
        <w:t>的股份。</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1"/>
        </w:rPr>
        <w:t> </w:t>
      </w:r>
      <w:r>
        <w:rPr>
          <w:rFonts w:ascii="宋体" w:hAnsi="宋体" w:cs="宋体" w:eastAsia="宋体" w:hint="default"/>
        </w:rPr>
        <w:t>16</w:t>
      </w:r>
      <w:r>
        <w:rPr>
          <w:rFonts w:ascii="宋体" w:hAnsi="宋体" w:cs="宋体" w:eastAsia="宋体" w:hint="default"/>
          <w:spacing w:val="-52"/>
        </w:rPr>
        <w:t> </w:t>
      </w:r>
      <w:r>
        <w:rPr/>
        <w:t>日，公司支付了首期出资额</w:t>
      </w:r>
      <w:r>
        <w:rPr>
          <w:spacing w:val="-51"/>
        </w:rPr>
        <w:t> </w:t>
      </w:r>
      <w:r>
        <w:rPr>
          <w:rFonts w:ascii="宋体" w:hAnsi="宋体" w:cs="宋体" w:eastAsia="宋体" w:hint="default"/>
        </w:rPr>
        <w:t>800</w:t>
      </w:r>
      <w:r>
        <w:rPr>
          <w:rFonts w:ascii="宋体" w:hAnsi="宋体" w:cs="宋体" w:eastAsia="宋体" w:hint="default"/>
          <w:spacing w:val="-52"/>
        </w:rPr>
        <w:t> </w:t>
      </w:r>
      <w:r>
        <w:rPr/>
        <w:t>万</w:t>
      </w:r>
    </w:p>
    <w:p>
      <w:pPr>
        <w:pStyle w:val="BodyText"/>
        <w:spacing w:line="240" w:lineRule="auto" w:before="154"/>
        <w:ind w:left="197" w:right="0"/>
        <w:jc w:val="both"/>
      </w:pPr>
      <w:r>
        <w:rPr/>
        <w:t>元，剩余</w:t>
      </w:r>
      <w:r>
        <w:rPr>
          <w:spacing w:val="-61"/>
        </w:rPr>
        <w:t> </w:t>
      </w:r>
      <w:r>
        <w:rPr>
          <w:rFonts w:ascii="宋体" w:hAnsi="宋体" w:cs="宋体" w:eastAsia="宋体" w:hint="default"/>
        </w:rPr>
        <w:t>1,200</w:t>
      </w:r>
      <w:r>
        <w:rPr>
          <w:rFonts w:ascii="宋体" w:hAnsi="宋体" w:cs="宋体" w:eastAsia="宋体" w:hint="default"/>
          <w:spacing w:val="-60"/>
        </w:rPr>
        <w:t> </w:t>
      </w:r>
      <w:r>
        <w:rPr/>
        <w:t>万元公司将按照相关协议规定进行支付。</w:t>
      </w:r>
    </w:p>
    <w:p>
      <w:pPr>
        <w:spacing w:after="0" w:line="240" w:lineRule="auto"/>
        <w:jc w:val="both"/>
        <w:sectPr>
          <w:pgSz w:w="11910" w:h="16840"/>
          <w:pgMar w:header="876" w:footer="1186" w:top="1100" w:bottom="1380" w:left="1260" w:right="1220"/>
        </w:sectPr>
      </w:pPr>
    </w:p>
    <w:p>
      <w:pPr>
        <w:spacing w:line="240" w:lineRule="auto" w:before="7"/>
        <w:rPr>
          <w:rFonts w:ascii="宋体" w:hAnsi="宋体" w:cs="宋体" w:eastAsia="宋体" w:hint="default"/>
          <w:sz w:val="25"/>
          <w:szCs w:val="25"/>
        </w:rPr>
      </w:pPr>
    </w:p>
    <w:p>
      <w:pPr>
        <w:pStyle w:val="BodyText"/>
        <w:spacing w:line="357" w:lineRule="auto" w:before="26"/>
        <w:ind w:left="686" w:right="232" w:hanging="10"/>
        <w:jc w:val="left"/>
      </w:pPr>
      <w:r>
        <w:rPr/>
        <w:t>（</w:t>
      </w:r>
      <w:r>
        <w:rPr>
          <w:rFonts w:ascii="宋体" w:hAnsi="宋体" w:cs="宋体" w:eastAsia="宋体" w:hint="default"/>
        </w:rPr>
        <w:t>3</w:t>
      </w:r>
      <w:r>
        <w:rPr/>
        <w:t>）投资计划资金来源 </w:t>
      </w:r>
      <w:r>
        <w:rPr>
          <w:spacing w:val="-2"/>
        </w:rPr>
        <w:t>公司目前自有资金充足，上述投资项目资金来源主要为公司自有资金。在综合分析</w:t>
      </w:r>
    </w:p>
    <w:p>
      <w:pPr>
        <w:pStyle w:val="BodyText"/>
        <w:spacing w:line="240" w:lineRule="auto"/>
        <w:ind w:left="197" w:right="279"/>
        <w:jc w:val="left"/>
      </w:pPr>
      <w:r>
        <w:rPr/>
        <w:t>公司发展速度、资金成本等因素的前提下，可考虑适当采取银行贷款等方式。</w:t>
      </w:r>
    </w:p>
    <w:p>
      <w:pPr>
        <w:spacing w:line="357" w:lineRule="auto" w:before="154"/>
        <w:ind w:left="662" w:right="4744" w:hanging="466"/>
        <w:jc w:val="left"/>
        <w:rPr>
          <w:rFonts w:ascii="宋体" w:hAnsi="宋体" w:cs="宋体" w:eastAsia="宋体" w:hint="default"/>
          <w:sz w:val="24"/>
          <w:szCs w:val="24"/>
        </w:rPr>
      </w:pPr>
      <w:r>
        <w:rPr>
          <w:rFonts w:ascii="宋体" w:hAnsi="宋体" w:cs="宋体" w:eastAsia="宋体" w:hint="default"/>
          <w:b/>
          <w:bCs/>
          <w:sz w:val="24"/>
          <w:szCs w:val="24"/>
        </w:rPr>
        <w:t>（四）公司未来重大风险情况</w:t>
      </w:r>
      <w:r>
        <w:rPr>
          <w:rFonts w:ascii="宋体" w:hAnsi="宋体" w:cs="宋体" w:eastAsia="宋体" w:hint="default"/>
          <w:b/>
          <w:bCs/>
          <w:w w:val="99"/>
          <w:sz w:val="24"/>
          <w:szCs w:val="24"/>
        </w:rPr>
        <w:t> </w:t>
      </w:r>
      <w:r>
        <w:rPr>
          <w:rFonts w:ascii="宋体" w:hAnsi="宋体" w:cs="宋体" w:eastAsia="宋体" w:hint="default"/>
          <w:sz w:val="24"/>
          <w:szCs w:val="24"/>
        </w:rPr>
        <w:t>公司的经营目前存在以下的风险因素。</w:t>
      </w:r>
    </w:p>
    <w:p>
      <w:pPr>
        <w:spacing w:line="357" w:lineRule="auto" w:before="36"/>
        <w:ind w:left="677" w:right="183"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、市场开拓的风险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公司在增强提高日本市场竞争力的同时，将继续积极开拓欧美和国内市场，此举是</w:t>
      </w:r>
    </w:p>
    <w:p>
      <w:pPr>
        <w:pStyle w:val="BodyText"/>
        <w:spacing w:line="357" w:lineRule="auto"/>
        <w:ind w:left="197" w:right="234"/>
        <w:jc w:val="both"/>
      </w:pPr>
      <w:r>
        <w:rPr/>
        <w:t>公司努力打造成为国际化综合一流水平的 </w:t>
      </w:r>
      <w:r>
        <w:rPr>
          <w:rFonts w:ascii="宋体" w:hAnsi="宋体" w:cs="宋体" w:eastAsia="宋体" w:hint="default"/>
        </w:rPr>
        <w:t>IT</w:t>
      </w:r>
      <w:r>
        <w:rPr>
          <w:rFonts w:ascii="宋体" w:hAnsi="宋体" w:cs="宋体" w:eastAsia="宋体" w:hint="default"/>
          <w:spacing w:val="-48"/>
        </w:rPr>
        <w:t> </w:t>
      </w:r>
      <w:r>
        <w:rPr/>
        <w:t>服务企业的重要一步。但随着目前全球经 </w:t>
      </w:r>
      <w:r>
        <w:rPr>
          <w:spacing w:val="-2"/>
        </w:rPr>
        <w:t>济受欧债危机等多重不利因素影响，复苏的步伐放缓以及国内市场的成熟度等情形使得</w:t>
      </w:r>
      <w:r>
        <w:rPr>
          <w:spacing w:val="-93"/>
        </w:rPr>
        <w:t> </w:t>
      </w:r>
      <w:r>
        <w:rPr>
          <w:spacing w:val="-93"/>
        </w:rPr>
      </w:r>
      <w:r>
        <w:rPr/>
        <w:t>市场开拓存在着一定的不确定因素。</w:t>
      </w:r>
    </w:p>
    <w:p>
      <w:pPr>
        <w:spacing w:line="357" w:lineRule="auto" w:before="36"/>
        <w:ind w:left="677" w:right="183"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、人力成本的压力</w:t>
      </w:r>
      <w:r>
        <w:rPr>
          <w:rFonts w:ascii="宋体" w:hAnsi="宋体" w:cs="宋体" w:eastAsia="宋体" w:hint="default"/>
          <w:b/>
          <w:bCs/>
          <w:w w:val="99"/>
          <w:sz w:val="24"/>
          <w:szCs w:val="24"/>
        </w:rPr>
        <w:t> </w:t>
      </w:r>
      <w:r>
        <w:rPr>
          <w:rFonts w:ascii="宋体" w:hAnsi="宋体" w:cs="宋体" w:eastAsia="宋体" w:hint="default"/>
          <w:spacing w:val="-2"/>
          <w:sz w:val="24"/>
          <w:szCs w:val="24"/>
        </w:rPr>
        <w:t>作为知识密集和人才密集型企业，公司最主要的经营成本是人力成本。近年来，大</w:t>
      </w:r>
    </w:p>
    <w:p>
      <w:pPr>
        <w:pStyle w:val="BodyText"/>
        <w:spacing w:line="357" w:lineRule="auto"/>
        <w:ind w:left="197" w:right="237"/>
        <w:jc w:val="both"/>
      </w:pPr>
      <w:r>
        <w:rPr>
          <w:spacing w:val="-2"/>
        </w:rPr>
        <w:t>范围的人才竞争、通货膨胀、上海的居住环境成本上升，都给公司造成了极大的人力成</w:t>
      </w:r>
      <w:r>
        <w:rPr>
          <w:spacing w:val="-95"/>
        </w:rPr>
        <w:t> </w:t>
      </w:r>
      <w:r>
        <w:rPr>
          <w:spacing w:val="-95"/>
        </w:rPr>
      </w:r>
      <w:r>
        <w:rPr/>
        <w:t>本压力。</w:t>
      </w:r>
    </w:p>
    <w:p>
      <w:pPr>
        <w:pStyle w:val="BodyText"/>
        <w:spacing w:line="357" w:lineRule="auto"/>
        <w:ind w:left="197" w:right="233" w:firstLine="480"/>
        <w:jc w:val="both"/>
      </w:pPr>
      <w:r>
        <w:rPr>
          <w:spacing w:val="-2"/>
        </w:rPr>
        <w:t>为应对不断上涨的人力成本压力，公司已在南京成立了全资子公司江苏海隆。经过</w:t>
      </w:r>
      <w:r>
        <w:rPr/>
        <w:t> </w:t>
      </w:r>
      <w:r>
        <w:rPr>
          <w:spacing w:val="-2"/>
        </w:rPr>
        <w:t>一年多的运营，取得了良好的经营业绩，为缓解人力成本上升压力、加速扩张公司业务</w:t>
      </w:r>
      <w:r>
        <w:rPr>
          <w:spacing w:val="-95"/>
        </w:rPr>
        <w:t> </w:t>
      </w:r>
      <w:r>
        <w:rPr>
          <w:spacing w:val="-95"/>
        </w:rPr>
      </w:r>
      <w:r>
        <w:rPr>
          <w:spacing w:val="-2"/>
        </w:rPr>
        <w:t>规模起到了良好的作用。公司将以此为基础，认真总结经验，逐步扩大已有成果，以期</w:t>
      </w:r>
      <w:r>
        <w:rPr>
          <w:spacing w:val="-92"/>
        </w:rPr>
        <w:t> </w:t>
      </w:r>
      <w:r>
        <w:rPr>
          <w:spacing w:val="-92"/>
        </w:rPr>
      </w:r>
      <w:r>
        <w:rPr/>
        <w:t>取得更大的成效。</w:t>
      </w:r>
    </w:p>
    <w:p>
      <w:pPr>
        <w:spacing w:line="357" w:lineRule="auto" w:before="36"/>
        <w:ind w:left="677" w:right="183"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、核心技术人员流失的风险</w:t>
      </w:r>
      <w:r>
        <w:rPr>
          <w:rFonts w:ascii="宋体" w:hAnsi="宋体" w:cs="宋体" w:eastAsia="宋体" w:hint="default"/>
          <w:b/>
          <w:bCs/>
          <w:w w:val="99"/>
          <w:sz w:val="24"/>
          <w:szCs w:val="24"/>
        </w:rPr>
        <w:t> </w:t>
      </w:r>
      <w:r>
        <w:rPr>
          <w:rFonts w:ascii="宋体" w:hAnsi="宋体" w:cs="宋体" w:eastAsia="宋体" w:hint="default"/>
          <w:spacing w:val="-2"/>
          <w:sz w:val="24"/>
          <w:szCs w:val="24"/>
        </w:rPr>
        <w:t>核心技术人员是公司生存和发展的关键，是公司维持和提高核心竞争力的基石。随</w:t>
      </w:r>
    </w:p>
    <w:p>
      <w:pPr>
        <w:pStyle w:val="BodyText"/>
        <w:spacing w:line="357" w:lineRule="auto"/>
        <w:ind w:left="617" w:right="100" w:hanging="420"/>
        <w:jc w:val="left"/>
      </w:pPr>
      <w:r>
        <w:rPr>
          <w:spacing w:val="-5"/>
        </w:rPr>
        <w:t>着市场竞争、企业间对人才争夺的加剧，未来公司将可能面临核心技术人员流失的风险。</w:t>
      </w:r>
      <w:r>
        <w:rPr>
          <w:spacing w:val="-94"/>
        </w:rPr>
        <w:t> </w:t>
      </w:r>
      <w:r>
        <w:rPr>
          <w:spacing w:val="-94"/>
        </w:rPr>
      </w:r>
      <w:r>
        <w:rPr>
          <w:spacing w:val="-4"/>
        </w:rPr>
        <w:t>为了解决这一问题，公司在人力资源上一方面积极采取提前培养、提前储备的战略，</w:t>
      </w:r>
    </w:p>
    <w:p>
      <w:pPr>
        <w:pStyle w:val="BodyText"/>
        <w:spacing w:line="357" w:lineRule="auto"/>
        <w:ind w:left="197" w:right="238"/>
        <w:jc w:val="both"/>
      </w:pPr>
      <w:r>
        <w:rPr>
          <w:spacing w:val="-2"/>
        </w:rPr>
        <w:t>加大内部人才培养的力度，加强培训体系的建设，培育核心团队；另一方面公司将继续</w:t>
      </w:r>
      <w:r>
        <w:rPr>
          <w:spacing w:val="-95"/>
        </w:rPr>
        <w:t> </w:t>
      </w:r>
      <w:r>
        <w:rPr>
          <w:spacing w:val="-95"/>
        </w:rPr>
      </w:r>
      <w:r>
        <w:rPr>
          <w:spacing w:val="-2"/>
        </w:rPr>
        <w:t>从外部引进社会优秀人才，丰富人才结构。同时，公司限制性股票激励计划已经顺利实</w:t>
      </w:r>
      <w:r>
        <w:rPr>
          <w:spacing w:val="-95"/>
        </w:rPr>
        <w:t> </w:t>
      </w:r>
      <w:r>
        <w:rPr>
          <w:spacing w:val="-95"/>
        </w:rPr>
      </w:r>
      <w:r>
        <w:rPr>
          <w:spacing w:val="-2"/>
        </w:rPr>
        <w:t>施，这一措施极大地提高了核心技术人员及其他员工的积极性、创造性与责任心，并将</w:t>
      </w:r>
      <w:r>
        <w:rPr>
          <w:spacing w:val="-95"/>
        </w:rPr>
        <w:t> </w:t>
      </w:r>
      <w:r>
        <w:rPr>
          <w:spacing w:val="-95"/>
        </w:rPr>
      </w:r>
      <w:r>
        <w:rPr/>
        <w:t>最终提高公司业绩、回馈公司股东。</w:t>
      </w:r>
    </w:p>
    <w:p>
      <w:pPr>
        <w:spacing w:line="357" w:lineRule="auto" w:before="36"/>
        <w:ind w:left="617" w:right="229" w:hanging="42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、汇率波动的风险</w:t>
      </w:r>
      <w:r>
        <w:rPr>
          <w:rFonts w:ascii="宋体" w:hAnsi="宋体" w:cs="宋体" w:eastAsia="宋体" w:hint="default"/>
          <w:b/>
          <w:bCs/>
          <w:w w:val="99"/>
          <w:sz w:val="24"/>
          <w:szCs w:val="24"/>
        </w:rPr>
        <w:t> </w:t>
      </w:r>
      <w:r>
        <w:rPr>
          <w:rFonts w:ascii="宋体" w:hAnsi="宋体" w:cs="宋体" w:eastAsia="宋体" w:hint="default"/>
          <w:sz w:val="24"/>
          <w:szCs w:val="24"/>
        </w:rPr>
        <w:t>公司主营业务为面向海外的软件外包服务，业务结算币种中日元、美元所占比例很</w:t>
      </w:r>
    </w:p>
    <w:p>
      <w:pPr>
        <w:pStyle w:val="BodyText"/>
        <w:spacing w:line="240" w:lineRule="auto"/>
        <w:ind w:left="197" w:right="183"/>
        <w:jc w:val="left"/>
      </w:pPr>
      <w:r>
        <w:rPr/>
        <w:t>高，出口收入已占总收入的</w:t>
      </w:r>
      <w:r>
        <w:rPr>
          <w:spacing w:val="-49"/>
        </w:rPr>
        <w:t> </w:t>
      </w:r>
      <w:r>
        <w:rPr>
          <w:rFonts w:ascii="宋体" w:hAnsi="宋体" w:cs="宋体" w:eastAsia="宋体" w:hint="default"/>
        </w:rPr>
        <w:t>80%</w:t>
      </w:r>
      <w:r>
        <w:rPr/>
        <w:t>以上，因而，长期的人民币升值趋势及汇率波动将是压</w:t>
      </w:r>
    </w:p>
    <w:p>
      <w:pPr>
        <w:spacing w:after="0" w:line="240" w:lineRule="auto"/>
        <w:jc w:val="left"/>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357" w:lineRule="auto" w:before="26"/>
        <w:ind w:left="617" w:right="3829" w:hanging="420"/>
        <w:jc w:val="left"/>
      </w:pPr>
      <w:r>
        <w:rPr/>
        <w:t>迫经营业绩的重要因素。 公司面对这样的不确定因素，将采取如下对策：</w:t>
      </w:r>
    </w:p>
    <w:p>
      <w:pPr>
        <w:pStyle w:val="BodyText"/>
        <w:spacing w:line="357" w:lineRule="auto"/>
        <w:ind w:left="197" w:right="235" w:firstLine="420"/>
        <w:jc w:val="both"/>
      </w:pPr>
      <w:r>
        <w:rPr>
          <w:spacing w:val="-3"/>
        </w:rPr>
        <w:t>（</w:t>
      </w:r>
      <w:r>
        <w:rPr>
          <w:rFonts w:ascii="宋体" w:hAnsi="宋体" w:cs="宋体" w:eastAsia="宋体" w:hint="default"/>
          <w:spacing w:val="-3"/>
        </w:rPr>
        <w:t>1</w:t>
      </w:r>
      <w:r>
        <w:rPr>
          <w:spacing w:val="-3"/>
        </w:rPr>
        <w:t>）积极采用远期结汇等金融手段，根据公司外汇收入的情况，锁定部分未来外汇</w:t>
      </w:r>
      <w:r>
        <w:rPr/>
        <w:t> 收入的结算汇率，消除一定程度的不确定性因素。</w:t>
      </w:r>
    </w:p>
    <w:p>
      <w:pPr>
        <w:spacing w:line="357" w:lineRule="auto" w:before="36"/>
        <w:ind w:left="197" w:right="100" w:firstLine="42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2</w:t>
      </w:r>
      <w:r>
        <w:rPr>
          <w:rFonts w:ascii="宋体" w:hAnsi="宋体" w:cs="宋体" w:eastAsia="宋体" w:hint="default"/>
          <w:spacing w:val="-7"/>
          <w:sz w:val="24"/>
          <w:szCs w:val="24"/>
        </w:rPr>
        <w:t>）努力开拓国内市场，增加人民币收入，适当平衡外汇汇率波动引起的不确定性。</w:t>
      </w:r>
      <w:r>
        <w:rPr>
          <w:rFonts w:ascii="宋体" w:hAnsi="宋体" w:cs="宋体" w:eastAsia="宋体" w:hint="default"/>
          <w:sz w:val="24"/>
          <w:szCs w:val="24"/>
        </w:rPr>
        <w:t> </w:t>
      </w:r>
      <w:r>
        <w:rPr>
          <w:rFonts w:ascii="宋体" w:hAnsi="宋体" w:cs="宋体" w:eastAsia="宋体" w:hint="default"/>
          <w:b/>
          <w:bCs/>
          <w:sz w:val="24"/>
          <w:szCs w:val="24"/>
        </w:rPr>
        <w:t>5</w:t>
      </w:r>
      <w:r>
        <w:rPr>
          <w:rFonts w:ascii="宋体" w:hAnsi="宋体" w:cs="宋体" w:eastAsia="宋体" w:hint="default"/>
          <w:b/>
          <w:bCs/>
          <w:sz w:val="24"/>
          <w:szCs w:val="24"/>
        </w:rPr>
        <w:t>、税收优惠政策变化的风险</w:t>
      </w:r>
      <w:r>
        <w:rPr>
          <w:rFonts w:ascii="宋体" w:hAnsi="宋体" w:cs="宋体" w:eastAsia="宋体" w:hint="default"/>
          <w:sz w:val="24"/>
          <w:szCs w:val="24"/>
        </w:rPr>
      </w:r>
    </w:p>
    <w:p>
      <w:pPr>
        <w:pStyle w:val="BodyText"/>
        <w:spacing w:line="357" w:lineRule="auto"/>
        <w:ind w:left="197" w:right="234" w:firstLine="420"/>
        <w:jc w:val="both"/>
      </w:pPr>
      <w:r>
        <w:rPr/>
        <w:t>公司自</w:t>
      </w:r>
      <w:r>
        <w:rPr>
          <w:spacing w:val="-20"/>
        </w:rPr>
        <w:t> </w:t>
      </w:r>
      <w:r>
        <w:rPr>
          <w:rFonts w:ascii="宋体" w:hAnsi="宋体" w:cs="宋体" w:eastAsia="宋体" w:hint="default"/>
        </w:rPr>
        <w:t>2002</w:t>
      </w:r>
      <w:r>
        <w:rPr>
          <w:rFonts w:ascii="宋体" w:hAnsi="宋体" w:cs="宋体" w:eastAsia="宋体" w:hint="default"/>
          <w:spacing w:val="-20"/>
        </w:rPr>
        <w:t> </w:t>
      </w:r>
      <w:r>
        <w:rPr/>
        <w:t>年起至</w:t>
      </w:r>
      <w:r>
        <w:rPr>
          <w:spacing w:val="-19"/>
        </w:rPr>
        <w:t> </w:t>
      </w:r>
      <w:r>
        <w:rPr>
          <w:rFonts w:ascii="宋体" w:hAnsi="宋体" w:cs="宋体" w:eastAsia="宋体" w:hint="default"/>
        </w:rPr>
        <w:t>2010</w:t>
      </w:r>
      <w:r>
        <w:rPr>
          <w:rFonts w:ascii="宋体" w:hAnsi="宋体" w:cs="宋体" w:eastAsia="宋体" w:hint="default"/>
          <w:spacing w:val="-19"/>
        </w:rPr>
        <w:t> </w:t>
      </w:r>
      <w:r>
        <w:rPr/>
        <w:t>年，连续</w:t>
      </w:r>
      <w:r>
        <w:rPr>
          <w:spacing w:val="-20"/>
        </w:rPr>
        <w:t> </w:t>
      </w:r>
      <w:r>
        <w:rPr>
          <w:rFonts w:ascii="宋体" w:hAnsi="宋体" w:cs="宋体" w:eastAsia="宋体" w:hint="default"/>
        </w:rPr>
        <w:t>9</w:t>
      </w:r>
      <w:r>
        <w:rPr>
          <w:rFonts w:ascii="宋体" w:hAnsi="宋体" w:cs="宋体" w:eastAsia="宋体" w:hint="default"/>
          <w:spacing w:val="-20"/>
        </w:rPr>
        <w:t> </w:t>
      </w:r>
      <w:r>
        <w:rPr/>
        <w:t>年均被认定为“国家规划布局内重点软件企 业”，持续享受减按</w:t>
      </w:r>
      <w:r>
        <w:rPr>
          <w:spacing w:val="-49"/>
        </w:rPr>
        <w:t> </w:t>
      </w:r>
      <w:r>
        <w:rPr>
          <w:rFonts w:ascii="宋体" w:hAnsi="宋体" w:cs="宋体" w:eastAsia="宋体" w:hint="default"/>
        </w:rPr>
        <w:t>10%</w:t>
      </w:r>
      <w:r>
        <w:rPr/>
        <w:t>的税率征收企业所得税的税收优惠政策。且公司已获得上海市 </w:t>
      </w:r>
      <w:r>
        <w:rPr>
          <w:spacing w:val="-2"/>
        </w:rPr>
        <w:t>科委、上海市财政局、上海市国家税务局、上海市地方税务局的《高新技术企业》的认</w:t>
      </w:r>
      <w:r>
        <w:rPr>
          <w:spacing w:val="-94"/>
        </w:rPr>
        <w:t> </w:t>
      </w:r>
      <w:r>
        <w:rPr>
          <w:spacing w:val="-94"/>
        </w:rPr>
      </w:r>
      <w:r>
        <w:rPr/>
        <w:t>证，</w:t>
      </w:r>
      <w:r>
        <w:rPr>
          <w:rFonts w:ascii="宋体" w:hAnsi="宋体" w:cs="宋体" w:eastAsia="宋体" w:hint="default"/>
        </w:rPr>
        <w:t>2011</w:t>
      </w:r>
      <w:r>
        <w:rPr>
          <w:rFonts w:ascii="宋体" w:hAnsi="宋体" w:cs="宋体" w:eastAsia="宋体" w:hint="default"/>
          <w:spacing w:val="-44"/>
        </w:rPr>
        <w:t> </w:t>
      </w:r>
      <w:r>
        <w:rPr/>
        <w:t>年度至</w:t>
      </w:r>
      <w:r>
        <w:rPr>
          <w:spacing w:val="-44"/>
        </w:rPr>
        <w:t> </w:t>
      </w:r>
      <w:r>
        <w:rPr>
          <w:rFonts w:ascii="宋体" w:hAnsi="宋体" w:cs="宋体" w:eastAsia="宋体" w:hint="default"/>
        </w:rPr>
        <w:t>2013</w:t>
      </w:r>
      <w:r>
        <w:rPr>
          <w:rFonts w:ascii="宋体" w:hAnsi="宋体" w:cs="宋体" w:eastAsia="宋体" w:hint="default"/>
          <w:spacing w:val="-41"/>
        </w:rPr>
        <w:t> </w:t>
      </w:r>
      <w:r>
        <w:rPr/>
        <w:t>年度继续享受减按</w:t>
      </w:r>
      <w:r>
        <w:rPr>
          <w:spacing w:val="-44"/>
        </w:rPr>
        <w:t> </w:t>
      </w:r>
      <w:r>
        <w:rPr>
          <w:rFonts w:ascii="宋体" w:hAnsi="宋体" w:cs="宋体" w:eastAsia="宋体" w:hint="default"/>
        </w:rPr>
        <w:t>15%</w:t>
      </w:r>
      <w:r>
        <w:rPr/>
        <w:t>的税率征收企业所得税的税收优惠政策。 </w:t>
      </w:r>
      <w:r>
        <w:rPr>
          <w:spacing w:val="-6"/>
        </w:rPr>
        <w:t>因截止目前，</w:t>
      </w:r>
      <w:r>
        <w:rPr>
          <w:rFonts w:ascii="宋体" w:hAnsi="宋体" w:cs="宋体" w:eastAsia="宋体" w:hint="default"/>
          <w:spacing w:val="-6"/>
        </w:rPr>
        <w:t>2011</w:t>
      </w:r>
      <w:r>
        <w:rPr>
          <w:rFonts w:ascii="宋体" w:hAnsi="宋体" w:cs="宋体" w:eastAsia="宋体" w:hint="default"/>
          <w:spacing w:val="-54"/>
        </w:rPr>
        <w:t> </w:t>
      </w:r>
      <w:r>
        <w:rPr>
          <w:spacing w:val="-2"/>
        </w:rPr>
        <w:t>年度“国家规划布局内重点软件企业”的申报工作尚未开始，基于谨</w:t>
      </w:r>
      <w:r>
        <w:rPr/>
        <w:t> 慎性原则，公司</w:t>
      </w:r>
      <w:r>
        <w:rPr>
          <w:spacing w:val="-61"/>
        </w:rPr>
        <w:t> </w:t>
      </w:r>
      <w:r>
        <w:rPr>
          <w:rFonts w:ascii="宋体" w:hAnsi="宋体" w:cs="宋体" w:eastAsia="宋体" w:hint="default"/>
        </w:rPr>
        <w:t>2011</w:t>
      </w:r>
      <w:r>
        <w:rPr>
          <w:rFonts w:ascii="宋体" w:hAnsi="宋体" w:cs="宋体" w:eastAsia="宋体" w:hint="default"/>
          <w:spacing w:val="-60"/>
        </w:rPr>
        <w:t> </w:t>
      </w:r>
      <w:r>
        <w:rPr/>
        <w:t>年度财务数据按企业所得税税率</w:t>
      </w:r>
      <w:r>
        <w:rPr>
          <w:spacing w:val="-59"/>
        </w:rPr>
        <w:t> </w:t>
      </w:r>
      <w:r>
        <w:rPr>
          <w:rFonts w:ascii="宋体" w:hAnsi="宋体" w:cs="宋体" w:eastAsia="宋体" w:hint="default"/>
        </w:rPr>
        <w:t>15%</w:t>
      </w:r>
      <w:r>
        <w:rPr/>
        <w:t>进行核算。</w:t>
      </w:r>
    </w:p>
    <w:p>
      <w:pPr>
        <w:pStyle w:val="BodyText"/>
        <w:spacing w:line="357" w:lineRule="auto"/>
        <w:ind w:left="197" w:right="235" w:firstLine="424"/>
        <w:jc w:val="both"/>
      </w:pPr>
      <w:r>
        <w:rPr/>
        <w:t>如果国家或地方有关国家规划布局内重点软件企业和高新技术企业的认定和税收优 </w:t>
      </w:r>
      <w:r>
        <w:rPr>
          <w:spacing w:val="-2"/>
        </w:rPr>
        <w:t>惠的法律法规发生变化，或其他原因导致公司不再符合国家规划布局内重点软件企业和</w:t>
      </w:r>
      <w:r>
        <w:rPr>
          <w:spacing w:val="-92"/>
        </w:rPr>
        <w:t> </w:t>
      </w:r>
      <w:r>
        <w:rPr>
          <w:spacing w:val="-92"/>
        </w:rPr>
      </w:r>
      <w:r>
        <w:rPr/>
        <w:t>高新技术企业的认定条件，则公司的盈利将有可能会受到影响。</w:t>
      </w:r>
    </w:p>
    <w:p>
      <w:pPr>
        <w:spacing w:line="240" w:lineRule="auto" w:before="0"/>
        <w:rPr>
          <w:rFonts w:ascii="宋体" w:hAnsi="宋体" w:cs="宋体" w:eastAsia="宋体" w:hint="default"/>
          <w:sz w:val="24"/>
          <w:szCs w:val="24"/>
        </w:rPr>
      </w:pPr>
    </w:p>
    <w:p>
      <w:pPr>
        <w:pStyle w:val="Heading3"/>
        <w:spacing w:line="240" w:lineRule="auto" w:before="190"/>
        <w:ind w:left="197" w:right="279"/>
        <w:jc w:val="left"/>
        <w:rPr>
          <w:b w:val="0"/>
          <w:bCs w:val="0"/>
        </w:rPr>
      </w:pPr>
      <w:r>
        <w:rPr/>
        <w:t>四、董事会日常工作情况</w:t>
      </w:r>
      <w:r>
        <w:rPr>
          <w:b w:val="0"/>
          <w:bCs w:val="0"/>
        </w:rPr>
      </w:r>
    </w:p>
    <w:p>
      <w:pPr>
        <w:pStyle w:val="BodyText"/>
        <w:spacing w:line="240" w:lineRule="auto" w:before="154"/>
        <w:ind w:left="197" w:right="279"/>
        <w:jc w:val="left"/>
      </w:pPr>
      <w:r>
        <w:rPr/>
        <w:t>（一）</w:t>
      </w:r>
      <w:r>
        <w:rPr>
          <w:rFonts w:ascii="宋体" w:hAnsi="宋体" w:cs="宋体" w:eastAsia="宋体" w:hint="default"/>
        </w:rPr>
        <w:t>2011</w:t>
      </w:r>
      <w:r>
        <w:rPr>
          <w:rFonts w:ascii="宋体" w:hAnsi="宋体" w:cs="宋体" w:eastAsia="宋体" w:hint="default"/>
          <w:spacing w:val="-61"/>
        </w:rPr>
        <w:t> </w:t>
      </w:r>
      <w:r>
        <w:rPr/>
        <w:t>年董事会的会议情况</w:t>
      </w:r>
    </w:p>
    <w:p>
      <w:pPr>
        <w:pStyle w:val="BodyText"/>
        <w:spacing w:line="240" w:lineRule="auto" w:before="154"/>
        <w:ind w:left="617" w:right="279"/>
        <w:jc w:val="left"/>
      </w:pPr>
      <w:r>
        <w:rPr>
          <w:rFonts w:ascii="宋体" w:hAnsi="宋体" w:cs="宋体" w:eastAsia="宋体" w:hint="default"/>
        </w:rPr>
        <w:t>2011</w:t>
      </w:r>
      <w:r>
        <w:rPr>
          <w:rFonts w:ascii="宋体" w:hAnsi="宋体" w:cs="宋体" w:eastAsia="宋体" w:hint="default"/>
          <w:spacing w:val="-61"/>
        </w:rPr>
        <w:t> </w:t>
      </w:r>
      <w:r>
        <w:rPr/>
        <w:t>年度公司董事会共召开了</w:t>
      </w:r>
      <w:r>
        <w:rPr>
          <w:spacing w:val="-60"/>
        </w:rPr>
        <w:t> </w:t>
      </w:r>
      <w:r>
        <w:rPr>
          <w:rFonts w:ascii="宋体" w:hAnsi="宋体" w:cs="宋体" w:eastAsia="宋体" w:hint="default"/>
        </w:rPr>
        <w:t>9</w:t>
      </w:r>
      <w:r>
        <w:rPr>
          <w:rFonts w:ascii="宋体" w:hAnsi="宋体" w:cs="宋体" w:eastAsia="宋体" w:hint="default"/>
          <w:spacing w:val="-60"/>
        </w:rPr>
        <w:t> </w:t>
      </w:r>
      <w:r>
        <w:rPr/>
        <w:t>次董事会，相关情况如下：</w:t>
      </w:r>
    </w:p>
    <w:p>
      <w:pPr>
        <w:pStyle w:val="BodyText"/>
        <w:spacing w:line="240" w:lineRule="auto" w:before="154"/>
        <w:ind w:left="617" w:right="183"/>
        <w:jc w:val="left"/>
      </w:pPr>
      <w:r>
        <w:rPr>
          <w:rFonts w:ascii="宋体" w:hAnsi="宋体" w:cs="宋体" w:eastAsia="宋体" w:hint="default"/>
          <w:spacing w:val="-3"/>
        </w:rPr>
        <w:t>1</w:t>
      </w:r>
      <w:r>
        <w:rPr>
          <w:spacing w:val="-3"/>
        </w:rPr>
        <w:t>、</w:t>
      </w:r>
      <w:r>
        <w:rPr>
          <w:rFonts w:ascii="宋体" w:hAnsi="宋体" w:cs="宋体" w:eastAsia="宋体" w:hint="default"/>
          <w:spacing w:val="-3"/>
        </w:rPr>
        <w:t>2011</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w:t>
      </w:r>
      <w:r>
        <w:rPr>
          <w:spacing w:val="-67"/>
        </w:rPr>
        <w:t> </w:t>
      </w:r>
      <w:r>
        <w:rPr>
          <w:rFonts w:ascii="宋体" w:hAnsi="宋体" w:cs="宋体" w:eastAsia="宋体" w:hint="default"/>
        </w:rPr>
        <w:t>27</w:t>
      </w:r>
      <w:r>
        <w:rPr>
          <w:rFonts w:ascii="宋体" w:hAnsi="宋体" w:cs="宋体" w:eastAsia="宋体" w:hint="default"/>
          <w:spacing w:val="-67"/>
        </w:rPr>
        <w:t> </w:t>
      </w:r>
      <w:r>
        <w:rPr/>
        <w:t>日，公司以通讯方式召开了第四届董事会第五次会议，相关决议</w:t>
      </w:r>
    </w:p>
    <w:p>
      <w:pPr>
        <w:pStyle w:val="BodyText"/>
        <w:spacing w:line="240" w:lineRule="auto" w:before="154"/>
        <w:ind w:left="197" w:right="279"/>
        <w:jc w:val="left"/>
      </w:pPr>
      <w:r>
        <w:rPr/>
        <w:t>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240" w:lineRule="auto" w:before="154"/>
        <w:ind w:left="617" w:right="183"/>
        <w:jc w:val="left"/>
      </w:pPr>
      <w:r>
        <w:rPr>
          <w:rFonts w:ascii="宋体" w:hAnsi="宋体" w:cs="宋体" w:eastAsia="宋体" w:hint="default"/>
          <w:spacing w:val="-3"/>
        </w:rPr>
        <w:t>2</w:t>
      </w:r>
      <w:r>
        <w:rPr>
          <w:spacing w:val="-3"/>
        </w:rPr>
        <w:t>、</w:t>
      </w:r>
      <w:r>
        <w:rPr>
          <w:rFonts w:ascii="宋体" w:hAnsi="宋体" w:cs="宋体" w:eastAsia="宋体" w:hint="default"/>
          <w:spacing w:val="-3"/>
        </w:rPr>
        <w:t>2011</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w:t>
      </w:r>
      <w:r>
        <w:rPr>
          <w:spacing w:val="-67"/>
        </w:rPr>
        <w:t> </w:t>
      </w:r>
      <w:r>
        <w:rPr>
          <w:rFonts w:ascii="宋体" w:hAnsi="宋体" w:cs="宋体" w:eastAsia="宋体" w:hint="default"/>
        </w:rPr>
        <w:t>11</w:t>
      </w:r>
      <w:r>
        <w:rPr>
          <w:rFonts w:ascii="宋体" w:hAnsi="宋体" w:cs="宋体" w:eastAsia="宋体" w:hint="default"/>
          <w:spacing w:val="-67"/>
        </w:rPr>
        <w:t> </w:t>
      </w:r>
      <w:r>
        <w:rPr/>
        <w:t>日，公司以现场方式召开了第四届董事会第六次会议，相关决议</w:t>
      </w:r>
    </w:p>
    <w:p>
      <w:pPr>
        <w:pStyle w:val="BodyText"/>
        <w:spacing w:line="240" w:lineRule="auto" w:before="154"/>
        <w:ind w:left="197" w:right="279"/>
        <w:jc w:val="left"/>
      </w:pPr>
      <w:r>
        <w:rPr/>
        <w:t>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240" w:lineRule="auto" w:before="154"/>
        <w:ind w:left="617" w:right="183"/>
        <w:jc w:val="left"/>
      </w:pPr>
      <w:r>
        <w:rPr>
          <w:rFonts w:ascii="宋体" w:hAnsi="宋体" w:cs="宋体" w:eastAsia="宋体" w:hint="default"/>
          <w:spacing w:val="-3"/>
        </w:rPr>
        <w:t>3</w:t>
      </w:r>
      <w:r>
        <w:rPr>
          <w:spacing w:val="-3"/>
        </w:rPr>
        <w:t>、</w:t>
      </w:r>
      <w:r>
        <w:rPr>
          <w:rFonts w:ascii="宋体" w:hAnsi="宋体" w:cs="宋体" w:eastAsia="宋体" w:hint="default"/>
          <w:spacing w:val="-3"/>
        </w:rPr>
        <w:t>2011</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w:t>
      </w:r>
      <w:r>
        <w:rPr>
          <w:spacing w:val="-67"/>
        </w:rPr>
        <w:t> </w:t>
      </w:r>
      <w:r>
        <w:rPr>
          <w:rFonts w:ascii="宋体" w:hAnsi="宋体" w:cs="宋体" w:eastAsia="宋体" w:hint="default"/>
        </w:rPr>
        <w:t>21</w:t>
      </w:r>
      <w:r>
        <w:rPr>
          <w:rFonts w:ascii="宋体" w:hAnsi="宋体" w:cs="宋体" w:eastAsia="宋体" w:hint="default"/>
          <w:spacing w:val="-67"/>
        </w:rPr>
        <w:t> </w:t>
      </w:r>
      <w:r>
        <w:rPr/>
        <w:t>日，公司以现场方式召开了第四届董事会第七次会议，审议了公</w:t>
      </w:r>
    </w:p>
    <w:p>
      <w:pPr>
        <w:pStyle w:val="BodyText"/>
        <w:spacing w:line="357" w:lineRule="auto" w:before="154"/>
        <w:ind w:left="197" w:right="97"/>
        <w:jc w:val="left"/>
      </w:pPr>
      <w:r>
        <w:rPr/>
        <w:t>司</w:t>
      </w:r>
      <w:r>
        <w:rPr>
          <w:spacing w:val="-63"/>
        </w:rPr>
        <w:t> </w:t>
      </w:r>
      <w:r>
        <w:rPr>
          <w:rFonts w:ascii="宋体" w:hAnsi="宋体" w:cs="宋体" w:eastAsia="宋体" w:hint="default"/>
        </w:rPr>
        <w:t>2011</w:t>
      </w:r>
      <w:r>
        <w:rPr>
          <w:rFonts w:ascii="宋体" w:hAnsi="宋体" w:cs="宋体" w:eastAsia="宋体" w:hint="default"/>
          <w:spacing w:val="-64"/>
        </w:rPr>
        <w:t> </w:t>
      </w:r>
      <w:r>
        <w:rPr/>
        <w:t>年第一季度季度报告。报告正文及全文刊登于</w:t>
      </w:r>
      <w:r>
        <w:rPr>
          <w:spacing w:val="-62"/>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22</w:t>
      </w:r>
      <w:r>
        <w:rPr>
          <w:rFonts w:ascii="宋体" w:hAnsi="宋体" w:cs="宋体" w:eastAsia="宋体" w:hint="default"/>
          <w:spacing w:val="-63"/>
        </w:rPr>
        <w:t> </w:t>
      </w:r>
      <w:r>
        <w:rPr>
          <w:spacing w:val="-3"/>
        </w:rPr>
        <w:t>日《中国证券报》</w:t>
      </w:r>
      <w:r>
        <w:rPr/>
        <w:t> 及巨潮资讯网</w:t>
      </w:r>
      <w:r>
        <w:rPr>
          <w:spacing w:val="-61"/>
        </w:rPr>
        <w:t> </w:t>
      </w:r>
      <w:r>
        <w:rPr>
          <w:rFonts w:ascii="宋体" w:hAnsi="宋体" w:cs="宋体" w:eastAsia="宋体" w:hint="default"/>
          <w:color w:val="0000FF"/>
          <w:spacing w:val="-61"/>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240" w:lineRule="auto"/>
        <w:ind w:left="617" w:right="183"/>
        <w:jc w:val="left"/>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47"/>
        </w:rPr>
        <w:t> </w:t>
      </w:r>
      <w:r>
        <w:rPr/>
        <w:t>月</w:t>
      </w:r>
      <w:r>
        <w:rPr>
          <w:spacing w:val="-47"/>
        </w:rPr>
        <w:t> </w:t>
      </w:r>
      <w:r>
        <w:rPr>
          <w:rFonts w:ascii="宋体" w:hAnsi="宋体" w:cs="宋体" w:eastAsia="宋体" w:hint="default"/>
        </w:rPr>
        <w:t>8</w:t>
      </w:r>
      <w:r>
        <w:rPr>
          <w:rFonts w:ascii="宋体" w:hAnsi="宋体" w:cs="宋体" w:eastAsia="宋体" w:hint="default"/>
          <w:spacing w:val="-46"/>
        </w:rPr>
        <w:t> </w:t>
      </w:r>
      <w:r>
        <w:rPr/>
        <w:t>日，公司以现场方式召开了第四届董事会第八次会议，审议了公</w:t>
      </w:r>
    </w:p>
    <w:p>
      <w:pPr>
        <w:pStyle w:val="BodyText"/>
        <w:spacing w:line="357" w:lineRule="auto" w:before="154"/>
        <w:ind w:left="197" w:right="98"/>
        <w:jc w:val="left"/>
      </w:pPr>
      <w:r>
        <w:rPr/>
        <w:t>司</w:t>
      </w:r>
      <w:r>
        <w:rPr>
          <w:spacing w:val="-63"/>
        </w:rPr>
        <w:t> </w:t>
      </w:r>
      <w:r>
        <w:rPr>
          <w:rFonts w:ascii="宋体" w:hAnsi="宋体" w:cs="宋体" w:eastAsia="宋体" w:hint="default"/>
        </w:rPr>
        <w:t>2011</w:t>
      </w:r>
      <w:r>
        <w:rPr>
          <w:rFonts w:ascii="宋体" w:hAnsi="宋体" w:cs="宋体" w:eastAsia="宋体" w:hint="default"/>
          <w:spacing w:val="-64"/>
        </w:rPr>
        <w:t> </w:t>
      </w:r>
      <w:r>
        <w:rPr/>
        <w:t>年半年度报告，半年度报告摘要及全文刊登于</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10</w:t>
      </w:r>
      <w:r>
        <w:rPr>
          <w:rFonts w:ascii="宋体" w:hAnsi="宋体" w:cs="宋体" w:eastAsia="宋体" w:hint="default"/>
          <w:spacing w:val="-63"/>
        </w:rPr>
        <w:t> </w:t>
      </w:r>
      <w:r>
        <w:rPr>
          <w:spacing w:val="-3"/>
        </w:rPr>
        <w:t>日《中国证券报》</w:t>
      </w:r>
      <w:r>
        <w:rPr/>
        <w:t> 及巨潮资讯网</w:t>
      </w:r>
      <w:r>
        <w:rPr>
          <w:spacing w:val="-61"/>
        </w:rPr>
        <w:t> </w:t>
      </w:r>
      <w:r>
        <w:rPr>
          <w:rFonts w:ascii="宋体" w:hAnsi="宋体" w:cs="宋体" w:eastAsia="宋体" w:hint="default"/>
          <w:color w:val="0000FF"/>
          <w:spacing w:val="-61"/>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spacing w:after="0" w:line="357" w:lineRule="auto"/>
        <w:jc w:val="left"/>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240" w:lineRule="auto" w:before="26"/>
        <w:ind w:left="617" w:right="183"/>
        <w:jc w:val="left"/>
      </w:pPr>
      <w:r>
        <w:rPr>
          <w:rFonts w:ascii="宋体" w:hAnsi="宋体" w:cs="宋体" w:eastAsia="宋体" w:hint="default"/>
          <w:spacing w:val="-3"/>
        </w:rPr>
        <w:t>5</w:t>
      </w:r>
      <w:r>
        <w:rPr>
          <w:spacing w:val="-3"/>
        </w:rPr>
        <w:t>、</w:t>
      </w:r>
      <w:r>
        <w:rPr>
          <w:rFonts w:ascii="宋体" w:hAnsi="宋体" w:cs="宋体" w:eastAsia="宋体" w:hint="default"/>
          <w:spacing w:val="-3"/>
        </w:rPr>
        <w:t>2011</w:t>
      </w:r>
      <w:r>
        <w:rPr>
          <w:rFonts w:ascii="宋体" w:hAnsi="宋体" w:cs="宋体" w:eastAsia="宋体" w:hint="default"/>
          <w:spacing w:val="-67"/>
        </w:rPr>
        <w:t> </w:t>
      </w:r>
      <w:r>
        <w:rPr/>
        <w:t>年</w:t>
      </w:r>
      <w:r>
        <w:rPr>
          <w:spacing w:val="-67"/>
        </w:rPr>
        <w:t> </w:t>
      </w:r>
      <w:r>
        <w:rPr>
          <w:rFonts w:ascii="宋体" w:hAnsi="宋体" w:cs="宋体" w:eastAsia="宋体" w:hint="default"/>
        </w:rPr>
        <w:t>9</w:t>
      </w:r>
      <w:r>
        <w:rPr>
          <w:rFonts w:ascii="宋体" w:hAnsi="宋体" w:cs="宋体" w:eastAsia="宋体" w:hint="default"/>
          <w:spacing w:val="-67"/>
        </w:rPr>
        <w:t> </w:t>
      </w:r>
      <w:r>
        <w:rPr/>
        <w:t>月</w:t>
      </w:r>
      <w:r>
        <w:rPr>
          <w:spacing w:val="-67"/>
        </w:rPr>
        <w:t> </w:t>
      </w:r>
      <w:r>
        <w:rPr>
          <w:rFonts w:ascii="宋体" w:hAnsi="宋体" w:cs="宋体" w:eastAsia="宋体" w:hint="default"/>
        </w:rPr>
        <w:t>19</w:t>
      </w:r>
      <w:r>
        <w:rPr>
          <w:rFonts w:ascii="宋体" w:hAnsi="宋体" w:cs="宋体" w:eastAsia="宋体" w:hint="default"/>
          <w:spacing w:val="-67"/>
        </w:rPr>
        <w:t> </w:t>
      </w:r>
      <w:r>
        <w:rPr/>
        <w:t>日，公司以现场方式召开了第四届董事会第九次会议，相关决议</w:t>
      </w:r>
    </w:p>
    <w:p>
      <w:pPr>
        <w:pStyle w:val="BodyText"/>
        <w:spacing w:line="240" w:lineRule="auto" w:before="154"/>
        <w:ind w:left="197" w:right="0"/>
        <w:jc w:val="both"/>
      </w:pPr>
      <w:r>
        <w:rPr/>
        <w:t>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240" w:lineRule="auto" w:before="154"/>
        <w:ind w:left="617" w:right="183"/>
        <w:jc w:val="left"/>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7"/>
        </w:rPr>
        <w:t> </w:t>
      </w:r>
      <w:r>
        <w:rPr>
          <w:rFonts w:ascii="宋体" w:hAnsi="宋体" w:cs="宋体" w:eastAsia="宋体" w:hint="default"/>
        </w:rPr>
        <w:t>24</w:t>
      </w:r>
      <w:r>
        <w:rPr>
          <w:rFonts w:ascii="宋体" w:hAnsi="宋体" w:cs="宋体" w:eastAsia="宋体" w:hint="default"/>
          <w:spacing w:val="-46"/>
        </w:rPr>
        <w:t> </w:t>
      </w:r>
      <w:r>
        <w:rPr/>
        <w:t>日，公司以现场方式召开了第四届董事会第十次会议，相关决</w:t>
      </w:r>
    </w:p>
    <w:p>
      <w:pPr>
        <w:pStyle w:val="BodyText"/>
        <w:spacing w:line="240" w:lineRule="auto" w:before="154"/>
        <w:ind w:left="197" w:right="0"/>
        <w:jc w:val="both"/>
      </w:pPr>
      <w:r>
        <w:rPr/>
        <w:t>议刊登于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240" w:lineRule="auto" w:before="154"/>
        <w:ind w:left="617" w:right="183"/>
        <w:jc w:val="left"/>
      </w:pPr>
      <w:r>
        <w:rPr>
          <w:rFonts w:ascii="宋体" w:hAnsi="宋体" w:cs="宋体" w:eastAsia="宋体" w:hint="default"/>
          <w:spacing w:val="-3"/>
        </w:rPr>
        <w:t>7</w:t>
      </w:r>
      <w:r>
        <w:rPr>
          <w:spacing w:val="-3"/>
        </w:rPr>
        <w:t>、</w:t>
      </w:r>
      <w:r>
        <w:rPr>
          <w:rFonts w:ascii="宋体" w:hAnsi="宋体" w:cs="宋体" w:eastAsia="宋体" w:hint="default"/>
          <w:spacing w:val="-3"/>
        </w:rPr>
        <w:t>2011</w:t>
      </w:r>
      <w:r>
        <w:rPr>
          <w:rFonts w:ascii="宋体" w:hAnsi="宋体" w:cs="宋体" w:eastAsia="宋体" w:hint="default"/>
          <w:spacing w:val="-67"/>
        </w:rPr>
        <w:t> </w:t>
      </w:r>
      <w:r>
        <w:rPr/>
        <w:t>年</w:t>
      </w:r>
      <w:r>
        <w:rPr>
          <w:spacing w:val="-67"/>
        </w:rPr>
        <w:t> </w:t>
      </w:r>
      <w:r>
        <w:rPr>
          <w:rFonts w:ascii="宋体" w:hAnsi="宋体" w:cs="宋体" w:eastAsia="宋体" w:hint="default"/>
        </w:rPr>
        <w:t>12</w:t>
      </w:r>
      <w:r>
        <w:rPr>
          <w:rFonts w:ascii="宋体" w:hAnsi="宋体" w:cs="宋体" w:eastAsia="宋体" w:hint="default"/>
          <w:spacing w:val="-67"/>
        </w:rPr>
        <w:t> </w:t>
      </w:r>
      <w:r>
        <w:rPr/>
        <w:t>月</w:t>
      </w:r>
      <w:r>
        <w:rPr>
          <w:spacing w:val="-67"/>
        </w:rPr>
        <w:t> </w:t>
      </w:r>
      <w:r>
        <w:rPr>
          <w:rFonts w:ascii="宋体" w:hAnsi="宋体" w:cs="宋体" w:eastAsia="宋体" w:hint="default"/>
        </w:rPr>
        <w:t>1</w:t>
      </w:r>
      <w:r>
        <w:rPr>
          <w:rFonts w:ascii="宋体" w:hAnsi="宋体" w:cs="宋体" w:eastAsia="宋体" w:hint="default"/>
          <w:spacing w:val="-67"/>
        </w:rPr>
        <w:t> </w:t>
      </w:r>
      <w:r>
        <w:rPr/>
        <w:t>日，公司以现场方式召开了第四届董事会第十一次会议，相关决</w:t>
      </w:r>
    </w:p>
    <w:p>
      <w:pPr>
        <w:pStyle w:val="BodyText"/>
        <w:spacing w:line="240" w:lineRule="auto" w:before="154"/>
        <w:ind w:left="197" w:right="0"/>
        <w:jc w:val="both"/>
      </w:pPr>
      <w:r>
        <w:rPr/>
        <w:t>议刊登于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240" w:lineRule="auto" w:before="154"/>
        <w:ind w:left="617" w:right="183"/>
        <w:jc w:val="left"/>
      </w:pPr>
      <w:r>
        <w:rPr>
          <w:rFonts w:ascii="宋体" w:hAnsi="宋体" w:cs="宋体" w:eastAsia="宋体" w:hint="default"/>
          <w:spacing w:val="-3"/>
        </w:rPr>
        <w:t>8</w:t>
      </w:r>
      <w:r>
        <w:rPr>
          <w:spacing w:val="-3"/>
        </w:rPr>
        <w:t>、</w:t>
      </w:r>
      <w:r>
        <w:rPr>
          <w:rFonts w:ascii="宋体" w:hAnsi="宋体" w:cs="宋体" w:eastAsia="宋体" w:hint="default"/>
          <w:spacing w:val="-3"/>
        </w:rPr>
        <w:t>2011</w:t>
      </w:r>
      <w:r>
        <w:rPr>
          <w:rFonts w:ascii="宋体" w:hAnsi="宋体" w:cs="宋体" w:eastAsia="宋体" w:hint="default"/>
          <w:spacing w:val="-67"/>
        </w:rPr>
        <w:t> </w:t>
      </w:r>
      <w:r>
        <w:rPr/>
        <w:t>年</w:t>
      </w:r>
      <w:r>
        <w:rPr>
          <w:spacing w:val="-67"/>
        </w:rPr>
        <w:t> </w:t>
      </w:r>
      <w:r>
        <w:rPr>
          <w:rFonts w:ascii="宋体" w:hAnsi="宋体" w:cs="宋体" w:eastAsia="宋体" w:hint="default"/>
        </w:rPr>
        <w:t>12</w:t>
      </w:r>
      <w:r>
        <w:rPr>
          <w:rFonts w:ascii="宋体" w:hAnsi="宋体" w:cs="宋体" w:eastAsia="宋体" w:hint="default"/>
          <w:spacing w:val="-67"/>
        </w:rPr>
        <w:t> </w:t>
      </w:r>
      <w:r>
        <w:rPr/>
        <w:t>月</w:t>
      </w:r>
      <w:r>
        <w:rPr>
          <w:spacing w:val="-67"/>
        </w:rPr>
        <w:t> </w:t>
      </w:r>
      <w:r>
        <w:rPr>
          <w:rFonts w:ascii="宋体" w:hAnsi="宋体" w:cs="宋体" w:eastAsia="宋体" w:hint="default"/>
        </w:rPr>
        <w:t>8</w:t>
      </w:r>
      <w:r>
        <w:rPr>
          <w:rFonts w:ascii="宋体" w:hAnsi="宋体" w:cs="宋体" w:eastAsia="宋体" w:hint="default"/>
          <w:spacing w:val="-67"/>
        </w:rPr>
        <w:t> </w:t>
      </w:r>
      <w:r>
        <w:rPr/>
        <w:t>日，公司以通讯方式召开了第四届董事会第十二次会议，相关决</w:t>
      </w:r>
    </w:p>
    <w:p>
      <w:pPr>
        <w:pStyle w:val="BodyText"/>
        <w:spacing w:line="240" w:lineRule="auto" w:before="154"/>
        <w:ind w:left="197" w:right="0"/>
        <w:jc w:val="both"/>
      </w:pPr>
      <w:r>
        <w:rPr/>
        <w:t>议刊登于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pStyle w:val="BodyText"/>
        <w:spacing w:line="357" w:lineRule="auto" w:before="154"/>
        <w:ind w:left="197" w:right="223" w:firstLine="420"/>
        <w:jc w:val="left"/>
      </w:pPr>
      <w:r>
        <w:rPr>
          <w:rFonts w:ascii="宋体" w:hAnsi="宋体" w:cs="宋体" w:eastAsia="宋体" w:hint="default"/>
        </w:rPr>
        <w:t>9</w:t>
      </w:r>
      <w:r>
        <w:rPr/>
        <w:t>、</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20</w:t>
      </w:r>
      <w:r>
        <w:rPr>
          <w:rFonts w:ascii="宋体" w:hAnsi="宋体" w:cs="宋体" w:eastAsia="宋体" w:hint="default"/>
          <w:spacing w:val="-46"/>
        </w:rPr>
        <w:t> </w:t>
      </w:r>
      <w:r>
        <w:rPr/>
        <w:t>日，公司以通讯方式召开了第四届董事会第十三次会议，相关 决议刊登于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22</w:t>
      </w:r>
      <w:r>
        <w:rPr>
          <w:rFonts w:ascii="宋体" w:hAnsi="宋体" w:cs="宋体" w:eastAsia="宋体" w:hint="default"/>
          <w:spacing w:val="-60"/>
        </w:rPr>
        <w:t> </w:t>
      </w:r>
      <w:r>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spacing w:line="240" w:lineRule="auto" w:before="0"/>
        <w:rPr>
          <w:rFonts w:ascii="宋体" w:hAnsi="宋体" w:cs="宋体" w:eastAsia="宋体" w:hint="default"/>
          <w:sz w:val="24"/>
          <w:szCs w:val="24"/>
        </w:rPr>
      </w:pPr>
    </w:p>
    <w:p>
      <w:pPr>
        <w:spacing w:line="357" w:lineRule="auto" w:before="190"/>
        <w:ind w:left="617" w:right="183" w:hanging="420"/>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7"/>
          <w:sz w:val="24"/>
          <w:szCs w:val="24"/>
        </w:rPr>
        <w:t>报告期内，公司董事会根据《公司法》、《证券法》等有关法律法规和《公司章程》</w:t>
      </w:r>
    </w:p>
    <w:p>
      <w:pPr>
        <w:pStyle w:val="BodyText"/>
        <w:spacing w:line="357" w:lineRule="auto"/>
        <w:ind w:left="617" w:right="221" w:hanging="420"/>
        <w:jc w:val="left"/>
      </w:pPr>
      <w:r>
        <w:rPr/>
        <w:t>的要求，严格按照股东大会的决议和授权，认真执行股东大会通过的各项决议。 </w:t>
      </w:r>
      <w:r>
        <w:rPr>
          <w:rFonts w:ascii="宋体" w:hAnsi="宋体" w:cs="宋体" w:eastAsia="宋体" w:hint="default"/>
          <w:spacing w:val="-4"/>
        </w:rPr>
        <w:t>1</w:t>
      </w:r>
      <w:r>
        <w:rPr>
          <w:spacing w:val="-4"/>
        </w:rPr>
        <w:t>、根据公司</w:t>
      </w:r>
      <w:r>
        <w:rPr>
          <w:spacing w:val="-64"/>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12</w:t>
      </w:r>
      <w:r>
        <w:rPr>
          <w:rFonts w:ascii="宋体" w:hAnsi="宋体" w:cs="宋体" w:eastAsia="宋体" w:hint="default"/>
          <w:spacing w:val="-63"/>
        </w:rPr>
        <w:t> </w:t>
      </w:r>
      <w:r>
        <w:rPr/>
        <w:t>日召开的</w:t>
      </w:r>
      <w:r>
        <w:rPr>
          <w:spacing w:val="-63"/>
        </w:rPr>
        <w:t> </w:t>
      </w:r>
      <w:r>
        <w:rPr>
          <w:rFonts w:ascii="宋体" w:hAnsi="宋体" w:cs="宋体" w:eastAsia="宋体" w:hint="default"/>
        </w:rPr>
        <w:t>2010</w:t>
      </w:r>
      <w:r>
        <w:rPr>
          <w:rFonts w:ascii="宋体" w:hAnsi="宋体" w:cs="宋体" w:eastAsia="宋体" w:hint="default"/>
          <w:spacing w:val="-63"/>
        </w:rPr>
        <w:t> </w:t>
      </w:r>
      <w:r>
        <w:rPr/>
        <w:t>年度股东大会审议通过的《</w:t>
      </w:r>
      <w:r>
        <w:rPr>
          <w:rFonts w:ascii="宋体" w:hAnsi="宋体" w:cs="宋体" w:eastAsia="宋体" w:hint="default"/>
        </w:rPr>
        <w:t>2010</w:t>
      </w:r>
      <w:r>
        <w:rPr>
          <w:rFonts w:ascii="宋体" w:hAnsi="宋体" w:cs="宋体" w:eastAsia="宋体" w:hint="default"/>
          <w:spacing w:val="-63"/>
        </w:rPr>
        <w:t> </w:t>
      </w:r>
      <w:r>
        <w:rPr/>
        <w:t>年度利</w:t>
      </w:r>
    </w:p>
    <w:p>
      <w:pPr>
        <w:pStyle w:val="BodyText"/>
        <w:spacing w:line="357" w:lineRule="auto"/>
        <w:ind w:left="197" w:right="234"/>
        <w:jc w:val="both"/>
      </w:pPr>
      <w:r>
        <w:rPr>
          <w:spacing w:val="-8"/>
        </w:rPr>
        <w:t>润分配及资本公积转增股本的预案》、《关于变更公司注册地址的议案》和《关于修改公</w:t>
      </w:r>
      <w:r>
        <w:rPr>
          <w:spacing w:val="-100"/>
        </w:rPr>
        <w:t> </w:t>
      </w:r>
      <w:r>
        <w:rPr>
          <w:spacing w:val="-100"/>
        </w:rPr>
      </w:r>
      <w:r>
        <w:rPr>
          <w:spacing w:val="-8"/>
        </w:rPr>
        <w:t>司</w:t>
      </w:r>
      <w:r>
        <w:rPr>
          <w:rFonts w:ascii="宋体" w:hAnsi="宋体" w:cs="宋体" w:eastAsia="宋体" w:hint="default"/>
          <w:spacing w:val="-8"/>
        </w:rPr>
        <w:t>&lt;</w:t>
      </w:r>
      <w:r>
        <w:rPr>
          <w:spacing w:val="-8"/>
        </w:rPr>
        <w:t>章程</w:t>
      </w:r>
      <w:r>
        <w:rPr>
          <w:rFonts w:ascii="宋体" w:hAnsi="宋体" w:cs="宋体" w:eastAsia="宋体" w:hint="default"/>
          <w:spacing w:val="-8"/>
        </w:rPr>
        <w:t>&gt;</w:t>
      </w:r>
      <w:r>
        <w:rPr>
          <w:spacing w:val="-8"/>
        </w:rPr>
        <w:t>的议案》，董事会在报告期内组织实施了</w:t>
      </w:r>
      <w:r>
        <w:rPr>
          <w:spacing w:val="-52"/>
        </w:rPr>
        <w:t> </w:t>
      </w:r>
      <w:r>
        <w:rPr>
          <w:rFonts w:ascii="宋体" w:hAnsi="宋体" w:cs="宋体" w:eastAsia="宋体" w:hint="default"/>
        </w:rPr>
        <w:t>2010</w:t>
      </w:r>
      <w:r>
        <w:rPr>
          <w:rFonts w:ascii="宋体" w:hAnsi="宋体" w:cs="宋体" w:eastAsia="宋体" w:hint="default"/>
          <w:spacing w:val="-53"/>
        </w:rPr>
        <w:t> </w:t>
      </w:r>
      <w:r>
        <w:rPr/>
        <w:t>年度利润分配及资本公司转增股 本的工作，并完成了注册资本、注册地址、公司章程的工商变更手续。</w:t>
      </w:r>
    </w:p>
    <w:p>
      <w:pPr>
        <w:pStyle w:val="BodyText"/>
        <w:spacing w:line="240" w:lineRule="auto"/>
        <w:ind w:left="617" w:right="183"/>
        <w:jc w:val="left"/>
      </w:pPr>
      <w:r>
        <w:rPr>
          <w:rFonts w:ascii="宋体" w:hAnsi="宋体" w:cs="宋体" w:eastAsia="宋体" w:hint="default"/>
        </w:rPr>
        <w:t>2</w:t>
      </w:r>
      <w:r>
        <w:rPr/>
        <w:t>、根据</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61"/>
        </w:rPr>
        <w:t> </w:t>
      </w:r>
      <w:r>
        <w:rPr>
          <w:rFonts w:ascii="宋体" w:hAnsi="宋体" w:cs="宋体" w:eastAsia="宋体" w:hint="default"/>
        </w:rPr>
        <w:t>5</w:t>
      </w:r>
      <w:r>
        <w:rPr>
          <w:rFonts w:ascii="宋体" w:hAnsi="宋体" w:cs="宋体" w:eastAsia="宋体" w:hint="default"/>
          <w:spacing w:val="-59"/>
        </w:rPr>
        <w:t> </w:t>
      </w:r>
      <w:r>
        <w:rPr/>
        <w:t>月</w:t>
      </w:r>
      <w:r>
        <w:rPr>
          <w:spacing w:val="-58"/>
        </w:rPr>
        <w:t> </w:t>
      </w:r>
      <w:r>
        <w:rPr>
          <w:rFonts w:ascii="宋体" w:hAnsi="宋体" w:cs="宋体" w:eastAsia="宋体" w:hint="default"/>
        </w:rPr>
        <w:t>12</w:t>
      </w:r>
      <w:r>
        <w:rPr>
          <w:rFonts w:ascii="宋体" w:hAnsi="宋体" w:cs="宋体" w:eastAsia="宋体" w:hint="default"/>
          <w:spacing w:val="-59"/>
        </w:rPr>
        <w:t> </w:t>
      </w:r>
      <w:r>
        <w:rPr/>
        <w:t>日召开的</w:t>
      </w:r>
      <w:r>
        <w:rPr>
          <w:spacing w:val="-59"/>
        </w:rPr>
        <w:t> </w:t>
      </w:r>
      <w:r>
        <w:rPr>
          <w:rFonts w:ascii="宋体" w:hAnsi="宋体" w:cs="宋体" w:eastAsia="宋体" w:hint="default"/>
        </w:rPr>
        <w:t>2010</w:t>
      </w:r>
      <w:r>
        <w:rPr>
          <w:rFonts w:ascii="宋体" w:hAnsi="宋体" w:cs="宋体" w:eastAsia="宋体" w:hint="default"/>
          <w:spacing w:val="-59"/>
        </w:rPr>
        <w:t> </w:t>
      </w:r>
      <w:r>
        <w:rPr/>
        <w:t>年度股东大会审议通过的《关于续聘会计师</w:t>
      </w:r>
    </w:p>
    <w:p>
      <w:pPr>
        <w:pStyle w:val="BodyText"/>
        <w:spacing w:line="357" w:lineRule="auto" w:before="154"/>
        <w:ind w:left="197" w:right="97"/>
        <w:jc w:val="left"/>
      </w:pPr>
      <w:r>
        <w:rPr>
          <w:spacing w:val="-8"/>
        </w:rPr>
        <w:t>事务所的议案》，公司续聘了上海众华沪银会计师事务所有限公司为</w:t>
      </w:r>
      <w:r>
        <w:rPr>
          <w:spacing w:val="-84"/>
        </w:rPr>
        <w:t> </w:t>
      </w:r>
      <w:r>
        <w:rPr>
          <w:rFonts w:ascii="宋体" w:hAnsi="宋体" w:cs="宋体" w:eastAsia="宋体" w:hint="default"/>
        </w:rPr>
        <w:t>2011</w:t>
      </w:r>
      <w:r>
        <w:rPr>
          <w:rFonts w:ascii="宋体" w:hAnsi="宋体" w:cs="宋体" w:eastAsia="宋体" w:hint="default"/>
          <w:spacing w:val="-84"/>
        </w:rPr>
        <w:t> </w:t>
      </w:r>
      <w:r>
        <w:rPr/>
        <w:t>年度审计机构， 并完成了相应的审计工作。</w:t>
      </w:r>
    </w:p>
    <w:p>
      <w:pPr>
        <w:spacing w:line="240" w:lineRule="auto" w:before="0"/>
        <w:rPr>
          <w:rFonts w:ascii="宋体" w:hAnsi="宋体" w:cs="宋体" w:eastAsia="宋体" w:hint="default"/>
          <w:sz w:val="24"/>
          <w:szCs w:val="24"/>
        </w:rPr>
      </w:pPr>
    </w:p>
    <w:p>
      <w:pPr>
        <w:spacing w:line="357" w:lineRule="auto" w:before="190"/>
        <w:ind w:left="617" w:right="183" w:hanging="420"/>
        <w:jc w:val="left"/>
        <w:rPr>
          <w:rFonts w:ascii="宋体" w:hAnsi="宋体" w:cs="宋体" w:eastAsia="宋体" w:hint="default"/>
          <w:sz w:val="24"/>
          <w:szCs w:val="24"/>
        </w:rPr>
      </w:pPr>
      <w:r>
        <w:rPr>
          <w:rFonts w:ascii="宋体" w:hAnsi="宋体" w:cs="宋体" w:eastAsia="宋体" w:hint="default"/>
          <w:b/>
          <w:bCs/>
          <w:sz w:val="24"/>
          <w:szCs w:val="24"/>
        </w:rPr>
        <w:t>（三）审计委员会的履职情况</w:t>
      </w:r>
      <w:r>
        <w:rPr>
          <w:rFonts w:ascii="宋体" w:hAnsi="宋体" w:cs="宋体" w:eastAsia="宋体" w:hint="default"/>
          <w:b/>
          <w:bCs/>
          <w:w w:val="99"/>
          <w:sz w:val="24"/>
          <w:szCs w:val="24"/>
        </w:rPr>
        <w:t> </w:t>
      </w:r>
      <w:r>
        <w:rPr>
          <w:rFonts w:ascii="宋体" w:hAnsi="宋体" w:cs="宋体" w:eastAsia="宋体" w:hint="default"/>
          <w:spacing w:val="-7"/>
          <w:sz w:val="24"/>
          <w:szCs w:val="24"/>
        </w:rPr>
        <w:t>董事会审计委员会（以下简称“审计委员会”）严格按照《公司董事会议事规则》和</w:t>
      </w:r>
    </w:p>
    <w:p>
      <w:pPr>
        <w:pStyle w:val="BodyText"/>
        <w:spacing w:line="357" w:lineRule="auto"/>
        <w:ind w:left="197" w:right="235"/>
        <w:jc w:val="both"/>
      </w:pPr>
      <w:r>
        <w:rPr>
          <w:spacing w:val="-2"/>
        </w:rPr>
        <w:t>《董事会审计委员会实施细则》等有关规定执行任务，勤勉履行工作职责，监督公司内</w:t>
      </w:r>
      <w:r>
        <w:rPr>
          <w:spacing w:val="-95"/>
        </w:rPr>
        <w:t> </w:t>
      </w:r>
      <w:r>
        <w:rPr>
          <w:spacing w:val="-95"/>
        </w:rPr>
      </w:r>
      <w:r>
        <w:rPr>
          <w:spacing w:val="-2"/>
        </w:rPr>
        <w:t>部审计制度及其实施情况，审核公司财务信息及其披露情况，对聘任会计师事务所发表</w:t>
      </w:r>
      <w:r>
        <w:rPr>
          <w:spacing w:val="-92"/>
        </w:rPr>
        <w:t> </w:t>
      </w:r>
      <w:r>
        <w:rPr>
          <w:spacing w:val="-92"/>
        </w:rPr>
      </w:r>
      <w:r>
        <w:rPr/>
        <w:t>意见并督促会计师按时、保质完成审计工作。</w:t>
      </w:r>
      <w:r>
        <w:rPr>
          <w:rFonts w:ascii="宋体" w:hAnsi="宋体" w:cs="宋体" w:eastAsia="宋体" w:hint="default"/>
        </w:rPr>
        <w:t>2011</w:t>
      </w:r>
      <w:r>
        <w:rPr>
          <w:rFonts w:ascii="宋体" w:hAnsi="宋体" w:cs="宋体" w:eastAsia="宋体" w:hint="default"/>
          <w:spacing w:val="-60"/>
        </w:rPr>
        <w:t> </w:t>
      </w:r>
      <w:r>
        <w:rPr/>
        <w:t>年度其具体的履职情况如下：</w:t>
      </w:r>
    </w:p>
    <w:p>
      <w:pPr>
        <w:pStyle w:val="BodyText"/>
        <w:spacing w:line="240" w:lineRule="auto"/>
        <w:ind w:left="617" w:right="279"/>
        <w:jc w:val="left"/>
      </w:pPr>
      <w:r>
        <w:rPr>
          <w:rFonts w:ascii="宋体" w:hAnsi="宋体" w:cs="宋体" w:eastAsia="宋体" w:hint="default"/>
        </w:rPr>
        <w:t>1</w:t>
      </w:r>
      <w:r>
        <w:rPr/>
        <w:t>、审计委员会会议召开情况</w:t>
      </w:r>
    </w:p>
    <w:p>
      <w:pPr>
        <w:pStyle w:val="BodyText"/>
        <w:spacing w:line="240" w:lineRule="auto" w:before="154"/>
        <w:ind w:left="617" w:right="183"/>
        <w:jc w:val="left"/>
      </w:pPr>
      <w:r>
        <w:rPr>
          <w:rFonts w:ascii="宋体" w:hAnsi="宋体" w:cs="宋体" w:eastAsia="宋体" w:hint="default"/>
        </w:rPr>
        <w:t>2011</w:t>
      </w:r>
      <w:r>
        <w:rPr>
          <w:rFonts w:ascii="宋体" w:hAnsi="宋体" w:cs="宋体" w:eastAsia="宋体" w:hint="default"/>
          <w:spacing w:val="-51"/>
        </w:rPr>
        <w:t> </w:t>
      </w:r>
      <w:r>
        <w:rPr>
          <w:spacing w:val="-4"/>
        </w:rPr>
        <w:t>年度内公司第四届审计委员会共召开八次会议，主要审议通过了《</w:t>
      </w:r>
      <w:r>
        <w:rPr>
          <w:rFonts w:ascii="宋体" w:hAnsi="宋体" w:cs="宋体" w:eastAsia="宋体" w:hint="default"/>
          <w:spacing w:val="-4"/>
        </w:rPr>
        <w:t>2010</w:t>
      </w:r>
      <w:r>
        <w:rPr>
          <w:rFonts w:ascii="宋体" w:hAnsi="宋体" w:cs="宋体" w:eastAsia="宋体" w:hint="default"/>
          <w:spacing w:val="-50"/>
        </w:rPr>
        <w:t> </w:t>
      </w:r>
      <w:r>
        <w:rPr/>
        <w:t>年度总</w:t>
      </w:r>
    </w:p>
    <w:p>
      <w:pPr>
        <w:spacing w:after="0" w:line="240" w:lineRule="auto"/>
        <w:jc w:val="left"/>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357" w:lineRule="auto" w:before="26"/>
        <w:ind w:left="197" w:right="114"/>
        <w:jc w:val="both"/>
      </w:pPr>
      <w:r>
        <w:rPr/>
        <w:t>经理工作报告</w:t>
      </w:r>
      <w:r>
        <w:rPr>
          <w:spacing w:val="-121"/>
        </w:rPr>
        <w:t>》</w:t>
      </w:r>
      <w:r>
        <w:rPr>
          <w:spacing w:val="-120"/>
        </w:rPr>
        <w:t>、</w:t>
      </w:r>
      <w:r>
        <w:rPr/>
        <w:t>《</w:t>
      </w:r>
      <w:r>
        <w:rPr>
          <w:rFonts w:ascii="宋体" w:hAnsi="宋体" w:cs="宋体" w:eastAsia="宋体" w:hint="default"/>
        </w:rPr>
        <w:t>2010</w:t>
      </w:r>
      <w:r>
        <w:rPr>
          <w:rFonts w:ascii="宋体" w:hAnsi="宋体" w:cs="宋体" w:eastAsia="宋体" w:hint="default"/>
          <w:spacing w:val="-55"/>
        </w:rPr>
        <w:t> </w:t>
      </w:r>
      <w:r>
        <w:rPr/>
        <w:t>年度财务决算报告</w:t>
      </w:r>
      <w:r>
        <w:rPr>
          <w:spacing w:val="-120"/>
        </w:rPr>
        <w:t>》、</w:t>
      </w:r>
      <w:r>
        <w:rPr/>
        <w:t>《</w:t>
      </w:r>
      <w:r>
        <w:rPr>
          <w:rFonts w:ascii="宋体" w:hAnsi="宋体" w:cs="宋体" w:eastAsia="宋体" w:hint="default"/>
        </w:rPr>
        <w:t>2010</w:t>
      </w:r>
      <w:r>
        <w:rPr>
          <w:rFonts w:ascii="宋体" w:hAnsi="宋体" w:cs="宋体" w:eastAsia="宋体" w:hint="default"/>
          <w:spacing w:val="-55"/>
        </w:rPr>
        <w:t> </w:t>
      </w:r>
      <w:r>
        <w:rPr/>
        <w:t>年度董事会工作报告</w:t>
      </w:r>
      <w:r>
        <w:rPr>
          <w:spacing w:val="-120"/>
        </w:rPr>
        <w:t>》、</w:t>
      </w:r>
      <w:r>
        <w:rPr/>
        <w:t>《</w:t>
      </w:r>
      <w:r>
        <w:rPr>
          <w:rFonts w:ascii="宋体" w:hAnsi="宋体" w:cs="宋体" w:eastAsia="宋体" w:hint="default"/>
        </w:rPr>
        <w:t>2010</w:t>
      </w:r>
      <w:r>
        <w:rPr>
          <w:rFonts w:ascii="宋体" w:hAnsi="宋体" w:cs="宋体" w:eastAsia="宋体" w:hint="default"/>
          <w:spacing w:val="-56"/>
        </w:rPr>
        <w:t> </w:t>
      </w:r>
      <w:r>
        <w:rPr/>
        <w:t>年度 报告及摘要</w:t>
      </w:r>
      <w:r>
        <w:rPr>
          <w:spacing w:val="-120"/>
        </w:rPr>
        <w:t>》、</w:t>
      </w:r>
      <w:r>
        <w:rPr>
          <w:spacing w:val="-1"/>
        </w:rPr>
        <w:t>《</w:t>
      </w:r>
      <w:r>
        <w:rPr>
          <w:rFonts w:ascii="宋体" w:hAnsi="宋体" w:cs="宋体" w:eastAsia="宋体" w:hint="default"/>
        </w:rPr>
        <w:t>2010</w:t>
      </w:r>
      <w:r>
        <w:rPr>
          <w:rFonts w:ascii="宋体" w:hAnsi="宋体" w:cs="宋体" w:eastAsia="宋体" w:hint="default"/>
          <w:spacing w:val="-24"/>
        </w:rPr>
        <w:t> </w:t>
      </w:r>
      <w:r>
        <w:rPr/>
        <w:t>年度利润分配及资本公积转增股本的预案</w:t>
      </w:r>
      <w:r>
        <w:rPr>
          <w:spacing w:val="-120"/>
        </w:rPr>
        <w:t>》、</w:t>
      </w:r>
      <w:r>
        <w:rPr>
          <w:spacing w:val="1"/>
        </w:rPr>
        <w:t>《</w:t>
      </w:r>
      <w:r>
        <w:rPr>
          <w:rFonts w:ascii="宋体" w:hAnsi="宋体" w:cs="宋体" w:eastAsia="宋体" w:hint="default"/>
        </w:rPr>
        <w:t>2011</w:t>
      </w:r>
      <w:r>
        <w:rPr>
          <w:rFonts w:ascii="宋体" w:hAnsi="宋体" w:cs="宋体" w:eastAsia="宋体" w:hint="default"/>
          <w:spacing w:val="-24"/>
        </w:rPr>
        <w:t> </w:t>
      </w:r>
      <w:r>
        <w:rPr/>
        <w:t>年度日常关联 </w:t>
      </w:r>
      <w:r>
        <w:rPr>
          <w:spacing w:val="2"/>
        </w:rPr>
        <w:t>交易</w:t>
      </w:r>
      <w:r>
        <w:rPr>
          <w:spacing w:val="-118"/>
        </w:rPr>
        <w:t>》、</w:t>
      </w:r>
      <w:r>
        <w:rPr>
          <w:spacing w:val="2"/>
        </w:rPr>
        <w:t>《关</w:t>
      </w:r>
      <w:r>
        <w:rPr/>
        <w:t>于</w:t>
      </w:r>
      <w:r>
        <w:rPr>
          <w:spacing w:val="2"/>
        </w:rPr>
        <w:t>续聘会</w:t>
      </w:r>
      <w:r>
        <w:rPr/>
        <w:t>计</w:t>
      </w:r>
      <w:r>
        <w:rPr>
          <w:spacing w:val="2"/>
        </w:rPr>
        <w:t>师事务所的议</w:t>
      </w:r>
      <w:r>
        <w:rPr/>
        <w:t>案</w:t>
      </w:r>
      <w:r>
        <w:rPr>
          <w:spacing w:val="-118"/>
        </w:rPr>
        <w:t>》、</w:t>
      </w:r>
      <w:r>
        <w:rPr>
          <w:spacing w:val="6"/>
        </w:rPr>
        <w:t>《</w:t>
      </w:r>
      <w:r>
        <w:rPr>
          <w:rFonts w:ascii="宋体" w:hAnsi="宋体" w:cs="宋体" w:eastAsia="宋体" w:hint="default"/>
        </w:rPr>
        <w:t>2</w:t>
      </w:r>
      <w:r>
        <w:rPr>
          <w:rFonts w:ascii="宋体" w:hAnsi="宋体" w:cs="宋体" w:eastAsia="宋体" w:hint="default"/>
          <w:spacing w:val="-3"/>
        </w:rPr>
        <w:t>0</w:t>
      </w:r>
      <w:r>
        <w:rPr>
          <w:rFonts w:ascii="宋体" w:hAnsi="宋体" w:cs="宋体" w:eastAsia="宋体" w:hint="default"/>
        </w:rPr>
        <w:t>10</w:t>
      </w:r>
      <w:r>
        <w:rPr>
          <w:rFonts w:ascii="宋体" w:hAnsi="宋体" w:cs="宋体" w:eastAsia="宋体" w:hint="default"/>
          <w:spacing w:val="2"/>
        </w:rPr>
        <w:t> </w:t>
      </w:r>
      <w:r>
        <w:rPr>
          <w:spacing w:val="2"/>
        </w:rPr>
        <w:t>年度募集资</w:t>
      </w:r>
      <w:r>
        <w:rPr/>
        <w:t>金</w:t>
      </w:r>
      <w:r>
        <w:rPr>
          <w:spacing w:val="2"/>
        </w:rPr>
        <w:t>存</w:t>
      </w:r>
      <w:r>
        <w:rPr/>
        <w:t>放</w:t>
      </w:r>
      <w:r>
        <w:rPr>
          <w:spacing w:val="2"/>
        </w:rPr>
        <w:t>及使用专项</w:t>
      </w:r>
      <w:r>
        <w:rPr/>
        <w:t>报</w:t>
      </w:r>
      <w:r>
        <w:rPr>
          <w:spacing w:val="2"/>
        </w:rPr>
        <w:t>告</w:t>
      </w:r>
      <w:r>
        <w:rPr>
          <w:spacing w:val="-118"/>
        </w:rPr>
        <w:t>》</w:t>
      </w:r>
      <w:r>
        <w:rPr/>
        <w:t>、</w:t>
      </w:r>
    </w:p>
    <w:p>
      <w:pPr>
        <w:pStyle w:val="BodyText"/>
        <w:spacing w:line="357" w:lineRule="auto"/>
        <w:ind w:left="197" w:right="233"/>
        <w:jc w:val="both"/>
      </w:pPr>
      <w:r>
        <w:rPr/>
        <w:t>《</w:t>
      </w:r>
      <w:r>
        <w:rPr>
          <w:rFonts w:ascii="宋体" w:hAnsi="宋体" w:cs="宋体" w:eastAsia="宋体" w:hint="default"/>
        </w:rPr>
        <w:t>2010</w:t>
      </w:r>
      <w:r>
        <w:rPr>
          <w:rFonts w:ascii="宋体" w:hAnsi="宋体" w:cs="宋体" w:eastAsia="宋体" w:hint="default"/>
          <w:spacing w:val="-79"/>
        </w:rPr>
        <w:t> </w:t>
      </w:r>
      <w:r>
        <w:rPr>
          <w:spacing w:val="-10"/>
        </w:rPr>
        <w:t>年度内部控制自我评价报告》同时还审议了《</w:t>
      </w:r>
      <w:r>
        <w:rPr>
          <w:rFonts w:ascii="宋体" w:hAnsi="宋体" w:cs="宋体" w:eastAsia="宋体" w:hint="default"/>
          <w:spacing w:val="-10"/>
        </w:rPr>
        <w:t>2010</w:t>
      </w:r>
      <w:r>
        <w:rPr>
          <w:rFonts w:ascii="宋体" w:hAnsi="宋体" w:cs="宋体" w:eastAsia="宋体" w:hint="default"/>
          <w:spacing w:val="-78"/>
        </w:rPr>
        <w:t> </w:t>
      </w:r>
      <w:r>
        <w:rPr>
          <w:spacing w:val="-22"/>
        </w:rPr>
        <w:t>年度内审工作总体报告》、《</w:t>
      </w:r>
      <w:r>
        <w:rPr>
          <w:rFonts w:ascii="宋体" w:hAnsi="宋体" w:cs="宋体" w:eastAsia="宋体" w:hint="default"/>
          <w:spacing w:val="-22"/>
        </w:rPr>
        <w:t>2011</w:t>
      </w:r>
      <w:r>
        <w:rPr>
          <w:rFonts w:ascii="宋体" w:hAnsi="宋体" w:cs="宋体" w:eastAsia="宋体" w:hint="default"/>
        </w:rPr>
        <w:t> </w:t>
      </w:r>
      <w:r>
        <w:rPr>
          <w:spacing w:val="-16"/>
        </w:rPr>
        <w:t>年度内审工作计划》、《</w:t>
      </w:r>
      <w:r>
        <w:rPr>
          <w:rFonts w:ascii="宋体" w:hAnsi="宋体" w:cs="宋体" w:eastAsia="宋体" w:hint="default"/>
          <w:spacing w:val="-16"/>
        </w:rPr>
        <w:t>2010</w:t>
      </w:r>
      <w:r>
        <w:rPr>
          <w:rFonts w:ascii="宋体" w:hAnsi="宋体" w:cs="宋体" w:eastAsia="宋体" w:hint="default"/>
        </w:rPr>
        <w:t> </w:t>
      </w:r>
      <w:r>
        <w:rPr>
          <w:spacing w:val="-12"/>
        </w:rPr>
        <w:t>年度第四季度内审部工作报告》、《</w:t>
      </w:r>
      <w:r>
        <w:rPr>
          <w:rFonts w:ascii="宋体" w:hAnsi="宋体" w:cs="宋体" w:eastAsia="宋体" w:hint="default"/>
          <w:spacing w:val="-12"/>
        </w:rPr>
        <w:t>2011</w:t>
      </w:r>
      <w:r>
        <w:rPr>
          <w:rFonts w:ascii="宋体" w:hAnsi="宋体" w:cs="宋体" w:eastAsia="宋体" w:hint="default"/>
          <w:spacing w:val="-48"/>
        </w:rPr>
        <w:t> </w:t>
      </w:r>
      <w:r>
        <w:rPr/>
        <w:t>年第一季度内审部 </w:t>
      </w:r>
      <w:r>
        <w:rPr>
          <w:spacing w:val="-26"/>
        </w:rPr>
        <w:t>工作报告》、《</w:t>
      </w:r>
      <w:r>
        <w:rPr>
          <w:rFonts w:ascii="宋体" w:hAnsi="宋体" w:cs="宋体" w:eastAsia="宋体" w:hint="default"/>
          <w:spacing w:val="-26"/>
        </w:rPr>
        <w:t>2011</w:t>
      </w:r>
      <w:r>
        <w:rPr>
          <w:rFonts w:ascii="宋体" w:hAnsi="宋体" w:cs="宋体" w:eastAsia="宋体" w:hint="default"/>
          <w:spacing w:val="-56"/>
        </w:rPr>
        <w:t> </w:t>
      </w:r>
      <w:r>
        <w:rPr>
          <w:spacing w:val="-15"/>
        </w:rPr>
        <w:t>年第二季度内审部工作报告》、《</w:t>
      </w:r>
      <w:r>
        <w:rPr>
          <w:rFonts w:ascii="宋体" w:hAnsi="宋体" w:cs="宋体" w:eastAsia="宋体" w:hint="default"/>
          <w:spacing w:val="-15"/>
        </w:rPr>
        <w:t>2011</w:t>
      </w:r>
      <w:r>
        <w:rPr>
          <w:rFonts w:ascii="宋体" w:hAnsi="宋体" w:cs="宋体" w:eastAsia="宋体" w:hint="default"/>
          <w:spacing w:val="-56"/>
        </w:rPr>
        <w:t> </w:t>
      </w:r>
      <w:r>
        <w:rPr>
          <w:spacing w:val="-6"/>
        </w:rPr>
        <w:t>年度半年报业绩快报》和《</w:t>
      </w:r>
      <w:r>
        <w:rPr>
          <w:rFonts w:ascii="宋体" w:hAnsi="宋体" w:cs="宋体" w:eastAsia="宋体" w:hint="default"/>
          <w:spacing w:val="-6"/>
        </w:rPr>
        <w:t>2011</w:t>
      </w:r>
      <w:r>
        <w:rPr>
          <w:rFonts w:ascii="宋体" w:hAnsi="宋体" w:cs="宋体" w:eastAsia="宋体" w:hint="default"/>
        </w:rPr>
        <w:t> </w:t>
      </w:r>
      <w:r>
        <w:rPr/>
        <w:t>年第三季度内审部工作报告》等。</w:t>
      </w:r>
    </w:p>
    <w:p>
      <w:pPr>
        <w:pStyle w:val="BodyText"/>
        <w:spacing w:line="240" w:lineRule="auto"/>
        <w:ind w:left="617" w:right="279"/>
        <w:jc w:val="left"/>
      </w:pPr>
      <w:r>
        <w:rPr>
          <w:rFonts w:ascii="宋体" w:hAnsi="宋体" w:cs="宋体" w:eastAsia="宋体" w:hint="default"/>
        </w:rPr>
        <w:t>2</w:t>
      </w:r>
      <w:r>
        <w:rPr/>
        <w:t>、对财务核算结果的审核意见</w:t>
      </w:r>
    </w:p>
    <w:p>
      <w:pPr>
        <w:pStyle w:val="BodyText"/>
        <w:spacing w:line="240" w:lineRule="auto" w:before="154"/>
        <w:ind w:left="617" w:right="183"/>
        <w:jc w:val="left"/>
      </w:pPr>
      <w:r>
        <w:rPr/>
        <w:t>按照中国证监会有关规定</w:t>
      </w:r>
      <w:r>
        <w:rPr>
          <w:spacing w:val="-108"/>
        </w:rPr>
        <w:t>，</w:t>
      </w:r>
      <w:r>
        <w:rPr/>
        <w:t>审计委员会对公司编制的</w:t>
      </w:r>
      <w:r>
        <w:rPr>
          <w:spacing w:val="-60"/>
        </w:rPr>
        <w:t> </w:t>
      </w:r>
      <w:r>
        <w:rPr>
          <w:rFonts w:ascii="宋体" w:hAnsi="宋体" w:cs="宋体" w:eastAsia="宋体" w:hint="default"/>
        </w:rPr>
        <w:t>2011</w:t>
      </w:r>
      <w:r>
        <w:rPr>
          <w:rFonts w:ascii="宋体" w:hAnsi="宋体" w:cs="宋体" w:eastAsia="宋体" w:hint="default"/>
          <w:spacing w:val="-60"/>
        </w:rPr>
        <w:t> </w:t>
      </w:r>
      <w:r>
        <w:rPr/>
        <w:t>年度财务会计报表进行了</w:t>
      </w:r>
    </w:p>
    <w:p>
      <w:pPr>
        <w:pStyle w:val="BodyText"/>
        <w:spacing w:line="240" w:lineRule="auto" w:before="154"/>
        <w:ind w:left="197" w:right="0"/>
        <w:jc w:val="both"/>
        <w:rPr>
          <w:rFonts w:ascii="宋体" w:hAnsi="宋体" w:cs="宋体" w:eastAsia="宋体" w:hint="default"/>
        </w:rPr>
      </w:pPr>
      <w:r>
        <w:rPr>
          <w:spacing w:val="-10"/>
        </w:rPr>
        <w:t>审阅，认为该报表符合国家颁布的《企业会计准则》的要求，真实完整的反映了公司</w:t>
      </w:r>
      <w:r>
        <w:rPr>
          <w:spacing w:val="-40"/>
        </w:rPr>
        <w:t> </w:t>
      </w:r>
      <w:r>
        <w:rPr>
          <w:rFonts w:ascii="宋体" w:hAnsi="宋体" w:cs="宋体" w:eastAsia="宋体" w:hint="default"/>
        </w:rPr>
        <w:t>2011</w:t>
      </w:r>
    </w:p>
    <w:p>
      <w:pPr>
        <w:pStyle w:val="BodyText"/>
        <w:spacing w:line="357" w:lineRule="auto" w:before="154"/>
        <w:ind w:left="197" w:right="234"/>
        <w:jc w:val="both"/>
      </w:pPr>
      <w:r>
        <w:rPr/>
        <w:t>年</w:t>
      </w:r>
      <w:r>
        <w:rPr>
          <w:spacing w:val="-48"/>
        </w:rPr>
        <w:t> </w:t>
      </w:r>
      <w:r>
        <w:rPr>
          <w:rFonts w:ascii="宋体" w:hAnsi="宋体" w:cs="宋体" w:eastAsia="宋体" w:hint="default"/>
        </w:rPr>
        <w:t>12</w:t>
      </w:r>
      <w:r>
        <w:rPr>
          <w:rFonts w:ascii="宋体" w:hAnsi="宋体" w:cs="宋体" w:eastAsia="宋体" w:hint="default"/>
          <w:spacing w:val="-49"/>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日的财务状况以及</w:t>
      </w:r>
      <w:r>
        <w:rPr>
          <w:spacing w:val="-48"/>
        </w:rPr>
        <w:t> </w:t>
      </w:r>
      <w:r>
        <w:rPr>
          <w:rFonts w:ascii="宋体" w:hAnsi="宋体" w:cs="宋体" w:eastAsia="宋体" w:hint="default"/>
        </w:rPr>
        <w:t>2011</w:t>
      </w:r>
      <w:r>
        <w:rPr>
          <w:rFonts w:ascii="宋体" w:hAnsi="宋体" w:cs="宋体" w:eastAsia="宋体" w:hint="default"/>
          <w:spacing w:val="-48"/>
        </w:rPr>
        <w:t> </w:t>
      </w:r>
      <w:r>
        <w:rPr/>
        <w:t>年度的经营成果和现金流量情况，审计委员会全体 </w:t>
      </w:r>
      <w:r>
        <w:rPr>
          <w:spacing w:val="-2"/>
        </w:rPr>
        <w:t>委员无异议，同意公司提交上述报表给上海众华沪银会计师事务所有限公司开展年度审</w:t>
      </w:r>
      <w:r>
        <w:rPr>
          <w:spacing w:val="-92"/>
        </w:rPr>
        <w:t> </w:t>
      </w:r>
      <w:r>
        <w:rPr>
          <w:spacing w:val="-92"/>
        </w:rPr>
      </w:r>
      <w:r>
        <w:rPr/>
        <w:t>计。</w:t>
      </w:r>
    </w:p>
    <w:p>
      <w:pPr>
        <w:pStyle w:val="BodyText"/>
        <w:spacing w:line="357" w:lineRule="auto"/>
        <w:ind w:left="617" w:right="229"/>
        <w:jc w:val="left"/>
      </w:pPr>
      <w:r>
        <w:rPr>
          <w:rFonts w:ascii="宋体" w:hAnsi="宋体" w:cs="宋体" w:eastAsia="宋体" w:hint="default"/>
        </w:rPr>
        <w:t>3</w:t>
      </w:r>
      <w:r>
        <w:rPr/>
        <w:t>、对财务报告的审核情况 在本次年度审计前，审计委员会与公司财务负责人及会计师事务所制定了详细的年</w:t>
      </w:r>
    </w:p>
    <w:p>
      <w:pPr>
        <w:pStyle w:val="BodyText"/>
        <w:spacing w:line="240" w:lineRule="auto"/>
        <w:ind w:left="197" w:right="0"/>
        <w:jc w:val="both"/>
      </w:pPr>
      <w:r>
        <w:rPr/>
        <w:t>度审计计划，四次到审计现场与会计师事务所进行沟通和督促。</w:t>
      </w:r>
    </w:p>
    <w:p>
      <w:pPr>
        <w:pStyle w:val="BodyText"/>
        <w:spacing w:line="357" w:lineRule="auto" w:before="154"/>
        <w:ind w:left="197" w:right="234" w:firstLine="420"/>
        <w:jc w:val="both"/>
      </w:pP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日，董事会审计委员会召开了</w:t>
      </w:r>
      <w:r>
        <w:rPr>
          <w:spacing w:val="-50"/>
        </w:rPr>
        <w:t> </w:t>
      </w:r>
      <w:r>
        <w:rPr>
          <w:rFonts w:ascii="宋体" w:hAnsi="宋体" w:cs="宋体" w:eastAsia="宋体" w:hint="default"/>
        </w:rPr>
        <w:t>2011</w:t>
      </w:r>
      <w:r>
        <w:rPr>
          <w:rFonts w:ascii="宋体" w:hAnsi="宋体" w:cs="宋体" w:eastAsia="宋体" w:hint="default"/>
          <w:spacing w:val="-51"/>
        </w:rPr>
        <w:t> </w:t>
      </w:r>
      <w:r>
        <w:rPr/>
        <w:t>年年报工作第一次会议，年审会 </w:t>
      </w:r>
      <w:r>
        <w:rPr>
          <w:spacing w:val="-2"/>
        </w:rPr>
        <w:t>计师向审计委员会汇报了审计计划、人员安排和预审情况，审计委员就审计过程中需要</w:t>
      </w:r>
      <w:r>
        <w:rPr>
          <w:spacing w:val="-92"/>
        </w:rPr>
        <w:t> </w:t>
      </w:r>
      <w:r>
        <w:rPr>
          <w:spacing w:val="-92"/>
        </w:rPr>
      </w:r>
      <w:r>
        <w:rPr>
          <w:spacing w:val="-2"/>
        </w:rPr>
        <w:t>注意的问题等事项与会计师进行了沟通，并要求会计师事务所在审计过程中保持审慎的</w:t>
      </w:r>
      <w:r>
        <w:rPr>
          <w:spacing w:val="-92"/>
        </w:rPr>
        <w:t> </w:t>
      </w:r>
      <w:r>
        <w:rPr>
          <w:spacing w:val="-92"/>
        </w:rPr>
      </w:r>
      <w:r>
        <w:rPr/>
        <w:t>态度，对公司财务工作进行客观、正确的评价。</w:t>
      </w:r>
    </w:p>
    <w:p>
      <w:pPr>
        <w:pStyle w:val="BodyText"/>
        <w:spacing w:line="357" w:lineRule="auto"/>
        <w:ind w:left="197" w:right="234" w:firstLine="420"/>
        <w:jc w:val="both"/>
      </w:pPr>
      <w:r>
        <w:rPr>
          <w:rFonts w:ascii="宋体" w:hAnsi="宋体" w:cs="宋体" w:eastAsia="宋体" w:hint="default"/>
        </w:rPr>
        <w:t>2012</w:t>
      </w:r>
      <w:r>
        <w:rPr>
          <w:rFonts w:ascii="宋体" w:hAnsi="宋体" w:cs="宋体" w:eastAsia="宋体" w:hint="default"/>
          <w:spacing w:val="-68"/>
        </w:rPr>
        <w:t> </w:t>
      </w:r>
      <w:r>
        <w:rPr/>
        <w:t>年</w:t>
      </w:r>
      <w:r>
        <w:rPr>
          <w:spacing w:val="-67"/>
        </w:rPr>
        <w:t> </w:t>
      </w:r>
      <w:r>
        <w:rPr>
          <w:rFonts w:ascii="宋体" w:hAnsi="宋体" w:cs="宋体" w:eastAsia="宋体" w:hint="default"/>
        </w:rPr>
        <w:t>2</w:t>
      </w:r>
      <w:r>
        <w:rPr>
          <w:rFonts w:ascii="宋体" w:hAnsi="宋体" w:cs="宋体" w:eastAsia="宋体" w:hint="default"/>
          <w:spacing w:val="-67"/>
        </w:rPr>
        <w:t> </w:t>
      </w:r>
      <w:r>
        <w:rPr/>
        <w:t>月</w:t>
      </w:r>
      <w:r>
        <w:rPr>
          <w:spacing w:val="-67"/>
        </w:rPr>
        <w:t> </w:t>
      </w:r>
      <w:r>
        <w:rPr>
          <w:rFonts w:ascii="宋体" w:hAnsi="宋体" w:cs="宋体" w:eastAsia="宋体" w:hint="default"/>
        </w:rPr>
        <w:t>17</w:t>
      </w:r>
      <w:r>
        <w:rPr>
          <w:rFonts w:ascii="宋体" w:hAnsi="宋体" w:cs="宋体" w:eastAsia="宋体" w:hint="default"/>
          <w:spacing w:val="-67"/>
        </w:rPr>
        <w:t> </w:t>
      </w:r>
      <w:r>
        <w:rPr/>
        <w:t>日，董事会审计委员会召开了</w:t>
      </w:r>
      <w:r>
        <w:rPr>
          <w:spacing w:val="-66"/>
        </w:rPr>
        <w:t> </w:t>
      </w:r>
      <w:r>
        <w:rPr>
          <w:rFonts w:ascii="宋体" w:hAnsi="宋体" w:cs="宋体" w:eastAsia="宋体" w:hint="default"/>
        </w:rPr>
        <w:t>2011</w:t>
      </w:r>
      <w:r>
        <w:rPr>
          <w:rFonts w:ascii="宋体" w:hAnsi="宋体" w:cs="宋体" w:eastAsia="宋体" w:hint="default"/>
          <w:spacing w:val="-67"/>
        </w:rPr>
        <w:t> </w:t>
      </w:r>
      <w:r>
        <w:rPr/>
        <w:t>年年报工作第二次会议，年审会 </w:t>
      </w:r>
      <w:r>
        <w:rPr>
          <w:spacing w:val="-2"/>
        </w:rPr>
        <w:t>计师向审计委员会汇报了审计工作进展，审计委员会就审计过程中发现的问题及审计进</w:t>
      </w:r>
      <w:r>
        <w:rPr>
          <w:spacing w:val="-92"/>
        </w:rPr>
        <w:t> </w:t>
      </w:r>
      <w:r>
        <w:rPr>
          <w:spacing w:val="-92"/>
        </w:rPr>
      </w:r>
      <w:r>
        <w:rPr>
          <w:spacing w:val="4"/>
        </w:rPr>
        <w:t>度进行了沟通和交流。要求公司财务部和会计师事务所保证财务报表的真实性和完整</w:t>
      </w:r>
      <w:r>
        <w:rPr>
          <w:spacing w:val="-106"/>
        </w:rPr>
        <w:t> </w:t>
      </w:r>
      <w:r>
        <w:rPr>
          <w:spacing w:val="-106"/>
        </w:rPr>
      </w:r>
      <w:r>
        <w:rPr/>
        <w:t>性，提高公司财务信息披露质量。</w:t>
      </w:r>
    </w:p>
    <w:p>
      <w:pPr>
        <w:pStyle w:val="BodyText"/>
        <w:spacing w:line="357" w:lineRule="auto"/>
        <w:ind w:left="197" w:right="234" w:firstLine="420"/>
        <w:jc w:val="both"/>
      </w:pPr>
      <w:r>
        <w:rPr>
          <w:rFonts w:ascii="宋体" w:hAnsi="宋体" w:cs="宋体" w:eastAsia="宋体" w:hint="default"/>
        </w:rPr>
        <w:t>2012</w:t>
      </w:r>
      <w:r>
        <w:rPr>
          <w:rFonts w:ascii="宋体" w:hAnsi="宋体" w:cs="宋体" w:eastAsia="宋体" w:hint="default"/>
          <w:spacing w:val="-68"/>
        </w:rPr>
        <w:t> </w:t>
      </w:r>
      <w:r>
        <w:rPr/>
        <w:t>年</w:t>
      </w:r>
      <w:r>
        <w:rPr>
          <w:spacing w:val="-67"/>
        </w:rPr>
        <w:t> </w:t>
      </w:r>
      <w:r>
        <w:rPr>
          <w:rFonts w:ascii="宋体" w:hAnsi="宋体" w:cs="宋体" w:eastAsia="宋体" w:hint="default"/>
        </w:rPr>
        <w:t>2</w:t>
      </w:r>
      <w:r>
        <w:rPr>
          <w:rFonts w:ascii="宋体" w:hAnsi="宋体" w:cs="宋体" w:eastAsia="宋体" w:hint="default"/>
          <w:spacing w:val="-67"/>
        </w:rPr>
        <w:t> </w:t>
      </w:r>
      <w:r>
        <w:rPr/>
        <w:t>月</w:t>
      </w:r>
      <w:r>
        <w:rPr>
          <w:spacing w:val="-67"/>
        </w:rPr>
        <w:t> </w:t>
      </w:r>
      <w:r>
        <w:rPr>
          <w:rFonts w:ascii="宋体" w:hAnsi="宋体" w:cs="宋体" w:eastAsia="宋体" w:hint="default"/>
        </w:rPr>
        <w:t>28</w:t>
      </w:r>
      <w:r>
        <w:rPr>
          <w:rFonts w:ascii="宋体" w:hAnsi="宋体" w:cs="宋体" w:eastAsia="宋体" w:hint="default"/>
          <w:spacing w:val="-67"/>
        </w:rPr>
        <w:t> </w:t>
      </w:r>
      <w:r>
        <w:rPr/>
        <w:t>日，董事会审计委员会召开了</w:t>
      </w:r>
      <w:r>
        <w:rPr>
          <w:spacing w:val="-66"/>
        </w:rPr>
        <w:t> </w:t>
      </w:r>
      <w:r>
        <w:rPr>
          <w:rFonts w:ascii="宋体" w:hAnsi="宋体" w:cs="宋体" w:eastAsia="宋体" w:hint="default"/>
        </w:rPr>
        <w:t>2011</w:t>
      </w:r>
      <w:r>
        <w:rPr>
          <w:rFonts w:ascii="宋体" w:hAnsi="宋体" w:cs="宋体" w:eastAsia="宋体" w:hint="default"/>
          <w:spacing w:val="-67"/>
        </w:rPr>
        <w:t> </w:t>
      </w:r>
      <w:r>
        <w:rPr/>
        <w:t>年年报工作第三次会议，年审会 </w:t>
      </w:r>
      <w:r>
        <w:rPr>
          <w:spacing w:val="-2"/>
        </w:rPr>
        <w:t>计师向审计委员会汇报年度审计初步意见，一致认为公司总体情况良好，经营稳健，主</w:t>
      </w:r>
      <w:r>
        <w:rPr>
          <w:spacing w:val="-95"/>
        </w:rPr>
        <w:t> </w:t>
      </w:r>
      <w:r>
        <w:rPr>
          <w:spacing w:val="-95"/>
        </w:rPr>
      </w:r>
      <w:r>
        <w:rPr/>
        <w:t>营业务能力增强。</w:t>
      </w:r>
    </w:p>
    <w:p>
      <w:pPr>
        <w:pStyle w:val="BodyText"/>
        <w:spacing w:line="240" w:lineRule="auto"/>
        <w:ind w:left="617" w:right="183"/>
        <w:jc w:val="left"/>
      </w:pPr>
      <w:r>
        <w:rPr>
          <w:rFonts w:ascii="宋体" w:hAnsi="宋体" w:cs="宋体" w:eastAsia="宋体" w:hint="default"/>
        </w:rPr>
        <w:t>2012</w:t>
      </w:r>
      <w:r>
        <w:rPr>
          <w:rFonts w:ascii="宋体" w:hAnsi="宋体" w:cs="宋体" w:eastAsia="宋体" w:hint="default"/>
          <w:spacing w:val="-68"/>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12</w:t>
      </w:r>
      <w:r>
        <w:rPr>
          <w:rFonts w:ascii="宋体" w:hAnsi="宋体" w:cs="宋体" w:eastAsia="宋体" w:hint="default"/>
          <w:spacing w:val="-67"/>
        </w:rPr>
        <w:t> </w:t>
      </w:r>
      <w:r>
        <w:rPr/>
        <w:t>日，董事会审计委员会召开了</w:t>
      </w:r>
      <w:r>
        <w:rPr>
          <w:spacing w:val="-66"/>
        </w:rPr>
        <w:t> </w:t>
      </w:r>
      <w:r>
        <w:rPr>
          <w:rFonts w:ascii="宋体" w:hAnsi="宋体" w:cs="宋体" w:eastAsia="宋体" w:hint="default"/>
        </w:rPr>
        <w:t>2011</w:t>
      </w:r>
      <w:r>
        <w:rPr>
          <w:rFonts w:ascii="宋体" w:hAnsi="宋体" w:cs="宋体" w:eastAsia="宋体" w:hint="default"/>
          <w:spacing w:val="-67"/>
        </w:rPr>
        <w:t> </w:t>
      </w:r>
      <w:r>
        <w:rPr/>
        <w:t>年年报工作第四次会议，认真审</w:t>
      </w:r>
    </w:p>
    <w:p>
      <w:pPr>
        <w:pStyle w:val="BodyText"/>
        <w:spacing w:line="240" w:lineRule="auto" w:before="154"/>
        <w:ind w:left="197" w:right="0"/>
        <w:jc w:val="both"/>
      </w:pPr>
      <w:r>
        <w:rPr/>
        <w:t>阅了上海众华沪银会计师事务所有限公司出具的 </w:t>
      </w:r>
      <w:r>
        <w:rPr>
          <w:rFonts w:ascii="宋体" w:hAnsi="宋体" w:cs="宋体" w:eastAsia="宋体" w:hint="default"/>
        </w:rPr>
        <w:t>2011</w:t>
      </w:r>
      <w:r>
        <w:rPr>
          <w:rFonts w:ascii="宋体" w:hAnsi="宋体" w:cs="宋体" w:eastAsia="宋体" w:hint="default"/>
          <w:spacing w:val="-48"/>
        </w:rPr>
        <w:t> </w:t>
      </w:r>
      <w:r>
        <w:rPr/>
        <w:t>年年度审计报告，审计委员会一</w:t>
      </w:r>
    </w:p>
    <w:p>
      <w:pPr>
        <w:spacing w:after="0" w:line="240" w:lineRule="auto"/>
        <w:jc w:val="both"/>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357" w:lineRule="auto" w:before="26"/>
        <w:ind w:left="197" w:right="235"/>
        <w:jc w:val="both"/>
      </w:pPr>
      <w:r>
        <w:rPr>
          <w:spacing w:val="-2"/>
        </w:rPr>
        <w:t>致认为审计报告严格按照新企业会计准则及公司有关财务制度的规定编制，公允地反映</w:t>
      </w:r>
      <w:r>
        <w:rPr>
          <w:spacing w:val="-92"/>
        </w:rPr>
        <w:t> </w:t>
      </w:r>
      <w:r>
        <w:rPr>
          <w:spacing w:val="-92"/>
        </w:rPr>
      </w:r>
      <w:r>
        <w:rPr/>
        <w:t>了公司</w:t>
      </w:r>
      <w:r>
        <w:rPr>
          <w:spacing w:val="-61"/>
        </w:rPr>
        <w:t> </w:t>
      </w:r>
      <w:r>
        <w:rPr>
          <w:rFonts w:ascii="宋体" w:hAnsi="宋体" w:cs="宋体" w:eastAsia="宋体" w:hint="default"/>
        </w:rPr>
        <w:t>2011</w:t>
      </w:r>
      <w:r>
        <w:rPr>
          <w:rFonts w:ascii="宋体" w:hAnsi="宋体" w:cs="宋体" w:eastAsia="宋体" w:hint="default"/>
          <w:spacing w:val="-60"/>
        </w:rPr>
        <w:t> </w:t>
      </w:r>
      <w:r>
        <w:rPr/>
        <w:t>年度的财务状况及经营成果，同意提交董事会审议。</w:t>
      </w:r>
    </w:p>
    <w:p>
      <w:pPr>
        <w:pStyle w:val="BodyText"/>
        <w:spacing w:line="240" w:lineRule="auto"/>
        <w:ind w:left="617" w:right="279"/>
        <w:jc w:val="left"/>
      </w:pPr>
      <w:r>
        <w:rPr>
          <w:rFonts w:ascii="宋体" w:hAnsi="宋体" w:cs="宋体" w:eastAsia="宋体" w:hint="default"/>
        </w:rPr>
        <w:t>4</w:t>
      </w:r>
      <w:r>
        <w:rPr/>
        <w:t>、对公司财务决算报告等事项的审核</w:t>
      </w:r>
    </w:p>
    <w:p>
      <w:pPr>
        <w:pStyle w:val="BodyText"/>
        <w:spacing w:line="240" w:lineRule="auto" w:before="154"/>
        <w:ind w:left="617" w:right="183"/>
        <w:jc w:val="left"/>
      </w:pPr>
      <w:r>
        <w:rPr/>
        <w:t>对《公司</w:t>
      </w:r>
      <w:r>
        <w:rPr>
          <w:spacing w:val="-58"/>
        </w:rPr>
        <w:t> </w:t>
      </w:r>
      <w:r>
        <w:rPr>
          <w:rFonts w:ascii="宋体" w:hAnsi="宋体" w:cs="宋体" w:eastAsia="宋体" w:hint="default"/>
        </w:rPr>
        <w:t>2011</w:t>
      </w:r>
      <w:r>
        <w:rPr>
          <w:rFonts w:ascii="宋体" w:hAnsi="宋体" w:cs="宋体" w:eastAsia="宋体" w:hint="default"/>
          <w:spacing w:val="-58"/>
        </w:rPr>
        <w:t> </w:t>
      </w:r>
      <w:r>
        <w:rPr/>
        <w:t>年度财务决算报告</w:t>
      </w:r>
      <w:r>
        <w:rPr>
          <w:spacing w:val="-120"/>
        </w:rPr>
        <w:t>》、</w:t>
      </w:r>
      <w:r>
        <w:rPr/>
        <w:t>《公司</w:t>
      </w:r>
      <w:r>
        <w:rPr>
          <w:spacing w:val="-57"/>
        </w:rPr>
        <w:t> </w:t>
      </w:r>
      <w:r>
        <w:rPr>
          <w:rFonts w:ascii="宋体" w:hAnsi="宋体" w:cs="宋体" w:eastAsia="宋体" w:hint="default"/>
        </w:rPr>
        <w:t>2011</w:t>
      </w:r>
      <w:r>
        <w:rPr>
          <w:rFonts w:ascii="宋体" w:hAnsi="宋体" w:cs="宋体" w:eastAsia="宋体" w:hint="default"/>
          <w:spacing w:val="-58"/>
        </w:rPr>
        <w:t> </w:t>
      </w:r>
      <w:r>
        <w:rPr/>
        <w:t>年度内部控制自我评价报告</w:t>
      </w:r>
      <w:r>
        <w:rPr>
          <w:spacing w:val="-120"/>
        </w:rPr>
        <w:t>》、</w:t>
      </w:r>
      <w:r>
        <w:rPr/>
        <w:t>《关</w:t>
      </w:r>
    </w:p>
    <w:p>
      <w:pPr>
        <w:pStyle w:val="BodyText"/>
        <w:spacing w:line="357" w:lineRule="auto" w:before="154"/>
        <w:ind w:left="197" w:right="234"/>
        <w:jc w:val="both"/>
      </w:pPr>
      <w:r>
        <w:rPr/>
        <w:t>于公司募集资金 </w:t>
      </w:r>
      <w:r>
        <w:rPr>
          <w:rFonts w:ascii="宋体" w:hAnsi="宋体" w:cs="宋体" w:eastAsia="宋体" w:hint="default"/>
        </w:rPr>
        <w:t>2011</w:t>
      </w:r>
      <w:r>
        <w:rPr>
          <w:rFonts w:ascii="宋体" w:hAnsi="宋体" w:cs="宋体" w:eastAsia="宋体" w:hint="default"/>
          <w:spacing w:val="-49"/>
        </w:rPr>
        <w:t> </w:t>
      </w:r>
      <w:r>
        <w:rPr/>
        <w:t>年度存放与使用情况的专项报告》进行认真审核并一致认为：公 </w:t>
      </w:r>
      <w:r>
        <w:rPr>
          <w:spacing w:val="-2"/>
        </w:rPr>
        <w:t>司前次募集资金使用遵循了《招股说明书》的承诺，未发生变更，使用效果良好，达到</w:t>
      </w:r>
      <w:r>
        <w:rPr>
          <w:spacing w:val="-94"/>
        </w:rPr>
        <w:t> </w:t>
      </w:r>
      <w:r>
        <w:rPr>
          <w:spacing w:val="-94"/>
        </w:rPr>
      </w:r>
      <w:r>
        <w:rPr/>
        <w:t>预期效益；公司内部控制自我评价报告及 </w:t>
      </w:r>
      <w:r>
        <w:rPr>
          <w:rFonts w:ascii="宋体" w:hAnsi="宋体" w:cs="宋体" w:eastAsia="宋体" w:hint="default"/>
        </w:rPr>
        <w:t>2011</w:t>
      </w:r>
      <w:r>
        <w:rPr>
          <w:rFonts w:ascii="宋体" w:hAnsi="宋体" w:cs="宋体" w:eastAsia="宋体" w:hint="default"/>
          <w:spacing w:val="-48"/>
        </w:rPr>
        <w:t> </w:t>
      </w:r>
      <w:r>
        <w:rPr/>
        <w:t>年度财务决算报告真实地反映了公司的 内部控制情况及财务决算情况，同意提交公司董事会进行审议。</w:t>
      </w:r>
    </w:p>
    <w:p>
      <w:pPr>
        <w:pStyle w:val="BodyText"/>
        <w:spacing w:line="357" w:lineRule="auto"/>
        <w:ind w:left="617" w:right="223"/>
        <w:jc w:val="left"/>
      </w:pPr>
      <w:r>
        <w:rPr>
          <w:rFonts w:ascii="宋体" w:hAnsi="宋体" w:cs="宋体" w:eastAsia="宋体" w:hint="default"/>
        </w:rPr>
        <w:t>5</w:t>
      </w:r>
      <w:r>
        <w:rPr/>
        <w:t>、对会计师事务所工作总结及续聘会计师事务所意见 审计委员会对上海众华沪银会计师事务所有限公司 </w:t>
      </w:r>
      <w:r>
        <w:rPr>
          <w:rFonts w:ascii="宋体" w:hAnsi="宋体" w:cs="宋体" w:eastAsia="宋体" w:hint="default"/>
        </w:rPr>
        <w:t>2011</w:t>
      </w:r>
      <w:r>
        <w:rPr>
          <w:rFonts w:ascii="宋体" w:hAnsi="宋体" w:cs="宋体" w:eastAsia="宋体" w:hint="default"/>
          <w:spacing w:val="6"/>
        </w:rPr>
        <w:t> </w:t>
      </w:r>
      <w:r>
        <w:rPr/>
        <w:t>年度公司的审计工作情况</w:t>
      </w:r>
    </w:p>
    <w:p>
      <w:pPr>
        <w:pStyle w:val="BodyText"/>
        <w:spacing w:line="357" w:lineRule="auto"/>
        <w:ind w:left="197" w:right="187"/>
        <w:jc w:val="both"/>
      </w:pPr>
      <w:r>
        <w:rPr>
          <w:spacing w:val="-2"/>
        </w:rPr>
        <w:t>进行了认真评价，认为该所在担任公司审计机构并进行各专项审计和财务报表审计过程</w:t>
      </w:r>
      <w:r>
        <w:rPr>
          <w:spacing w:val="-92"/>
        </w:rPr>
        <w:t> </w:t>
      </w:r>
      <w:r>
        <w:rPr>
          <w:spacing w:val="-92"/>
        </w:rPr>
      </w:r>
      <w:r>
        <w:rPr/>
        <w:t>中，坚持以公允、客观的态度进行独立审计，很好的履行了双方签订的《业务约定书》 </w:t>
      </w:r>
      <w:r>
        <w:rPr>
          <w:spacing w:val="-2"/>
        </w:rPr>
        <w:t>所规定的责任和义务，审计委员会一致同意续聘上海众华沪银会计师事务所有限公司为</w:t>
      </w:r>
      <w:r>
        <w:rPr>
          <w:spacing w:val="-92"/>
        </w:rPr>
        <w:t> </w:t>
      </w:r>
      <w:r>
        <w:rPr>
          <w:spacing w:val="-92"/>
        </w:rPr>
      </w:r>
      <w:r>
        <w:rPr/>
        <w:t>公司</w:t>
      </w:r>
      <w:r>
        <w:rPr>
          <w:spacing w:val="-60"/>
        </w:rPr>
        <w:t> </w:t>
      </w:r>
      <w:r>
        <w:rPr>
          <w:rFonts w:ascii="宋体" w:hAnsi="宋体" w:cs="宋体" w:eastAsia="宋体" w:hint="default"/>
        </w:rPr>
        <w:t>2012</w:t>
      </w:r>
      <w:r>
        <w:rPr>
          <w:rFonts w:ascii="宋体" w:hAnsi="宋体" w:cs="宋体" w:eastAsia="宋体" w:hint="default"/>
          <w:spacing w:val="-61"/>
        </w:rPr>
        <w:t> </w:t>
      </w:r>
      <w:r>
        <w:rPr/>
        <w:t>年度审计机构，并同意将上述意见作为议案提交公司董事会审议。</w:t>
      </w:r>
    </w:p>
    <w:p>
      <w:pPr>
        <w:spacing w:line="240" w:lineRule="auto" w:before="0"/>
        <w:rPr>
          <w:rFonts w:ascii="宋体" w:hAnsi="宋体" w:cs="宋体" w:eastAsia="宋体" w:hint="default"/>
          <w:sz w:val="24"/>
          <w:szCs w:val="24"/>
        </w:rPr>
      </w:pPr>
    </w:p>
    <w:p>
      <w:pPr>
        <w:spacing w:line="357" w:lineRule="auto" w:before="190"/>
        <w:ind w:left="617" w:right="219" w:hanging="420"/>
        <w:jc w:val="left"/>
        <w:rPr>
          <w:rFonts w:ascii="宋体" w:hAnsi="宋体" w:cs="宋体" w:eastAsia="宋体" w:hint="default"/>
          <w:sz w:val="24"/>
          <w:szCs w:val="24"/>
        </w:rPr>
      </w:pPr>
      <w:r>
        <w:rPr>
          <w:rFonts w:ascii="宋体" w:hAnsi="宋体" w:cs="宋体" w:eastAsia="宋体" w:hint="default"/>
          <w:b/>
          <w:bCs/>
          <w:sz w:val="24"/>
          <w:szCs w:val="24"/>
        </w:rPr>
        <w:t>（四）战略委员会履职情况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报告期内，战略委员会召开了数次讨论会，研究公司的中长期发展计划。</w:t>
      </w:r>
      <w:r>
        <w:rPr>
          <w:rFonts w:ascii="宋体" w:hAnsi="宋体" w:cs="宋体" w:eastAsia="宋体" w:hint="default"/>
          <w:spacing w:val="-2"/>
          <w:sz w:val="24"/>
          <w:szCs w:val="24"/>
        </w:rPr>
        <w:t>2011</w:t>
      </w:r>
      <w:r>
        <w:rPr>
          <w:rFonts w:ascii="宋体" w:hAnsi="宋体" w:cs="宋体" w:eastAsia="宋体" w:hint="default"/>
          <w:spacing w:val="-38"/>
          <w:sz w:val="24"/>
          <w:szCs w:val="24"/>
        </w:rPr>
        <w:t> </w:t>
      </w:r>
      <w:r>
        <w:rPr>
          <w:rFonts w:ascii="宋体" w:hAnsi="宋体" w:cs="宋体" w:eastAsia="宋体" w:hint="default"/>
          <w:sz w:val="24"/>
          <w:szCs w:val="24"/>
        </w:rPr>
        <w:t>年度</w:t>
      </w:r>
    </w:p>
    <w:p>
      <w:pPr>
        <w:pStyle w:val="BodyText"/>
        <w:spacing w:line="357" w:lineRule="auto"/>
        <w:ind w:left="197" w:right="233"/>
        <w:jc w:val="both"/>
      </w:pPr>
      <w:r>
        <w:rPr>
          <w:spacing w:val="-2"/>
        </w:rPr>
        <w:t>公司在对海外的软件外包业务方面走上了一个新的台阶，主营业务顺利发展。在此基础</w:t>
      </w:r>
      <w:r>
        <w:rPr>
          <w:spacing w:val="-91"/>
        </w:rPr>
        <w:t> </w:t>
      </w:r>
      <w:r>
        <w:rPr>
          <w:spacing w:val="-91"/>
        </w:rPr>
      </w:r>
      <w:r>
        <w:rPr>
          <w:spacing w:val="-2"/>
        </w:rPr>
        <w:t>上，公司继续寻求多种经营模式的发展方向，本年度经董事会审议通过出资投资上海艾</w:t>
      </w:r>
      <w:r>
        <w:rPr>
          <w:spacing w:val="-92"/>
        </w:rPr>
        <w:t> </w:t>
      </w:r>
      <w:r>
        <w:rPr>
          <w:spacing w:val="-92"/>
        </w:rPr>
      </w:r>
      <w:r>
        <w:rPr/>
        <w:t>云慧信投资有限公司，以提高公司进入国内信息服务领域内扩展业务的机会。</w:t>
      </w:r>
    </w:p>
    <w:p>
      <w:pPr>
        <w:spacing w:line="240" w:lineRule="auto" w:before="0"/>
        <w:rPr>
          <w:rFonts w:ascii="宋体" w:hAnsi="宋体" w:cs="宋体" w:eastAsia="宋体" w:hint="default"/>
          <w:sz w:val="24"/>
          <w:szCs w:val="24"/>
        </w:rPr>
      </w:pPr>
    </w:p>
    <w:p>
      <w:pPr>
        <w:pStyle w:val="Heading3"/>
        <w:spacing w:line="240" w:lineRule="auto" w:before="190"/>
        <w:ind w:left="197" w:right="0"/>
        <w:jc w:val="both"/>
        <w:rPr>
          <w:b w:val="0"/>
          <w:bCs w:val="0"/>
        </w:rPr>
      </w:pPr>
      <w:r>
        <w:rPr/>
        <w:t>（五）提名、薪酬与考核委员会履职情况</w:t>
      </w:r>
      <w:r>
        <w:rPr>
          <w:b w:val="0"/>
          <w:bCs w:val="0"/>
        </w:rPr>
      </w:r>
    </w:p>
    <w:p>
      <w:pPr>
        <w:pStyle w:val="BodyText"/>
        <w:spacing w:line="240" w:lineRule="auto" w:before="154"/>
        <w:ind w:left="677" w:right="0"/>
        <w:jc w:val="left"/>
      </w:pPr>
      <w:r>
        <w:rPr/>
        <w:t>第四届提名、薪酬与考核委员会在</w:t>
      </w:r>
      <w:r>
        <w:rPr>
          <w:spacing w:val="-84"/>
        </w:rPr>
        <w:t> </w:t>
      </w:r>
      <w:r>
        <w:rPr>
          <w:rFonts w:ascii="宋体" w:hAnsi="宋体" w:cs="宋体" w:eastAsia="宋体" w:hint="default"/>
        </w:rPr>
        <w:t>2011</w:t>
      </w:r>
      <w:r>
        <w:rPr>
          <w:rFonts w:ascii="宋体" w:hAnsi="宋体" w:cs="宋体" w:eastAsia="宋体" w:hint="default"/>
          <w:spacing w:val="-84"/>
        </w:rPr>
        <w:t> </w:t>
      </w:r>
      <w:r>
        <w:rPr/>
        <w:t>年度向届董事会提案，推荐了增补的董事、</w:t>
      </w:r>
    </w:p>
    <w:p>
      <w:pPr>
        <w:pStyle w:val="BodyText"/>
        <w:spacing w:line="357" w:lineRule="auto" w:before="154"/>
        <w:ind w:left="197" w:right="233"/>
        <w:jc w:val="both"/>
      </w:pPr>
      <w:r>
        <w:rPr/>
        <w:t>副总经理以及其他公司高级管理人员的人选，并对公司董事、监事、高管 </w:t>
      </w:r>
      <w:r>
        <w:rPr>
          <w:rFonts w:ascii="宋体" w:hAnsi="宋体" w:cs="宋体" w:eastAsia="宋体" w:hint="default"/>
        </w:rPr>
        <w:t>2011</w:t>
      </w:r>
      <w:r>
        <w:rPr>
          <w:rFonts w:ascii="宋体" w:hAnsi="宋体" w:cs="宋体" w:eastAsia="宋体" w:hint="default"/>
          <w:spacing w:val="-47"/>
        </w:rPr>
        <w:t> </w:t>
      </w:r>
      <w:r>
        <w:rPr/>
        <w:t>年度薪 </w:t>
      </w:r>
      <w:r>
        <w:rPr>
          <w:spacing w:val="-2"/>
        </w:rPr>
        <w:t>酬进行了审核，经过综合考评，根据本年度业绩情况确定了公司员工及高级管理人员的</w:t>
      </w:r>
      <w:r>
        <w:rPr>
          <w:spacing w:val="-92"/>
        </w:rPr>
        <w:t> </w:t>
      </w:r>
      <w:r>
        <w:rPr>
          <w:spacing w:val="-92"/>
        </w:rPr>
      </w:r>
      <w:r>
        <w:rPr>
          <w:spacing w:val="-2"/>
        </w:rPr>
        <w:t>薪酬以及公司员工的薪酬标准，认为公司员工及高管的薪酬待遇符合市场基本情况，公</w:t>
      </w:r>
      <w:r>
        <w:rPr>
          <w:spacing w:val="-92"/>
        </w:rPr>
        <w:t> </w:t>
      </w:r>
      <w:r>
        <w:rPr>
          <w:spacing w:val="-92"/>
        </w:rPr>
      </w:r>
      <w:r>
        <w:rPr/>
        <w:t>平合理，对公司保有高质量的人才并对提高公司业绩可起到积极作用。在 </w:t>
      </w:r>
      <w:r>
        <w:rPr>
          <w:rFonts w:ascii="宋体" w:hAnsi="宋体" w:cs="宋体" w:eastAsia="宋体" w:hint="default"/>
        </w:rPr>
        <w:t>2011</w:t>
      </w:r>
      <w:r>
        <w:rPr>
          <w:rFonts w:ascii="宋体" w:hAnsi="宋体" w:cs="宋体" w:eastAsia="宋体" w:hint="default"/>
          <w:spacing w:val="-48"/>
        </w:rPr>
        <w:t> </w:t>
      </w:r>
      <w:r>
        <w:rPr/>
        <w:t>年度， </w:t>
      </w:r>
      <w:r>
        <w:rPr>
          <w:spacing w:val="-8"/>
        </w:rPr>
        <w:t>委员会还审议了《限制性股票激励计划（草案）》，《限制性股票激励计划首期激励对象</w:t>
      </w:r>
      <w:r>
        <w:rPr>
          <w:spacing w:val="-102"/>
        </w:rPr>
        <w:t> </w:t>
      </w:r>
      <w:r>
        <w:rPr>
          <w:spacing w:val="-102"/>
        </w:rPr>
      </w:r>
      <w:r>
        <w:rPr>
          <w:spacing w:val="-2"/>
        </w:rPr>
        <w:t>名单》及《限制性股票激励计划实施考核办法》，认为该方案可充分调动激励对象的积</w:t>
      </w:r>
    </w:p>
    <w:p>
      <w:pPr>
        <w:spacing w:after="0" w:line="357" w:lineRule="auto"/>
        <w:jc w:val="both"/>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357" w:lineRule="auto" w:before="26"/>
        <w:ind w:left="197" w:right="304"/>
        <w:jc w:val="left"/>
      </w:pPr>
      <w:r>
        <w:rPr/>
        <w:t>极性与创造性，提高经营效率、以利于公司的长远发展，并将方案提交公司董事会审议 </w:t>
      </w:r>
      <w:r>
        <w:rPr>
          <w:spacing w:val="-4"/>
        </w:rPr>
        <w:t>表决。</w:t>
      </w:r>
      <w:r>
        <w:rPr>
          <w:rFonts w:ascii="宋体" w:hAnsi="宋体" w:cs="宋体" w:eastAsia="宋体" w:hint="default"/>
          <w:spacing w:val="-4"/>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spacing w:val="-3"/>
        </w:rPr>
        <w:t>日，根据深交所《关于开展“加强中小板上市公司内控规则落实”</w:t>
      </w:r>
      <w:r>
        <w:rPr/>
        <w:t> </w:t>
      </w:r>
      <w:r>
        <w:rPr>
          <w:spacing w:val="-2"/>
        </w:rPr>
        <w:t>专项活动的通知》，对公司内部控制规则落实情况自查，重新审议了原由非独立董事担</w:t>
      </w:r>
      <w:r>
        <w:rPr>
          <w:spacing w:val="-102"/>
        </w:rPr>
        <w:t> </w:t>
      </w:r>
      <w:r>
        <w:rPr>
          <w:spacing w:val="-102"/>
        </w:rPr>
      </w:r>
      <w:r>
        <w:rPr>
          <w:spacing w:val="-2"/>
        </w:rPr>
        <w:t>任主任（召集人）的情况，并提请董事会改选独立董事高美萍女士为公司提名</w:t>
      </w:r>
      <w:r>
        <w:rPr>
          <w:rFonts w:ascii="MS UI Gothic" w:hAnsi="MS UI Gothic" w:cs="MS UI Gothic" w:eastAsia="MS UI Gothic" w:hint="default"/>
          <w:spacing w:val="-2"/>
        </w:rPr>
        <w:t>・</w:t>
      </w:r>
      <w:r>
        <w:rPr>
          <w:spacing w:val="-2"/>
        </w:rPr>
        <w:t>薪酬与</w:t>
      </w:r>
      <w:r>
        <w:rPr>
          <w:spacing w:val="24"/>
        </w:rPr>
        <w:t> </w:t>
      </w:r>
      <w:r>
        <w:rPr/>
        <w:t>考核委员会主任。</w:t>
      </w:r>
    </w:p>
    <w:p>
      <w:pPr>
        <w:spacing w:line="240" w:lineRule="auto" w:before="8"/>
        <w:rPr>
          <w:rFonts w:ascii="宋体" w:hAnsi="宋体" w:cs="宋体" w:eastAsia="宋体" w:hint="default"/>
          <w:sz w:val="26"/>
          <w:szCs w:val="26"/>
        </w:rPr>
      </w:pPr>
    </w:p>
    <w:p>
      <w:pPr>
        <w:pStyle w:val="Heading3"/>
        <w:spacing w:line="240" w:lineRule="auto" w:before="0"/>
        <w:ind w:left="197" w:right="304"/>
        <w:jc w:val="left"/>
        <w:rPr>
          <w:b w:val="0"/>
          <w:bCs w:val="0"/>
        </w:rPr>
      </w:pPr>
      <w:r>
        <w:rPr/>
        <w:t>五、</w:t>
      </w:r>
      <w:r>
        <w:rPr>
          <w:rFonts w:ascii="宋体" w:hAnsi="宋体" w:cs="宋体" w:eastAsia="宋体" w:hint="default"/>
        </w:rPr>
        <w:t>2011</w:t>
      </w:r>
      <w:r>
        <w:rPr>
          <w:rFonts w:ascii="宋体" w:hAnsi="宋体" w:cs="宋体" w:eastAsia="宋体" w:hint="default"/>
          <w:spacing w:val="-65"/>
        </w:rPr>
        <w:t> </w:t>
      </w:r>
      <w:r>
        <w:rPr/>
        <w:t>年度利润分配预案</w:t>
      </w:r>
      <w:r>
        <w:rPr>
          <w:b w:val="0"/>
          <w:bCs w:val="0"/>
        </w:rPr>
      </w:r>
    </w:p>
    <w:p>
      <w:pPr>
        <w:spacing w:line="357" w:lineRule="auto" w:before="154"/>
        <w:ind w:left="677" w:right="417"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z w:val="24"/>
          <w:szCs w:val="24"/>
        </w:rPr>
        <w:t>2011</w:t>
      </w:r>
      <w:r>
        <w:rPr>
          <w:rFonts w:ascii="宋体" w:hAnsi="宋体" w:cs="宋体" w:eastAsia="宋体" w:hint="default"/>
          <w:b/>
          <w:bCs/>
          <w:spacing w:val="-61"/>
          <w:sz w:val="24"/>
          <w:szCs w:val="24"/>
        </w:rPr>
        <w:t> </w:t>
      </w:r>
      <w:r>
        <w:rPr>
          <w:rFonts w:ascii="宋体" w:hAnsi="宋体" w:cs="宋体" w:eastAsia="宋体" w:hint="default"/>
          <w:b/>
          <w:bCs/>
          <w:sz w:val="24"/>
          <w:szCs w:val="24"/>
        </w:rPr>
        <w:t>年度利润分配预案</w:t>
      </w:r>
      <w:r>
        <w:rPr>
          <w:rFonts w:ascii="宋体" w:hAnsi="宋体" w:cs="宋体" w:eastAsia="宋体" w:hint="default"/>
          <w:b/>
          <w:bCs/>
          <w:w w:val="99"/>
          <w:sz w:val="24"/>
          <w:szCs w:val="24"/>
        </w:rPr>
        <w:t> </w:t>
      </w:r>
      <w:r>
        <w:rPr>
          <w:rFonts w:ascii="宋体" w:hAnsi="宋体" w:cs="宋体" w:eastAsia="宋体" w:hint="default"/>
          <w:sz w:val="24"/>
          <w:szCs w:val="24"/>
        </w:rPr>
        <w:t>经上海众华沪银会计师事务所出具的沪众会字（</w:t>
      </w:r>
      <w:r>
        <w:rPr>
          <w:rFonts w:ascii="宋体" w:hAnsi="宋体" w:cs="宋体" w:eastAsia="宋体" w:hint="default"/>
          <w:sz w:val="24"/>
          <w:szCs w:val="24"/>
        </w:rPr>
        <w:t>2012</w:t>
      </w:r>
      <w:r>
        <w:rPr>
          <w:rFonts w:ascii="宋体" w:hAnsi="宋体" w:cs="宋体" w:eastAsia="宋体" w:hint="default"/>
          <w:sz w:val="24"/>
          <w:szCs w:val="24"/>
        </w:rPr>
        <w:t>）第 </w:t>
      </w:r>
      <w:r>
        <w:rPr>
          <w:rFonts w:ascii="宋体" w:hAnsi="宋体" w:cs="宋体" w:eastAsia="宋体" w:hint="default"/>
          <w:sz w:val="24"/>
          <w:szCs w:val="24"/>
        </w:rPr>
        <w:t>0014</w:t>
      </w:r>
      <w:r>
        <w:rPr>
          <w:rFonts w:ascii="宋体" w:hAnsi="宋体" w:cs="宋体" w:eastAsia="宋体" w:hint="default"/>
          <w:spacing w:val="-48"/>
          <w:sz w:val="24"/>
          <w:szCs w:val="24"/>
        </w:rPr>
        <w:t> </w:t>
      </w:r>
      <w:r>
        <w:rPr>
          <w:rFonts w:ascii="宋体" w:hAnsi="宋体" w:cs="宋体" w:eastAsia="宋体" w:hint="default"/>
          <w:sz w:val="24"/>
          <w:szCs w:val="24"/>
        </w:rPr>
        <w:t>号《审计报告》确</w:t>
      </w:r>
    </w:p>
    <w:p>
      <w:pPr>
        <w:pStyle w:val="BodyText"/>
        <w:spacing w:line="357" w:lineRule="auto" w:before="37"/>
        <w:ind w:left="197" w:right="370"/>
        <w:jc w:val="left"/>
      </w:pPr>
      <w:r>
        <w:rPr>
          <w:spacing w:val="18"/>
        </w:rPr>
        <w:t>认，</w:t>
      </w:r>
      <w:r>
        <w:rPr>
          <w:spacing w:val="-85"/>
        </w:rPr>
        <w:t> </w:t>
      </w:r>
      <w:r>
        <w:rPr>
          <w:rFonts w:ascii="宋体" w:hAnsi="宋体" w:cs="宋体" w:eastAsia="宋体" w:hint="default"/>
        </w:rPr>
        <w:t>2011</w:t>
      </w:r>
      <w:r>
        <w:rPr>
          <w:rFonts w:ascii="宋体" w:hAnsi="宋体" w:cs="宋体" w:eastAsia="宋体" w:hint="default"/>
          <w:spacing w:val="36"/>
        </w:rPr>
        <w:t> </w:t>
      </w:r>
      <w:r>
        <w:rPr/>
        <w:t>年</w:t>
      </w:r>
      <w:r>
        <w:rPr>
          <w:spacing w:val="-85"/>
        </w:rPr>
        <w:t> </w:t>
      </w:r>
      <w:r>
        <w:rPr/>
        <w:t>度</w:t>
      </w:r>
      <w:r>
        <w:rPr>
          <w:spacing w:val="-85"/>
        </w:rPr>
        <w:t> </w:t>
      </w:r>
      <w:r>
        <w:rPr/>
        <w:t>母</w:t>
      </w:r>
      <w:r>
        <w:rPr>
          <w:spacing w:val="-85"/>
        </w:rPr>
        <w:t> </w:t>
      </w:r>
      <w:r>
        <w:rPr/>
        <w:t>公</w:t>
      </w:r>
      <w:r>
        <w:rPr>
          <w:spacing w:val="-82"/>
        </w:rPr>
        <w:t> </w:t>
      </w:r>
      <w:r>
        <w:rPr/>
        <w:t>司</w:t>
      </w:r>
      <w:r>
        <w:rPr>
          <w:spacing w:val="-85"/>
        </w:rPr>
        <w:t> </w:t>
      </w:r>
      <w:r>
        <w:rPr/>
        <w:t>实</w:t>
      </w:r>
      <w:r>
        <w:rPr>
          <w:spacing w:val="-85"/>
        </w:rPr>
        <w:t> </w:t>
      </w:r>
      <w:r>
        <w:rPr/>
        <w:t>现</w:t>
      </w:r>
      <w:r>
        <w:rPr>
          <w:spacing w:val="-85"/>
        </w:rPr>
        <w:t> </w:t>
      </w:r>
      <w:r>
        <w:rPr/>
        <w:t>税</w:t>
      </w:r>
      <w:r>
        <w:rPr>
          <w:spacing w:val="-85"/>
        </w:rPr>
        <w:t> </w:t>
      </w:r>
      <w:r>
        <w:rPr/>
        <w:t>后</w:t>
      </w:r>
      <w:r>
        <w:rPr>
          <w:spacing w:val="-85"/>
        </w:rPr>
        <w:t> </w:t>
      </w:r>
      <w:r>
        <w:rPr/>
        <w:t>净</w:t>
      </w:r>
      <w:r>
        <w:rPr>
          <w:spacing w:val="-85"/>
        </w:rPr>
        <w:t> </w:t>
      </w:r>
      <w:r>
        <w:rPr/>
        <w:t>利</w:t>
      </w:r>
      <w:r>
        <w:rPr>
          <w:spacing w:val="39"/>
        </w:rPr>
        <w:t> </w:t>
      </w:r>
      <w:r>
        <w:rPr>
          <w:rFonts w:ascii="宋体" w:hAnsi="宋体" w:cs="宋体" w:eastAsia="宋体" w:hint="default"/>
        </w:rPr>
        <w:t>56,902,766.07</w:t>
      </w:r>
      <w:r>
        <w:rPr>
          <w:rFonts w:ascii="宋体" w:hAnsi="宋体" w:cs="宋体" w:eastAsia="宋体" w:hint="default"/>
          <w:spacing w:val="36"/>
        </w:rPr>
        <w:t> </w:t>
      </w:r>
      <w:r>
        <w:rPr/>
        <w:t>元</w:t>
      </w:r>
      <w:r>
        <w:rPr>
          <w:spacing w:val="-85"/>
        </w:rPr>
        <w:t> </w:t>
      </w:r>
      <w:r>
        <w:rPr/>
        <w:t>，</w:t>
      </w:r>
      <w:r>
        <w:rPr>
          <w:spacing w:val="-85"/>
        </w:rPr>
        <w:t> </w:t>
      </w:r>
      <w:r>
        <w:rPr/>
        <w:t>加</w:t>
      </w:r>
      <w:r>
        <w:rPr>
          <w:spacing w:val="-82"/>
        </w:rPr>
        <w:t> </w:t>
      </w:r>
      <w:r>
        <w:rPr/>
        <w:t>上</w:t>
      </w:r>
      <w:r>
        <w:rPr>
          <w:spacing w:val="-85"/>
        </w:rPr>
        <w:t> </w:t>
      </w:r>
      <w:r>
        <w:rPr/>
        <w:t>年</w:t>
      </w:r>
      <w:r>
        <w:rPr>
          <w:spacing w:val="-85"/>
        </w:rPr>
        <w:t> </w:t>
      </w:r>
      <w:r>
        <w:rPr/>
        <w:t>初</w:t>
      </w:r>
      <w:r>
        <w:rPr>
          <w:spacing w:val="-85"/>
        </w:rPr>
        <w:t> </w:t>
      </w:r>
      <w:r>
        <w:rPr/>
        <w:t>未</w:t>
      </w:r>
      <w:r>
        <w:rPr>
          <w:spacing w:val="-85"/>
        </w:rPr>
        <w:t> </w:t>
      </w:r>
      <w:r>
        <w:rPr/>
        <w:t>分</w:t>
      </w:r>
      <w:r>
        <w:rPr>
          <w:spacing w:val="-85"/>
        </w:rPr>
        <w:t> </w:t>
      </w:r>
      <w:r>
        <w:rPr/>
        <w:t>配</w:t>
      </w:r>
      <w:r>
        <w:rPr>
          <w:spacing w:val="-85"/>
        </w:rPr>
        <w:t> </w:t>
      </w:r>
      <w:r>
        <w:rPr/>
        <w:t>利</w:t>
      </w:r>
      <w:r>
        <w:rPr>
          <w:spacing w:val="-85"/>
        </w:rPr>
        <w:t> </w:t>
      </w:r>
      <w:r>
        <w:rPr/>
        <w:t>润</w:t>
      </w:r>
      <w:r>
        <w:rPr/>
        <w:t> </w:t>
      </w:r>
      <w:r>
        <w:rPr>
          <w:rFonts w:ascii="宋体" w:hAnsi="宋体" w:cs="宋体" w:eastAsia="宋体" w:hint="default"/>
        </w:rPr>
        <w:t>98,849,618.67</w:t>
      </w:r>
      <w:r>
        <w:rPr>
          <w:rFonts w:ascii="宋体" w:hAnsi="宋体" w:cs="宋体" w:eastAsia="宋体" w:hint="default"/>
          <w:spacing w:val="-61"/>
        </w:rPr>
        <w:t> </w:t>
      </w:r>
      <w:r>
        <w:rPr/>
        <w:t>元，减去</w:t>
      </w:r>
      <w:r>
        <w:rPr>
          <w:spacing w:val="-60"/>
        </w:rPr>
        <w:t> </w:t>
      </w:r>
      <w:r>
        <w:rPr>
          <w:rFonts w:ascii="宋体" w:hAnsi="宋体" w:cs="宋体" w:eastAsia="宋体" w:hint="default"/>
        </w:rPr>
        <w:t>2010</w:t>
      </w:r>
      <w:r>
        <w:rPr>
          <w:rFonts w:ascii="宋体" w:hAnsi="宋体" w:cs="宋体" w:eastAsia="宋体" w:hint="default"/>
          <w:spacing w:val="-60"/>
        </w:rPr>
        <w:t> </w:t>
      </w:r>
      <w:r>
        <w:rPr/>
        <w:t>年度利润分配（每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1</w:t>
      </w:r>
      <w:r>
        <w:rPr>
          <w:rFonts w:ascii="宋体" w:hAnsi="宋体" w:cs="宋体" w:eastAsia="宋体" w:hint="default"/>
          <w:spacing w:val="-60"/>
        </w:rPr>
        <w:t> </w:t>
      </w:r>
      <w:r>
        <w:rPr/>
        <w:t>元现金）</w:t>
      </w:r>
      <w:r>
        <w:rPr>
          <w:rFonts w:ascii="宋体" w:hAnsi="宋体" w:cs="宋体" w:eastAsia="宋体" w:hint="default"/>
        </w:rPr>
        <w:t>7,462,000.00</w:t>
      </w:r>
      <w:r>
        <w:rPr>
          <w:rFonts w:ascii="宋体" w:hAnsi="宋体" w:cs="宋体" w:eastAsia="宋体" w:hint="default"/>
          <w:spacing w:val="-60"/>
        </w:rPr>
        <w:t> </w:t>
      </w:r>
      <w:r>
        <w:rPr/>
        <w:t>元，</w:t>
      </w:r>
    </w:p>
    <w:p>
      <w:pPr>
        <w:pStyle w:val="BodyText"/>
        <w:spacing w:line="240" w:lineRule="auto"/>
        <w:ind w:left="197" w:right="304"/>
        <w:jc w:val="left"/>
      </w:pPr>
      <w:r>
        <w:rPr/>
        <w:t>提取法定盈余公积</w:t>
      </w:r>
      <w:r>
        <w:rPr>
          <w:spacing w:val="-61"/>
        </w:rPr>
        <w:t> </w:t>
      </w:r>
      <w:r>
        <w:rPr>
          <w:rFonts w:ascii="宋体" w:hAnsi="宋体" w:cs="宋体" w:eastAsia="宋体" w:hint="default"/>
        </w:rPr>
        <w:t>5,690,276.61</w:t>
      </w:r>
      <w:r>
        <w:rPr>
          <w:rFonts w:ascii="宋体" w:hAnsi="宋体" w:cs="宋体" w:eastAsia="宋体" w:hint="default"/>
          <w:spacing w:val="-60"/>
        </w:rPr>
        <w:t> </w:t>
      </w:r>
      <w:r>
        <w:rPr/>
        <w:t>元，年末可供股东分配的利润为</w:t>
      </w:r>
      <w:r>
        <w:rPr>
          <w:spacing w:val="-60"/>
        </w:rPr>
        <w:t> </w:t>
      </w:r>
      <w:r>
        <w:rPr>
          <w:rFonts w:ascii="宋体" w:hAnsi="宋体" w:cs="宋体" w:eastAsia="宋体" w:hint="default"/>
        </w:rPr>
        <w:t>142,600,108.13</w:t>
      </w:r>
      <w:r>
        <w:rPr>
          <w:rFonts w:ascii="宋体" w:hAnsi="宋体" w:cs="宋体" w:eastAsia="宋体" w:hint="default"/>
          <w:spacing w:val="-60"/>
        </w:rPr>
        <w:t> </w:t>
      </w:r>
      <w:r>
        <w:rPr/>
        <w:t>元。</w:t>
      </w:r>
    </w:p>
    <w:p>
      <w:pPr>
        <w:pStyle w:val="BodyText"/>
        <w:spacing w:line="240" w:lineRule="auto" w:before="154"/>
        <w:ind w:left="197" w:right="304"/>
        <w:jc w:val="left"/>
      </w:pPr>
      <w:r>
        <w:rPr/>
        <w:t>年末母公司所有者权益为</w:t>
      </w:r>
      <w:r>
        <w:rPr>
          <w:spacing w:val="-60"/>
        </w:rPr>
        <w:t> </w:t>
      </w:r>
      <w:r>
        <w:rPr>
          <w:rFonts w:ascii="宋体" w:hAnsi="宋体" w:cs="宋体" w:eastAsia="宋体" w:hint="default"/>
        </w:rPr>
        <w:t>344,517,682.07</w:t>
      </w:r>
      <w:r>
        <w:rPr>
          <w:rFonts w:ascii="宋体" w:hAnsi="宋体" w:cs="宋体" w:eastAsia="宋体" w:hint="default"/>
          <w:spacing w:val="-60"/>
        </w:rPr>
        <w:t> </w:t>
      </w:r>
      <w:r>
        <w:rPr/>
        <w:t>元，资本公积为</w:t>
      </w:r>
      <w:r>
        <w:rPr>
          <w:spacing w:val="-60"/>
        </w:rPr>
        <w:t> </w:t>
      </w:r>
      <w:r>
        <w:rPr>
          <w:rFonts w:ascii="宋体" w:hAnsi="宋体" w:cs="宋体" w:eastAsia="宋体" w:hint="default"/>
        </w:rPr>
        <w:t>66,093,813.46</w:t>
      </w:r>
      <w:r>
        <w:rPr>
          <w:rFonts w:ascii="宋体" w:hAnsi="宋体" w:cs="宋体" w:eastAsia="宋体" w:hint="default"/>
          <w:spacing w:val="-60"/>
        </w:rPr>
        <w:t> </w:t>
      </w:r>
      <w:r>
        <w:rPr/>
        <w:t>元。</w:t>
      </w:r>
    </w:p>
    <w:p>
      <w:pPr>
        <w:pStyle w:val="BodyText"/>
        <w:spacing w:line="240" w:lineRule="auto" w:before="154"/>
        <w:ind w:left="677" w:right="304"/>
        <w:jc w:val="left"/>
      </w:pPr>
      <w:r>
        <w:rPr/>
        <w:t>董事会基于公司利润分配原则的一贯性，决定提议对 </w:t>
      </w:r>
      <w:r>
        <w:rPr>
          <w:rFonts w:ascii="宋体" w:hAnsi="宋体" w:cs="宋体" w:eastAsia="宋体" w:hint="default"/>
        </w:rPr>
        <w:t>2011</w:t>
      </w:r>
      <w:r>
        <w:rPr>
          <w:rFonts w:ascii="宋体" w:hAnsi="宋体" w:cs="宋体" w:eastAsia="宋体" w:hint="default"/>
          <w:spacing w:val="-48"/>
        </w:rPr>
        <w:t> </w:t>
      </w:r>
      <w:r>
        <w:rPr/>
        <w:t>年度利润的分配预案为</w:t>
      </w:r>
    </w:p>
    <w:p>
      <w:pPr>
        <w:pStyle w:val="BodyText"/>
        <w:spacing w:line="240" w:lineRule="auto" w:before="154"/>
        <w:ind w:left="197" w:right="304"/>
        <w:jc w:val="left"/>
        <w:rPr>
          <w:rFonts w:ascii="宋体" w:hAnsi="宋体" w:cs="宋体" w:eastAsia="宋体" w:hint="default"/>
        </w:rPr>
      </w:pPr>
      <w:r>
        <w:rPr/>
        <w:t>以公</w:t>
      </w:r>
      <w:r>
        <w:rPr>
          <w:spacing w:val="-1"/>
        </w:rPr>
        <w:t>司</w:t>
      </w:r>
      <w:r>
        <w:rPr/>
        <w:t>最新股本总额</w:t>
      </w:r>
      <w:r>
        <w:rPr>
          <w:spacing w:val="-60"/>
        </w:rPr>
        <w:t> </w:t>
      </w:r>
      <w:r>
        <w:rPr>
          <w:rFonts w:ascii="宋体" w:hAnsi="宋体" w:cs="宋体" w:eastAsia="宋体" w:hint="default"/>
        </w:rPr>
        <w:t>113,960,000</w:t>
      </w:r>
      <w:r>
        <w:rPr>
          <w:rFonts w:ascii="宋体" w:hAnsi="宋体" w:cs="宋体" w:eastAsia="宋体" w:hint="default"/>
          <w:spacing w:val="-60"/>
        </w:rPr>
        <w:t> </w:t>
      </w:r>
      <w:r>
        <w:rPr/>
        <w:t>股为基数</w:t>
      </w:r>
      <w:r>
        <w:rPr>
          <w:spacing w:val="-108"/>
        </w:rPr>
        <w:t>，</w:t>
      </w:r>
      <w:r>
        <w:rPr/>
        <w:t>以未分配利润向全体股东每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股派现金</w:t>
      </w:r>
      <w:r>
        <w:rPr>
          <w:spacing w:val="-60"/>
        </w:rPr>
        <w:t> </w:t>
      </w:r>
      <w:r>
        <w:rPr>
          <w:rFonts w:ascii="宋体" w:hAnsi="宋体" w:cs="宋体" w:eastAsia="宋体" w:hint="default"/>
        </w:rPr>
        <w:t>1</w:t>
      </w:r>
    </w:p>
    <w:p>
      <w:pPr>
        <w:pStyle w:val="BodyText"/>
        <w:spacing w:line="357" w:lineRule="auto" w:before="154"/>
        <w:ind w:left="197" w:right="423"/>
        <w:jc w:val="left"/>
      </w:pPr>
      <w:r>
        <w:rPr>
          <w:spacing w:val="-11"/>
        </w:rPr>
        <w:t>元（含税），共分配利润</w:t>
      </w:r>
      <w:r>
        <w:rPr>
          <w:spacing w:val="-43"/>
        </w:rPr>
        <w:t> </w:t>
      </w:r>
      <w:r>
        <w:rPr>
          <w:rFonts w:ascii="宋体" w:hAnsi="宋体" w:cs="宋体" w:eastAsia="宋体" w:hint="default"/>
        </w:rPr>
        <w:t>11,396,000</w:t>
      </w:r>
      <w:r>
        <w:rPr>
          <w:rFonts w:ascii="宋体" w:hAnsi="宋体" w:cs="宋体" w:eastAsia="宋体" w:hint="default"/>
          <w:spacing w:val="-44"/>
        </w:rPr>
        <w:t> </w:t>
      </w:r>
      <w:r>
        <w:rPr/>
        <w:t>元，尚余未分配利润</w:t>
      </w:r>
      <w:r>
        <w:rPr>
          <w:spacing w:val="-43"/>
        </w:rPr>
        <w:t> </w:t>
      </w:r>
      <w:r>
        <w:rPr>
          <w:rFonts w:ascii="宋体" w:hAnsi="宋体" w:cs="宋体" w:eastAsia="宋体" w:hint="default"/>
        </w:rPr>
        <w:t>131,204,108.13</w:t>
      </w:r>
      <w:r>
        <w:rPr>
          <w:rFonts w:ascii="宋体" w:hAnsi="宋体" w:cs="宋体" w:eastAsia="宋体" w:hint="default"/>
          <w:spacing w:val="-43"/>
        </w:rPr>
        <w:t> </w:t>
      </w:r>
      <w:r>
        <w:rPr/>
        <w:t>元留待以后 年度分配。</w:t>
      </w:r>
    </w:p>
    <w:p>
      <w:pPr>
        <w:pStyle w:val="BodyText"/>
        <w:spacing w:line="357" w:lineRule="auto"/>
        <w:ind w:left="197" w:right="304" w:firstLine="480"/>
        <w:jc w:val="left"/>
      </w:pPr>
      <w:r>
        <w:rPr>
          <w:spacing w:val="-2"/>
        </w:rPr>
        <w:t>本次利润分配方案预案符合公司章程及审议程序的规定，充分保护中小投资者的合</w:t>
      </w:r>
      <w:r>
        <w:rPr/>
        <w:t> 法权益。</w:t>
      </w:r>
    </w:p>
    <w:p>
      <w:pPr>
        <w:pStyle w:val="BodyText"/>
        <w:spacing w:line="240" w:lineRule="auto"/>
        <w:ind w:left="677" w:right="304"/>
        <w:jc w:val="left"/>
      </w:pPr>
      <w:r>
        <w:rPr/>
        <w:t>本次利润分配方案预案尚需提交</w:t>
      </w:r>
      <w:r>
        <w:rPr>
          <w:spacing w:val="-60"/>
        </w:rPr>
        <w:t> </w:t>
      </w:r>
      <w:r>
        <w:rPr>
          <w:rFonts w:ascii="宋体" w:hAnsi="宋体" w:cs="宋体" w:eastAsia="宋体" w:hint="default"/>
        </w:rPr>
        <w:t>2011</w:t>
      </w:r>
      <w:r>
        <w:rPr>
          <w:rFonts w:ascii="宋体" w:hAnsi="宋体" w:cs="宋体" w:eastAsia="宋体" w:hint="default"/>
          <w:spacing w:val="-60"/>
        </w:rPr>
        <w:t> </w:t>
      </w:r>
      <w:r>
        <w:rPr/>
        <w:t>年年度股东大会审议。</w:t>
      </w:r>
    </w:p>
    <w:p>
      <w:pPr>
        <w:pStyle w:val="BodyText"/>
        <w:spacing w:line="240" w:lineRule="auto" w:before="154"/>
        <w:ind w:left="197" w:right="304"/>
        <w:jc w:val="left"/>
      </w:pPr>
      <w:r>
        <w:rPr/>
        <w:t>（二）公司最近三年现金分红情况</w:t>
      </w:r>
    </w:p>
    <w:p>
      <w:pPr>
        <w:spacing w:before="102"/>
        <w:ind w:left="0" w:right="4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1408"/>
        <w:gridCol w:w="1887"/>
        <w:gridCol w:w="2448"/>
        <w:gridCol w:w="1820"/>
        <w:gridCol w:w="1822"/>
      </w:tblGrid>
      <w:tr>
        <w:trPr>
          <w:trHeight w:val="161" w:hRule="exact"/>
        </w:trPr>
        <w:tc>
          <w:tcPr>
            <w:tcW w:w="1408" w:type="dxa"/>
            <w:vMerge w:val="restart"/>
            <w:tcBorders>
              <w:top w:val="single" w:sz="4" w:space="0" w:color="000000"/>
              <w:left w:val="single" w:sz="4" w:space="0" w:color="000000"/>
              <w:right w:val="single" w:sz="4" w:space="0" w:color="000000"/>
            </w:tcBorders>
            <w:shd w:val="clear" w:color="auto" w:fill="DCDCDC"/>
          </w:tcPr>
          <w:p>
            <w:pPr/>
          </w:p>
        </w:tc>
        <w:tc>
          <w:tcPr>
            <w:tcW w:w="1887" w:type="dxa"/>
            <w:tcBorders>
              <w:top w:val="single" w:sz="4" w:space="0" w:color="000000"/>
              <w:left w:val="single" w:sz="4" w:space="0" w:color="000000"/>
              <w:bottom w:val="nil" w:sz="6" w:space="0" w:color="auto"/>
              <w:right w:val="single" w:sz="4" w:space="0" w:color="000000"/>
            </w:tcBorders>
            <w:shd w:val="clear" w:color="auto" w:fill="DCDCDC"/>
          </w:tcPr>
          <w:p>
            <w:pPr/>
          </w:p>
        </w:tc>
        <w:tc>
          <w:tcPr>
            <w:tcW w:w="24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2" w:right="63"/>
              <w:jc w:val="center"/>
              <w:rPr>
                <w:rFonts w:ascii="宋体" w:hAnsi="宋体" w:cs="宋体" w:eastAsia="宋体" w:hint="default"/>
                <w:sz w:val="21"/>
                <w:szCs w:val="21"/>
              </w:rPr>
            </w:pPr>
            <w:r>
              <w:rPr>
                <w:rFonts w:ascii="宋体" w:hAnsi="宋体" w:cs="宋体" w:eastAsia="宋体" w:hint="default"/>
                <w:spacing w:val="-2"/>
                <w:sz w:val="21"/>
                <w:szCs w:val="21"/>
              </w:rPr>
              <w:t>占合并报表中归属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于上市公司股东的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净利润的比率</w:t>
            </w:r>
          </w:p>
        </w:tc>
        <w:tc>
          <w:tcPr>
            <w:tcW w:w="1822"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1408" w:type="dxa"/>
            <w:vMerge/>
            <w:tcBorders>
              <w:left w:val="single" w:sz="4" w:space="0" w:color="000000"/>
              <w:bottom w:val="nil" w:sz="6" w:space="0" w:color="auto"/>
              <w:right w:val="single" w:sz="4" w:space="0" w:color="000000"/>
            </w:tcBorders>
            <w:shd w:val="clear" w:color="auto" w:fill="DCDCDC"/>
          </w:tcPr>
          <w:p>
            <w:pPr/>
          </w:p>
        </w:tc>
        <w:tc>
          <w:tcPr>
            <w:tcW w:w="1887"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448"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62" w:right="60"/>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于上市公司股东的净利润</w:t>
            </w:r>
          </w:p>
        </w:tc>
        <w:tc>
          <w:tcPr>
            <w:tcW w:w="1820" w:type="dxa"/>
            <w:vMerge/>
            <w:tcBorders>
              <w:left w:val="single" w:sz="4" w:space="0" w:color="000000"/>
              <w:right w:val="single" w:sz="4" w:space="0" w:color="000000"/>
            </w:tcBorders>
            <w:shd w:val="clear" w:color="auto" w:fill="DCDCDC"/>
          </w:tcPr>
          <w:p>
            <w:pPr/>
          </w:p>
        </w:tc>
        <w:tc>
          <w:tcPr>
            <w:tcW w:w="1822" w:type="dxa"/>
            <w:vMerge/>
            <w:tcBorders>
              <w:left w:val="single" w:sz="4" w:space="0" w:color="000000"/>
              <w:bottom w:val="nil" w:sz="6" w:space="0" w:color="auto"/>
              <w:right w:val="single" w:sz="4" w:space="0" w:color="000000"/>
            </w:tcBorders>
            <w:shd w:val="clear" w:color="auto" w:fill="DCDCDC"/>
          </w:tcPr>
          <w:p>
            <w:pPr/>
          </w:p>
        </w:tc>
      </w:tr>
      <w:tr>
        <w:trPr>
          <w:trHeight w:val="312" w:hRule="exact"/>
        </w:trPr>
        <w:tc>
          <w:tcPr>
            <w:tcW w:w="14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887" w:type="dxa"/>
            <w:vMerge/>
            <w:tcBorders>
              <w:left w:val="single" w:sz="4" w:space="0" w:color="000000"/>
              <w:right w:val="single" w:sz="4" w:space="0" w:color="000000"/>
            </w:tcBorders>
            <w:shd w:val="clear" w:color="auto" w:fill="DCDCDC"/>
          </w:tcPr>
          <w:p>
            <w:pPr/>
          </w:p>
        </w:tc>
        <w:tc>
          <w:tcPr>
            <w:tcW w:w="2448" w:type="dxa"/>
            <w:vMerge/>
            <w:tcBorders>
              <w:left w:val="single" w:sz="4" w:space="0" w:color="000000"/>
              <w:right w:val="single" w:sz="4" w:space="0" w:color="000000"/>
            </w:tcBorders>
            <w:shd w:val="clear" w:color="auto" w:fill="DCDCDC"/>
          </w:tcPr>
          <w:p>
            <w:pPr/>
          </w:p>
        </w:tc>
        <w:tc>
          <w:tcPr>
            <w:tcW w:w="1820" w:type="dxa"/>
            <w:vMerge/>
            <w:tcBorders>
              <w:left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70"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56" w:hRule="exact"/>
        </w:trPr>
        <w:tc>
          <w:tcPr>
            <w:tcW w:w="1408" w:type="dxa"/>
            <w:vMerge w:val="restart"/>
            <w:tcBorders>
              <w:top w:val="nil" w:sz="6" w:space="0" w:color="auto"/>
              <w:left w:val="single" w:sz="4" w:space="0" w:color="000000"/>
              <w:right w:val="single" w:sz="4" w:space="0" w:color="000000"/>
            </w:tcBorders>
            <w:shd w:val="clear" w:color="auto" w:fill="DCDCDC"/>
          </w:tcPr>
          <w:p>
            <w:pPr/>
          </w:p>
        </w:tc>
        <w:tc>
          <w:tcPr>
            <w:tcW w:w="1887" w:type="dxa"/>
            <w:vMerge/>
            <w:tcBorders>
              <w:left w:val="single" w:sz="4" w:space="0" w:color="000000"/>
              <w:bottom w:val="nil" w:sz="6" w:space="0" w:color="auto"/>
              <w:right w:val="single" w:sz="4" w:space="0" w:color="000000"/>
            </w:tcBorders>
            <w:shd w:val="clear" w:color="auto" w:fill="DCDCDC"/>
          </w:tcPr>
          <w:p>
            <w:pPr/>
          </w:p>
        </w:tc>
        <w:tc>
          <w:tcPr>
            <w:tcW w:w="2448" w:type="dxa"/>
            <w:vMerge/>
            <w:tcBorders>
              <w:left w:val="single" w:sz="4" w:space="0" w:color="000000"/>
              <w:bottom w:val="nil" w:sz="6" w:space="0" w:color="auto"/>
              <w:right w:val="single" w:sz="4" w:space="0" w:color="000000"/>
            </w:tcBorders>
            <w:shd w:val="clear" w:color="auto" w:fill="DCDCDC"/>
          </w:tcPr>
          <w:p>
            <w:pPr/>
          </w:p>
        </w:tc>
        <w:tc>
          <w:tcPr>
            <w:tcW w:w="1820" w:type="dxa"/>
            <w:vMerge/>
            <w:tcBorders>
              <w:left w:val="single" w:sz="4" w:space="0" w:color="000000"/>
              <w:right w:val="single" w:sz="4" w:space="0" w:color="000000"/>
            </w:tcBorders>
            <w:shd w:val="clear" w:color="auto" w:fill="DCDCDC"/>
          </w:tcPr>
          <w:p>
            <w:pPr/>
          </w:p>
        </w:tc>
        <w:tc>
          <w:tcPr>
            <w:tcW w:w="1822"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1408" w:type="dxa"/>
            <w:vMerge/>
            <w:tcBorders>
              <w:left w:val="single" w:sz="4" w:space="0" w:color="000000"/>
              <w:bottom w:val="single" w:sz="4" w:space="0" w:color="000000"/>
              <w:right w:val="single" w:sz="4" w:space="0" w:color="000000"/>
            </w:tcBorders>
            <w:shd w:val="clear" w:color="auto" w:fill="DCDCDC"/>
          </w:tcPr>
          <w:p>
            <w:pPr/>
          </w:p>
        </w:tc>
        <w:tc>
          <w:tcPr>
            <w:tcW w:w="1887" w:type="dxa"/>
            <w:tcBorders>
              <w:top w:val="nil" w:sz="6" w:space="0" w:color="auto"/>
              <w:left w:val="single" w:sz="4" w:space="0" w:color="000000"/>
              <w:bottom w:val="single" w:sz="4" w:space="0" w:color="000000"/>
              <w:right w:val="single" w:sz="4" w:space="0" w:color="000000"/>
            </w:tcBorders>
            <w:shd w:val="clear" w:color="auto" w:fill="DCDCDC"/>
          </w:tcPr>
          <w:p>
            <w:pPr/>
          </w:p>
        </w:tc>
        <w:tc>
          <w:tcPr>
            <w:tcW w:w="24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8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7,462,000.00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45,202,806.42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16.51%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98,849,618.67</w:t>
            </w:r>
          </w:p>
        </w:tc>
      </w:tr>
      <w:tr>
        <w:trPr>
          <w:trHeight w:val="322" w:hRule="exact"/>
        </w:trPr>
        <w:tc>
          <w:tcPr>
            <w:tcW w:w="1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87"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7,462,000.00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20,274,036.09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36.81%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69,180,047.82</w:t>
            </w:r>
          </w:p>
        </w:tc>
      </w:tr>
      <w:tr>
        <w:trPr>
          <w:trHeight w:val="325" w:hRule="exact"/>
        </w:trPr>
        <w:tc>
          <w:tcPr>
            <w:tcW w:w="1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8"/>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87" w:type="dxa"/>
            <w:tcBorders>
              <w:top w:val="single" w:sz="4" w:space="0" w:color="000000"/>
              <w:left w:val="single" w:sz="13" w:space="0" w:color="DCDCDC"/>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7,462,000.00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29,160,099.99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25.59%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59,526,147.26</w:t>
            </w:r>
          </w:p>
        </w:tc>
      </w:tr>
      <w:tr>
        <w:trPr>
          <w:trHeight w:val="322" w:hRule="exact"/>
        </w:trPr>
        <w:tc>
          <w:tcPr>
            <w:tcW w:w="574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81"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宋体" w:hAnsi="宋体" w:cs="宋体" w:eastAsia="宋体" w:hint="default"/>
                <w:sz w:val="21"/>
                <w:szCs w:val="21"/>
              </w:rPr>
              <w:t>%</w:t>
            </w:r>
            <w:r>
              <w:rPr>
                <w:rFonts w:ascii="宋体" w:hAnsi="宋体" w:cs="宋体" w:eastAsia="宋体" w:hint="default"/>
                <w:sz w:val="21"/>
                <w:szCs w:val="21"/>
              </w:rPr>
              <w:t>）</w:t>
            </w:r>
          </w:p>
        </w:tc>
        <w:tc>
          <w:tcPr>
            <w:tcW w:w="3641" w:type="dxa"/>
            <w:gridSpan w:val="2"/>
            <w:tcBorders>
              <w:top w:val="single" w:sz="4" w:space="0" w:color="000000"/>
              <w:left w:val="single" w:sz="10" w:space="0" w:color="DCDCDC"/>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70.96%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197" w:right="304"/>
        <w:jc w:val="left"/>
        <w:rPr>
          <w:b w:val="0"/>
          <w:bCs w:val="0"/>
        </w:rPr>
      </w:pPr>
      <w:r>
        <w:rPr/>
        <w:t>六、其他需要披露的事项</w:t>
      </w:r>
      <w:r>
        <w:rPr>
          <w:b w:val="0"/>
          <w:bCs w:val="0"/>
        </w:rPr>
      </w:r>
    </w:p>
    <w:p>
      <w:pPr>
        <w:pStyle w:val="BodyText"/>
        <w:spacing w:line="240" w:lineRule="auto" w:before="154"/>
        <w:ind w:left="197" w:right="304"/>
        <w:jc w:val="left"/>
      </w:pPr>
      <w:r>
        <w:rPr/>
        <w:t>（一）内幕信息知情人登记管理制度的建立和执行情况</w:t>
      </w:r>
    </w:p>
    <w:p>
      <w:pPr>
        <w:spacing w:after="0" w:line="240" w:lineRule="auto"/>
        <w:jc w:val="left"/>
        <w:sectPr>
          <w:pgSz w:w="11910" w:h="16840"/>
          <w:pgMar w:header="876" w:footer="1186" w:top="1100" w:bottom="1380" w:left="1260" w:right="940"/>
        </w:sectPr>
      </w:pPr>
    </w:p>
    <w:p>
      <w:pPr>
        <w:spacing w:line="240" w:lineRule="auto" w:before="7"/>
        <w:rPr>
          <w:rFonts w:ascii="宋体" w:hAnsi="宋体" w:cs="宋体" w:eastAsia="宋体" w:hint="default"/>
          <w:sz w:val="25"/>
          <w:szCs w:val="25"/>
        </w:rPr>
      </w:pPr>
    </w:p>
    <w:p>
      <w:pPr>
        <w:pStyle w:val="BodyText"/>
        <w:spacing w:line="357" w:lineRule="auto" w:before="26"/>
        <w:ind w:left="957" w:right="754" w:firstLine="480"/>
        <w:jc w:val="left"/>
      </w:pPr>
      <w:r>
        <w:rPr>
          <w:spacing w:val="-5"/>
        </w:rPr>
        <w:t>公司上市伊始，即遵照有关法律法规制定了《信息披露管理制度》，并于</w:t>
      </w:r>
      <w:r>
        <w:rPr>
          <w:rFonts w:ascii="宋体" w:hAnsi="宋体" w:cs="宋体" w:eastAsia="宋体" w:hint="default"/>
          <w:spacing w:val="-5"/>
        </w:rPr>
        <w:t>2010</w:t>
      </w:r>
      <w:r>
        <w:rPr>
          <w:spacing w:val="-5"/>
        </w:rPr>
        <w:t>年</w:t>
      </w:r>
      <w:r>
        <w:rPr>
          <w:rFonts w:ascii="宋体" w:hAnsi="宋体" w:cs="宋体" w:eastAsia="宋体" w:hint="default"/>
          <w:spacing w:val="-5"/>
        </w:rPr>
        <w:t>4</w:t>
      </w:r>
      <w:r>
        <w:rPr>
          <w:spacing w:val="-5"/>
        </w:rPr>
        <w:t>月</w:t>
      </w:r>
      <w:r>
        <w:rPr/>
        <w:t> </w:t>
      </w:r>
      <w:r>
        <w:rPr>
          <w:rFonts w:ascii="宋体" w:hAnsi="宋体" w:cs="宋体" w:eastAsia="宋体" w:hint="default"/>
          <w:spacing w:val="-2"/>
        </w:rPr>
        <w:t>12</w:t>
      </w:r>
      <w:r>
        <w:rPr>
          <w:spacing w:val="-2"/>
        </w:rPr>
        <w:t>日经第三届董事会第二十二次审议通过，制定了《内幕信息知情人登记备案制度》和</w:t>
      </w:r>
    </w:p>
    <w:p>
      <w:pPr>
        <w:pStyle w:val="BodyText"/>
        <w:spacing w:line="357" w:lineRule="auto"/>
        <w:ind w:left="957" w:right="754"/>
        <w:jc w:val="left"/>
      </w:pPr>
      <w:r>
        <w:rPr>
          <w:spacing w:val="-4"/>
        </w:rPr>
        <w:t>《年报信息披露重大差错责任追究制度》。对涉及公司的经营、财务或者对公司证券市</w:t>
      </w:r>
      <w:r>
        <w:rPr>
          <w:spacing w:val="-88"/>
        </w:rPr>
        <w:t> </w:t>
      </w:r>
      <w:r>
        <w:rPr>
          <w:spacing w:val="-88"/>
        </w:rPr>
      </w:r>
      <w:r>
        <w:rPr/>
        <w:t>场价格有重大影响的尚未公开的信息，均依照上述制度进行内幕信息知情人的登记并按</w:t>
      </w:r>
      <w:r>
        <w:rPr/>
        <w:t> </w:t>
      </w:r>
      <w:r>
        <w:rPr>
          <w:spacing w:val="-5"/>
        </w:rPr>
        <w:t>照相关规定报送相应监管部门备案，保障了信息披露的合法、合规。定期报告披露期间，</w:t>
      </w:r>
      <w:r>
        <w:rPr>
          <w:spacing w:val="-95"/>
        </w:rPr>
        <w:t> </w:t>
      </w:r>
      <w:r>
        <w:rPr>
          <w:spacing w:val="-95"/>
        </w:rPr>
      </w:r>
      <w:r>
        <w:rPr/>
        <w:t>公司对董事、监事、高级管理人员及其他内幕信息知情人员在定期报告公告前</w:t>
      </w:r>
      <w:r>
        <w:rPr>
          <w:rFonts w:ascii="宋体" w:hAnsi="宋体" w:cs="宋体" w:eastAsia="宋体" w:hint="default"/>
        </w:rPr>
        <w:t>30</w:t>
      </w:r>
      <w:r>
        <w:rPr/>
        <w:t>日内、 业绩预告和业绩快报公告前</w:t>
      </w:r>
      <w:r>
        <w:rPr>
          <w:rFonts w:ascii="宋体" w:hAnsi="宋体" w:cs="宋体" w:eastAsia="宋体" w:hint="default"/>
        </w:rPr>
        <w:t>10</w:t>
      </w:r>
      <w:r>
        <w:rPr/>
        <w:t>日内以及其他重大事项披露期间等敏感期内买卖公司股 票的情况进行自查，没有发现相关人员利用内幕信息买卖本公司股票。且在向外递送财 务相关报告时，均对相关内幕信息知情人进行提示并要求其登记相应信息。</w:t>
      </w:r>
    </w:p>
    <w:p>
      <w:pPr>
        <w:pStyle w:val="BodyText"/>
        <w:spacing w:line="357" w:lineRule="auto" w:before="37"/>
        <w:ind w:left="957" w:right="875" w:firstLine="480"/>
        <w:jc w:val="both"/>
      </w:pPr>
      <w:r>
        <w:rPr>
          <w:spacing w:val="-2"/>
        </w:rPr>
        <w:t>报告期内，公司未发生利用公司内幕信息买卖公司股票的行为，亦未发生董事、监</w:t>
      </w:r>
      <w:r>
        <w:rPr/>
        <w:t> </w:t>
      </w:r>
      <w:r>
        <w:rPr>
          <w:spacing w:val="-2"/>
        </w:rPr>
        <w:t>事及高管本人在敏感期内及六个月内短线买卖公司股票的行为。报告期内，未发生被监</w:t>
      </w:r>
      <w:r>
        <w:rPr>
          <w:spacing w:val="-92"/>
        </w:rPr>
        <w:t> </w:t>
      </w:r>
      <w:r>
        <w:rPr>
          <w:spacing w:val="-92"/>
        </w:rPr>
      </w:r>
      <w:r>
        <w:rPr/>
        <w:t>管部门采取监管措施或行政处罚的情况。</w:t>
      </w:r>
    </w:p>
    <w:p>
      <w:pPr>
        <w:pStyle w:val="BodyText"/>
        <w:spacing w:line="357" w:lineRule="auto"/>
        <w:ind w:left="1437" w:right="754" w:hanging="480"/>
        <w:jc w:val="left"/>
      </w:pPr>
      <w:r>
        <w:rPr/>
        <w:t>（二）公司选定的信息披露媒体 </w:t>
      </w:r>
      <w:r>
        <w:rPr>
          <w:spacing w:val="-5"/>
        </w:rPr>
        <w:t>报告期内，公司准确、及时、完整地披露了公司应披露的信息，以便于投资者及时、</w:t>
      </w:r>
    </w:p>
    <w:p>
      <w:pPr>
        <w:pStyle w:val="BodyText"/>
        <w:spacing w:line="240" w:lineRule="auto"/>
        <w:ind w:left="957" w:right="754"/>
        <w:jc w:val="left"/>
      </w:pPr>
      <w:r>
        <w:rPr>
          <w:spacing w:val="4"/>
        </w:rPr>
        <w:t>全面地了解公司的经营状况和各项重大事项的进展情况。公司指定的信息披露报纸为</w:t>
      </w:r>
    </w:p>
    <w:p>
      <w:pPr>
        <w:pStyle w:val="BodyText"/>
        <w:spacing w:line="240" w:lineRule="auto" w:before="154"/>
        <w:ind w:left="957" w:right="754"/>
        <w:jc w:val="left"/>
      </w:pPr>
      <w:r>
        <w:rPr/>
        <w:t>《中国证券报</w:t>
      </w:r>
      <w:r>
        <w:rPr>
          <w:spacing w:val="-120"/>
        </w:rPr>
        <w:t>》</w:t>
      </w:r>
      <w:r>
        <w:rPr/>
        <w:t>，信息披露的网站为巨潮资讯网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w w:val="100"/>
          <w:sz w:val="21"/>
          <w:szCs w:val="21"/>
        </w:rPr>
        <w:t>，</w:t>
      </w:r>
      <w:r>
        <w:rPr/>
        <w:t>未发生变更。</w:t>
      </w:r>
    </w:p>
    <w:p>
      <w:pPr>
        <w:pStyle w:val="BodyText"/>
        <w:spacing w:line="357" w:lineRule="auto" w:before="154"/>
        <w:ind w:left="1437" w:right="809" w:hanging="480"/>
        <w:jc w:val="left"/>
      </w:pPr>
      <w:r>
        <w:rPr/>
        <w:t>（三）公司投资者关系管理 公司始终把投资者关系管理作为一项长期、持续的工作来开展，不断学习与创新，</w:t>
      </w:r>
    </w:p>
    <w:p>
      <w:pPr>
        <w:pStyle w:val="BodyText"/>
        <w:spacing w:line="357" w:lineRule="auto"/>
        <w:ind w:left="957" w:right="754"/>
        <w:jc w:val="left"/>
      </w:pPr>
      <w:r>
        <w:rPr>
          <w:spacing w:val="-2"/>
        </w:rPr>
        <w:t>加强与投资者之间的沟通和联系，维护与投资者的顺畅关系，使广大投资者能够更多地</w:t>
      </w:r>
      <w:r>
        <w:rPr>
          <w:spacing w:val="-92"/>
        </w:rPr>
        <w:t> </w:t>
      </w:r>
      <w:r>
        <w:rPr>
          <w:spacing w:val="-92"/>
        </w:rPr>
      </w:r>
      <w:r>
        <w:rPr/>
        <w:t>接触和了解公司的生产经营、未来发展等情况，从而树立公司良好的市场形象。</w:t>
      </w:r>
    </w:p>
    <w:p>
      <w:pPr>
        <w:pStyle w:val="BodyText"/>
        <w:spacing w:line="357" w:lineRule="auto"/>
        <w:ind w:left="957" w:right="754" w:firstLine="480"/>
        <w:jc w:val="left"/>
      </w:pPr>
      <w:r>
        <w:rPr>
          <w:spacing w:val="-5"/>
        </w:rPr>
        <w:t>公司设有董事会办公室，指定董事会秘书负责公司投资者关系管理工作。报告期内，</w:t>
      </w:r>
      <w:r>
        <w:rPr/>
        <w:t> 公司始终遵循公平、公正、公开的原则，通过信息披露、电话、邮件、投资者平台问题 回复、来访接待、业绩说明会等多种渠道，在法规许可的范围内，向所有投资者充分展 现公司经营发展状况，客观传递公司价值，增进了投资者对公司的了解和信心。</w:t>
      </w:r>
    </w:p>
    <w:p>
      <w:pPr>
        <w:pStyle w:val="BodyText"/>
        <w:spacing w:line="240" w:lineRule="auto"/>
        <w:ind w:left="1437" w:right="754"/>
        <w:jc w:val="left"/>
      </w:pPr>
      <w:r>
        <w:rPr/>
        <w:t>报告期内，公司投资者接待主要情况如下：</w:t>
      </w:r>
    </w:p>
    <w:p>
      <w:pPr>
        <w:spacing w:line="240" w:lineRule="auto" w:before="1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846"/>
        <w:gridCol w:w="1274"/>
        <w:gridCol w:w="1136"/>
        <w:gridCol w:w="991"/>
        <w:gridCol w:w="2552"/>
        <w:gridCol w:w="2883"/>
      </w:tblGrid>
      <w:tr>
        <w:trPr>
          <w:trHeight w:val="634" w:hRule="exact"/>
        </w:trPr>
        <w:tc>
          <w:tcPr>
            <w:tcW w:w="18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right="209"/>
              <w:jc w:val="right"/>
              <w:rPr>
                <w:rFonts w:ascii="宋体" w:hAnsi="宋体" w:cs="宋体" w:eastAsia="宋体" w:hint="default"/>
                <w:sz w:val="21"/>
                <w:szCs w:val="21"/>
              </w:rPr>
            </w:pPr>
            <w:r>
              <w:rPr>
                <w:rFonts w:ascii="宋体" w:hAnsi="宋体" w:cs="宋体" w:eastAsia="宋体" w:hint="default"/>
                <w:spacing w:val="-1"/>
                <w:sz w:val="21"/>
                <w:szCs w:val="21"/>
              </w:rPr>
              <w:t>接待地点</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left="139"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78" w:right="67" w:hanging="209"/>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2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left="852"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4"/>
              <w:ind w:right="65"/>
              <w:jc w:val="right"/>
              <w:rPr>
                <w:rFonts w:ascii="宋体" w:hAnsi="宋体" w:cs="宋体" w:eastAsia="宋体" w:hint="default"/>
                <w:sz w:val="21"/>
                <w:szCs w:val="21"/>
              </w:rPr>
            </w:pPr>
            <w:r>
              <w:rPr>
                <w:rFonts w:ascii="宋体" w:hAnsi="宋体" w:cs="宋体" w:eastAsia="宋体" w:hint="default"/>
                <w:spacing w:val="-2"/>
                <w:sz w:val="21"/>
                <w:szCs w:val="21"/>
              </w:rPr>
              <w:t>谈论的主要内容及提供的资料</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7"/>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1"/>
              <w:jc w:val="left"/>
              <w:rPr>
                <w:rFonts w:ascii="宋体" w:hAnsi="宋体" w:cs="宋体" w:eastAsia="宋体" w:hint="default"/>
                <w:sz w:val="21"/>
                <w:szCs w:val="21"/>
              </w:rPr>
            </w:pPr>
            <w:r>
              <w:rPr>
                <w:rFonts w:ascii="宋体" w:hAnsi="宋体" w:cs="宋体" w:eastAsia="宋体" w:hint="default"/>
                <w:spacing w:val="-2"/>
                <w:sz w:val="21"/>
                <w:szCs w:val="21"/>
              </w:rPr>
              <w:t>海通证券股份有限公司研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究所分析师陈美风等</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spacing w:val="-2"/>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7"/>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华泰证券股份有限公司研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究所研究员马仁敏</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spacing w:val="-2"/>
                <w:sz w:val="21"/>
                <w:szCs w:val="21"/>
              </w:rPr>
              <w:t>公司基本经营情况及行业走向</w:t>
            </w: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7"/>
              <w:jc w:val="right"/>
              <w:rPr>
                <w:rFonts w:ascii="宋体" w:hAnsi="宋体" w:cs="宋体" w:eastAsia="宋体" w:hint="default"/>
                <w:sz w:val="21"/>
                <w:szCs w:val="21"/>
              </w:rPr>
            </w:pPr>
            <w:r>
              <w:rPr>
                <w:rFonts w:ascii="宋体" w:hAnsi="宋体" w:cs="宋体" w:eastAsia="宋体" w:hint="default"/>
                <w:spacing w:val="-1"/>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广发证券股份有限公司发</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3"/>
              <w:jc w:val="right"/>
              <w:rPr>
                <w:rFonts w:ascii="宋体" w:hAnsi="宋体" w:cs="宋体" w:eastAsia="宋体" w:hint="default"/>
                <w:sz w:val="21"/>
                <w:szCs w:val="21"/>
              </w:rPr>
            </w:pPr>
            <w:r>
              <w:rPr>
                <w:rFonts w:ascii="宋体" w:hAnsi="宋体" w:cs="宋体" w:eastAsia="宋体" w:hint="default"/>
                <w:spacing w:val="-2"/>
                <w:sz w:val="21"/>
                <w:szCs w:val="21"/>
              </w:rPr>
              <w:t>公司基本经营情况及行业走向</w:t>
            </w:r>
          </w:p>
        </w:tc>
      </w:tr>
    </w:tbl>
    <w:p>
      <w:pPr>
        <w:spacing w:after="0" w:line="265" w:lineRule="exact"/>
        <w:jc w:val="right"/>
        <w:rPr>
          <w:rFonts w:ascii="宋体" w:hAnsi="宋体" w:cs="宋体" w:eastAsia="宋体" w:hint="default"/>
          <w:sz w:val="21"/>
          <w:szCs w:val="21"/>
        </w:rPr>
        <w:sectPr>
          <w:pgSz w:w="11910" w:h="16840"/>
          <w:pgMar w:header="876" w:footer="1186" w:top="1100" w:bottom="1380" w:left="500" w:right="50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846"/>
        <w:gridCol w:w="1274"/>
        <w:gridCol w:w="1136"/>
        <w:gridCol w:w="991"/>
        <w:gridCol w:w="2552"/>
        <w:gridCol w:w="2883"/>
      </w:tblGrid>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展研究中心研究员康健、邵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卓</w:t>
            </w:r>
          </w:p>
        </w:tc>
        <w:tc>
          <w:tcPr>
            <w:tcW w:w="288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华夏基金管理有限公司投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资研究部研究员周加文</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pacing w:val="-2"/>
                <w:sz w:val="21"/>
                <w:szCs w:val="21"/>
              </w:rPr>
              <w:t>江海证券有限公司研究发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展部研究员鲁军等</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pacing w:val="-2"/>
                <w:sz w:val="21"/>
                <w:szCs w:val="21"/>
              </w:rPr>
              <w:t>上海泽熙投资管理有限公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司投资研究员赵成等</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天相投资顾问有限公司上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海分公司分析师应巧剑高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俊等</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13"/>
              <w:jc w:val="left"/>
              <w:rPr>
                <w:rFonts w:ascii="宋体" w:hAnsi="宋体" w:cs="宋体" w:eastAsia="宋体" w:hint="default"/>
                <w:sz w:val="21"/>
                <w:szCs w:val="21"/>
              </w:rPr>
            </w:pPr>
            <w:r>
              <w:rPr>
                <w:rFonts w:ascii="宋体" w:hAnsi="宋体" w:cs="宋体" w:eastAsia="宋体" w:hint="default"/>
                <w:spacing w:val="-2"/>
                <w:sz w:val="21"/>
                <w:szCs w:val="21"/>
              </w:rPr>
              <w:t>华夏基金管理有限公司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投资研究部研究员童卓</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1"/>
              <w:jc w:val="left"/>
              <w:rPr>
                <w:rFonts w:ascii="宋体" w:hAnsi="宋体" w:cs="宋体" w:eastAsia="宋体" w:hint="default"/>
                <w:sz w:val="21"/>
                <w:szCs w:val="21"/>
              </w:rPr>
            </w:pPr>
            <w:r>
              <w:rPr>
                <w:rFonts w:ascii="宋体" w:hAnsi="宋体" w:cs="宋体" w:eastAsia="宋体" w:hint="default"/>
                <w:spacing w:val="-2"/>
                <w:sz w:val="21"/>
                <w:szCs w:val="21"/>
              </w:rPr>
              <w:t>海通证券股份有限公司研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究所分析师陈美风等</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国金证券股份有限公司研</w:t>
            </w:r>
            <w:r>
              <w:rPr>
                <w:rFonts w:ascii="宋体" w:hAnsi="宋体" w:cs="宋体" w:eastAsia="宋体" w:hint="default"/>
                <w:w w:val="100"/>
                <w:sz w:val="21"/>
                <w:szCs w:val="21"/>
              </w:rPr>
              <w:t> </w:t>
            </w:r>
            <w:r>
              <w:rPr>
                <w:rFonts w:ascii="宋体" w:hAnsi="宋体" w:cs="宋体" w:eastAsia="宋体" w:hint="default"/>
                <w:spacing w:val="-4"/>
                <w:sz w:val="21"/>
                <w:szCs w:val="21"/>
              </w:rPr>
              <w:t>究所研究员赵国栋、郑宏达</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中国建银投资证券有限责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任公司研究所行业研究员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崔莹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126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广发基金管理有限公司研</w:t>
            </w:r>
            <w:r>
              <w:rPr>
                <w:rFonts w:ascii="宋体" w:hAnsi="宋体" w:cs="宋体" w:eastAsia="宋体" w:hint="default"/>
                <w:w w:val="100"/>
                <w:sz w:val="21"/>
                <w:szCs w:val="21"/>
              </w:rPr>
              <w:t> </w:t>
            </w:r>
            <w:r>
              <w:rPr>
                <w:rFonts w:ascii="宋体" w:hAnsi="宋体" w:cs="宋体" w:eastAsia="宋体" w:hint="default"/>
                <w:spacing w:val="-4"/>
                <w:sz w:val="21"/>
                <w:szCs w:val="21"/>
              </w:rPr>
              <w:t>究发展部李震宇、东方证券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资产管理有限公司高级研</w:t>
            </w:r>
            <w:r>
              <w:rPr>
                <w:rFonts w:ascii="宋体" w:hAnsi="宋体" w:cs="宋体" w:eastAsia="宋体" w:hint="default"/>
                <w:w w:val="100"/>
                <w:sz w:val="21"/>
                <w:szCs w:val="21"/>
              </w:rPr>
              <w:t> </w:t>
            </w:r>
            <w:r>
              <w:rPr>
                <w:rFonts w:ascii="宋体" w:hAnsi="宋体" w:cs="宋体" w:eastAsia="宋体" w:hint="default"/>
                <w:sz w:val="21"/>
                <w:szCs w:val="21"/>
              </w:rPr>
              <w:t>究员王延飞</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上海尚雅投资管理有限公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司高级研究员崔磊</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8"/>
              <w:jc w:val="left"/>
              <w:rPr>
                <w:rFonts w:ascii="宋体" w:hAnsi="宋体" w:cs="宋体" w:eastAsia="宋体" w:hint="default"/>
                <w:sz w:val="21"/>
                <w:szCs w:val="21"/>
              </w:rPr>
            </w:pPr>
            <w:r>
              <w:rPr>
                <w:rFonts w:ascii="宋体" w:hAnsi="宋体" w:cs="宋体" w:eastAsia="宋体" w:hint="default"/>
                <w:sz w:val="21"/>
                <w:szCs w:val="21"/>
              </w:rPr>
              <w:t>中国建银投资证券有限责</w:t>
            </w:r>
            <w:r>
              <w:rPr>
                <w:rFonts w:ascii="宋体" w:hAnsi="宋体" w:cs="宋体" w:eastAsia="宋体" w:hint="default"/>
                <w:w w:val="100"/>
                <w:sz w:val="21"/>
                <w:szCs w:val="21"/>
              </w:rPr>
              <w:t> </w:t>
            </w:r>
            <w:r>
              <w:rPr>
                <w:rFonts w:ascii="宋体" w:hAnsi="宋体" w:cs="宋体" w:eastAsia="宋体" w:hint="default"/>
                <w:sz w:val="21"/>
                <w:szCs w:val="21"/>
              </w:rPr>
              <w:t>任公司行业研究员崔莹等</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海通证券股份有限公司计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算机与通信行业首席分析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师陈美风等</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海通证券股份有限公司计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算机与通信行业分析师蒋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科等</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3"/>
              <w:jc w:val="both"/>
              <w:rPr>
                <w:rFonts w:ascii="宋体" w:hAnsi="宋体" w:cs="宋体" w:eastAsia="宋体" w:hint="default"/>
                <w:sz w:val="21"/>
                <w:szCs w:val="21"/>
              </w:rPr>
            </w:pPr>
            <w:r>
              <w:rPr>
                <w:rFonts w:ascii="宋体" w:hAnsi="宋体" w:cs="宋体" w:eastAsia="宋体" w:hint="default"/>
                <w:spacing w:val="-2"/>
                <w:sz w:val="21"/>
                <w:szCs w:val="21"/>
              </w:rPr>
              <w:t>中银基金管理有限公司权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益投资总监</w:t>
            </w:r>
            <w:r>
              <w:rPr>
                <w:rFonts w:ascii="宋体" w:hAnsi="宋体" w:cs="宋体" w:eastAsia="宋体" w:hint="default"/>
                <w:spacing w:val="-2"/>
                <w:sz w:val="21"/>
                <w:szCs w:val="21"/>
              </w:rPr>
              <w:t>/</w:t>
            </w:r>
            <w:r>
              <w:rPr>
                <w:rFonts w:ascii="宋体" w:hAnsi="宋体" w:cs="宋体" w:eastAsia="宋体" w:hint="default"/>
                <w:spacing w:val="-2"/>
                <w:sz w:val="21"/>
                <w:szCs w:val="21"/>
              </w:rPr>
              <w:t>基金经理</w:t>
            </w:r>
            <w:r>
              <w:rPr>
                <w:rFonts w:ascii="宋体" w:hAnsi="宋体" w:cs="宋体" w:eastAsia="宋体" w:hint="default"/>
                <w:spacing w:val="-2"/>
                <w:sz w:val="21"/>
                <w:szCs w:val="21"/>
              </w:rPr>
              <w:t>/</w:t>
            </w:r>
            <w:r>
              <w:rPr>
                <w:rFonts w:ascii="宋体" w:hAnsi="宋体" w:cs="宋体" w:eastAsia="宋体" w:hint="default"/>
                <w:spacing w:val="-2"/>
                <w:sz w:val="21"/>
                <w:szCs w:val="21"/>
              </w:rPr>
              <w:t>副</w:t>
            </w:r>
            <w:r>
              <w:rPr>
                <w:rFonts w:ascii="宋体" w:hAnsi="宋体" w:cs="宋体" w:eastAsia="宋体" w:hint="default"/>
                <w:spacing w:val="-81"/>
                <w:sz w:val="21"/>
                <w:szCs w:val="21"/>
              </w:rPr>
              <w:t> </w:t>
            </w:r>
            <w:r>
              <w:rPr>
                <w:rFonts w:ascii="宋体" w:hAnsi="宋体" w:cs="宋体" w:eastAsia="宋体" w:hint="default"/>
                <w:sz w:val="21"/>
                <w:szCs w:val="21"/>
              </w:rPr>
              <w:t>总裁陈军等</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48"/>
              <w:jc w:val="left"/>
              <w:rPr>
                <w:rFonts w:ascii="宋体" w:hAnsi="宋体" w:cs="宋体" w:eastAsia="宋体" w:hint="default"/>
                <w:sz w:val="21"/>
                <w:szCs w:val="21"/>
              </w:rPr>
            </w:pPr>
            <w:r>
              <w:rPr>
                <w:rFonts w:ascii="宋体" w:hAnsi="宋体" w:cs="宋体" w:eastAsia="宋体" w:hint="default"/>
                <w:sz w:val="21"/>
                <w:szCs w:val="21"/>
              </w:rPr>
              <w:t>海通证券股份有限公司证</w:t>
            </w:r>
            <w:r>
              <w:rPr>
                <w:rFonts w:ascii="宋体" w:hAnsi="宋体" w:cs="宋体" w:eastAsia="宋体" w:hint="default"/>
                <w:w w:val="100"/>
                <w:sz w:val="21"/>
                <w:szCs w:val="21"/>
              </w:rPr>
              <w:t> </w:t>
            </w:r>
            <w:r>
              <w:rPr>
                <w:rFonts w:ascii="宋体" w:hAnsi="宋体" w:cs="宋体" w:eastAsia="宋体" w:hint="default"/>
                <w:sz w:val="21"/>
                <w:szCs w:val="21"/>
              </w:rPr>
              <w:t>券投资部分析师郭志伟等</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国泰君安证券股份有限公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司销售交易总部研究员林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博等</w:t>
            </w:r>
            <w:r>
              <w:rPr>
                <w:rFonts w:ascii="宋体" w:hAnsi="宋体" w:cs="宋体" w:eastAsia="宋体" w:hint="default"/>
                <w:spacing w:val="-52"/>
                <w:sz w:val="21"/>
                <w:szCs w:val="21"/>
              </w:rPr>
              <w:t> </w:t>
            </w:r>
            <w:r>
              <w:rPr>
                <w:rFonts w:ascii="宋体" w:hAnsi="宋体" w:cs="宋体" w:eastAsia="宋体" w:hint="default"/>
                <w:sz w:val="21"/>
                <w:szCs w:val="21"/>
              </w:rPr>
              <w:t>33</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bl>
    <w:p>
      <w:pPr>
        <w:spacing w:after="0" w:line="240" w:lineRule="auto"/>
        <w:jc w:val="left"/>
        <w:rPr>
          <w:rFonts w:ascii="宋体" w:hAnsi="宋体" w:cs="宋体" w:eastAsia="宋体" w:hint="default"/>
          <w:sz w:val="21"/>
          <w:szCs w:val="21"/>
        </w:rPr>
        <w:sectPr>
          <w:pgSz w:w="11910" w:h="16840"/>
          <w:pgMar w:header="876" w:footer="1186" w:top="1100" w:bottom="1380" w:left="500" w:right="50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846"/>
        <w:gridCol w:w="1274"/>
        <w:gridCol w:w="1136"/>
        <w:gridCol w:w="991"/>
        <w:gridCol w:w="2552"/>
        <w:gridCol w:w="2883"/>
      </w:tblGrid>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both"/>
              <w:rPr>
                <w:rFonts w:ascii="宋体" w:hAnsi="宋体" w:cs="宋体" w:eastAsia="宋体" w:hint="default"/>
                <w:sz w:val="21"/>
                <w:szCs w:val="21"/>
              </w:rPr>
            </w:pPr>
            <w:r>
              <w:rPr>
                <w:rFonts w:ascii="宋体" w:hAnsi="宋体" w:cs="宋体" w:eastAsia="宋体" w:hint="default"/>
                <w:spacing w:val="-2"/>
                <w:sz w:val="21"/>
                <w:szCs w:val="21"/>
              </w:rPr>
              <w:t>汇添富基金管理有限公司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投资研究总部高级行业分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析师钟文明等</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益民基金管理有限公司研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究部吕伟</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98"/>
              <w:jc w:val="left"/>
              <w:rPr>
                <w:rFonts w:ascii="宋体" w:hAnsi="宋体" w:cs="宋体" w:eastAsia="宋体" w:hint="default"/>
                <w:sz w:val="21"/>
                <w:szCs w:val="21"/>
              </w:rPr>
            </w:pPr>
            <w:r>
              <w:rPr>
                <w:rFonts w:ascii="宋体" w:hAnsi="宋体" w:cs="宋体" w:eastAsia="宋体" w:hint="default"/>
                <w:sz w:val="21"/>
                <w:szCs w:val="21"/>
              </w:rPr>
              <w:t>国投瑞银基金管理有限公</w:t>
            </w:r>
            <w:r>
              <w:rPr>
                <w:rFonts w:ascii="宋体" w:hAnsi="宋体" w:cs="宋体" w:eastAsia="宋体" w:hint="default"/>
                <w:w w:val="100"/>
                <w:sz w:val="21"/>
                <w:szCs w:val="21"/>
              </w:rPr>
              <w:t> </w:t>
            </w:r>
            <w:r>
              <w:rPr>
                <w:rFonts w:ascii="宋体" w:hAnsi="宋体" w:cs="宋体" w:eastAsia="宋体" w:hint="default"/>
                <w:spacing w:val="-2"/>
                <w:sz w:val="21"/>
                <w:szCs w:val="21"/>
              </w:rPr>
              <w:t>司基金经理助理</w:t>
            </w:r>
            <w:r>
              <w:rPr>
                <w:rFonts w:ascii="宋体" w:hAnsi="宋体" w:cs="宋体" w:eastAsia="宋体" w:hint="default"/>
                <w:spacing w:val="-2"/>
                <w:sz w:val="21"/>
                <w:szCs w:val="21"/>
              </w:rPr>
              <w:t>/</w:t>
            </w:r>
            <w:r>
              <w:rPr>
                <w:rFonts w:ascii="宋体" w:hAnsi="宋体" w:cs="宋体" w:eastAsia="宋体" w:hint="default"/>
                <w:spacing w:val="-2"/>
                <w:sz w:val="21"/>
                <w:szCs w:val="21"/>
              </w:rPr>
              <w:t>研究部高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级研究员陈小玲等</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瑞银证券有限责任公司董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事研究总监阮钢</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1"/>
              <w:jc w:val="both"/>
              <w:rPr>
                <w:rFonts w:ascii="宋体" w:hAnsi="宋体" w:cs="宋体" w:eastAsia="宋体" w:hint="default"/>
                <w:sz w:val="21"/>
                <w:szCs w:val="21"/>
              </w:rPr>
            </w:pPr>
            <w:r>
              <w:rPr>
                <w:rFonts w:ascii="宋体" w:hAnsi="宋体" w:cs="宋体" w:eastAsia="宋体" w:hint="default"/>
                <w:spacing w:val="-2"/>
                <w:sz w:val="21"/>
                <w:szCs w:val="21"/>
              </w:rPr>
              <w:t>中国建银投资证券有限责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任公司研究所行业研究员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崔莹等</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华泰联合证券研究所计算</w:t>
            </w:r>
            <w:r>
              <w:rPr>
                <w:rFonts w:ascii="宋体" w:hAnsi="宋体" w:cs="宋体" w:eastAsia="宋体" w:hint="default"/>
                <w:w w:val="100"/>
                <w:sz w:val="21"/>
                <w:szCs w:val="21"/>
              </w:rPr>
              <w:t> </w:t>
            </w:r>
            <w:r>
              <w:rPr>
                <w:rFonts w:ascii="宋体" w:hAnsi="宋体" w:cs="宋体" w:eastAsia="宋体" w:hint="default"/>
                <w:spacing w:val="-4"/>
                <w:sz w:val="21"/>
                <w:szCs w:val="21"/>
              </w:rPr>
              <w:t>机行业研究员张冰、信宗等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pacing w:val="-2"/>
                <w:sz w:val="21"/>
                <w:szCs w:val="21"/>
              </w:rPr>
              <w:t>中海基金管理有限公司投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研中心分析师姚晨曦</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r>
        <w:trPr>
          <w:trHeight w:val="125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安信证券股份有限公司研</w:t>
            </w:r>
            <w:r>
              <w:rPr>
                <w:rFonts w:ascii="宋体" w:hAnsi="宋体" w:cs="宋体" w:eastAsia="宋体" w:hint="default"/>
                <w:w w:val="100"/>
                <w:sz w:val="21"/>
                <w:szCs w:val="21"/>
              </w:rPr>
              <w:t> </w:t>
            </w:r>
            <w:r>
              <w:rPr>
                <w:rFonts w:ascii="宋体" w:hAnsi="宋体" w:cs="宋体" w:eastAsia="宋体" w:hint="default"/>
                <w:sz w:val="21"/>
                <w:szCs w:val="21"/>
              </w:rPr>
              <w:t>究中心计算机行业分析师</w:t>
            </w:r>
            <w:r>
              <w:rPr>
                <w:rFonts w:ascii="宋体" w:hAnsi="宋体" w:cs="宋体" w:eastAsia="宋体" w:hint="default"/>
                <w:w w:val="100"/>
                <w:sz w:val="21"/>
                <w:szCs w:val="21"/>
              </w:rPr>
              <w:t> </w:t>
            </w:r>
            <w:r>
              <w:rPr>
                <w:rFonts w:ascii="宋体" w:hAnsi="宋体" w:cs="宋体" w:eastAsia="宋体" w:hint="default"/>
                <w:spacing w:val="-4"/>
                <w:sz w:val="21"/>
                <w:szCs w:val="21"/>
              </w:rPr>
              <w:t>胡又文、国泰基金管理有限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公司研究开发部王懿超</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公司基本经营情况及行业走向</w:t>
            </w:r>
          </w:p>
        </w:tc>
      </w:tr>
    </w:tbl>
    <w:p>
      <w:pPr>
        <w:spacing w:after="0" w:line="240" w:lineRule="auto"/>
        <w:jc w:val="left"/>
        <w:rPr>
          <w:rFonts w:ascii="宋体" w:hAnsi="宋体" w:cs="宋体" w:eastAsia="宋体" w:hint="default"/>
          <w:sz w:val="21"/>
          <w:szCs w:val="21"/>
        </w:rPr>
        <w:sectPr>
          <w:pgSz w:w="11910" w:h="16840"/>
          <w:pgMar w:header="876" w:footer="1186" w:top="1100" w:bottom="1380" w:left="500" w:right="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p>
      <w:pPr>
        <w:pStyle w:val="Heading1"/>
        <w:tabs>
          <w:tab w:pos="1286" w:val="left" w:leader="none"/>
        </w:tabs>
        <w:spacing w:line="240" w:lineRule="auto"/>
        <w:ind w:right="42"/>
        <w:jc w:val="center"/>
        <w:rPr>
          <w:b w:val="0"/>
          <w:bCs w:val="0"/>
        </w:rPr>
      </w:pPr>
      <w:bookmarkStart w:name="_TOC_250003" w:id="10"/>
      <w:r>
        <w:rPr>
          <w:w w:val="95"/>
        </w:rPr>
        <w:t>第十节</w:t>
        <w:tab/>
      </w:r>
      <w:r>
        <w:rPr/>
        <w:t>监事会报告</w:t>
      </w:r>
      <w:bookmarkEnd w:id="10"/>
      <w:r>
        <w:rPr>
          <w:b w:val="0"/>
          <w:bCs w:val="0"/>
        </w:rPr>
      </w:r>
    </w:p>
    <w:p>
      <w:pPr>
        <w:pStyle w:val="BodyText"/>
        <w:spacing w:line="357" w:lineRule="auto" w:before="193"/>
        <w:ind w:left="197" w:right="100" w:firstLine="480"/>
        <w:jc w:val="left"/>
      </w:pPr>
      <w:r>
        <w:rPr>
          <w:spacing w:val="-8"/>
        </w:rPr>
        <w:t>报告期内，公司监事会全体成员严格按照《公司法》、《公司章程》和有关法律、法</w:t>
      </w:r>
      <w:r>
        <w:rPr/>
        <w:t> 规的要求，本着恪尽职守、勤勉尽责的工作态度，依法独立行使职权，从切实维护公司 </w:t>
      </w:r>
      <w:r>
        <w:rPr>
          <w:spacing w:val="-5"/>
        </w:rPr>
        <w:t>利益和广大股东权益出发，认真履行监督职责。监事会对公司生产经营活动、重大事项、</w:t>
      </w:r>
      <w:r>
        <w:rPr>
          <w:spacing w:val="-93"/>
        </w:rPr>
        <w:t> </w:t>
      </w:r>
      <w:r>
        <w:rPr>
          <w:spacing w:val="-93"/>
        </w:rPr>
      </w:r>
      <w:r>
        <w:rPr/>
        <w:t>财务状况以及董事、高级管理人员履行职责情况进行了监督，促进了公司规范运作。现</w:t>
      </w:r>
      <w:r>
        <w:rPr/>
        <w:t> 将监事会在本年度的主要工作报告如下：</w:t>
      </w:r>
    </w:p>
    <w:p>
      <w:pPr>
        <w:pStyle w:val="Heading3"/>
        <w:spacing w:line="240" w:lineRule="auto" w:before="36"/>
        <w:ind w:left="197" w:right="0"/>
        <w:jc w:val="both"/>
        <w:rPr>
          <w:b w:val="0"/>
          <w:bCs w:val="0"/>
        </w:rPr>
      </w:pPr>
      <w:r>
        <w:rPr/>
        <w:t>一、监事会的会议情况</w:t>
      </w:r>
      <w:r>
        <w:rPr>
          <w:b w:val="0"/>
          <w:bCs w:val="0"/>
        </w:rPr>
      </w:r>
    </w:p>
    <w:p>
      <w:pPr>
        <w:pStyle w:val="BodyText"/>
        <w:spacing w:line="240" w:lineRule="auto" w:before="154"/>
        <w:ind w:left="662" w:right="279"/>
        <w:jc w:val="left"/>
      </w:pPr>
      <w:r>
        <w:rPr/>
        <w:t>报告期内，公司共召开了</w:t>
      </w:r>
      <w:r>
        <w:rPr>
          <w:spacing w:val="-60"/>
        </w:rPr>
        <w:t> </w:t>
      </w:r>
      <w:r>
        <w:rPr>
          <w:rFonts w:ascii="宋体" w:hAnsi="宋体" w:cs="宋体" w:eastAsia="宋体" w:hint="default"/>
        </w:rPr>
        <w:t>5</w:t>
      </w:r>
      <w:r>
        <w:rPr>
          <w:rFonts w:ascii="宋体" w:hAnsi="宋体" w:cs="宋体" w:eastAsia="宋体" w:hint="default"/>
          <w:spacing w:val="-60"/>
        </w:rPr>
        <w:t> </w:t>
      </w:r>
      <w:r>
        <w:rPr/>
        <w:t>次监事会会议，主要内容如下：</w:t>
      </w:r>
    </w:p>
    <w:p>
      <w:pPr>
        <w:pStyle w:val="BodyText"/>
        <w:spacing w:line="240" w:lineRule="auto" w:before="154"/>
        <w:ind w:left="209" w:right="0"/>
        <w:jc w:val="both"/>
      </w:pPr>
      <w:r>
        <w:rPr/>
        <w:t>（一）</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11</w:t>
      </w:r>
      <w:r>
        <w:rPr>
          <w:rFonts w:ascii="宋体" w:hAnsi="宋体" w:cs="宋体" w:eastAsia="宋体" w:hint="default"/>
          <w:spacing w:val="-61"/>
        </w:rPr>
        <w:t> </w:t>
      </w:r>
      <w:r>
        <w:rPr/>
        <w:t>日召开第四届监事会第四次会议。</w:t>
      </w:r>
    </w:p>
    <w:p>
      <w:pPr>
        <w:pStyle w:val="BodyText"/>
        <w:spacing w:line="240" w:lineRule="auto" w:before="154"/>
        <w:ind w:left="209" w:right="0"/>
        <w:jc w:val="both"/>
      </w:pPr>
      <w:r>
        <w:rPr/>
        <w:t>（</w:t>
      </w:r>
      <w:r>
        <w:rPr>
          <w:rFonts w:ascii="宋体" w:hAnsi="宋体" w:cs="宋体" w:eastAsia="宋体" w:hint="default"/>
        </w:rPr>
        <w:t>1</w:t>
      </w:r>
      <w:r>
        <w:rPr/>
        <w:t>）审议并通过</w:t>
      </w:r>
      <w:r>
        <w:rPr>
          <w:spacing w:val="-1"/>
        </w:rPr>
        <w:t>《</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154"/>
        <w:ind w:left="209" w:right="0"/>
        <w:jc w:val="both"/>
      </w:pPr>
      <w:r>
        <w:rPr/>
        <w:t>（</w:t>
      </w:r>
      <w:r>
        <w:rPr>
          <w:rFonts w:ascii="宋体" w:hAnsi="宋体" w:cs="宋体" w:eastAsia="宋体" w:hint="default"/>
        </w:rPr>
        <w:t>2</w:t>
      </w:r>
      <w:r>
        <w:rPr/>
        <w:t>）审议并通过</w:t>
      </w:r>
      <w:r>
        <w:rPr>
          <w:spacing w:val="-1"/>
        </w:rPr>
        <w:t>《</w:t>
      </w:r>
      <w:r>
        <w:rPr>
          <w:rFonts w:ascii="宋体" w:hAnsi="宋体" w:cs="宋体" w:eastAsia="宋体" w:hint="default"/>
        </w:rPr>
        <w:t>2010</w:t>
      </w:r>
      <w:r>
        <w:rPr>
          <w:rFonts w:ascii="宋体" w:hAnsi="宋体" w:cs="宋体" w:eastAsia="宋体" w:hint="default"/>
          <w:spacing w:val="-60"/>
        </w:rPr>
        <w:t> </w:t>
      </w:r>
      <w:r>
        <w:rPr/>
        <w:t>年年度报告及摘要</w:t>
      </w:r>
      <w:r>
        <w:rPr>
          <w:spacing w:val="-120"/>
        </w:rPr>
        <w:t>》</w:t>
      </w:r>
      <w:r>
        <w:rPr/>
        <w:t>；</w:t>
      </w:r>
    </w:p>
    <w:p>
      <w:pPr>
        <w:pStyle w:val="BodyText"/>
        <w:spacing w:line="240" w:lineRule="auto" w:before="154"/>
        <w:ind w:left="209" w:right="0"/>
        <w:jc w:val="both"/>
      </w:pPr>
      <w:r>
        <w:rPr/>
        <w:t>（</w:t>
      </w:r>
      <w:r>
        <w:rPr>
          <w:rFonts w:ascii="宋体" w:hAnsi="宋体" w:cs="宋体" w:eastAsia="宋体" w:hint="default"/>
        </w:rPr>
        <w:t>3</w:t>
      </w:r>
      <w:r>
        <w:rPr/>
        <w:t>）审议并通过</w:t>
      </w:r>
      <w:r>
        <w:rPr>
          <w:spacing w:val="-1"/>
        </w:rPr>
        <w:t>《</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4"/>
        <w:ind w:left="209" w:right="0"/>
        <w:jc w:val="both"/>
      </w:pPr>
      <w:r>
        <w:rPr/>
        <w:t>（</w:t>
      </w:r>
      <w:r>
        <w:rPr>
          <w:rFonts w:ascii="宋体" w:hAnsi="宋体" w:cs="宋体" w:eastAsia="宋体" w:hint="default"/>
        </w:rPr>
        <w:t>4</w:t>
      </w:r>
      <w:r>
        <w:rPr/>
        <w:t>）审议并通过</w:t>
      </w:r>
      <w:r>
        <w:rPr>
          <w:spacing w:val="-1"/>
        </w:rPr>
        <w:t>《</w:t>
      </w:r>
      <w:r>
        <w:rPr>
          <w:rFonts w:ascii="宋体" w:hAnsi="宋体" w:cs="宋体" w:eastAsia="宋体" w:hint="default"/>
        </w:rPr>
        <w:t>2010</w:t>
      </w:r>
      <w:r>
        <w:rPr>
          <w:rFonts w:ascii="宋体" w:hAnsi="宋体" w:cs="宋体" w:eastAsia="宋体" w:hint="default"/>
          <w:spacing w:val="-60"/>
        </w:rPr>
        <w:t> </w:t>
      </w:r>
      <w:r>
        <w:rPr/>
        <w:t>年度利润分配及资本公积转增股本的预案</w:t>
      </w:r>
      <w:r>
        <w:rPr>
          <w:spacing w:val="-120"/>
        </w:rPr>
        <w:t>》</w:t>
      </w:r>
      <w:r>
        <w:rPr/>
        <w:t>；</w:t>
      </w:r>
    </w:p>
    <w:p>
      <w:pPr>
        <w:pStyle w:val="BodyText"/>
        <w:spacing w:line="240" w:lineRule="auto" w:before="154"/>
        <w:ind w:left="209" w:right="0"/>
        <w:jc w:val="both"/>
      </w:pPr>
      <w:r>
        <w:rPr/>
        <w:t>（</w:t>
      </w:r>
      <w:r>
        <w:rPr>
          <w:rFonts w:ascii="宋体" w:hAnsi="宋体" w:cs="宋体" w:eastAsia="宋体" w:hint="default"/>
        </w:rPr>
        <w:t>5</w:t>
      </w:r>
      <w:r>
        <w:rPr/>
        <w:t>）审议并通过</w:t>
      </w:r>
      <w:r>
        <w:rPr>
          <w:spacing w:val="-1"/>
        </w:rPr>
        <w:t>《</w:t>
      </w:r>
      <w:r>
        <w:rPr>
          <w:rFonts w:ascii="宋体" w:hAnsi="宋体" w:cs="宋体" w:eastAsia="宋体" w:hint="default"/>
        </w:rPr>
        <w:t>2010</w:t>
      </w:r>
      <w:r>
        <w:rPr>
          <w:rFonts w:ascii="宋体" w:hAnsi="宋体" w:cs="宋体" w:eastAsia="宋体" w:hint="default"/>
          <w:spacing w:val="-60"/>
        </w:rPr>
        <w:t> </w:t>
      </w:r>
      <w:r>
        <w:rPr/>
        <w:t>年度募集资金存放与使用情况的专项报告</w:t>
      </w:r>
      <w:r>
        <w:rPr>
          <w:spacing w:val="-120"/>
        </w:rPr>
        <w:t>》</w:t>
      </w:r>
      <w:r>
        <w:rPr/>
        <w:t>；</w:t>
      </w:r>
    </w:p>
    <w:p>
      <w:pPr>
        <w:pStyle w:val="BodyText"/>
        <w:spacing w:line="240" w:lineRule="auto" w:before="154"/>
        <w:ind w:left="209" w:right="0"/>
        <w:jc w:val="both"/>
      </w:pPr>
      <w:r>
        <w:rPr/>
        <w:t>（</w:t>
      </w:r>
      <w:r>
        <w:rPr>
          <w:rFonts w:ascii="宋体" w:hAnsi="宋体" w:cs="宋体" w:eastAsia="宋体" w:hint="default"/>
        </w:rPr>
        <w:t>6</w:t>
      </w:r>
      <w:r>
        <w:rPr/>
        <w:t>）审议并通过</w:t>
      </w:r>
      <w:r>
        <w:rPr>
          <w:spacing w:val="-1"/>
        </w:rPr>
        <w:t>《</w:t>
      </w:r>
      <w:r>
        <w:rPr>
          <w:rFonts w:ascii="宋体" w:hAnsi="宋体" w:cs="宋体" w:eastAsia="宋体" w:hint="default"/>
        </w:rPr>
        <w:t>2010</w:t>
      </w:r>
      <w:r>
        <w:rPr>
          <w:rFonts w:ascii="宋体" w:hAnsi="宋体" w:cs="宋体" w:eastAsia="宋体" w:hint="default"/>
          <w:spacing w:val="-60"/>
        </w:rPr>
        <w:t> </w:t>
      </w:r>
      <w:r>
        <w:rPr/>
        <w:t>年度内部控制自我评价报告</w:t>
      </w:r>
      <w:r>
        <w:rPr>
          <w:spacing w:val="-120"/>
        </w:rPr>
        <w:t>》</w:t>
      </w:r>
      <w:r>
        <w:rPr/>
        <w:t>；</w:t>
      </w:r>
    </w:p>
    <w:p>
      <w:pPr>
        <w:pStyle w:val="BodyText"/>
        <w:spacing w:line="240" w:lineRule="auto" w:before="154"/>
        <w:ind w:left="209" w:right="0"/>
        <w:jc w:val="both"/>
      </w:pPr>
      <w:r>
        <w:rPr/>
        <w:t>（</w:t>
      </w:r>
      <w:r>
        <w:rPr>
          <w:rFonts w:ascii="宋体" w:hAnsi="宋体" w:cs="宋体" w:eastAsia="宋体" w:hint="default"/>
        </w:rPr>
        <w:t>7</w:t>
      </w:r>
      <w:r>
        <w:rPr/>
        <w:t>）审议并通过《关于变更公司注册地址的议案</w:t>
      </w:r>
      <w:r>
        <w:rPr>
          <w:spacing w:val="-120"/>
        </w:rPr>
        <w:t>》</w:t>
      </w:r>
      <w:r>
        <w:rPr/>
        <w:t>；</w:t>
      </w:r>
    </w:p>
    <w:p>
      <w:pPr>
        <w:pStyle w:val="BodyText"/>
        <w:spacing w:line="240" w:lineRule="auto" w:before="154"/>
        <w:ind w:left="209" w:right="0"/>
        <w:jc w:val="both"/>
      </w:pPr>
      <w:r>
        <w:rPr/>
        <w:t>（</w:t>
      </w:r>
      <w:r>
        <w:rPr>
          <w:rFonts w:ascii="宋体" w:hAnsi="宋体" w:cs="宋体" w:eastAsia="宋体" w:hint="default"/>
        </w:rPr>
        <w:t>8</w:t>
      </w:r>
      <w:r>
        <w:rPr/>
        <w:t>）审议并通过《关于修改公司〈章程〉的议案</w:t>
      </w:r>
      <w:r>
        <w:rPr>
          <w:spacing w:val="-120"/>
        </w:rPr>
        <w:t>》</w:t>
      </w:r>
      <w:r>
        <w:rPr/>
        <w:t>；</w:t>
      </w:r>
    </w:p>
    <w:p>
      <w:pPr>
        <w:pStyle w:val="BodyText"/>
        <w:spacing w:line="240" w:lineRule="auto" w:before="154"/>
        <w:ind w:left="209" w:right="0"/>
        <w:jc w:val="both"/>
      </w:pPr>
      <w:r>
        <w:rPr/>
        <w:t>（</w:t>
      </w:r>
      <w:r>
        <w:rPr>
          <w:rFonts w:ascii="宋体" w:hAnsi="宋体" w:cs="宋体" w:eastAsia="宋体" w:hint="default"/>
        </w:rPr>
        <w:t>9</w:t>
      </w:r>
      <w:r>
        <w:rPr/>
        <w:t>）审议并通过</w:t>
      </w:r>
      <w:r>
        <w:rPr>
          <w:spacing w:val="-1"/>
        </w:rPr>
        <w:t>《</w:t>
      </w:r>
      <w:r>
        <w:rPr>
          <w:rFonts w:ascii="宋体" w:hAnsi="宋体" w:cs="宋体" w:eastAsia="宋体" w:hint="default"/>
        </w:rPr>
        <w:t>2011</w:t>
      </w:r>
      <w:r>
        <w:rPr>
          <w:rFonts w:ascii="宋体" w:hAnsi="宋体" w:cs="宋体" w:eastAsia="宋体" w:hint="default"/>
          <w:spacing w:val="-60"/>
        </w:rPr>
        <w:t> </w:t>
      </w:r>
      <w:r>
        <w:rPr/>
        <w:t>年度日常关联交易的议案</w:t>
      </w:r>
      <w:r>
        <w:rPr>
          <w:spacing w:val="-120"/>
        </w:rPr>
        <w:t>》</w:t>
      </w:r>
      <w:r>
        <w:rPr/>
        <w:t>；</w:t>
      </w:r>
    </w:p>
    <w:p>
      <w:pPr>
        <w:pStyle w:val="BodyText"/>
        <w:spacing w:line="240" w:lineRule="auto" w:before="154"/>
        <w:ind w:left="209" w:right="0"/>
        <w:jc w:val="both"/>
      </w:pPr>
      <w:r>
        <w:rPr/>
        <w:t>（</w:t>
      </w:r>
      <w:r>
        <w:rPr>
          <w:rFonts w:ascii="宋体" w:hAnsi="宋体" w:cs="宋体" w:eastAsia="宋体" w:hint="default"/>
        </w:rPr>
        <w:t>10</w:t>
      </w:r>
      <w:r>
        <w:rPr/>
        <w:t>）审议并通过《关于梁恭杰先生辞去公司第四届监事会监事的议案</w:t>
      </w:r>
      <w:r>
        <w:rPr>
          <w:spacing w:val="-120"/>
        </w:rPr>
        <w:t>》</w:t>
      </w:r>
      <w:r>
        <w:rPr/>
        <w:t>；</w:t>
      </w:r>
    </w:p>
    <w:p>
      <w:pPr>
        <w:pStyle w:val="BodyText"/>
        <w:spacing w:line="357" w:lineRule="auto" w:before="154"/>
        <w:ind w:left="617" w:right="218" w:hanging="408"/>
        <w:jc w:val="left"/>
        <w:rPr>
          <w:rFonts w:ascii="宋体" w:hAnsi="宋体" w:cs="宋体" w:eastAsia="宋体" w:hint="default"/>
        </w:rPr>
      </w:pPr>
      <w:r>
        <w:rPr>
          <w:spacing w:val="-4"/>
        </w:rPr>
        <w:t>（</w:t>
      </w:r>
      <w:r>
        <w:rPr>
          <w:rFonts w:ascii="宋体" w:hAnsi="宋体" w:cs="宋体" w:eastAsia="宋体" w:hint="default"/>
          <w:spacing w:val="-4"/>
        </w:rPr>
        <w:t>11</w:t>
      </w:r>
      <w:r>
        <w:rPr>
          <w:spacing w:val="-4"/>
        </w:rPr>
        <w:t>）审议并通过《关于增补陆庆先生为公司第四届监事会监事的议案》。</w:t>
      </w:r>
      <w:r>
        <w:rPr>
          <w:spacing w:val="-104"/>
        </w:rPr>
        <w:t> </w:t>
      </w:r>
      <w:r>
        <w:rPr>
          <w:spacing w:val="-104"/>
        </w:rPr>
      </w:r>
      <w:r>
        <w:rPr/>
        <w:t>相关决议刊登于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spacing w:val="-12"/>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rPr>
        </w:r>
        <w:r>
          <w:rPr>
            <w:rFonts w:ascii="宋体" w:hAnsi="宋体" w:cs="宋体" w:eastAsia="宋体" w:hint="default"/>
          </w:rPr>
        </w:r>
      </w:hyperlink>
    </w:p>
    <w:p>
      <w:pPr>
        <w:pStyle w:val="BodyText"/>
        <w:spacing w:line="240" w:lineRule="auto"/>
        <w:ind w:left="197" w:right="0"/>
        <w:jc w:val="both"/>
      </w:pPr>
      <w:r>
        <w:rPr/>
        <w:t>上。</w:t>
      </w:r>
    </w:p>
    <w:p>
      <w:pPr>
        <w:pStyle w:val="BodyText"/>
        <w:spacing w:line="357" w:lineRule="auto" w:before="154"/>
        <w:ind w:left="197" w:right="236"/>
        <w:jc w:val="both"/>
      </w:pPr>
      <w:r>
        <w:rPr>
          <w:spacing w:val="-3"/>
        </w:rPr>
        <w:t>（二）</w:t>
      </w:r>
      <w:r>
        <w:rPr>
          <w:rFonts w:ascii="宋体" w:hAnsi="宋体" w:cs="宋体" w:eastAsia="宋体" w:hint="default"/>
          <w:spacing w:val="-3"/>
        </w:rPr>
        <w:t>2011</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21</w:t>
      </w:r>
      <w:r>
        <w:rPr>
          <w:rFonts w:ascii="宋体" w:hAnsi="宋体" w:cs="宋体" w:eastAsia="宋体" w:hint="default"/>
          <w:spacing w:val="-65"/>
        </w:rPr>
        <w:t> </w:t>
      </w:r>
      <w:r>
        <w:rPr/>
        <w:t>日召开第四届监事会第五次会议，审议并通过《</w:t>
      </w:r>
      <w:r>
        <w:rPr>
          <w:rFonts w:ascii="宋体" w:hAnsi="宋体" w:cs="宋体" w:eastAsia="宋体" w:hint="default"/>
        </w:rPr>
        <w:t>2011</w:t>
      </w:r>
      <w:r>
        <w:rPr>
          <w:rFonts w:ascii="宋体" w:hAnsi="宋体" w:cs="宋体" w:eastAsia="宋体" w:hint="default"/>
          <w:spacing w:val="-65"/>
        </w:rPr>
        <w:t> </w:t>
      </w:r>
      <w:r>
        <w:rPr/>
        <w:t>年第一季度 </w:t>
      </w:r>
      <w:r>
        <w:rPr>
          <w:spacing w:val="-8"/>
        </w:rPr>
        <w:t>季度报告》。报告正文及全文刊登于</w:t>
      </w:r>
      <w:r>
        <w:rPr/>
        <w:t> </w:t>
      </w:r>
      <w:r>
        <w:rPr>
          <w:rFonts w:ascii="宋体" w:hAnsi="宋体" w:cs="宋体" w:eastAsia="宋体" w:hint="default"/>
        </w:rPr>
        <w:t>2011 </w:t>
      </w:r>
      <w:r>
        <w:rPr/>
        <w:t>年 </w:t>
      </w:r>
      <w:r>
        <w:rPr>
          <w:rFonts w:ascii="宋体" w:hAnsi="宋体" w:cs="宋体" w:eastAsia="宋体" w:hint="default"/>
        </w:rPr>
        <w:t>4 </w:t>
      </w:r>
      <w:r>
        <w:rPr/>
        <w:t>月 </w:t>
      </w:r>
      <w:r>
        <w:rPr>
          <w:rFonts w:ascii="宋体" w:hAnsi="宋体" w:cs="宋体" w:eastAsia="宋体" w:hint="default"/>
          <w:spacing w:val="-2"/>
        </w:rPr>
        <w:t>22</w:t>
      </w:r>
      <w:r>
        <w:rPr>
          <w:rFonts w:ascii="宋体" w:hAnsi="宋体" w:cs="宋体" w:eastAsia="宋体" w:hint="default"/>
          <w:spacing w:val="-29"/>
        </w:rPr>
        <w:t> </w:t>
      </w:r>
      <w:r>
        <w:rPr>
          <w:spacing w:val="-1"/>
        </w:rPr>
        <w:t>日《中国证券报》及巨潮资讯网</w:t>
      </w:r>
      <w:r>
        <w:rPr/>
        <w:t> </w:t>
      </w:r>
      <w:r>
        <w:rPr>
          <w:rFonts w:ascii="宋体" w:hAnsi="宋体" w:cs="宋体" w:eastAsia="宋体" w:hint="default"/>
          <w:color w:val="0000FF"/>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1"/>
            <w:u w:val="single" w:color="0000FF"/>
          </w:rPr>
          <w:t> </w:t>
        </w:r>
        <w:r>
          <w:rPr>
            <w:rFonts w:ascii="宋体" w:hAnsi="宋体" w:cs="宋体" w:eastAsia="宋体" w:hint="default"/>
            <w:color w:val="0000FF"/>
            <w:spacing w:val="-61"/>
          </w:rPr>
        </w:r>
      </w:hyperlink>
      <w:r>
        <w:rPr/>
        <w:t>上。</w:t>
      </w:r>
    </w:p>
    <w:p>
      <w:pPr>
        <w:pStyle w:val="BodyText"/>
        <w:spacing w:line="240" w:lineRule="auto"/>
        <w:ind w:left="197" w:right="0"/>
        <w:jc w:val="both"/>
      </w:pPr>
      <w:r>
        <w:rPr/>
        <w:t>（三）</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61"/>
        </w:rPr>
        <w:t> </w:t>
      </w:r>
      <w:r>
        <w:rPr>
          <w:rFonts w:ascii="宋体" w:hAnsi="宋体" w:cs="宋体" w:eastAsia="宋体" w:hint="default"/>
        </w:rPr>
        <w:t>8</w:t>
      </w:r>
      <w:r>
        <w:rPr>
          <w:rFonts w:ascii="宋体" w:hAnsi="宋体" w:cs="宋体" w:eastAsia="宋体" w:hint="default"/>
          <w:spacing w:val="-61"/>
        </w:rPr>
        <w:t> </w:t>
      </w:r>
      <w:r>
        <w:rPr/>
        <w:t>日召开第四届监事会第六次会议，审议并通过《公司</w:t>
      </w:r>
      <w:r>
        <w:rPr>
          <w:spacing w:val="-57"/>
        </w:rPr>
        <w:t> </w:t>
      </w:r>
      <w:r>
        <w:rPr>
          <w:rFonts w:ascii="宋体" w:hAnsi="宋体" w:cs="宋体" w:eastAsia="宋体" w:hint="default"/>
        </w:rPr>
        <w:t>2011</w:t>
      </w:r>
      <w:r>
        <w:rPr>
          <w:rFonts w:ascii="宋体" w:hAnsi="宋体" w:cs="宋体" w:eastAsia="宋体" w:hint="default"/>
          <w:spacing w:val="-59"/>
        </w:rPr>
        <w:t> </w:t>
      </w:r>
      <w:r>
        <w:rPr/>
        <w:t>年半年</w:t>
      </w:r>
    </w:p>
    <w:p>
      <w:pPr>
        <w:pStyle w:val="BodyText"/>
        <w:spacing w:line="357" w:lineRule="auto" w:before="154"/>
        <w:ind w:left="197" w:right="217"/>
        <w:jc w:val="left"/>
      </w:pPr>
      <w:r>
        <w:rPr/>
        <w:t>度报告》及摘要。半年度报告摘要及全文刊登于</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10</w:t>
      </w:r>
      <w:r>
        <w:rPr>
          <w:rFonts w:ascii="宋体" w:hAnsi="宋体" w:cs="宋体" w:eastAsia="宋体" w:hint="default"/>
          <w:spacing w:val="-63"/>
        </w:rPr>
        <w:t> </w:t>
      </w:r>
      <w:r>
        <w:rPr>
          <w:spacing w:val="-3"/>
        </w:rPr>
        <w:t>日《中国证券报》及巨</w:t>
      </w:r>
      <w:r>
        <w:rPr/>
        <w:t> 潮资讯网</w:t>
      </w:r>
      <w:r>
        <w:rPr>
          <w:spacing w:val="-61"/>
        </w:rPr>
        <w:t> </w:t>
      </w:r>
      <w:r>
        <w:rPr>
          <w:rFonts w:ascii="宋体" w:hAnsi="宋体" w:cs="宋体" w:eastAsia="宋体" w:hint="default"/>
          <w:color w:val="0000FF"/>
          <w:spacing w:val="-61"/>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spacing w:after="0" w:line="357" w:lineRule="auto"/>
        <w:jc w:val="left"/>
        <w:sectPr>
          <w:pgSz w:w="11910" w:h="16840"/>
          <w:pgMar w:header="876" w:footer="1186" w:top="1100" w:bottom="1380" w:left="1260" w:right="1140"/>
        </w:sectPr>
      </w:pPr>
    </w:p>
    <w:p>
      <w:pPr>
        <w:spacing w:line="240" w:lineRule="auto" w:before="7"/>
        <w:rPr>
          <w:rFonts w:ascii="宋体" w:hAnsi="宋体" w:cs="宋体" w:eastAsia="宋体" w:hint="default"/>
          <w:sz w:val="25"/>
          <w:szCs w:val="25"/>
        </w:rPr>
      </w:pPr>
    </w:p>
    <w:p>
      <w:pPr>
        <w:pStyle w:val="BodyText"/>
        <w:spacing w:line="240" w:lineRule="auto" w:before="26"/>
        <w:ind w:left="197" w:right="0"/>
        <w:jc w:val="both"/>
      </w:pPr>
      <w:r>
        <w:rPr/>
        <w:t>（四）</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w:t>
      </w:r>
      <w:r>
        <w:rPr>
          <w:spacing w:val="-61"/>
        </w:rPr>
        <w:t> </w:t>
      </w:r>
      <w:r>
        <w:rPr>
          <w:rFonts w:ascii="宋体" w:hAnsi="宋体" w:cs="宋体" w:eastAsia="宋体" w:hint="default"/>
        </w:rPr>
        <w:t>19</w:t>
      </w:r>
      <w:r>
        <w:rPr>
          <w:rFonts w:ascii="宋体" w:hAnsi="宋体" w:cs="宋体" w:eastAsia="宋体" w:hint="default"/>
          <w:spacing w:val="-61"/>
        </w:rPr>
        <w:t> </w:t>
      </w:r>
      <w:r>
        <w:rPr/>
        <w:t>日召开第四届监事会第七次会议。</w:t>
      </w:r>
    </w:p>
    <w:p>
      <w:pPr>
        <w:pStyle w:val="BodyText"/>
        <w:spacing w:line="240" w:lineRule="auto" w:before="154"/>
        <w:ind w:left="197" w:right="0"/>
        <w:jc w:val="both"/>
      </w:pPr>
      <w:r>
        <w:rPr/>
        <w:t>（</w:t>
      </w:r>
      <w:r>
        <w:rPr>
          <w:rFonts w:ascii="宋体" w:hAnsi="宋体" w:cs="宋体" w:eastAsia="宋体" w:hint="default"/>
        </w:rPr>
        <w:t>1</w:t>
      </w:r>
      <w:r>
        <w:rPr/>
        <w:t>）审议并通过《公司限制性股票激励计划（草案</w:t>
      </w:r>
      <w:r>
        <w:rPr>
          <w:spacing w:val="-120"/>
        </w:rPr>
        <w:t>）</w:t>
      </w:r>
      <w:r>
        <w:rPr/>
        <w:t>》及其摘要；</w:t>
      </w:r>
    </w:p>
    <w:p>
      <w:pPr>
        <w:pStyle w:val="BodyText"/>
        <w:spacing w:line="240" w:lineRule="auto" w:before="154"/>
        <w:ind w:left="197" w:right="0"/>
        <w:jc w:val="both"/>
      </w:pPr>
      <w:r>
        <w:rPr/>
        <w:t>（</w:t>
      </w:r>
      <w:r>
        <w:rPr>
          <w:rFonts w:ascii="宋体" w:hAnsi="宋体" w:cs="宋体" w:eastAsia="宋体" w:hint="default"/>
        </w:rPr>
        <w:t>2</w:t>
      </w:r>
      <w:r>
        <w:rPr/>
        <w:t>）审议并通过《公司限制性股票激励计划实施考核办法</w:t>
      </w:r>
      <w:r>
        <w:rPr>
          <w:spacing w:val="-120"/>
        </w:rPr>
        <w:t>》</w:t>
      </w:r>
      <w:r>
        <w:rPr/>
        <w:t>；</w:t>
      </w:r>
    </w:p>
    <w:p>
      <w:pPr>
        <w:pStyle w:val="BodyText"/>
        <w:spacing w:line="240" w:lineRule="auto" w:before="154"/>
        <w:ind w:left="197" w:right="0"/>
        <w:jc w:val="both"/>
      </w:pPr>
      <w:r>
        <w:rPr/>
        <w:t>（</w:t>
      </w:r>
      <w:r>
        <w:rPr>
          <w:rFonts w:ascii="宋体" w:hAnsi="宋体" w:cs="宋体" w:eastAsia="宋体" w:hint="default"/>
        </w:rPr>
        <w:t>3</w:t>
      </w:r>
      <w:r>
        <w:rPr/>
        <w:t>）审议并通过《</w:t>
      </w:r>
      <w:r>
        <w:rPr>
          <w:spacing w:val="-1"/>
        </w:rPr>
        <w:t>公</w:t>
      </w:r>
      <w:r>
        <w:rPr/>
        <w:t>司限制性股票激励计划首期激励对象名单</w:t>
      </w:r>
      <w:r>
        <w:rPr>
          <w:spacing w:val="-120"/>
        </w:rPr>
        <w:t>》</w:t>
      </w:r>
      <w:r>
        <w:rPr/>
        <w:t>。</w:t>
      </w:r>
    </w:p>
    <w:p>
      <w:pPr>
        <w:pStyle w:val="BodyText"/>
        <w:spacing w:line="357" w:lineRule="auto" w:before="154"/>
        <w:ind w:left="197" w:right="198" w:firstLine="420"/>
        <w:jc w:val="left"/>
      </w:pPr>
      <w:r>
        <w:rPr/>
        <w:t>相关决议刊登于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spacing w:val="-12"/>
        </w:rPr>
        <w:t>日《中国证券报》及巨潮资讯网</w:t>
      </w:r>
      <w:r>
        <w:rPr>
          <w:spacing w:val="-60"/>
        </w:rPr>
        <w:t> </w:t>
      </w:r>
      <w:r>
        <w:rPr>
          <w:rFonts w:ascii="宋体" w:hAnsi="宋体" w:cs="宋体" w:eastAsia="宋体" w:hint="default"/>
          <w:color w:val="0000FF"/>
          <w:spacing w:val="-60"/>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rFonts w:ascii="宋体" w:hAnsi="宋体" w:cs="宋体" w:eastAsia="宋体" w:hint="default"/>
          <w:color w:val="0000FF"/>
        </w:rPr>
        <w:t> </w:t>
      </w:r>
      <w:r>
        <w:rPr/>
        <w:t>上。</w:t>
      </w:r>
    </w:p>
    <w:p>
      <w:pPr>
        <w:pStyle w:val="BodyText"/>
        <w:spacing w:line="240" w:lineRule="auto"/>
        <w:ind w:left="197" w:right="0"/>
        <w:jc w:val="both"/>
      </w:pPr>
      <w:r>
        <w:rPr/>
        <w:t>（五）</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24</w:t>
      </w:r>
      <w:r>
        <w:rPr>
          <w:rFonts w:ascii="宋体" w:hAnsi="宋体" w:cs="宋体" w:eastAsia="宋体" w:hint="default"/>
          <w:spacing w:val="-58"/>
        </w:rPr>
        <w:t> </w:t>
      </w:r>
      <w:r>
        <w:rPr/>
        <w:t>日召开第四届监事会第八次会议，审议并通过《公司</w:t>
      </w:r>
      <w:r>
        <w:rPr>
          <w:spacing w:val="-58"/>
        </w:rPr>
        <w:t> </w:t>
      </w:r>
      <w:r>
        <w:rPr>
          <w:rFonts w:ascii="宋体" w:hAnsi="宋体" w:cs="宋体" w:eastAsia="宋体" w:hint="default"/>
        </w:rPr>
        <w:t>2011</w:t>
      </w:r>
      <w:r>
        <w:rPr>
          <w:rFonts w:ascii="宋体" w:hAnsi="宋体" w:cs="宋体" w:eastAsia="宋体" w:hint="default"/>
          <w:spacing w:val="-59"/>
        </w:rPr>
        <w:t> </w:t>
      </w:r>
      <w:r>
        <w:rPr/>
        <w:t>年第</w:t>
      </w:r>
    </w:p>
    <w:p>
      <w:pPr>
        <w:pStyle w:val="BodyText"/>
        <w:spacing w:line="357" w:lineRule="auto" w:before="154"/>
        <w:ind w:left="197" w:right="214"/>
        <w:jc w:val="both"/>
      </w:pPr>
      <w:r>
        <w:rPr/>
        <w:t>三季度季度报告》及正文。报告正文及全文刊登于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26</w:t>
      </w:r>
      <w:r>
        <w:rPr>
          <w:rFonts w:ascii="宋体" w:hAnsi="宋体" w:cs="宋体" w:eastAsia="宋体" w:hint="default"/>
          <w:spacing w:val="-48"/>
        </w:rPr>
        <w:t> </w:t>
      </w:r>
      <w:r>
        <w:rPr/>
        <w:t>日《中国证券报》 及巨潮资讯网</w:t>
      </w:r>
      <w:r>
        <w:rPr>
          <w:spacing w:val="-61"/>
        </w:rPr>
        <w:t> </w:t>
      </w:r>
      <w:r>
        <w:rPr>
          <w:rFonts w:ascii="宋体" w:hAnsi="宋体" w:cs="宋体" w:eastAsia="宋体" w:hint="default"/>
          <w:color w:val="0000FF"/>
          <w:spacing w:val="-61"/>
        </w:rPr>
      </w:r>
      <w:hyperlink r:id="rId10">
        <w:r>
          <w:rPr>
            <w:rFonts w:ascii="宋体" w:hAnsi="宋体" w:cs="宋体" w:eastAsia="宋体" w:hint="default"/>
            <w:color w:val="0000FF"/>
            <w:u w:val="single" w:color="0000FF"/>
          </w:rPr>
          <w:t>www.cninfo.com.cn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上。</w:t>
      </w:r>
    </w:p>
    <w:p>
      <w:pPr>
        <w:spacing w:line="240" w:lineRule="auto" w:before="0"/>
        <w:rPr>
          <w:rFonts w:ascii="宋体" w:hAnsi="宋体" w:cs="宋体" w:eastAsia="宋体" w:hint="default"/>
          <w:sz w:val="24"/>
          <w:szCs w:val="24"/>
        </w:rPr>
      </w:pPr>
    </w:p>
    <w:p>
      <w:pPr>
        <w:pStyle w:val="Heading3"/>
        <w:spacing w:line="240" w:lineRule="auto" w:before="191"/>
        <w:ind w:left="197" w:right="0"/>
        <w:jc w:val="both"/>
        <w:rPr>
          <w:b w:val="0"/>
          <w:bCs w:val="0"/>
        </w:rPr>
      </w:pPr>
      <w:r>
        <w:rPr/>
        <w:t>二、监事会对公司</w:t>
      </w:r>
      <w:r>
        <w:rPr>
          <w:spacing w:val="-62"/>
        </w:rPr>
        <w:t> </w:t>
      </w:r>
      <w:r>
        <w:rPr>
          <w:rFonts w:ascii="宋体" w:hAnsi="宋体" w:cs="宋体" w:eastAsia="宋体" w:hint="default"/>
        </w:rPr>
        <w:t>2011</w:t>
      </w:r>
      <w:r>
        <w:rPr>
          <w:rFonts w:ascii="宋体" w:hAnsi="宋体" w:cs="宋体" w:eastAsia="宋体" w:hint="default"/>
          <w:spacing w:val="-62"/>
        </w:rPr>
        <w:t> </w:t>
      </w:r>
      <w:r>
        <w:rPr/>
        <w:t>年度有关事项的监事意见</w:t>
      </w:r>
      <w:r>
        <w:rPr>
          <w:b w:val="0"/>
          <w:bCs w:val="0"/>
        </w:rPr>
      </w:r>
    </w:p>
    <w:p>
      <w:pPr>
        <w:pStyle w:val="BodyText"/>
        <w:spacing w:line="357" w:lineRule="auto" w:before="154"/>
        <w:ind w:left="662" w:right="198" w:hanging="466"/>
        <w:jc w:val="left"/>
      </w:pPr>
      <w:r>
        <w:rPr/>
        <w:t>（一）公司依法运作情况 </w:t>
      </w:r>
      <w:r>
        <w:rPr>
          <w:spacing w:val="-14"/>
        </w:rPr>
        <w:t>公司监事会认为公司董事会能严格按照《公司法》、《证券法》、《公司章程》及其它</w:t>
      </w:r>
    </w:p>
    <w:p>
      <w:pPr>
        <w:pStyle w:val="BodyText"/>
        <w:spacing w:line="357" w:lineRule="auto"/>
        <w:ind w:left="197" w:right="215"/>
        <w:jc w:val="both"/>
      </w:pPr>
      <w:r>
        <w:rPr>
          <w:spacing w:val="-2"/>
        </w:rPr>
        <w:t>有关法律、法规进行规范运作，严格执行股东大会的各项决议，工作认真负责，决策程</w:t>
      </w:r>
      <w:r>
        <w:rPr>
          <w:spacing w:val="-92"/>
        </w:rPr>
        <w:t> </w:t>
      </w:r>
      <w:r>
        <w:rPr>
          <w:spacing w:val="-92"/>
        </w:rPr>
      </w:r>
      <w:r>
        <w:rPr>
          <w:spacing w:val="-2"/>
        </w:rPr>
        <w:t>序合法，建立并进一步完善了内部控制制度，有效地控制了公司经营投资风险。公司董</w:t>
      </w:r>
      <w:r>
        <w:rPr>
          <w:spacing w:val="-95"/>
        </w:rPr>
        <w:t> </w:t>
      </w:r>
      <w:r>
        <w:rPr>
          <w:spacing w:val="-95"/>
        </w:rPr>
      </w:r>
      <w:r>
        <w:rPr>
          <w:spacing w:val="-2"/>
        </w:rPr>
        <w:t>事、高级管理人员执行职务时没有违反法律、法规、《公司章程》或损害公司或股东利</w:t>
      </w:r>
      <w:r>
        <w:rPr>
          <w:spacing w:val="-103"/>
        </w:rPr>
        <w:t> </w:t>
      </w:r>
      <w:r>
        <w:rPr>
          <w:spacing w:val="-103"/>
        </w:rPr>
      </w:r>
      <w:r>
        <w:rPr/>
        <w:t>益的行为。</w:t>
      </w:r>
    </w:p>
    <w:p>
      <w:pPr>
        <w:pStyle w:val="BodyText"/>
        <w:spacing w:line="240" w:lineRule="auto"/>
        <w:ind w:left="197" w:right="0"/>
        <w:jc w:val="both"/>
      </w:pPr>
      <w:r>
        <w:rPr/>
        <w:t>（二）检查公司财务情况</w:t>
      </w:r>
    </w:p>
    <w:p>
      <w:pPr>
        <w:pStyle w:val="BodyText"/>
        <w:spacing w:line="357" w:lineRule="auto" w:before="154"/>
        <w:ind w:left="197" w:right="214" w:firstLine="465"/>
        <w:jc w:val="both"/>
      </w:pPr>
      <w:r>
        <w:rPr/>
        <w:t>监事会对 </w:t>
      </w:r>
      <w:r>
        <w:rPr>
          <w:rFonts w:ascii="宋体" w:hAnsi="宋体" w:cs="宋体" w:eastAsia="宋体" w:hint="default"/>
        </w:rPr>
        <w:t>2011</w:t>
      </w:r>
      <w:r>
        <w:rPr>
          <w:rFonts w:ascii="宋体" w:hAnsi="宋体" w:cs="宋体" w:eastAsia="宋体" w:hint="default"/>
          <w:spacing w:val="-34"/>
        </w:rPr>
        <w:t> </w:t>
      </w:r>
      <w:r>
        <w:rPr/>
        <w:t>年度公司的财务情况进行了有效的监督、检查和审核，认为：公司 </w:t>
      </w:r>
      <w:r>
        <w:rPr>
          <w:spacing w:val="-2"/>
        </w:rPr>
        <w:t>财务制度健全、内控制度完善，财务运作规范、财务状况良好，财务报告真实、客观地</w:t>
      </w:r>
      <w:r>
        <w:rPr>
          <w:spacing w:val="-94"/>
        </w:rPr>
        <w:t> </w:t>
      </w:r>
      <w:r>
        <w:rPr>
          <w:spacing w:val="-94"/>
        </w:rPr>
      </w:r>
      <w:r>
        <w:rPr/>
        <w:t>反映了公司的财务状况和经营成果。</w:t>
      </w:r>
    </w:p>
    <w:p>
      <w:pPr>
        <w:pStyle w:val="BodyText"/>
        <w:spacing w:line="357" w:lineRule="auto"/>
        <w:ind w:left="197" w:right="167"/>
        <w:jc w:val="both"/>
      </w:pPr>
      <w:r>
        <w:rPr>
          <w:spacing w:val="-2"/>
        </w:rPr>
        <w:t>（三）公司监事会对募集资金的使用和管理进行了有效的监管，认为公司在募集资金的</w:t>
      </w:r>
      <w:r>
        <w:rPr>
          <w:spacing w:val="-92"/>
        </w:rPr>
        <w:t> </w:t>
      </w:r>
      <w:r>
        <w:rPr>
          <w:spacing w:val="-92"/>
        </w:rPr>
      </w:r>
      <w:r>
        <w:rPr>
          <w:spacing w:val="4"/>
        </w:rPr>
        <w:t>使用和管理上，能严格按照承诺和深圳证券交易所《中小企业板上市公司规范运作指</w:t>
      </w:r>
      <w:r>
        <w:rPr>
          <w:spacing w:val="-113"/>
        </w:rPr>
        <w:t> </w:t>
      </w:r>
      <w:r>
        <w:rPr>
          <w:spacing w:val="-113"/>
        </w:rPr>
      </w:r>
      <w:r>
        <w:rPr>
          <w:spacing w:val="-2"/>
        </w:rPr>
        <w:t>引》、公司《募集资金管理制度》的规定执行。公司募集资金的投入与使用情况与募集</w:t>
      </w:r>
      <w:r>
        <w:rPr>
          <w:spacing w:val="-103"/>
        </w:rPr>
        <w:t> </w:t>
      </w:r>
      <w:r>
        <w:rPr>
          <w:spacing w:val="-103"/>
        </w:rPr>
      </w:r>
      <w:r>
        <w:rPr/>
        <w:t>资金投资项目说明中披露的情况一致，未发现违反法律、法规及损害股东利益的行为。</w:t>
      </w:r>
    </w:p>
    <w:p>
      <w:pPr>
        <w:pStyle w:val="BodyText"/>
        <w:spacing w:line="240" w:lineRule="auto" w:before="37"/>
        <w:ind w:left="197" w:right="0"/>
        <w:jc w:val="both"/>
      </w:pPr>
      <w:r>
        <w:rPr/>
        <w:t>（四）监事会对内部控制自我评价报告的意见</w:t>
      </w:r>
    </w:p>
    <w:p>
      <w:pPr>
        <w:pStyle w:val="BodyText"/>
        <w:spacing w:line="357" w:lineRule="auto" w:before="154"/>
        <w:ind w:left="197" w:right="89" w:firstLine="465"/>
        <w:jc w:val="left"/>
      </w:pPr>
      <w:r>
        <w:rPr/>
        <w:t>对董事会关于公司 </w:t>
      </w:r>
      <w:r>
        <w:rPr>
          <w:rFonts w:ascii="宋体" w:hAnsi="宋体" w:cs="宋体" w:eastAsia="宋体" w:hint="default"/>
        </w:rPr>
        <w:t>2011</w:t>
      </w:r>
      <w:r>
        <w:rPr>
          <w:rFonts w:ascii="宋体" w:hAnsi="宋体" w:cs="宋体" w:eastAsia="宋体" w:hint="default"/>
          <w:spacing w:val="-34"/>
        </w:rPr>
        <w:t> </w:t>
      </w:r>
      <w:r>
        <w:rPr/>
        <w:t>年度内部控制的自我评价报告、公司内部控制制度的建设 和运行情况进行了审核，监事会认为：公司《</w:t>
      </w:r>
      <w:r>
        <w:rPr>
          <w:rFonts w:ascii="宋体" w:hAnsi="宋体" w:cs="宋体" w:eastAsia="宋体" w:hint="default"/>
        </w:rPr>
        <w:t>2011</w:t>
      </w:r>
      <w:r>
        <w:rPr>
          <w:rFonts w:ascii="宋体" w:hAnsi="宋体" w:cs="宋体" w:eastAsia="宋体" w:hint="default"/>
          <w:spacing w:val="-60"/>
        </w:rPr>
        <w:t> </w:t>
      </w:r>
      <w:r>
        <w:rPr/>
        <w:t>年度内部控制自我评价报告》客观、 全面地反映了公司内部控制的真实情况，公司已建立健全并有效执行了内部控制制度，</w:t>
      </w:r>
    </w:p>
    <w:p>
      <w:pPr>
        <w:spacing w:after="0" w:line="357" w:lineRule="auto"/>
        <w:jc w:val="left"/>
        <w:sectPr>
          <w:pgSz w:w="11910" w:h="16840"/>
          <w:pgMar w:header="876" w:footer="1186" w:top="1100" w:bottom="1380" w:left="1260" w:right="1160"/>
        </w:sectPr>
      </w:pPr>
    </w:p>
    <w:p>
      <w:pPr>
        <w:spacing w:line="240" w:lineRule="auto" w:before="7"/>
        <w:rPr>
          <w:rFonts w:ascii="宋体" w:hAnsi="宋体" w:cs="宋体" w:eastAsia="宋体" w:hint="default"/>
          <w:sz w:val="25"/>
          <w:szCs w:val="25"/>
        </w:rPr>
      </w:pPr>
    </w:p>
    <w:p>
      <w:pPr>
        <w:pStyle w:val="BodyText"/>
        <w:spacing w:line="357" w:lineRule="auto" w:before="26"/>
        <w:ind w:left="197" w:right="183"/>
        <w:jc w:val="left"/>
      </w:pPr>
      <w:r>
        <w:rPr>
          <w:spacing w:val="-2"/>
        </w:rPr>
        <w:t>对防止、发现、纠正公司在生产经过过程中可能发生的错误和舞弊是有效的，保护了公</w:t>
      </w:r>
      <w:r>
        <w:rPr>
          <w:spacing w:val="-95"/>
        </w:rPr>
        <w:t> </w:t>
      </w:r>
      <w:r>
        <w:rPr>
          <w:spacing w:val="-95"/>
        </w:rPr>
      </w:r>
      <w:r>
        <w:rPr/>
        <w:t>司资产安全和完整，保证了会计记录和会计信息的真实、合法、完整。</w:t>
      </w:r>
    </w:p>
    <w:p>
      <w:pPr>
        <w:pStyle w:val="BodyText"/>
        <w:spacing w:line="357" w:lineRule="auto"/>
        <w:ind w:left="662" w:right="4024" w:hanging="466"/>
        <w:jc w:val="left"/>
      </w:pPr>
      <w:r>
        <w:rPr/>
        <w:t>（五）公司收购、出售资产情况 报告期内，公司没有收购、出售资产的情况。</w:t>
      </w:r>
    </w:p>
    <w:p>
      <w:pPr>
        <w:pStyle w:val="BodyText"/>
        <w:spacing w:line="357" w:lineRule="auto"/>
        <w:ind w:left="662" w:right="220" w:hanging="466"/>
        <w:jc w:val="left"/>
      </w:pPr>
      <w:r>
        <w:rPr/>
        <w:t>（六）关联交易及对外担保情况 </w:t>
      </w:r>
      <w:r>
        <w:rPr>
          <w:spacing w:val="-1"/>
        </w:rPr>
        <w:t>公司监事会认为公司关联交易公平合理，没有损害公司及股东利益的行为。报告期</w:t>
      </w:r>
    </w:p>
    <w:p>
      <w:pPr>
        <w:pStyle w:val="BodyText"/>
        <w:spacing w:line="240" w:lineRule="auto"/>
        <w:ind w:left="197" w:right="279"/>
        <w:jc w:val="left"/>
      </w:pPr>
      <w:r>
        <w:rPr/>
        <w:t>内公司不存在累计或当期对外担保情况。</w:t>
      </w:r>
    </w:p>
    <w:p>
      <w:pPr>
        <w:pStyle w:val="BodyText"/>
        <w:spacing w:line="357" w:lineRule="auto" w:before="154"/>
        <w:ind w:left="677" w:right="289" w:hanging="480"/>
        <w:jc w:val="left"/>
      </w:pPr>
      <w:r>
        <w:rPr/>
        <w:t>（七）公司建立和实施内幕信息知情人管理制度的情况 公司董事会于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12</w:t>
      </w:r>
      <w:r>
        <w:rPr/>
        <w:t>日制定了《内幕信息知情人登记备案制度》和《年报信</w:t>
      </w:r>
    </w:p>
    <w:p>
      <w:pPr>
        <w:pStyle w:val="BodyText"/>
        <w:spacing w:line="357" w:lineRule="auto" w:before="37"/>
        <w:ind w:left="197" w:right="100"/>
        <w:jc w:val="left"/>
      </w:pPr>
      <w:r>
        <w:rPr>
          <w:spacing w:val="-4"/>
        </w:rPr>
        <w:t>息披露重大差错责任追究制度》。经监事会核查，公司对涉及公司的经营、财务或者对</w:t>
      </w:r>
      <w:r>
        <w:rPr>
          <w:spacing w:val="-88"/>
        </w:rPr>
        <w:t> </w:t>
      </w:r>
      <w:r>
        <w:rPr>
          <w:spacing w:val="-88"/>
        </w:rPr>
      </w:r>
      <w:r>
        <w:rPr/>
        <w:t>公司证券市场价格有重大影响的尚未公开的信息，均严格执行了上述制度，公司董事、 监事、高级管理人员及其他内幕信息知情人员在定期报告公告前</w:t>
      </w:r>
      <w:r>
        <w:rPr>
          <w:rFonts w:ascii="宋体" w:hAnsi="宋体" w:cs="宋体" w:eastAsia="宋体" w:hint="default"/>
        </w:rPr>
        <w:t>30</w:t>
      </w:r>
      <w:r>
        <w:rPr/>
        <w:t>日内、业绩预告和业 绩快报公告前</w:t>
      </w:r>
      <w:r>
        <w:rPr>
          <w:rFonts w:ascii="宋体" w:hAnsi="宋体" w:cs="宋体" w:eastAsia="宋体" w:hint="default"/>
        </w:rPr>
        <w:t>10</w:t>
      </w:r>
      <w:r>
        <w:rPr/>
        <w:t>日内以及其他重大事项披露期间等敏感期内没有利用内幕信息买卖本 </w:t>
      </w:r>
      <w:r>
        <w:rPr>
          <w:spacing w:val="-5"/>
        </w:rPr>
        <w:t>公司股票的行为，亦未发生董事、监事及高管本人在六个月内短线买卖公司股票的行为。</w:t>
      </w:r>
    </w:p>
    <w:p>
      <w:pPr>
        <w:spacing w:after="0" w:line="357" w:lineRule="auto"/>
        <w:jc w:val="left"/>
        <w:sectPr>
          <w:pgSz w:w="11910" w:h="16840"/>
          <w:pgMar w:header="876" w:footer="1186" w:top="1100" w:bottom="1380" w:left="1260" w:right="1140"/>
        </w:sectPr>
      </w:pPr>
    </w:p>
    <w:p>
      <w:pPr>
        <w:spacing w:line="240" w:lineRule="auto" w:before="6"/>
        <w:rPr>
          <w:rFonts w:ascii="宋体" w:hAnsi="宋体" w:cs="宋体" w:eastAsia="宋体" w:hint="default"/>
          <w:sz w:val="28"/>
          <w:szCs w:val="28"/>
        </w:rPr>
      </w:pPr>
    </w:p>
    <w:p>
      <w:pPr>
        <w:pStyle w:val="Heading1"/>
        <w:tabs>
          <w:tab w:pos="1615" w:val="left" w:leader="none"/>
        </w:tabs>
        <w:spacing w:line="240" w:lineRule="auto"/>
        <w:ind w:left="7" w:right="0"/>
        <w:jc w:val="center"/>
        <w:rPr>
          <w:b w:val="0"/>
          <w:bCs w:val="0"/>
        </w:rPr>
      </w:pPr>
      <w:bookmarkStart w:name="_TOC_250002" w:id="11"/>
      <w:r>
        <w:rPr>
          <w:w w:val="95"/>
        </w:rPr>
        <w:t>第十一节</w:t>
        <w:tab/>
      </w:r>
      <w:r>
        <w:rPr/>
        <w:t>重要事项</w:t>
      </w:r>
      <w:bookmarkEnd w:id="11"/>
      <w:r>
        <w:rPr>
          <w:b w:val="0"/>
          <w:bCs w:val="0"/>
        </w:rPr>
      </w:r>
    </w:p>
    <w:p>
      <w:pPr>
        <w:spacing w:line="357" w:lineRule="auto" w:before="193"/>
        <w:ind w:left="619" w:right="4467" w:hanging="466"/>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240" w:lineRule="auto" w:before="0"/>
        <w:rPr>
          <w:rFonts w:ascii="宋体" w:hAnsi="宋体" w:cs="宋体" w:eastAsia="宋体" w:hint="default"/>
          <w:sz w:val="24"/>
          <w:szCs w:val="24"/>
        </w:rPr>
      </w:pPr>
    </w:p>
    <w:p>
      <w:pPr>
        <w:spacing w:line="357" w:lineRule="auto" w:before="190"/>
        <w:ind w:left="574" w:right="97" w:hanging="420"/>
        <w:jc w:val="left"/>
        <w:rPr>
          <w:rFonts w:ascii="宋体" w:hAnsi="宋体" w:cs="宋体" w:eastAsia="宋体" w:hint="default"/>
          <w:sz w:val="24"/>
          <w:szCs w:val="24"/>
        </w:rPr>
      </w:pPr>
      <w:r>
        <w:rPr>
          <w:rFonts w:ascii="宋体" w:hAnsi="宋体" w:cs="宋体" w:eastAsia="宋体" w:hint="default"/>
          <w:b/>
          <w:bCs/>
          <w:sz w:val="24"/>
          <w:szCs w:val="24"/>
        </w:rPr>
        <w:t>二、控股股东及关联方非经营性占用资金情况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报告期内，公司未发生控股股东及关联方非经营性占用资金情况。有关关联方占用</w:t>
      </w:r>
    </w:p>
    <w:p>
      <w:pPr>
        <w:pStyle w:val="BodyText"/>
        <w:spacing w:line="357" w:lineRule="auto"/>
        <w:ind w:left="154" w:right="132"/>
        <w:jc w:val="left"/>
      </w:pPr>
      <w:r>
        <w:rPr/>
        <w:t>资金详情参见上海众华沪银会计师事务所有限公司出具的《关于上海海隆软件股份有限</w:t>
      </w:r>
      <w:r>
        <w:rPr>
          <w:spacing w:val="-115"/>
        </w:rPr>
        <w:t> </w:t>
      </w:r>
      <w:r>
        <w:rPr>
          <w:spacing w:val="-115"/>
        </w:rPr>
      </w:r>
      <w:r>
        <w:rPr/>
        <w:t>公司</w:t>
      </w:r>
      <w:r>
        <w:rPr>
          <w:spacing w:val="-58"/>
        </w:rPr>
        <w:t> </w:t>
      </w:r>
      <w:r>
        <w:rPr>
          <w:rFonts w:ascii="宋体" w:hAnsi="宋体" w:cs="宋体" w:eastAsia="宋体" w:hint="default"/>
        </w:rPr>
        <w:t>2011</w:t>
      </w:r>
      <w:r>
        <w:rPr>
          <w:rFonts w:ascii="宋体" w:hAnsi="宋体" w:cs="宋体" w:eastAsia="宋体" w:hint="default"/>
          <w:spacing w:val="-59"/>
        </w:rPr>
        <w:t> </w:t>
      </w:r>
      <w:r>
        <w:rPr>
          <w:spacing w:val="-5"/>
        </w:rPr>
        <w:t>年度控股股东及其他关联方资金占用情况的专项说明》。</w:t>
      </w:r>
    </w:p>
    <w:p>
      <w:pPr>
        <w:pStyle w:val="BodyText"/>
        <w:spacing w:line="357" w:lineRule="auto"/>
        <w:ind w:left="154" w:right="97" w:firstLine="420"/>
        <w:jc w:val="left"/>
      </w:pPr>
      <w:r>
        <w:rPr/>
        <w:t>公司独立董事对公司累计和当期对外担保情况及关联方占用资金情况进行了必要的 了解和核查，形成相关独立董事意见如下：</w:t>
      </w:r>
    </w:p>
    <w:p>
      <w:pPr>
        <w:pStyle w:val="BodyText"/>
        <w:spacing w:line="357" w:lineRule="auto"/>
        <w:ind w:left="574" w:right="125"/>
        <w:jc w:val="left"/>
      </w:pPr>
      <w:r>
        <w:rPr/>
        <w:t>报告期内，公司不存在累计和当期对外担保情况，不存在违规对外担保情况。 关于关联方占用资金情况，</w:t>
      </w:r>
      <w:r>
        <w:rPr>
          <w:rFonts w:ascii="宋体" w:hAnsi="宋体" w:cs="宋体" w:eastAsia="宋体" w:hint="default"/>
        </w:rPr>
        <w:t>2011</w:t>
      </w:r>
      <w:r>
        <w:rPr>
          <w:rFonts w:ascii="宋体" w:hAnsi="宋体" w:cs="宋体" w:eastAsia="宋体" w:hint="default"/>
          <w:spacing w:val="-87"/>
        </w:rPr>
        <w:t> </w:t>
      </w:r>
      <w:r>
        <w:rPr/>
        <w:t>年度公司除与日本欧姆龙株式会社（持股</w:t>
      </w:r>
      <w:r>
        <w:rPr>
          <w:spacing w:val="-86"/>
        </w:rPr>
        <w:t> </w:t>
      </w:r>
      <w:r>
        <w:rPr>
          <w:rFonts w:ascii="宋体" w:hAnsi="宋体" w:cs="宋体" w:eastAsia="宋体" w:hint="default"/>
        </w:rPr>
        <w:t>17.94%</w:t>
      </w:r>
      <w:r>
        <w:rPr/>
        <w:t>的</w:t>
      </w:r>
    </w:p>
    <w:p>
      <w:pPr>
        <w:pStyle w:val="BodyText"/>
        <w:spacing w:line="357" w:lineRule="auto"/>
        <w:ind w:left="154" w:right="143"/>
        <w:jc w:val="both"/>
      </w:pPr>
      <w:r>
        <w:rPr>
          <w:spacing w:val="-6"/>
        </w:rPr>
        <w:t>股东欧姆龙（中国）有限公司的实际控制人）、全资子公司日本海隆株式会社、控股子公</w:t>
      </w:r>
      <w:r>
        <w:rPr/>
        <w:t> 司上海华钟计算机软件开发有限公司、上海海隆宜通信息技术有限公司因正常业务往来</w:t>
      </w:r>
      <w:r>
        <w:rPr>
          <w:spacing w:val="-115"/>
        </w:rPr>
        <w:t> </w:t>
      </w:r>
      <w:r>
        <w:rPr>
          <w:spacing w:val="-115"/>
        </w:rPr>
      </w:r>
      <w:r>
        <w:rPr/>
        <w:t>而发生经营性占用外，不存在公司任何股东、关联方占用公司资金的情况。</w:t>
      </w:r>
    </w:p>
    <w:p>
      <w:pPr>
        <w:spacing w:line="240" w:lineRule="auto" w:before="0"/>
        <w:rPr>
          <w:rFonts w:ascii="宋体" w:hAnsi="宋体" w:cs="宋体" w:eastAsia="宋体" w:hint="default"/>
          <w:sz w:val="24"/>
          <w:szCs w:val="24"/>
        </w:rPr>
      </w:pPr>
    </w:p>
    <w:p>
      <w:pPr>
        <w:spacing w:line="357" w:lineRule="auto" w:before="190"/>
        <w:ind w:left="619" w:right="4707" w:hanging="466"/>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报告期内，公司无破产重整相关事项。</w:t>
      </w:r>
    </w:p>
    <w:p>
      <w:pPr>
        <w:spacing w:line="240" w:lineRule="auto" w:before="0"/>
        <w:rPr>
          <w:rFonts w:ascii="宋体" w:hAnsi="宋体" w:cs="宋体" w:eastAsia="宋体" w:hint="default"/>
          <w:sz w:val="24"/>
          <w:szCs w:val="24"/>
        </w:rPr>
      </w:pPr>
    </w:p>
    <w:p>
      <w:pPr>
        <w:spacing w:line="357" w:lineRule="auto" w:before="190"/>
        <w:ind w:left="634" w:right="132" w:hanging="480"/>
        <w:jc w:val="left"/>
        <w:rPr>
          <w:rFonts w:ascii="宋体" w:hAnsi="宋体" w:cs="宋体" w:eastAsia="宋体" w:hint="default"/>
          <w:sz w:val="24"/>
          <w:szCs w:val="24"/>
        </w:rPr>
      </w:pPr>
      <w:r>
        <w:rPr>
          <w:rFonts w:ascii="宋体" w:hAnsi="宋体" w:cs="宋体" w:eastAsia="宋体" w:hint="default"/>
          <w:b/>
          <w:bCs/>
          <w:sz w:val="24"/>
          <w:szCs w:val="24"/>
        </w:rPr>
        <w:t>四、持有其他上市公司股权、参股金融企业等事项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报告期内，公司未发生持有其他上市公司股权、参股商业银行、证券公司、保险公</w:t>
      </w:r>
    </w:p>
    <w:p>
      <w:pPr>
        <w:pStyle w:val="BodyText"/>
        <w:spacing w:line="240" w:lineRule="auto"/>
        <w:ind w:left="154" w:right="2480"/>
        <w:jc w:val="left"/>
      </w:pPr>
      <w:r>
        <w:rPr/>
        <w:t>司、信托公司和期货公司等金融企业股权事项。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43" w:right="2043" w:hanging="490"/>
        <w:jc w:val="left"/>
        <w:rPr>
          <w:rFonts w:ascii="宋体" w:hAnsi="宋体" w:cs="宋体" w:eastAsia="宋体" w:hint="default"/>
          <w:sz w:val="24"/>
          <w:szCs w:val="24"/>
        </w:rPr>
      </w:pPr>
      <w:r>
        <w:rPr>
          <w:rFonts w:ascii="宋体" w:hAnsi="宋体" w:cs="宋体" w:eastAsia="宋体" w:hint="default"/>
          <w:b/>
          <w:bCs/>
          <w:sz w:val="24"/>
          <w:szCs w:val="24"/>
        </w:rPr>
        <w:t>五、收购及出售资产、企业合并事项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报告期内，公司未发生重大收购及出售资产及企业合并等事项。</w:t>
      </w:r>
    </w:p>
    <w:p>
      <w:pPr>
        <w:spacing w:line="240" w:lineRule="auto" w:before="0"/>
        <w:rPr>
          <w:rFonts w:ascii="宋体" w:hAnsi="宋体" w:cs="宋体" w:eastAsia="宋体" w:hint="default"/>
          <w:sz w:val="24"/>
          <w:szCs w:val="24"/>
        </w:rPr>
      </w:pPr>
    </w:p>
    <w:p>
      <w:pPr>
        <w:pStyle w:val="Heading3"/>
        <w:spacing w:line="240" w:lineRule="auto" w:before="191"/>
        <w:ind w:left="154" w:right="2480"/>
        <w:jc w:val="left"/>
        <w:rPr>
          <w:b w:val="0"/>
          <w:bCs w:val="0"/>
        </w:rPr>
      </w:pPr>
      <w:r>
        <w:rPr/>
        <w:t>六、股权激励</w:t>
      </w:r>
      <w:r>
        <w:rPr>
          <w:b w:val="0"/>
          <w:bCs w:val="0"/>
        </w:rPr>
      </w:r>
    </w:p>
    <w:p>
      <w:pPr>
        <w:pStyle w:val="BodyText"/>
        <w:spacing w:line="240" w:lineRule="auto" w:before="154"/>
        <w:ind w:left="154" w:right="2480"/>
        <w:jc w:val="left"/>
      </w:pPr>
      <w:r>
        <w:rPr/>
        <w:t>（一）实施股权激励计划履行的相关程序及总体情况</w:t>
      </w:r>
    </w:p>
    <w:p>
      <w:pPr>
        <w:pStyle w:val="BodyText"/>
        <w:spacing w:line="240" w:lineRule="auto" w:before="154"/>
        <w:ind w:left="154" w:right="97"/>
        <w:jc w:val="left"/>
      </w:pPr>
      <w:r>
        <w:rPr>
          <w:rFonts w:ascii="宋体" w:hAnsi="宋体" w:cs="宋体" w:eastAsia="宋体" w:hint="default"/>
        </w:rPr>
        <w:t>1</w:t>
      </w:r>
      <w:r>
        <w:rPr>
          <w:spacing w:val="-113"/>
        </w:rPr>
        <w:t>、</w:t>
      </w:r>
      <w:r>
        <w:rPr/>
        <w:t>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日分别召开第四届董事会第九次会议和第四届监事会第七次会</w:t>
      </w:r>
    </w:p>
    <w:p>
      <w:pPr>
        <w:spacing w:after="0" w:line="240" w:lineRule="auto"/>
        <w:jc w:val="left"/>
        <w:sectPr>
          <w:pgSz w:w="11910" w:h="16840"/>
          <w:pgMar w:header="876" w:footer="1186" w:top="1100" w:bottom="1380" w:left="1260" w:right="1220"/>
        </w:sectPr>
      </w:pPr>
    </w:p>
    <w:p>
      <w:pPr>
        <w:spacing w:line="240" w:lineRule="auto" w:before="7"/>
        <w:rPr>
          <w:rFonts w:ascii="宋体" w:hAnsi="宋体" w:cs="宋体" w:eastAsia="宋体" w:hint="default"/>
          <w:sz w:val="25"/>
          <w:szCs w:val="25"/>
        </w:rPr>
      </w:pPr>
    </w:p>
    <w:p>
      <w:pPr>
        <w:pStyle w:val="BodyText"/>
        <w:spacing w:line="357" w:lineRule="auto" w:before="26"/>
        <w:ind w:left="194" w:right="92"/>
        <w:jc w:val="left"/>
      </w:pPr>
      <w:r>
        <w:rPr>
          <w:spacing w:val="-9"/>
        </w:rPr>
        <w:t>议，审议并通过了《上海海隆软件股份有限公司限制性股票激励计划（草案）》及其摘要，</w:t>
      </w:r>
      <w:r>
        <w:rPr>
          <w:spacing w:val="-112"/>
        </w:rPr>
        <w:t> </w:t>
      </w:r>
      <w:r>
        <w:rPr>
          <w:spacing w:val="-112"/>
        </w:rPr>
      </w:r>
      <w:r>
        <w:rPr/>
        <w:t>并向中国证监会上报了申请备案材料。</w:t>
      </w:r>
    </w:p>
    <w:p>
      <w:pPr>
        <w:pStyle w:val="BodyText"/>
        <w:spacing w:line="240" w:lineRule="auto"/>
        <w:ind w:left="194" w:right="92"/>
        <w:jc w:val="left"/>
      </w:pPr>
      <w:r>
        <w:rPr>
          <w:rFonts w:ascii="宋体" w:hAnsi="宋体" w:cs="宋体" w:eastAsia="宋体" w:hint="default"/>
        </w:rPr>
        <w:t>2</w:t>
      </w:r>
      <w:r>
        <w:rPr/>
        <w:t>、经中国监会审核无异议，公司于</w:t>
      </w:r>
      <w:r>
        <w:rPr>
          <w:spacing w:val="-60"/>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日召开公司第四届董事会第十三次</w:t>
      </w:r>
    </w:p>
    <w:p>
      <w:pPr>
        <w:pStyle w:val="BodyText"/>
        <w:spacing w:line="240" w:lineRule="auto" w:before="154"/>
        <w:ind w:left="194" w:right="92"/>
        <w:jc w:val="left"/>
      </w:pPr>
      <w:r>
        <w:rPr/>
        <w:t>会议、审议并通过了《关于召开</w:t>
      </w:r>
      <w:r>
        <w:rPr>
          <w:spacing w:val="-60"/>
        </w:rPr>
        <w:t> </w:t>
      </w:r>
      <w:r>
        <w:rPr>
          <w:rFonts w:ascii="宋体" w:hAnsi="宋体" w:cs="宋体" w:eastAsia="宋体" w:hint="default"/>
        </w:rPr>
        <w:t>2012</w:t>
      </w:r>
      <w:r>
        <w:rPr>
          <w:rFonts w:ascii="宋体" w:hAnsi="宋体" w:cs="宋体" w:eastAsia="宋体" w:hint="default"/>
          <w:spacing w:val="-60"/>
        </w:rPr>
        <w:t> </w:t>
      </w:r>
      <w:r>
        <w:rPr/>
        <w:t>年第一次临时股东大会的议案</w:t>
      </w:r>
      <w:r>
        <w:rPr>
          <w:spacing w:val="-120"/>
        </w:rPr>
        <w:t>》</w:t>
      </w:r>
      <w:r>
        <w:rPr/>
        <w:t>。</w:t>
      </w:r>
    </w:p>
    <w:p>
      <w:pPr>
        <w:pStyle w:val="BodyText"/>
        <w:spacing w:line="357" w:lineRule="auto" w:before="154"/>
        <w:ind w:left="194" w:right="222"/>
        <w:jc w:val="both"/>
      </w:pPr>
      <w:r>
        <w:rPr>
          <w:rFonts w:ascii="宋体" w:hAnsi="宋体" w:cs="宋体" w:eastAsia="宋体" w:hint="default"/>
          <w:spacing w:val="-3"/>
        </w:rPr>
        <w:t>3</w:t>
      </w:r>
      <w:r>
        <w:rPr>
          <w:spacing w:val="-3"/>
        </w:rPr>
        <w:t>、</w:t>
      </w:r>
      <w:r>
        <w:rPr>
          <w:rFonts w:ascii="宋体" w:hAnsi="宋体" w:cs="宋体" w:eastAsia="宋体" w:hint="default"/>
          <w:spacing w:val="-3"/>
        </w:rPr>
        <w:t>2012</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9</w:t>
      </w:r>
      <w:r>
        <w:rPr>
          <w:rFonts w:ascii="宋体" w:hAnsi="宋体" w:cs="宋体" w:eastAsia="宋体" w:hint="default"/>
          <w:spacing w:val="-62"/>
        </w:rPr>
        <w:t> </w:t>
      </w:r>
      <w:r>
        <w:rPr>
          <w:spacing w:val="-4"/>
        </w:rPr>
        <w:t>日，公司召开</w:t>
      </w:r>
      <w:r>
        <w:rPr>
          <w:spacing w:val="-62"/>
        </w:rPr>
        <w:t> </w:t>
      </w:r>
      <w:r>
        <w:rPr>
          <w:rFonts w:ascii="宋体" w:hAnsi="宋体" w:cs="宋体" w:eastAsia="宋体" w:hint="default"/>
        </w:rPr>
        <w:t>2012</w:t>
      </w:r>
      <w:r>
        <w:rPr>
          <w:rFonts w:ascii="宋体" w:hAnsi="宋体" w:cs="宋体" w:eastAsia="宋体" w:hint="default"/>
          <w:spacing w:val="-62"/>
        </w:rPr>
        <w:t> </w:t>
      </w:r>
      <w:r>
        <w:rPr/>
        <w:t>年第一次临时股东大会审议并通过了《上海海隆软 件股份有限公司限制性股票激励计划》以及《关于提请股东大会授权董事会办理公司限</w:t>
      </w:r>
      <w:r>
        <w:rPr>
          <w:spacing w:val="-115"/>
        </w:rPr>
        <w:t> </w:t>
      </w:r>
      <w:r>
        <w:rPr>
          <w:spacing w:val="-115"/>
        </w:rPr>
      </w:r>
      <w:r>
        <w:rPr/>
        <w:t>制性股票激励计划相关事宜的议案》等议案，董事会被授权确定限制性股票授予日、在</w:t>
      </w:r>
      <w:r>
        <w:rPr>
          <w:spacing w:val="-115"/>
        </w:rPr>
        <w:t> </w:t>
      </w:r>
      <w:r>
        <w:rPr>
          <w:spacing w:val="-115"/>
        </w:rPr>
      </w:r>
      <w:r>
        <w:rPr/>
        <w:t>激励对象符合条件时向激励对象授予限制性股票并办理授予限制性股票所必须的全部事</w:t>
      </w:r>
      <w:r>
        <w:rPr>
          <w:spacing w:val="-115"/>
        </w:rPr>
        <w:t> </w:t>
      </w:r>
      <w:r>
        <w:rPr>
          <w:spacing w:val="-115"/>
        </w:rPr>
      </w:r>
      <w:r>
        <w:rPr/>
        <w:t>宜。</w:t>
      </w:r>
    </w:p>
    <w:p>
      <w:pPr>
        <w:pStyle w:val="BodyText"/>
        <w:spacing w:line="357" w:lineRule="auto" w:before="37"/>
        <w:ind w:left="194" w:right="209"/>
        <w:jc w:val="left"/>
      </w:pPr>
      <w:r>
        <w:rPr>
          <w:rFonts w:ascii="宋体" w:hAnsi="宋体" w:cs="宋体" w:eastAsia="宋体" w:hint="default"/>
        </w:rPr>
        <w:t>4</w:t>
      </w:r>
      <w:r>
        <w:rPr/>
        <w:t>、公司于</w:t>
      </w:r>
      <w:r>
        <w:rPr>
          <w:spacing w:val="-61"/>
        </w:rPr>
        <w:t> </w:t>
      </w:r>
      <w:r>
        <w:rPr>
          <w:rFonts w:ascii="宋体" w:hAnsi="宋体" w:cs="宋体" w:eastAsia="宋体" w:hint="default"/>
        </w:rPr>
        <w:t>2012</w:t>
      </w:r>
      <w:r>
        <w:rPr>
          <w:rFonts w:ascii="宋体" w:hAnsi="宋体" w:cs="宋体" w:eastAsia="宋体" w:hint="default"/>
          <w:spacing w:val="-58"/>
        </w:rPr>
        <w:t> </w:t>
      </w:r>
      <w:r>
        <w:rPr/>
        <w:t>年</w:t>
      </w:r>
      <w:r>
        <w:rPr>
          <w:spacing w:val="-60"/>
        </w:rPr>
        <w:t> </w:t>
      </w:r>
      <w:r>
        <w:rPr>
          <w:rFonts w:ascii="宋体" w:hAnsi="宋体" w:cs="宋体" w:eastAsia="宋体" w:hint="default"/>
        </w:rPr>
        <w:t>1</w:t>
      </w:r>
      <w:r>
        <w:rPr>
          <w:rFonts w:ascii="宋体" w:hAnsi="宋体" w:cs="宋体" w:eastAsia="宋体" w:hint="default"/>
          <w:spacing w:val="-58"/>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日分别召开第四届董事会第十四次会议、第四届监事会第九次 </w:t>
      </w:r>
      <w:r>
        <w:rPr>
          <w:spacing w:val="-5"/>
        </w:rPr>
        <w:t>会议，审议并通过了《关于向激励对象授予限制性股票的议案》。</w:t>
      </w:r>
    </w:p>
    <w:p>
      <w:pPr>
        <w:pStyle w:val="BodyText"/>
        <w:spacing w:line="297" w:lineRule="auto"/>
        <w:ind w:left="542" w:right="6224" w:hanging="348"/>
        <w:jc w:val="left"/>
      </w:pPr>
      <w:r>
        <w:rPr>
          <w:rFonts w:ascii="宋体" w:hAnsi="宋体" w:cs="宋体" w:eastAsia="宋体" w:hint="default"/>
        </w:rPr>
        <w:t>5</w:t>
      </w:r>
      <w:r>
        <w:rPr/>
        <w:t>、总体情况： 授予总数：</w:t>
      </w:r>
      <w:r>
        <w:rPr>
          <w:rFonts w:ascii="宋体" w:hAnsi="宋体" w:cs="宋体" w:eastAsia="宋体" w:hint="default"/>
        </w:rPr>
        <w:t>225</w:t>
      </w:r>
      <w:r>
        <w:rPr/>
        <w:t>万股；</w:t>
      </w:r>
    </w:p>
    <w:p>
      <w:pPr>
        <w:pStyle w:val="BodyText"/>
        <w:spacing w:line="357" w:lineRule="auto" w:before="94"/>
        <w:ind w:left="542" w:right="6224"/>
        <w:jc w:val="left"/>
      </w:pPr>
      <w:r>
        <w:rPr/>
        <w:t>首期授予数量：</w:t>
      </w:r>
      <w:r>
        <w:rPr>
          <w:rFonts w:ascii="宋体" w:hAnsi="宋体" w:cs="宋体" w:eastAsia="宋体" w:hint="default"/>
        </w:rPr>
        <w:t>203</w:t>
      </w:r>
      <w:r>
        <w:rPr/>
        <w:t>万股； 首期授予对象：</w:t>
      </w:r>
      <w:r>
        <w:rPr>
          <w:rFonts w:ascii="宋体" w:hAnsi="宋体" w:cs="宋体" w:eastAsia="宋体" w:hint="default"/>
        </w:rPr>
        <w:t>52</w:t>
      </w:r>
      <w:r>
        <w:rPr/>
        <w:t>人 预留股数：</w:t>
      </w:r>
      <w:r>
        <w:rPr>
          <w:rFonts w:ascii="宋体" w:hAnsi="宋体" w:cs="宋体" w:eastAsia="宋体" w:hint="default"/>
        </w:rPr>
        <w:t>22</w:t>
      </w:r>
      <w:r>
        <w:rPr/>
        <w:t>万股；</w:t>
      </w:r>
    </w:p>
    <w:p>
      <w:pPr>
        <w:pStyle w:val="BodyText"/>
        <w:spacing w:line="357" w:lineRule="auto" w:before="34"/>
        <w:ind w:left="542" w:right="215"/>
        <w:jc w:val="left"/>
      </w:pPr>
      <w:r>
        <w:rPr/>
        <w:t>首期授予日：董事会已确定</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日为首期授予日。 首期授予价格：</w:t>
      </w:r>
      <w:r>
        <w:rPr>
          <w:rFonts w:ascii="宋体" w:hAnsi="宋体" w:cs="宋体" w:eastAsia="宋体" w:hint="default"/>
        </w:rPr>
        <w:t>8.95</w:t>
      </w:r>
      <w:r>
        <w:rPr/>
        <w:t>元</w:t>
      </w:r>
      <w:r>
        <w:rPr>
          <w:rFonts w:ascii="宋体" w:hAnsi="宋体" w:cs="宋体" w:eastAsia="宋体" w:hint="default"/>
        </w:rPr>
        <w:t>/</w:t>
      </w:r>
      <w:r>
        <w:rPr/>
        <w:t>股。 </w:t>
      </w:r>
      <w:r>
        <w:rPr>
          <w:spacing w:val="-3"/>
        </w:rPr>
        <w:t>股票来源：激励计划授予激励对象的标的股票来源为海隆软件向激励对象定向发行的</w:t>
      </w:r>
    </w:p>
    <w:p>
      <w:pPr>
        <w:pStyle w:val="BodyText"/>
        <w:spacing w:line="357" w:lineRule="auto"/>
        <w:ind w:left="614" w:right="272" w:hanging="420"/>
        <w:jc w:val="left"/>
      </w:pPr>
      <w:r>
        <w:rPr/>
        <w:t>普通股。首期授予股数占本次发行前公司总股本的</w:t>
      </w:r>
      <w:r>
        <w:rPr>
          <w:rFonts w:ascii="宋体" w:hAnsi="宋体" w:cs="宋体" w:eastAsia="宋体" w:hint="default"/>
        </w:rPr>
        <w:t>1.81%</w:t>
      </w:r>
      <w:r>
        <w:rPr/>
        <w:t>。 激励计划的有效期、锁定期和解锁期： 自首期限制性股票授予日起计算的</w:t>
      </w:r>
      <w:r>
        <w:rPr>
          <w:rFonts w:ascii="宋体" w:hAnsi="宋体" w:cs="宋体" w:eastAsia="宋体" w:hint="default"/>
        </w:rPr>
        <w:t>60</w:t>
      </w:r>
      <w:r>
        <w:rPr/>
        <w:t>个月（包括预留股份在内的全部股份解锁完毕</w:t>
      </w:r>
    </w:p>
    <w:p>
      <w:pPr>
        <w:pStyle w:val="BodyText"/>
        <w:spacing w:line="240" w:lineRule="auto" w:before="34"/>
        <w:ind w:left="194" w:right="92"/>
        <w:jc w:val="left"/>
      </w:pPr>
      <w:r>
        <w:rPr/>
        <w:t>所需的最长期间）与实施授予的限制性股票全部解锁完毕或回购注销完毕之较早者。</w:t>
      </w:r>
    </w:p>
    <w:p>
      <w:pPr>
        <w:pStyle w:val="BodyText"/>
        <w:spacing w:line="355" w:lineRule="auto" w:before="154"/>
        <w:ind w:left="194" w:right="92" w:firstLine="420"/>
        <w:jc w:val="left"/>
      </w:pPr>
      <w:r>
        <w:rPr>
          <w:spacing w:val="-2"/>
        </w:rPr>
        <w:t>（</w:t>
      </w:r>
      <w:r>
        <w:rPr>
          <w:rFonts w:ascii="宋体" w:hAnsi="宋体" w:cs="宋体" w:eastAsia="宋体" w:hint="default"/>
          <w:spacing w:val="-2"/>
        </w:rPr>
        <w:t>1</w:t>
      </w:r>
      <w:r>
        <w:rPr>
          <w:spacing w:val="-2"/>
        </w:rPr>
        <w:t>）自激励对象获授相应限制性股票之日（授予日）起</w:t>
      </w:r>
      <w:r>
        <w:rPr>
          <w:rFonts w:ascii="宋体" w:hAnsi="宋体" w:cs="宋体" w:eastAsia="宋体" w:hint="default"/>
          <w:spacing w:val="-2"/>
        </w:rPr>
        <w:t>12</w:t>
      </w:r>
      <w:r>
        <w:rPr>
          <w:spacing w:val="-2"/>
        </w:rPr>
        <w:t>个月内为锁定期。锁定期</w:t>
      </w:r>
      <w:r>
        <w:rPr/>
        <w:t> 内，激励对象根据本计划获授的限制性股票予以锁定，不得转让。</w:t>
      </w:r>
    </w:p>
    <w:p>
      <w:pPr>
        <w:pStyle w:val="BodyText"/>
        <w:spacing w:line="357" w:lineRule="auto" w:before="39"/>
        <w:ind w:left="194" w:right="95" w:firstLine="420"/>
        <w:jc w:val="left"/>
      </w:pPr>
      <w:r>
        <w:rPr/>
        <w:t>（</w:t>
      </w:r>
      <w:r>
        <w:rPr>
          <w:rFonts w:ascii="宋体" w:hAnsi="宋体" w:cs="宋体" w:eastAsia="宋体" w:hint="default"/>
        </w:rPr>
        <w:t>2</w:t>
      </w:r>
      <w:r>
        <w:rPr/>
        <w:t>）首期授予的限制性股票自授予日满</w:t>
      </w:r>
      <w:r>
        <w:rPr>
          <w:rFonts w:ascii="宋体" w:hAnsi="宋体" w:cs="宋体" w:eastAsia="宋体" w:hint="default"/>
        </w:rPr>
        <w:t>12</w:t>
      </w:r>
      <w:r>
        <w:rPr/>
        <w:t>个月起至</w:t>
      </w:r>
      <w:r>
        <w:rPr>
          <w:rFonts w:ascii="宋体" w:hAnsi="宋体" w:cs="宋体" w:eastAsia="宋体" w:hint="default"/>
        </w:rPr>
        <w:t>48</w:t>
      </w:r>
      <w:r>
        <w:rPr/>
        <w:t>个月为解锁期。在解锁期内若 </w:t>
      </w:r>
      <w:r>
        <w:rPr>
          <w:spacing w:val="-3"/>
        </w:rPr>
        <w:t>达到本计划规定的限制性股票的解锁条件，激励对象可分别在授予日起</w:t>
      </w:r>
      <w:r>
        <w:rPr>
          <w:rFonts w:ascii="宋体" w:hAnsi="宋体" w:cs="宋体" w:eastAsia="宋体" w:hint="default"/>
          <w:spacing w:val="-3"/>
        </w:rPr>
        <w:t>12</w:t>
      </w:r>
      <w:r>
        <w:rPr>
          <w:spacing w:val="-3"/>
        </w:rPr>
        <w:t>个月、</w:t>
      </w:r>
      <w:r>
        <w:rPr>
          <w:rFonts w:ascii="宋体" w:hAnsi="宋体" w:cs="宋体" w:eastAsia="宋体" w:hint="default"/>
          <w:spacing w:val="-3"/>
        </w:rPr>
        <w:t>24</w:t>
      </w:r>
      <w:r>
        <w:rPr>
          <w:spacing w:val="-3"/>
        </w:rPr>
        <w:t>个月、</w:t>
      </w:r>
      <w:r>
        <w:rPr>
          <w:spacing w:val="-110"/>
        </w:rPr>
        <w:t> </w:t>
      </w:r>
      <w:r>
        <w:rPr>
          <w:rFonts w:ascii="宋体" w:hAnsi="宋体" w:cs="宋体" w:eastAsia="宋体" w:hint="default"/>
        </w:rPr>
        <w:t>36</w:t>
      </w:r>
      <w:r>
        <w:rPr/>
        <w:t>个月后分三期申请解锁所获授的限制性股票总量的</w:t>
      </w:r>
      <w:r>
        <w:rPr>
          <w:rFonts w:ascii="宋体" w:hAnsi="宋体" w:cs="宋体" w:eastAsia="宋体" w:hint="default"/>
        </w:rPr>
        <w:t>30%</w:t>
      </w:r>
      <w:r>
        <w:rPr/>
        <w:t>、</w:t>
      </w:r>
      <w:r>
        <w:rPr>
          <w:rFonts w:ascii="宋体" w:hAnsi="宋体" w:cs="宋体" w:eastAsia="宋体" w:hint="default"/>
        </w:rPr>
        <w:t>30%</w:t>
      </w:r>
      <w:r>
        <w:rPr/>
        <w:t>和</w:t>
      </w:r>
      <w:r>
        <w:rPr>
          <w:rFonts w:ascii="宋体" w:hAnsi="宋体" w:cs="宋体" w:eastAsia="宋体" w:hint="default"/>
        </w:rPr>
        <w:t>40%</w:t>
      </w:r>
      <w:r>
        <w:rPr/>
        <w:t>。</w:t>
      </w:r>
    </w:p>
    <w:p>
      <w:pPr>
        <w:spacing w:after="0" w:line="357" w:lineRule="auto"/>
        <w:jc w:val="left"/>
        <w:sectPr>
          <w:pgSz w:w="11910" w:h="16840"/>
          <w:pgMar w:header="876" w:footer="1186" w:top="1100" w:bottom="1380" w:left="1220" w:right="1140"/>
        </w:sectPr>
      </w:pPr>
    </w:p>
    <w:p>
      <w:pPr>
        <w:spacing w:line="240" w:lineRule="auto" w:before="7"/>
        <w:rPr>
          <w:rFonts w:ascii="宋体" w:hAnsi="宋体" w:cs="宋体" w:eastAsia="宋体" w:hint="default"/>
          <w:sz w:val="19"/>
          <w:szCs w:val="19"/>
        </w:rPr>
      </w:pPr>
    </w:p>
    <w:p>
      <w:pPr>
        <w:pStyle w:val="BodyText"/>
        <w:spacing w:line="240" w:lineRule="auto" w:before="26"/>
        <w:ind w:left="614" w:right="279"/>
        <w:jc w:val="left"/>
      </w:pPr>
      <w:r>
        <w:rPr/>
        <w:t>具体如下表所示：</w:t>
      </w:r>
    </w:p>
    <w:p>
      <w:pPr>
        <w:spacing w:line="240" w:lineRule="auto" w:before="11"/>
        <w:rPr>
          <w:rFonts w:ascii="宋体" w:hAnsi="宋体" w:cs="宋体" w:eastAsia="宋体" w:hint="default"/>
          <w:sz w:val="14"/>
          <w:szCs w:val="14"/>
        </w:rPr>
      </w:pPr>
    </w:p>
    <w:tbl>
      <w:tblPr>
        <w:tblW w:w="0" w:type="auto"/>
        <w:jc w:val="left"/>
        <w:tblInd w:w="400" w:type="dxa"/>
        <w:tblLayout w:type="fixed"/>
        <w:tblCellMar>
          <w:top w:w="0" w:type="dxa"/>
          <w:left w:w="0" w:type="dxa"/>
          <w:bottom w:w="0" w:type="dxa"/>
          <w:right w:w="0" w:type="dxa"/>
        </w:tblCellMar>
        <w:tblLook w:val="01E0"/>
      </w:tblPr>
      <w:tblGrid>
        <w:gridCol w:w="2341"/>
        <w:gridCol w:w="4433"/>
        <w:gridCol w:w="2199"/>
      </w:tblGrid>
      <w:tr>
        <w:trPr>
          <w:trHeight w:val="554" w:hRule="exact"/>
        </w:trPr>
        <w:tc>
          <w:tcPr>
            <w:tcW w:w="23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531"/>
              <w:jc w:val="right"/>
              <w:rPr>
                <w:rFonts w:ascii="宋体" w:hAnsi="宋体" w:cs="宋体" w:eastAsia="宋体" w:hint="default"/>
                <w:sz w:val="21"/>
                <w:szCs w:val="21"/>
              </w:rPr>
            </w:pPr>
            <w:r>
              <w:rPr>
                <w:rFonts w:ascii="宋体" w:hAnsi="宋体" w:cs="宋体" w:eastAsia="宋体" w:hint="default"/>
                <w:sz w:val="21"/>
                <w:szCs w:val="21"/>
              </w:rPr>
              <w:t>解 锁</w:t>
            </w:r>
            <w:r>
              <w:rPr>
                <w:rFonts w:ascii="宋体" w:hAnsi="宋体" w:cs="宋体" w:eastAsia="宋体" w:hint="default"/>
                <w:spacing w:val="1"/>
                <w:sz w:val="21"/>
                <w:szCs w:val="21"/>
              </w:rPr>
              <w:t> </w:t>
            </w:r>
            <w:r>
              <w:rPr>
                <w:rFonts w:ascii="宋体" w:hAnsi="宋体" w:cs="宋体" w:eastAsia="宋体" w:hint="default"/>
                <w:sz w:val="21"/>
                <w:szCs w:val="21"/>
              </w:rPr>
              <w:t>期</w:t>
            </w:r>
          </w:p>
        </w:tc>
        <w:tc>
          <w:tcPr>
            <w:tcW w:w="4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264" w:right="0"/>
              <w:jc w:val="left"/>
              <w:rPr>
                <w:rFonts w:ascii="宋体" w:hAnsi="宋体" w:cs="宋体" w:eastAsia="宋体" w:hint="default"/>
                <w:sz w:val="21"/>
                <w:szCs w:val="21"/>
              </w:rPr>
            </w:pPr>
            <w:r>
              <w:rPr>
                <w:rFonts w:ascii="宋体" w:hAnsi="宋体" w:cs="宋体" w:eastAsia="宋体" w:hint="default"/>
                <w:sz w:val="21"/>
                <w:szCs w:val="21"/>
              </w:rPr>
              <w:t>解 锁 时 间</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56" w:right="0" w:hanging="70"/>
              <w:jc w:val="left"/>
              <w:rPr>
                <w:rFonts w:ascii="宋体" w:hAnsi="宋体" w:cs="宋体" w:eastAsia="宋体" w:hint="default"/>
                <w:sz w:val="21"/>
                <w:szCs w:val="21"/>
              </w:rPr>
            </w:pPr>
            <w:r>
              <w:rPr>
                <w:rFonts w:ascii="宋体" w:hAnsi="宋体" w:cs="宋体" w:eastAsia="宋体" w:hint="default"/>
                <w:sz w:val="21"/>
                <w:szCs w:val="21"/>
              </w:rPr>
              <w:t>可解锁限制性股票数</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量占获授总数比例</w:t>
            </w:r>
          </w:p>
        </w:tc>
      </w:tr>
      <w:tr>
        <w:trPr>
          <w:trHeight w:val="28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1"/>
              <w:jc w:val="right"/>
              <w:rPr>
                <w:rFonts w:ascii="宋体" w:hAnsi="宋体" w:cs="宋体" w:eastAsia="宋体" w:hint="default"/>
                <w:sz w:val="21"/>
                <w:szCs w:val="21"/>
              </w:rPr>
            </w:pPr>
            <w:r>
              <w:rPr>
                <w:rFonts w:ascii="宋体" w:hAnsi="宋体" w:cs="宋体" w:eastAsia="宋体" w:hint="default"/>
                <w:spacing w:val="-1"/>
                <w:sz w:val="21"/>
                <w:szCs w:val="21"/>
              </w:rPr>
              <w:t>第一次解锁期</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12</w:t>
            </w:r>
            <w:r>
              <w:rPr>
                <w:rFonts w:ascii="宋体" w:hAnsi="宋体" w:cs="宋体" w:eastAsia="宋体" w:hint="default"/>
                <w:sz w:val="21"/>
                <w:szCs w:val="21"/>
              </w:rPr>
              <w:t>个月后的首个交易日起</w:t>
            </w:r>
            <w:r>
              <w:rPr>
                <w:rFonts w:ascii="宋体" w:hAnsi="宋体" w:cs="宋体" w:eastAsia="宋体" w:hint="default"/>
                <w:sz w:val="21"/>
                <w:szCs w:val="21"/>
              </w:rPr>
              <w:t>12</w:t>
            </w:r>
            <w:r>
              <w:rPr>
                <w:rFonts w:ascii="宋体" w:hAnsi="宋体" w:cs="宋体" w:eastAsia="宋体" w:hint="default"/>
                <w:sz w:val="21"/>
                <w:szCs w:val="21"/>
              </w:rPr>
              <w:t>个月</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z w:val="21"/>
              </w:rPr>
              <w:t>30%</w:t>
            </w: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1"/>
              <w:jc w:val="right"/>
              <w:rPr>
                <w:rFonts w:ascii="宋体" w:hAnsi="宋体" w:cs="宋体" w:eastAsia="宋体" w:hint="default"/>
                <w:sz w:val="21"/>
                <w:szCs w:val="21"/>
              </w:rPr>
            </w:pPr>
            <w:r>
              <w:rPr>
                <w:rFonts w:ascii="宋体" w:hAnsi="宋体" w:cs="宋体" w:eastAsia="宋体" w:hint="default"/>
                <w:spacing w:val="-1"/>
                <w:sz w:val="21"/>
                <w:szCs w:val="21"/>
              </w:rPr>
              <w:t>第二次解锁期</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24</w:t>
            </w:r>
            <w:r>
              <w:rPr>
                <w:rFonts w:ascii="宋体" w:hAnsi="宋体" w:cs="宋体" w:eastAsia="宋体" w:hint="default"/>
                <w:sz w:val="21"/>
                <w:szCs w:val="21"/>
              </w:rPr>
              <w:t>个月后的首个交易日起</w:t>
            </w:r>
            <w:r>
              <w:rPr>
                <w:rFonts w:ascii="宋体" w:hAnsi="宋体" w:cs="宋体" w:eastAsia="宋体" w:hint="default"/>
                <w:sz w:val="21"/>
                <w:szCs w:val="21"/>
              </w:rPr>
              <w:t>12</w:t>
            </w:r>
            <w:r>
              <w:rPr>
                <w:rFonts w:ascii="宋体" w:hAnsi="宋体" w:cs="宋体" w:eastAsia="宋体" w:hint="default"/>
                <w:sz w:val="21"/>
                <w:szCs w:val="21"/>
              </w:rPr>
              <w:t>个月</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z w:val="21"/>
              </w:rPr>
              <w:t>30%</w:t>
            </w: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1"/>
              <w:jc w:val="right"/>
              <w:rPr>
                <w:rFonts w:ascii="宋体" w:hAnsi="宋体" w:cs="宋体" w:eastAsia="宋体" w:hint="default"/>
                <w:sz w:val="21"/>
                <w:szCs w:val="21"/>
              </w:rPr>
            </w:pPr>
            <w:r>
              <w:rPr>
                <w:rFonts w:ascii="宋体" w:hAnsi="宋体" w:cs="宋体" w:eastAsia="宋体" w:hint="default"/>
                <w:spacing w:val="-1"/>
                <w:sz w:val="21"/>
                <w:szCs w:val="21"/>
              </w:rPr>
              <w:t>第三次解锁期</w:t>
            </w:r>
          </w:p>
        </w:tc>
        <w:tc>
          <w:tcPr>
            <w:tcW w:w="4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36</w:t>
            </w:r>
            <w:r>
              <w:rPr>
                <w:rFonts w:ascii="宋体" w:hAnsi="宋体" w:cs="宋体" w:eastAsia="宋体" w:hint="default"/>
                <w:sz w:val="21"/>
                <w:szCs w:val="21"/>
              </w:rPr>
              <w:t>个月后的首个交易日起</w:t>
            </w:r>
            <w:r>
              <w:rPr>
                <w:rFonts w:ascii="宋体" w:hAnsi="宋体" w:cs="宋体" w:eastAsia="宋体" w:hint="default"/>
                <w:sz w:val="21"/>
                <w:szCs w:val="21"/>
              </w:rPr>
              <w:t>12</w:t>
            </w:r>
            <w:r>
              <w:rPr>
                <w:rFonts w:ascii="宋体" w:hAnsi="宋体" w:cs="宋体" w:eastAsia="宋体" w:hint="default"/>
                <w:sz w:val="21"/>
                <w:szCs w:val="21"/>
              </w:rPr>
              <w:t>个月</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0"/>
              <w:jc w:val="right"/>
              <w:rPr>
                <w:rFonts w:ascii="宋体" w:hAnsi="宋体" w:cs="宋体" w:eastAsia="宋体" w:hint="default"/>
                <w:sz w:val="21"/>
                <w:szCs w:val="21"/>
              </w:rPr>
            </w:pPr>
            <w:r>
              <w:rPr>
                <w:rFonts w:ascii="宋体"/>
                <w:sz w:val="21"/>
              </w:rPr>
              <w:t>40%</w:t>
            </w:r>
          </w:p>
        </w:tc>
      </w:tr>
    </w:tbl>
    <w:p>
      <w:pPr>
        <w:spacing w:line="240" w:lineRule="auto" w:before="0"/>
        <w:rPr>
          <w:rFonts w:ascii="宋体" w:hAnsi="宋体" w:cs="宋体" w:eastAsia="宋体" w:hint="default"/>
          <w:sz w:val="20"/>
          <w:szCs w:val="20"/>
        </w:rPr>
      </w:pPr>
    </w:p>
    <w:p>
      <w:pPr>
        <w:pStyle w:val="BodyText"/>
        <w:spacing w:line="357" w:lineRule="auto" w:before="163"/>
        <w:ind w:left="614" w:right="100" w:hanging="420"/>
        <w:jc w:val="left"/>
      </w:pPr>
      <w:r>
        <w:rPr/>
        <w:t>（二）股权激励股份购买情况 </w:t>
      </w:r>
      <w:r>
        <w:rPr>
          <w:spacing w:val="-2"/>
        </w:rPr>
        <w:t>本次激励对象以每股</w:t>
      </w:r>
      <w:r>
        <w:rPr>
          <w:rFonts w:ascii="宋体" w:hAnsi="宋体" w:cs="宋体" w:eastAsia="宋体" w:hint="default"/>
          <w:spacing w:val="-2"/>
        </w:rPr>
        <w:t>8.95</w:t>
      </w:r>
      <w:r>
        <w:rPr>
          <w:spacing w:val="-2"/>
        </w:rPr>
        <w:t>元的价格购买了公司共计</w:t>
      </w:r>
      <w:r>
        <w:rPr>
          <w:rFonts w:ascii="宋体" w:hAnsi="宋体" w:cs="宋体" w:eastAsia="宋体" w:hint="default"/>
          <w:spacing w:val="-2"/>
        </w:rPr>
        <w:t>203</w:t>
      </w:r>
      <w:r>
        <w:rPr>
          <w:spacing w:val="-2"/>
        </w:rPr>
        <w:t>万股限制性股票，预留</w:t>
      </w:r>
      <w:r>
        <w:rPr>
          <w:rFonts w:ascii="宋体" w:hAnsi="宋体" w:cs="宋体" w:eastAsia="宋体" w:hint="default"/>
          <w:spacing w:val="-2"/>
        </w:rPr>
        <w:t>22</w:t>
      </w:r>
      <w:r>
        <w:rPr>
          <w:spacing w:val="-2"/>
        </w:rPr>
        <w:t>万股</w:t>
      </w:r>
    </w:p>
    <w:p>
      <w:pPr>
        <w:pStyle w:val="BodyText"/>
        <w:spacing w:line="357" w:lineRule="auto" w:before="34"/>
        <w:ind w:left="614" w:right="1372" w:hanging="420"/>
        <w:jc w:val="left"/>
      </w:pPr>
      <w:r>
        <w:rPr/>
        <w:t>限制性股票。本次授予完成后，公司股本从</w:t>
      </w:r>
      <w:r>
        <w:rPr>
          <w:rFonts w:ascii="宋体" w:hAnsi="宋体" w:cs="宋体" w:eastAsia="宋体" w:hint="default"/>
        </w:rPr>
        <w:t>11,193</w:t>
      </w:r>
      <w:r>
        <w:rPr/>
        <w:t>万股变更为</w:t>
      </w:r>
      <w:r>
        <w:rPr>
          <w:rFonts w:ascii="宋体" w:hAnsi="宋体" w:cs="宋体" w:eastAsia="宋体" w:hint="default"/>
        </w:rPr>
        <w:t>11,396</w:t>
      </w:r>
      <w:r>
        <w:rPr/>
        <w:t>万股。 激励对象授予数量及实际认购数量情况：</w:t>
      </w:r>
    </w:p>
    <w:p>
      <w:pPr>
        <w:spacing w:line="240" w:lineRule="auto" w:before="10"/>
        <w:rPr>
          <w:rFonts w:ascii="宋体" w:hAnsi="宋体" w:cs="宋体" w:eastAsia="宋体" w:hint="default"/>
          <w:sz w:val="5"/>
          <w:szCs w:val="5"/>
        </w:rPr>
      </w:pPr>
    </w:p>
    <w:tbl>
      <w:tblPr>
        <w:tblW w:w="0" w:type="auto"/>
        <w:jc w:val="left"/>
        <w:tblInd w:w="470" w:type="dxa"/>
        <w:tblLayout w:type="fixed"/>
        <w:tblCellMar>
          <w:top w:w="0" w:type="dxa"/>
          <w:left w:w="0" w:type="dxa"/>
          <w:bottom w:w="0" w:type="dxa"/>
          <w:right w:w="0" w:type="dxa"/>
        </w:tblCellMar>
        <w:tblLook w:val="01E0"/>
      </w:tblPr>
      <w:tblGrid>
        <w:gridCol w:w="1106"/>
        <w:gridCol w:w="1093"/>
        <w:gridCol w:w="1315"/>
        <w:gridCol w:w="2518"/>
        <w:gridCol w:w="2857"/>
      </w:tblGrid>
      <w:tr>
        <w:trPr>
          <w:trHeight w:val="556" w:hRule="exact"/>
        </w:trPr>
        <w:tc>
          <w:tcPr>
            <w:tcW w:w="1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3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授予的限制性股票数量</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（万股）</w:t>
            </w:r>
          </w:p>
        </w:tc>
        <w:tc>
          <w:tcPr>
            <w:tcW w:w="2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实际认购的限制性股票数量</w:t>
            </w:r>
          </w:p>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（万股）</w:t>
            </w: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许俊峰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6"/>
              <w:jc w:val="right"/>
              <w:rPr>
                <w:rFonts w:ascii="宋体" w:hAnsi="宋体" w:cs="宋体" w:eastAsia="宋体" w:hint="default"/>
                <w:sz w:val="21"/>
                <w:szCs w:val="21"/>
              </w:rPr>
            </w:pPr>
            <w:r>
              <w:rPr>
                <w:rFonts w:ascii="宋体"/>
                <w:sz w:val="21"/>
              </w:rPr>
              <w:t>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4"/>
              <w:jc w:val="right"/>
              <w:rPr>
                <w:rFonts w:ascii="宋体" w:hAnsi="宋体" w:cs="宋体" w:eastAsia="宋体" w:hint="default"/>
                <w:sz w:val="21"/>
                <w:szCs w:val="21"/>
              </w:rPr>
            </w:pPr>
            <w:r>
              <w:rPr>
                <w:rFonts w:ascii="宋体"/>
                <w:sz w:val="21"/>
              </w:rPr>
              <w:t>13</w:t>
            </w:r>
          </w:p>
        </w:tc>
      </w:tr>
      <w:tr>
        <w:trPr>
          <w:trHeight w:val="283"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6"/>
              <w:jc w:val="right"/>
              <w:rPr>
                <w:rFonts w:ascii="宋体" w:hAnsi="宋体" w:cs="宋体" w:eastAsia="宋体" w:hint="default"/>
                <w:sz w:val="21"/>
                <w:szCs w:val="21"/>
              </w:rPr>
            </w:pPr>
            <w:r>
              <w:rPr>
                <w:rFonts w:ascii="宋体"/>
                <w:sz w:val="21"/>
              </w:rPr>
              <w:t>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4"/>
              <w:jc w:val="right"/>
              <w:rPr>
                <w:rFonts w:ascii="宋体" w:hAnsi="宋体" w:cs="宋体" w:eastAsia="宋体" w:hint="default"/>
                <w:sz w:val="21"/>
                <w:szCs w:val="21"/>
              </w:rPr>
            </w:pPr>
            <w:r>
              <w:rPr>
                <w:rFonts w:ascii="宋体"/>
                <w:sz w:val="21"/>
              </w:rPr>
              <w:t>13</w:t>
            </w:r>
          </w:p>
        </w:tc>
      </w:tr>
      <w:tr>
        <w:trPr>
          <w:trHeight w:val="281" w:hRule="exact"/>
        </w:trPr>
        <w:tc>
          <w:tcPr>
            <w:tcW w:w="3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业务、技术骨干（</w:t>
            </w:r>
            <w:r>
              <w:rPr>
                <w:rFonts w:ascii="宋体" w:hAnsi="宋体" w:cs="宋体" w:eastAsia="宋体" w:hint="default"/>
                <w:sz w:val="21"/>
                <w:szCs w:val="21"/>
              </w:rPr>
              <w:t>50</w:t>
            </w:r>
            <w:r>
              <w:rPr>
                <w:rFonts w:ascii="宋体" w:hAnsi="宋体" w:cs="宋体" w:eastAsia="宋体" w:hint="default"/>
                <w:sz w:val="21"/>
                <w:szCs w:val="21"/>
              </w:rPr>
              <w:t>人）</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81"/>
              <w:jc w:val="right"/>
              <w:rPr>
                <w:rFonts w:ascii="宋体" w:hAnsi="宋体" w:cs="宋体" w:eastAsia="宋体" w:hint="default"/>
                <w:sz w:val="21"/>
                <w:szCs w:val="21"/>
              </w:rPr>
            </w:pPr>
            <w:r>
              <w:rPr>
                <w:rFonts w:ascii="宋体"/>
                <w:sz w:val="21"/>
              </w:rPr>
              <w:t>177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9"/>
              <w:jc w:val="right"/>
              <w:rPr>
                <w:rFonts w:ascii="宋体" w:hAnsi="宋体" w:cs="宋体" w:eastAsia="宋体" w:hint="default"/>
                <w:sz w:val="21"/>
                <w:szCs w:val="21"/>
              </w:rPr>
            </w:pPr>
            <w:r>
              <w:rPr>
                <w:rFonts w:ascii="宋体"/>
                <w:sz w:val="21"/>
              </w:rPr>
              <w:t>177</w:t>
            </w:r>
          </w:p>
        </w:tc>
      </w:tr>
      <w:tr>
        <w:trPr>
          <w:trHeight w:val="283" w:hRule="exact"/>
        </w:trPr>
        <w:tc>
          <w:tcPr>
            <w:tcW w:w="35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52</w:t>
            </w:r>
            <w:r>
              <w:rPr>
                <w:rFonts w:ascii="宋体" w:hAnsi="宋体" w:cs="宋体" w:eastAsia="宋体" w:hint="default"/>
                <w:sz w:val="21"/>
                <w:szCs w:val="21"/>
              </w:rPr>
              <w:t>人）</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81"/>
              <w:jc w:val="right"/>
              <w:rPr>
                <w:rFonts w:ascii="宋体" w:hAnsi="宋体" w:cs="宋体" w:eastAsia="宋体" w:hint="default"/>
                <w:sz w:val="21"/>
                <w:szCs w:val="21"/>
              </w:rPr>
            </w:pPr>
            <w:r>
              <w:rPr>
                <w:rFonts w:ascii="宋体"/>
                <w:sz w:val="21"/>
              </w:rPr>
              <w:t>203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9"/>
              <w:jc w:val="right"/>
              <w:rPr>
                <w:rFonts w:ascii="宋体" w:hAnsi="宋体" w:cs="宋体" w:eastAsia="宋体" w:hint="default"/>
                <w:sz w:val="21"/>
                <w:szCs w:val="21"/>
              </w:rPr>
            </w:pPr>
            <w:r>
              <w:rPr>
                <w:rFonts w:ascii="宋体"/>
                <w:sz w:val="21"/>
              </w:rPr>
              <w:t>203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614" w:right="2512" w:hanging="420"/>
        <w:jc w:val="left"/>
      </w:pPr>
      <w:r>
        <w:rPr/>
        <w:t>（三）对股权激励对象的考核情况 经董事会审核，所有激励对象未发生以下任一情形： </w:t>
      </w:r>
      <w:r>
        <w:rPr>
          <w:rFonts w:ascii="宋体" w:hAnsi="宋体" w:cs="宋体" w:eastAsia="宋体" w:hint="default"/>
        </w:rPr>
        <w:t>1</w:t>
      </w:r>
      <w:r>
        <w:rPr/>
        <w:t>、最近三年内被证券交易所公开谴责或宣布为不适当人员；</w:t>
      </w:r>
    </w:p>
    <w:p>
      <w:pPr>
        <w:pStyle w:val="BodyText"/>
        <w:spacing w:line="240" w:lineRule="auto"/>
        <w:ind w:left="614" w:right="279"/>
        <w:jc w:val="left"/>
      </w:pPr>
      <w:r>
        <w:rPr>
          <w:rFonts w:ascii="宋体" w:hAnsi="宋体" w:cs="宋体" w:eastAsia="宋体" w:hint="default"/>
        </w:rPr>
        <w:t>2</w:t>
      </w:r>
      <w:r>
        <w:rPr/>
        <w:t>、最近三年内因重大违法违规行为被中国证监会予以行政处罚；</w:t>
      </w:r>
    </w:p>
    <w:p>
      <w:pPr>
        <w:pStyle w:val="BodyText"/>
        <w:spacing w:line="240" w:lineRule="auto" w:before="154"/>
        <w:ind w:left="614" w:right="279"/>
        <w:jc w:val="left"/>
      </w:pPr>
      <w:r>
        <w:rPr>
          <w:rFonts w:ascii="宋体" w:hAnsi="宋体" w:cs="宋体" w:eastAsia="宋体" w:hint="default"/>
        </w:rPr>
        <w:t>3</w:t>
      </w:r>
      <w:r>
        <w:rPr/>
        <w:t>、具有《公司法》规定的不得担任公司高级管理人员的情形；</w:t>
      </w:r>
    </w:p>
    <w:p>
      <w:pPr>
        <w:pStyle w:val="BodyText"/>
        <w:spacing w:line="357" w:lineRule="auto" w:before="154"/>
        <w:ind w:left="614" w:right="268"/>
        <w:jc w:val="left"/>
      </w:pPr>
      <w:r>
        <w:rPr>
          <w:rFonts w:ascii="宋体" w:hAnsi="宋体" w:cs="宋体" w:eastAsia="宋体" w:hint="default"/>
        </w:rPr>
        <w:t>4</w:t>
      </w:r>
      <w:r>
        <w:rPr/>
        <w:t>、公司董事会认定的其他严重违反公司有关规定的情形。 </w:t>
      </w:r>
      <w:r>
        <w:rPr>
          <w:spacing w:val="-1"/>
        </w:rPr>
        <w:t>同时，根据公司《上海海隆软件股份有限公司限制性股票激励计划实施考核管理办</w:t>
      </w:r>
    </w:p>
    <w:p>
      <w:pPr>
        <w:pStyle w:val="BodyText"/>
        <w:spacing w:line="357" w:lineRule="auto"/>
        <w:ind w:left="194" w:right="278"/>
        <w:jc w:val="both"/>
      </w:pPr>
      <w:r>
        <w:rPr>
          <w:spacing w:val="-3"/>
        </w:rPr>
        <w:t>法》的规定，公司董事会薪酬与考核委员会对公司全体激励对象上一年度工作绩效进行</w:t>
      </w:r>
      <w:r>
        <w:rPr>
          <w:spacing w:val="-95"/>
        </w:rPr>
        <w:t> </w:t>
      </w:r>
      <w:r>
        <w:rPr>
          <w:spacing w:val="-95"/>
        </w:rPr>
      </w:r>
      <w:r>
        <w:rPr>
          <w:spacing w:val="-3"/>
        </w:rPr>
        <w:t>了全面系统的考核，确认公司所有激励对象个人绩效考核均达到合格标准，符合限制性</w:t>
      </w:r>
      <w:r>
        <w:rPr>
          <w:spacing w:val="-98"/>
        </w:rPr>
        <w:t> </w:t>
      </w:r>
      <w:r>
        <w:rPr>
          <w:spacing w:val="-98"/>
        </w:rPr>
      </w:r>
      <w:r>
        <w:rPr/>
        <w:t>股票的授予条件。</w:t>
      </w:r>
    </w:p>
    <w:p>
      <w:pPr>
        <w:spacing w:line="240" w:lineRule="auto" w:before="0"/>
        <w:rPr>
          <w:rFonts w:ascii="宋体" w:hAnsi="宋体" w:cs="宋体" w:eastAsia="宋体" w:hint="default"/>
          <w:sz w:val="24"/>
          <w:szCs w:val="24"/>
        </w:rPr>
      </w:pPr>
    </w:p>
    <w:p>
      <w:pPr>
        <w:pStyle w:val="BodyText"/>
        <w:spacing w:line="357" w:lineRule="auto" w:before="191"/>
        <w:ind w:left="614" w:right="4252" w:hanging="420"/>
        <w:jc w:val="left"/>
      </w:pPr>
      <w:r>
        <w:rPr/>
        <w:t>（四）对激励对象范围的调整情况及履行的程序 公司未发生激励对象范围的调整情况。</w:t>
      </w:r>
    </w:p>
    <w:p>
      <w:pPr>
        <w:spacing w:line="240" w:lineRule="auto" w:before="0"/>
        <w:rPr>
          <w:rFonts w:ascii="宋体" w:hAnsi="宋体" w:cs="宋体" w:eastAsia="宋体" w:hint="default"/>
          <w:sz w:val="24"/>
          <w:szCs w:val="24"/>
        </w:rPr>
      </w:pPr>
    </w:p>
    <w:p>
      <w:pPr>
        <w:pStyle w:val="BodyText"/>
        <w:spacing w:line="357" w:lineRule="auto" w:before="190"/>
        <w:ind w:left="614" w:right="1912" w:hanging="420"/>
        <w:jc w:val="left"/>
      </w:pPr>
      <w:r>
        <w:rPr/>
        <w:t>（五）股权激励股份授予数量及解除锁定情况 公司本次授予激励对象共</w:t>
      </w:r>
      <w:r>
        <w:rPr>
          <w:spacing w:val="-60"/>
        </w:rPr>
        <w:t> </w:t>
      </w:r>
      <w:r>
        <w:rPr>
          <w:rFonts w:ascii="宋体" w:hAnsi="宋体" w:cs="宋体" w:eastAsia="宋体" w:hint="default"/>
        </w:rPr>
        <w:t>203</w:t>
      </w:r>
      <w:r>
        <w:rPr>
          <w:rFonts w:ascii="宋体" w:hAnsi="宋体" w:cs="宋体" w:eastAsia="宋体" w:hint="default"/>
          <w:spacing w:val="-60"/>
        </w:rPr>
        <w:t> </w:t>
      </w:r>
      <w:r>
        <w:rPr/>
        <w:t>万股限制性股票，目前全部锁定中。</w:t>
      </w:r>
    </w:p>
    <w:p>
      <w:pPr>
        <w:spacing w:after="0" w:line="357" w:lineRule="auto"/>
        <w:jc w:val="left"/>
        <w:sectPr>
          <w:pgSz w:w="11910" w:h="16840"/>
          <w:pgMar w:header="876" w:footer="1186" w:top="1100" w:bottom="1380" w:left="1220" w:right="1180"/>
        </w:sectPr>
      </w:pPr>
    </w:p>
    <w:p>
      <w:pPr>
        <w:spacing w:line="240" w:lineRule="auto" w:before="7"/>
        <w:rPr>
          <w:rFonts w:ascii="宋体" w:hAnsi="宋体" w:cs="宋体" w:eastAsia="宋体" w:hint="default"/>
          <w:sz w:val="25"/>
          <w:szCs w:val="25"/>
        </w:rPr>
      </w:pPr>
    </w:p>
    <w:p>
      <w:pPr>
        <w:pStyle w:val="BodyText"/>
        <w:spacing w:line="240" w:lineRule="auto" w:before="26"/>
        <w:ind w:left="194" w:right="92"/>
        <w:jc w:val="left"/>
      </w:pPr>
      <w:r>
        <w:rPr/>
        <w:t>（六）实施股权激励计划对公司本报告期及以后各年度的影响</w:t>
      </w:r>
    </w:p>
    <w:p>
      <w:pPr>
        <w:pStyle w:val="BodyText"/>
        <w:spacing w:line="357" w:lineRule="auto" w:before="154"/>
        <w:ind w:left="194" w:right="207" w:firstLine="480"/>
        <w:jc w:val="left"/>
      </w:pPr>
      <w:r>
        <w:rPr/>
        <w:t>公司</w:t>
      </w:r>
      <w:r>
        <w:rPr>
          <w:spacing w:val="-51"/>
        </w:rPr>
        <w:t> </w:t>
      </w:r>
      <w:r>
        <w:rPr>
          <w:rFonts w:ascii="宋体" w:hAnsi="宋体" w:cs="宋体" w:eastAsia="宋体" w:hint="default"/>
        </w:rPr>
        <w:t>3</w:t>
      </w:r>
      <w:r>
        <w:rPr>
          <w:rFonts w:ascii="宋体" w:hAnsi="宋体" w:cs="宋体" w:eastAsia="宋体" w:hint="default"/>
          <w:spacing w:val="-51"/>
        </w:rPr>
        <w:t> </w:t>
      </w:r>
      <w:r>
        <w:rPr/>
        <w:t>年限制性股票激励成本合计为</w:t>
      </w:r>
      <w:r>
        <w:rPr>
          <w:spacing w:val="-50"/>
        </w:rPr>
        <w:t> </w:t>
      </w:r>
      <w:r>
        <w:rPr>
          <w:rFonts w:ascii="宋体" w:hAnsi="宋体" w:cs="宋体" w:eastAsia="宋体" w:hint="default"/>
        </w:rPr>
        <w:t>1299.2</w:t>
      </w:r>
      <w:r>
        <w:rPr>
          <w:rFonts w:ascii="宋体" w:hAnsi="宋体" w:cs="宋体" w:eastAsia="宋体" w:hint="default"/>
          <w:spacing w:val="-50"/>
        </w:rPr>
        <w:t> </w:t>
      </w:r>
      <w:r>
        <w:rPr/>
        <w:t>万元，则</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rFonts w:ascii="宋体" w:hAnsi="宋体" w:cs="宋体" w:eastAsia="宋体" w:hint="default"/>
        </w:rPr>
        <w:t>-2013</w:t>
      </w:r>
      <w:r>
        <w:rPr>
          <w:rFonts w:ascii="宋体" w:hAnsi="宋体" w:cs="宋体" w:eastAsia="宋体" w:hint="default"/>
          <w:spacing w:val="-51"/>
        </w:rPr>
        <w:t> </w:t>
      </w:r>
      <w:r>
        <w:rPr/>
        <w:t>年限制性股票 成本摊销情况见下表：</w:t>
      </w:r>
    </w:p>
    <w:tbl>
      <w:tblPr>
        <w:tblW w:w="0" w:type="auto"/>
        <w:jc w:val="left"/>
        <w:tblInd w:w="136" w:type="dxa"/>
        <w:tblLayout w:type="fixed"/>
        <w:tblCellMar>
          <w:top w:w="0" w:type="dxa"/>
          <w:left w:w="0" w:type="dxa"/>
          <w:bottom w:w="0" w:type="dxa"/>
          <w:right w:w="0" w:type="dxa"/>
        </w:tblCellMar>
        <w:tblLook w:val="01E0"/>
      </w:tblPr>
      <w:tblGrid>
        <w:gridCol w:w="2631"/>
        <w:gridCol w:w="1702"/>
        <w:gridCol w:w="1599"/>
        <w:gridCol w:w="1640"/>
        <w:gridCol w:w="1663"/>
      </w:tblGrid>
      <w:tr>
        <w:trPr>
          <w:trHeight w:val="634" w:hRule="exact"/>
        </w:trPr>
        <w:tc>
          <w:tcPr>
            <w:tcW w:w="26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首期授予的限制性股票</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（万股）</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摊销费用总计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5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6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322" w:hRule="exact"/>
        </w:trPr>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0" w:right="0"/>
              <w:jc w:val="left"/>
              <w:rPr>
                <w:rFonts w:ascii="宋体" w:hAnsi="宋体" w:cs="宋体" w:eastAsia="宋体" w:hint="default"/>
                <w:sz w:val="21"/>
                <w:szCs w:val="21"/>
              </w:rPr>
            </w:pPr>
            <w:r>
              <w:rPr>
                <w:rFonts w:ascii="宋体"/>
                <w:sz w:val="21"/>
              </w:rPr>
              <w:t>1299.2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9" w:right="0"/>
              <w:jc w:val="left"/>
              <w:rPr>
                <w:rFonts w:ascii="宋体" w:hAnsi="宋体" w:cs="宋体" w:eastAsia="宋体" w:hint="default"/>
                <w:sz w:val="21"/>
                <w:szCs w:val="21"/>
              </w:rPr>
            </w:pPr>
            <w:r>
              <w:rPr>
                <w:rFonts w:ascii="宋体"/>
                <w:sz w:val="21"/>
              </w:rPr>
              <w:t>389.76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9" w:right="0"/>
              <w:jc w:val="left"/>
              <w:rPr>
                <w:rFonts w:ascii="宋体" w:hAnsi="宋体" w:cs="宋体" w:eastAsia="宋体" w:hint="default"/>
                <w:sz w:val="21"/>
                <w:szCs w:val="21"/>
              </w:rPr>
            </w:pPr>
            <w:r>
              <w:rPr>
                <w:rFonts w:ascii="宋体"/>
                <w:sz w:val="21"/>
              </w:rPr>
              <w:t>389.76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11" w:right="0"/>
              <w:jc w:val="left"/>
              <w:rPr>
                <w:rFonts w:ascii="宋体" w:hAnsi="宋体" w:cs="宋体" w:eastAsia="宋体" w:hint="default"/>
                <w:sz w:val="21"/>
                <w:szCs w:val="21"/>
              </w:rPr>
            </w:pPr>
            <w:r>
              <w:rPr>
                <w:rFonts w:ascii="宋体"/>
                <w:sz w:val="21"/>
              </w:rPr>
              <w:t>519.68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ind w:left="194" w:right="92"/>
        <w:jc w:val="left"/>
        <w:rPr>
          <w:b w:val="0"/>
          <w:bCs w:val="0"/>
        </w:rPr>
      </w:pPr>
      <w:r>
        <w:rPr/>
        <w:t>七、关联交易事项</w:t>
      </w:r>
      <w:r>
        <w:rPr>
          <w:b w:val="0"/>
          <w:bCs w:val="0"/>
        </w:rPr>
      </w:r>
    </w:p>
    <w:p>
      <w:pPr>
        <w:pStyle w:val="BodyText"/>
        <w:spacing w:line="240" w:lineRule="auto" w:before="154"/>
        <w:ind w:left="194" w:right="92"/>
        <w:jc w:val="left"/>
      </w:pPr>
      <w:r>
        <w:rPr/>
        <w:t>（一）报告期内，公司与日常经营相关的关联交易事项：</w:t>
      </w:r>
    </w:p>
    <w:p>
      <w:pPr>
        <w:spacing w:line="240" w:lineRule="auto" w:before="12"/>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2146"/>
        <w:gridCol w:w="1477"/>
        <w:gridCol w:w="2230"/>
        <w:gridCol w:w="1181"/>
        <w:gridCol w:w="2204"/>
      </w:tblGrid>
      <w:tr>
        <w:trPr>
          <w:trHeight w:val="323" w:hRule="exact"/>
        </w:trPr>
        <w:tc>
          <w:tcPr>
            <w:tcW w:w="21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7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38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634" w:hRule="exact"/>
        </w:trPr>
        <w:tc>
          <w:tcPr>
            <w:tcW w:w="2146" w:type="dxa"/>
            <w:vMerge/>
            <w:tcBorders>
              <w:left w:val="single" w:sz="4" w:space="0" w:color="000000"/>
              <w:bottom w:val="single" w:sz="4" w:space="0" w:color="000000"/>
              <w:right w:val="single" w:sz="4" w:space="0" w:color="000000"/>
            </w:tcBorders>
            <w:shd w:val="clear" w:color="auto" w:fill="D9D9D9"/>
          </w:tcPr>
          <w:p>
            <w:pP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22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84"/>
              <w:jc w:val="left"/>
              <w:rPr>
                <w:rFonts w:ascii="宋体" w:hAnsi="宋体" w:cs="宋体" w:eastAsia="宋体" w:hint="default"/>
                <w:sz w:val="21"/>
                <w:szCs w:val="21"/>
              </w:rPr>
            </w:pPr>
            <w:r>
              <w:rPr>
                <w:rFonts w:ascii="宋体" w:hAnsi="宋体" w:cs="宋体" w:eastAsia="宋体" w:hint="default"/>
                <w:spacing w:val="13"/>
                <w:sz w:val="21"/>
                <w:szCs w:val="21"/>
              </w:rPr>
              <w:t>占同类交易金额的比</w:t>
            </w:r>
            <w:r>
              <w:rPr>
                <w:rFonts w:ascii="宋体" w:hAnsi="宋体" w:cs="宋体" w:eastAsia="宋体" w:hint="default"/>
                <w:spacing w:val="-86"/>
                <w:sz w:val="21"/>
                <w:szCs w:val="21"/>
              </w:rPr>
              <w:t> </w:t>
            </w:r>
            <w:r>
              <w:rPr>
                <w:rFonts w:ascii="宋体" w:hAnsi="宋体" w:cs="宋体" w:eastAsia="宋体" w:hint="default"/>
                <w:sz w:val="21"/>
                <w:szCs w:val="21"/>
              </w:rPr>
              <w:t>例</w:t>
            </w:r>
          </w:p>
        </w:tc>
        <w:tc>
          <w:tcPr>
            <w:tcW w:w="1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2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占同类交易金额的比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例</w:t>
            </w:r>
          </w:p>
        </w:tc>
      </w:tr>
      <w:tr>
        <w:trPr>
          <w:trHeight w:val="322"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4,803,519.05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r>
      <w:tr>
        <w:trPr>
          <w:trHeight w:val="322" w:hRule="exact"/>
        </w:trPr>
        <w:tc>
          <w:tcPr>
            <w:tcW w:w="2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4,803,519.05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r>
    </w:tbl>
    <w:p>
      <w:pPr>
        <w:pStyle w:val="BodyText"/>
        <w:spacing w:line="357" w:lineRule="auto" w:before="39"/>
        <w:ind w:left="194" w:right="89" w:firstLine="475"/>
        <w:jc w:val="left"/>
      </w:pPr>
      <w:r>
        <w:rPr>
          <w:spacing w:val="-6"/>
        </w:rPr>
        <w:t>日本欧姆龙株式会社为日本大型制造业企业，是持有我公司</w:t>
      </w:r>
      <w:r>
        <w:rPr>
          <w:rFonts w:ascii="宋体" w:hAnsi="宋体" w:cs="宋体" w:eastAsia="宋体" w:hint="default"/>
          <w:spacing w:val="-6"/>
        </w:rPr>
        <w:t>17.94%</w:t>
      </w:r>
      <w:r>
        <w:rPr>
          <w:spacing w:val="-6"/>
        </w:rPr>
        <w:t>股权的欧姆龙（中</w:t>
      </w:r>
      <w:r>
        <w:rPr/>
        <w:t> 国）有限公司的母公司。和日本欧姆龙株式会社的关联交易，属于公司正常销售行为， 是公司主营业务的一部分，该业务具有长期性与稳定性。上述交易，均是公司在长期经 </w:t>
      </w:r>
      <w:r>
        <w:rPr>
          <w:spacing w:val="-3"/>
        </w:rPr>
        <w:t>营活动中累积形成的，其价格依据为市场平均价格，定价公平合理，不会损害公司利益，</w:t>
      </w:r>
      <w:r>
        <w:rPr>
          <w:spacing w:val="-117"/>
        </w:rPr>
        <w:t> </w:t>
      </w:r>
      <w:r>
        <w:rPr>
          <w:spacing w:val="-117"/>
        </w:rPr>
      </w:r>
      <w:r>
        <w:rPr/>
        <w:t>对公司本期以及将来的财务状况及经营成果均具有积极意义。付款与结算均依据多年形 成的商业惯例，不存在风险，且交易金额占同类业务比例较低，不会对公司的独立性产 生影响。</w:t>
      </w:r>
    </w:p>
    <w:p>
      <w:pPr>
        <w:pStyle w:val="BodyText"/>
        <w:spacing w:line="240" w:lineRule="auto"/>
        <w:ind w:left="194" w:right="92"/>
        <w:jc w:val="left"/>
      </w:pPr>
      <w:r>
        <w:rPr/>
        <w:t>（二）报告期内，公司不存在因资产收购及出售发生的重大关联交易事项。</w:t>
      </w:r>
    </w:p>
    <w:p>
      <w:pPr>
        <w:pStyle w:val="BodyText"/>
        <w:spacing w:line="240" w:lineRule="auto" w:before="154"/>
        <w:ind w:left="194" w:right="92"/>
        <w:jc w:val="left"/>
      </w:pPr>
      <w:r>
        <w:rPr/>
        <w:t>（三）报告期内，公司与关联方共同对外投资发生的关联交易。</w:t>
      </w:r>
    </w:p>
    <w:p>
      <w:pPr>
        <w:pStyle w:val="BodyText"/>
        <w:spacing w:line="357" w:lineRule="auto" w:before="154"/>
        <w:ind w:left="194" w:right="223" w:firstLine="480"/>
        <w:jc w:val="both"/>
      </w:pP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1</w:t>
      </w:r>
      <w:r>
        <w:rPr>
          <w:rFonts w:ascii="宋体" w:hAnsi="宋体" w:cs="宋体" w:eastAsia="宋体" w:hint="default"/>
          <w:spacing w:val="-47"/>
        </w:rPr>
        <w:t> </w:t>
      </w:r>
      <w:r>
        <w:rPr/>
        <w:t>日，公司第四届董事会第十一次会议审议通过了《关于拟出资设立 </w:t>
      </w:r>
      <w:r>
        <w:rPr>
          <w:spacing w:val="-6"/>
        </w:rPr>
        <w:t>上海艾云慧信创业投资有限公司的议案》，并授权公司总经理与投资各方签署投资协议等</w:t>
      </w:r>
      <w:r>
        <w:rPr/>
        <w:t> 相关事宜。目前正式投资协议已签署，上海艾云慧信创业投资有限公司正在办理设立所</w:t>
      </w:r>
      <w:r>
        <w:rPr>
          <w:spacing w:val="-115"/>
        </w:rPr>
        <w:t> </w:t>
      </w:r>
      <w:r>
        <w:rPr>
          <w:spacing w:val="-115"/>
        </w:rPr>
      </w:r>
      <w:r>
        <w:rPr/>
        <w:t>需的各项手续。</w:t>
      </w:r>
    </w:p>
    <w:p>
      <w:pPr>
        <w:pStyle w:val="BodyText"/>
        <w:spacing w:line="357" w:lineRule="auto" w:before="37"/>
        <w:ind w:left="674" w:right="212"/>
        <w:jc w:val="left"/>
      </w:pPr>
      <w:r>
        <w:rPr/>
        <w:t>本次对外投资的主要内容如下： 海隆软件拟与上海市创业投资引导基金、上海市长宁区投资服务中心、上海创业投</w:t>
      </w:r>
    </w:p>
    <w:p>
      <w:pPr>
        <w:pStyle w:val="BodyText"/>
        <w:spacing w:line="357" w:lineRule="auto"/>
        <w:ind w:left="194" w:right="206"/>
        <w:jc w:val="left"/>
      </w:pPr>
      <w:r>
        <w:rPr>
          <w:spacing w:val="-10"/>
        </w:rPr>
        <w:t>资有限公司、上海豫瑞创业投资合伙企业（有限合伙）（以下简称“豫瑞合伙企业”）、</w:t>
      </w:r>
      <w:r>
        <w:rPr>
          <w:spacing w:val="-84"/>
        </w:rPr>
        <w:t> </w:t>
      </w:r>
      <w:r>
        <w:rPr>
          <w:spacing w:val="-84"/>
        </w:rPr>
      </w:r>
      <w:r>
        <w:rPr/>
        <w:t>上海艾云创业投资管理有限公司（以下简称“艾云创管”）等其他</w:t>
      </w:r>
      <w:r>
        <w:rPr>
          <w:spacing w:val="-58"/>
        </w:rPr>
        <w:t> </w:t>
      </w:r>
      <w:r>
        <w:rPr>
          <w:rFonts w:ascii="宋体" w:hAnsi="宋体" w:cs="宋体" w:eastAsia="宋体" w:hint="default"/>
        </w:rPr>
        <w:t>8</w:t>
      </w:r>
      <w:r>
        <w:rPr>
          <w:rFonts w:ascii="宋体" w:hAnsi="宋体" w:cs="宋体" w:eastAsia="宋体" w:hint="default"/>
          <w:spacing w:val="-56"/>
        </w:rPr>
        <w:t> </w:t>
      </w:r>
      <w:r>
        <w:rPr/>
        <w:t>位出资人，以现金 </w:t>
      </w:r>
      <w:r>
        <w:rPr>
          <w:spacing w:val="-7"/>
        </w:rPr>
        <w:t>出资方式共同投资设立上海艾云慧信创业投资有限公司（以下简称“艾云慧信创投”）。</w:t>
      </w:r>
    </w:p>
    <w:p>
      <w:pPr>
        <w:spacing w:after="0" w:line="357" w:lineRule="auto"/>
        <w:jc w:val="left"/>
        <w:sectPr>
          <w:pgSz w:w="11910" w:h="16840"/>
          <w:pgMar w:header="876" w:footer="1186" w:top="1100" w:bottom="1380" w:left="1220" w:right="1140"/>
        </w:sectPr>
      </w:pPr>
    </w:p>
    <w:p>
      <w:pPr>
        <w:spacing w:line="240" w:lineRule="auto" w:before="7"/>
        <w:rPr>
          <w:rFonts w:ascii="宋体" w:hAnsi="宋体" w:cs="宋体" w:eastAsia="宋体" w:hint="default"/>
          <w:sz w:val="25"/>
          <w:szCs w:val="25"/>
        </w:rPr>
      </w:pPr>
    </w:p>
    <w:p>
      <w:pPr>
        <w:pStyle w:val="BodyText"/>
        <w:spacing w:line="240" w:lineRule="auto" w:before="26"/>
        <w:ind w:left="674" w:right="132"/>
        <w:jc w:val="left"/>
      </w:pPr>
      <w:r>
        <w:rPr/>
        <w:t>▲设立公司名称：上海艾云慧信创业投资有限公司。</w:t>
      </w:r>
    </w:p>
    <w:p>
      <w:pPr>
        <w:pStyle w:val="BodyText"/>
        <w:spacing w:line="240" w:lineRule="auto" w:before="154"/>
        <w:ind w:left="674" w:right="132"/>
        <w:jc w:val="left"/>
      </w:pPr>
      <w:r>
        <w:rPr/>
        <w:t>▲注册资本：人民币</w:t>
      </w:r>
      <w:r>
        <w:rPr>
          <w:spacing w:val="-60"/>
        </w:rPr>
        <w:t> </w:t>
      </w:r>
      <w:r>
        <w:rPr>
          <w:rFonts w:ascii="宋体" w:hAnsi="宋体" w:cs="宋体" w:eastAsia="宋体" w:hint="default"/>
        </w:rPr>
        <w:t>20,201</w:t>
      </w:r>
      <w:r>
        <w:rPr>
          <w:rFonts w:ascii="宋体" w:hAnsi="宋体" w:cs="宋体" w:eastAsia="宋体" w:hint="default"/>
          <w:spacing w:val="-60"/>
        </w:rPr>
        <w:t> </w:t>
      </w:r>
      <w:r>
        <w:rPr/>
        <w:t>万元。</w:t>
      </w:r>
    </w:p>
    <w:p>
      <w:pPr>
        <w:pStyle w:val="BodyText"/>
        <w:spacing w:line="357" w:lineRule="auto" w:before="154"/>
        <w:ind w:left="194" w:right="142" w:firstLine="480"/>
        <w:jc w:val="both"/>
      </w:pPr>
      <w:r>
        <w:rPr>
          <w:spacing w:val="-3"/>
        </w:rPr>
        <w:t>▲海隆软件投资金额和比例：公司将以自有资金出资人民币 </w:t>
      </w:r>
      <w:r>
        <w:rPr>
          <w:rFonts w:ascii="宋体" w:hAnsi="宋体" w:cs="宋体" w:eastAsia="宋体" w:hint="default"/>
        </w:rPr>
        <w:t>2000</w:t>
      </w:r>
      <w:r>
        <w:rPr>
          <w:rFonts w:ascii="宋体" w:hAnsi="宋体" w:cs="宋体" w:eastAsia="宋体" w:hint="default"/>
          <w:spacing w:val="-90"/>
        </w:rPr>
        <w:t> </w:t>
      </w:r>
      <w:r>
        <w:rPr>
          <w:spacing w:val="-8"/>
        </w:rPr>
        <w:t>万元，占上海艾云</w:t>
      </w:r>
      <w:r>
        <w:rPr/>
        <w:t> 慧信创业投资有限公司</w:t>
      </w:r>
      <w:r>
        <w:rPr>
          <w:spacing w:val="-60"/>
        </w:rPr>
        <w:t> </w:t>
      </w:r>
      <w:r>
        <w:rPr>
          <w:rFonts w:ascii="宋体" w:hAnsi="宋体" w:cs="宋体" w:eastAsia="宋体" w:hint="default"/>
        </w:rPr>
        <w:t>9.9%</w:t>
      </w:r>
      <w:r>
        <w:rPr/>
        <w:t>的股份。</w:t>
      </w:r>
    </w:p>
    <w:p>
      <w:pPr>
        <w:pStyle w:val="BodyText"/>
        <w:spacing w:line="240" w:lineRule="auto"/>
        <w:ind w:left="674" w:right="132"/>
        <w:jc w:val="left"/>
      </w:pPr>
      <w:r>
        <w:rPr/>
        <w:t>▲设立公司的经营范围：创业投资、创业投资管理、创业投资咨询。</w:t>
      </w:r>
    </w:p>
    <w:p>
      <w:pPr>
        <w:pStyle w:val="BodyText"/>
        <w:spacing w:line="357" w:lineRule="auto" w:before="154"/>
        <w:ind w:left="194" w:right="143" w:firstLine="480"/>
        <w:jc w:val="both"/>
      </w:pPr>
      <w:r>
        <w:rPr/>
        <w:t>▲设立公司的投资重点：投资软件、集成电路等信息技术领域的早期和成长期未上 市企业股权。</w:t>
      </w:r>
    </w:p>
    <w:p>
      <w:pPr>
        <w:pStyle w:val="BodyText"/>
        <w:spacing w:line="357" w:lineRule="auto"/>
        <w:ind w:left="194" w:right="142" w:firstLine="480"/>
        <w:jc w:val="both"/>
      </w:pPr>
      <w:r>
        <w:rPr/>
        <w:t>本公司董事朱玉旭先生是豫瑞合伙企业的执行合伙人及艾云创管的控股股东；公司 监事周颖先生是艾云创管的股东。上述两家公司均为艾云慧信创投的投资人，根据《深</w:t>
      </w:r>
      <w:r>
        <w:rPr>
          <w:spacing w:val="-115"/>
        </w:rPr>
        <w:t> </w:t>
      </w:r>
      <w:r>
        <w:rPr>
          <w:spacing w:val="-115"/>
        </w:rPr>
      </w:r>
      <w:r>
        <w:rPr/>
        <w:t>圳证券交易所股票上市规则》的规定，上述两家公司为本公司的关联法人，本次对外投</w:t>
      </w:r>
      <w:r>
        <w:rPr>
          <w:spacing w:val="-115"/>
        </w:rPr>
        <w:t> </w:t>
      </w:r>
      <w:r>
        <w:rPr>
          <w:spacing w:val="-115"/>
        </w:rPr>
      </w:r>
      <w:r>
        <w:rPr/>
        <w:t>资构成关联交易。</w:t>
      </w:r>
    </w:p>
    <w:p>
      <w:pPr>
        <w:pStyle w:val="BodyText"/>
        <w:spacing w:line="357" w:lineRule="auto"/>
        <w:ind w:left="194" w:right="142" w:firstLine="480"/>
        <w:jc w:val="both"/>
      </w:pPr>
      <w:r>
        <w:rPr/>
        <w:t>本次对外投资总金额不超过人民币</w:t>
      </w:r>
      <w:r>
        <w:rPr>
          <w:spacing w:val="-58"/>
        </w:rPr>
        <w:t> </w:t>
      </w:r>
      <w:r>
        <w:rPr>
          <w:rFonts w:ascii="宋体" w:hAnsi="宋体" w:cs="宋体" w:eastAsia="宋体" w:hint="default"/>
        </w:rPr>
        <w:t>3,000</w:t>
      </w:r>
      <w:r>
        <w:rPr>
          <w:rFonts w:ascii="宋体" w:hAnsi="宋体" w:cs="宋体" w:eastAsia="宋体" w:hint="default"/>
          <w:spacing w:val="-58"/>
        </w:rPr>
        <w:t> </w:t>
      </w:r>
      <w:r>
        <w:rPr/>
        <w:t>万元，属董事会审批权限范围，不需经过 股东大会审议批准；本次对外投资不构成《上市公司重大资产重组管理办法》规定的重</w:t>
      </w:r>
      <w:r>
        <w:rPr>
          <w:spacing w:val="-115"/>
        </w:rPr>
        <w:t> </w:t>
      </w:r>
      <w:r>
        <w:rPr>
          <w:spacing w:val="-115"/>
        </w:rPr>
      </w:r>
      <w:r>
        <w:rPr/>
        <w:t>大资产重组。</w:t>
      </w:r>
    </w:p>
    <w:p>
      <w:pPr>
        <w:pStyle w:val="BodyText"/>
        <w:spacing w:line="357" w:lineRule="auto"/>
        <w:ind w:left="194" w:right="143" w:firstLine="480"/>
        <w:jc w:val="both"/>
      </w:pPr>
      <w:r>
        <w:rPr/>
        <w:t>本次对外投资各方将按照各自的出资比例持有艾云慧信创投的股份，符合公平、公 开和公正的原则，不存在损害公司利益及全体股东特别是中小股东利益的情况。</w:t>
      </w:r>
    </w:p>
    <w:p>
      <w:pPr>
        <w:pStyle w:val="BodyText"/>
        <w:spacing w:line="357" w:lineRule="auto"/>
        <w:ind w:left="194" w:right="143" w:firstLine="480"/>
        <w:jc w:val="both"/>
      </w:pPr>
      <w:r>
        <w:rPr/>
        <w:t>为保障本公司的利益、降低投资风险，根据出资各方达成的协议，本公司将派员参 加艾云慧信创投的董事会及投资决策委员会，全程参与艾云慧信创投的投资决策和管理</w:t>
      </w:r>
      <w:r>
        <w:rPr>
          <w:spacing w:val="-115"/>
        </w:rPr>
        <w:t> </w:t>
      </w:r>
      <w:r>
        <w:rPr>
          <w:spacing w:val="-115"/>
        </w:rPr>
      </w:r>
      <w:r>
        <w:rPr/>
        <w:t>工作。</w:t>
      </w:r>
    </w:p>
    <w:p>
      <w:pPr>
        <w:pStyle w:val="BodyText"/>
        <w:spacing w:line="357" w:lineRule="auto"/>
        <w:ind w:left="194" w:right="141" w:firstLine="480"/>
        <w:jc w:val="both"/>
      </w:pPr>
      <w:r>
        <w:rPr/>
        <w:t>上述投资事项主要内容详见分别于</w:t>
      </w:r>
      <w:r>
        <w:rPr>
          <w:spacing w:val="-70"/>
        </w:rPr>
        <w:t> </w:t>
      </w:r>
      <w:r>
        <w:rPr>
          <w:rFonts w:ascii="宋体" w:hAnsi="宋体" w:cs="宋体" w:eastAsia="宋体" w:hint="default"/>
        </w:rPr>
        <w:t>2011</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3</w:t>
      </w:r>
      <w:r>
        <w:rPr>
          <w:rFonts w:ascii="宋体" w:hAnsi="宋体" w:cs="宋体" w:eastAsia="宋体" w:hint="default"/>
          <w:spacing w:val="-70"/>
        </w:rPr>
        <w:t> </w:t>
      </w:r>
      <w:r>
        <w:rPr/>
        <w:t>日及</w:t>
      </w:r>
      <w:r>
        <w:rPr>
          <w:spacing w:val="-70"/>
        </w:rPr>
        <w:t> </w:t>
      </w:r>
      <w:r>
        <w:rPr>
          <w:rFonts w:ascii="宋体" w:hAnsi="宋体" w:cs="宋体" w:eastAsia="宋体" w:hint="default"/>
        </w:rPr>
        <w:t>2012</w:t>
      </w:r>
      <w:r>
        <w:rPr>
          <w:rFonts w:ascii="宋体" w:hAnsi="宋体" w:cs="宋体" w:eastAsia="宋体" w:hint="default"/>
          <w:spacing w:val="-70"/>
        </w:rPr>
        <w:t> </w:t>
      </w:r>
      <w:r>
        <w:rPr/>
        <w:t>年</w:t>
      </w:r>
      <w:r>
        <w:rPr>
          <w:spacing w:val="-70"/>
        </w:rPr>
        <w:t> </w:t>
      </w:r>
      <w:r>
        <w:rPr>
          <w:rFonts w:ascii="宋体" w:hAnsi="宋体" w:cs="宋体" w:eastAsia="宋体" w:hint="default"/>
        </w:rPr>
        <w:t>2</w:t>
      </w:r>
      <w:r>
        <w:rPr>
          <w:rFonts w:ascii="宋体" w:hAnsi="宋体" w:cs="宋体" w:eastAsia="宋体" w:hint="default"/>
          <w:spacing w:val="-70"/>
        </w:rPr>
        <w:t> </w:t>
      </w:r>
      <w:r>
        <w:rPr/>
        <w:t>月</w:t>
      </w:r>
      <w:r>
        <w:rPr>
          <w:spacing w:val="-69"/>
        </w:rPr>
        <w:t> </w:t>
      </w:r>
      <w:r>
        <w:rPr>
          <w:rFonts w:ascii="宋体" w:hAnsi="宋体" w:cs="宋体" w:eastAsia="宋体" w:hint="default"/>
          <w:spacing w:val="1"/>
        </w:rPr>
        <w:t>10</w:t>
      </w:r>
      <w:r>
        <w:rPr>
          <w:rFonts w:ascii="宋体" w:hAnsi="宋体" w:cs="宋体" w:eastAsia="宋体" w:hint="default"/>
          <w:spacing w:val="-70"/>
        </w:rPr>
        <w:t> </w:t>
      </w:r>
      <w:r>
        <w:rPr>
          <w:spacing w:val="-20"/>
        </w:rPr>
        <w:t>日刊登在《中</w:t>
      </w:r>
      <w:r>
        <w:rPr/>
        <w:t> </w:t>
      </w:r>
      <w:r>
        <w:rPr>
          <w:spacing w:val="-3"/>
        </w:rPr>
        <w:t>国证券报》及巨潮资讯网（</w:t>
      </w:r>
      <w:hyperlink r:id="rId10">
        <w:r>
          <w:rPr>
            <w:rFonts w:ascii="宋体" w:hAnsi="宋体" w:cs="宋体" w:eastAsia="宋体" w:hint="default"/>
            <w:spacing w:val="-3"/>
          </w:rPr>
          <w:t>www.cninfo.com.cn</w:t>
        </w:r>
      </w:hyperlink>
      <w:r>
        <w:rPr>
          <w:spacing w:val="-3"/>
        </w:rPr>
        <w:t>）的《上海海隆软件股份有限公司对外投</w:t>
      </w:r>
      <w:r>
        <w:rPr>
          <w:spacing w:val="-93"/>
        </w:rPr>
        <w:t> </w:t>
      </w:r>
      <w:r>
        <w:rPr>
          <w:spacing w:val="-93"/>
        </w:rPr>
      </w:r>
      <w:r>
        <w:rPr>
          <w:spacing w:val="-24"/>
        </w:rPr>
        <w:t>资暨关联交易公告》（公告编号：</w:t>
      </w:r>
      <w:r>
        <w:rPr>
          <w:rFonts w:ascii="宋体" w:hAnsi="宋体" w:cs="宋体" w:eastAsia="宋体" w:hint="default"/>
          <w:spacing w:val="-24"/>
        </w:rPr>
        <w:t>2011-032</w:t>
      </w:r>
      <w:r>
        <w:rPr>
          <w:spacing w:val="-24"/>
        </w:rPr>
        <w:t>）及《对外投资进展公告》（公告编号：</w:t>
      </w:r>
      <w:r>
        <w:rPr>
          <w:rFonts w:ascii="宋体" w:hAnsi="宋体" w:cs="宋体" w:eastAsia="宋体" w:hint="default"/>
          <w:spacing w:val="-24"/>
        </w:rPr>
        <w:t>2012-007</w:t>
      </w:r>
      <w:r>
        <w:rPr>
          <w:spacing w:val="-24"/>
        </w:rPr>
        <w:t>）。</w:t>
      </w:r>
      <w:r>
        <w:rPr/>
      </w:r>
    </w:p>
    <w:p>
      <w:pPr>
        <w:pStyle w:val="BodyText"/>
        <w:spacing w:line="240" w:lineRule="auto"/>
        <w:ind w:left="179" w:right="132"/>
        <w:jc w:val="left"/>
      </w:pPr>
      <w:r>
        <w:rPr/>
        <w:t>（四）报告期内，公司与关联方之间不存在债权债务往来及担保事项。</w:t>
      </w:r>
    </w:p>
    <w:p>
      <w:pPr>
        <w:pStyle w:val="BodyText"/>
        <w:spacing w:line="240" w:lineRule="auto" w:before="154"/>
        <w:ind w:left="179" w:right="132"/>
        <w:jc w:val="left"/>
      </w:pPr>
      <w:r>
        <w:rPr/>
        <w:t>（五）报告期内，公司无其他重大关联交易。</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before="0"/>
        <w:ind w:left="194" w:right="132"/>
        <w:jc w:val="left"/>
        <w:rPr>
          <w:b w:val="0"/>
          <w:bCs w:val="0"/>
        </w:rPr>
      </w:pPr>
      <w:r>
        <w:rPr/>
        <w:t>八、重大合同及履行情况</w:t>
      </w:r>
      <w:r>
        <w:rPr>
          <w:b w:val="0"/>
          <w:bCs w:val="0"/>
        </w:rPr>
      </w:r>
    </w:p>
    <w:p>
      <w:pPr>
        <w:pStyle w:val="BodyText"/>
        <w:spacing w:line="357" w:lineRule="auto" w:before="154"/>
        <w:ind w:left="194" w:right="132"/>
        <w:jc w:val="left"/>
      </w:pPr>
      <w:r>
        <w:rPr/>
        <w:t>（一）公司不存在报告期内发生或以前发生但延续到报告期的托管、承包、租赁其他公</w:t>
      </w:r>
      <w:r>
        <w:rPr>
          <w:spacing w:val="-115"/>
        </w:rPr>
        <w:t> </w:t>
      </w:r>
      <w:r>
        <w:rPr>
          <w:spacing w:val="-115"/>
        </w:rPr>
      </w:r>
      <w:r>
        <w:rPr/>
        <w:t>司资产或其他公司托管、承包、租赁公司资产的事项。</w:t>
      </w:r>
    </w:p>
    <w:p>
      <w:pPr>
        <w:pStyle w:val="BodyText"/>
        <w:spacing w:line="240" w:lineRule="auto"/>
        <w:ind w:left="194" w:right="132"/>
        <w:jc w:val="left"/>
      </w:pPr>
      <w:r>
        <w:rPr/>
        <w:t>（二）公司不存在报告期内履行及尚未履行完毕的担保合同。</w:t>
      </w:r>
    </w:p>
    <w:p>
      <w:pPr>
        <w:spacing w:after="0" w:line="240" w:lineRule="auto"/>
        <w:jc w:val="left"/>
        <w:sectPr>
          <w:pgSz w:w="11910" w:h="16840"/>
          <w:pgMar w:header="876" w:footer="1186" w:top="1100" w:bottom="1380" w:left="1220" w:right="1220"/>
        </w:sectPr>
      </w:pPr>
    </w:p>
    <w:p>
      <w:pPr>
        <w:spacing w:line="240" w:lineRule="auto" w:before="7"/>
        <w:rPr>
          <w:rFonts w:ascii="宋体" w:hAnsi="宋体" w:cs="宋体" w:eastAsia="宋体" w:hint="default"/>
          <w:sz w:val="25"/>
          <w:szCs w:val="25"/>
        </w:rPr>
      </w:pPr>
    </w:p>
    <w:p>
      <w:pPr>
        <w:pStyle w:val="BodyText"/>
        <w:spacing w:line="240" w:lineRule="auto" w:before="26"/>
        <w:ind w:left="194" w:right="92"/>
        <w:jc w:val="left"/>
      </w:pPr>
      <w:r>
        <w:rPr/>
        <w:t>（三）公司不存在报告期内发生或报告期继续发生委托他人进行现金资产管理的事项。</w:t>
      </w:r>
    </w:p>
    <w:p>
      <w:pPr>
        <w:pStyle w:val="BodyText"/>
        <w:spacing w:line="240" w:lineRule="auto" w:before="154"/>
        <w:ind w:left="194" w:right="92"/>
        <w:jc w:val="left"/>
      </w:pPr>
      <w:r>
        <w:rPr/>
        <w:t>（四）报告期内，公司未签署其他重大合同。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before="0"/>
        <w:ind w:left="194" w:right="92"/>
        <w:jc w:val="left"/>
        <w:rPr>
          <w:b w:val="0"/>
          <w:bCs w:val="0"/>
        </w:rPr>
      </w:pPr>
      <w:r>
        <w:rPr/>
        <w:t>九、公司或持股</w:t>
      </w:r>
      <w:r>
        <w:rPr>
          <w:spacing w:val="-67"/>
        </w:rPr>
        <w:t> </w:t>
      </w:r>
      <w:r>
        <w:rPr>
          <w:rFonts w:ascii="宋体" w:hAnsi="宋体" w:cs="宋体" w:eastAsia="宋体"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8"/>
          <w:szCs w:val="8"/>
        </w:rPr>
      </w:pPr>
    </w:p>
    <w:tbl>
      <w:tblPr>
        <w:tblW w:w="0" w:type="auto"/>
        <w:jc w:val="left"/>
        <w:tblInd w:w="189" w:type="dxa"/>
        <w:tblLayout w:type="fixed"/>
        <w:tblCellMar>
          <w:top w:w="0" w:type="dxa"/>
          <w:left w:w="0" w:type="dxa"/>
          <w:bottom w:w="0" w:type="dxa"/>
          <w:right w:w="0" w:type="dxa"/>
        </w:tblCellMar>
        <w:tblLook w:val="01E0"/>
      </w:tblPr>
      <w:tblGrid>
        <w:gridCol w:w="2401"/>
        <w:gridCol w:w="2201"/>
        <w:gridCol w:w="2360"/>
        <w:gridCol w:w="2276"/>
      </w:tblGrid>
      <w:tr>
        <w:trPr>
          <w:trHeight w:val="322" w:hRule="exact"/>
        </w:trPr>
        <w:tc>
          <w:tcPr>
            <w:tcW w:w="2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22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2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2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322" w:hRule="exact"/>
        </w:trPr>
        <w:tc>
          <w:tcPr>
            <w:tcW w:w="2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收购报告书或权益变动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报告书中所作承诺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6" w:hRule="exact"/>
        </w:trPr>
        <w:tc>
          <w:tcPr>
            <w:tcW w:w="2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重大资产重组时所作承</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130" w:hRule="exact"/>
        </w:trPr>
        <w:tc>
          <w:tcPr>
            <w:tcW w:w="2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8"/>
                <w:sz w:val="21"/>
                <w:szCs w:val="21"/>
              </w:rPr>
              <w:t> </w:t>
            </w:r>
            <w:r>
              <w:rPr>
                <w:rFonts w:ascii="宋体" w:hAnsi="宋体" w:cs="宋体" w:eastAsia="宋体" w:hint="default"/>
                <w:sz w:val="21"/>
                <w:szCs w:val="21"/>
              </w:rPr>
              <w:t>38</w:t>
            </w:r>
            <w:r>
              <w:rPr>
                <w:rFonts w:ascii="宋体" w:hAnsi="宋体" w:cs="宋体" w:eastAsia="宋体" w:hint="default"/>
                <w:spacing w:val="-58"/>
                <w:sz w:val="21"/>
                <w:szCs w:val="21"/>
              </w:rPr>
              <w:t> </w:t>
            </w:r>
            <w:r>
              <w:rPr>
                <w:rFonts w:ascii="宋体" w:hAnsi="宋体" w:cs="宋体" w:eastAsia="宋体" w:hint="default"/>
                <w:sz w:val="21"/>
                <w:szCs w:val="21"/>
              </w:rPr>
              <w:t>位自然人</w:t>
            </w:r>
            <w:r>
              <w:rPr>
                <w:rFonts w:ascii="宋体" w:hAnsi="宋体" w:cs="宋体" w:eastAsia="宋体" w:hint="default"/>
                <w:w w:val="100"/>
                <w:sz w:val="21"/>
                <w:szCs w:val="21"/>
              </w:rPr>
              <w:t> </w:t>
            </w:r>
            <w:r>
              <w:rPr>
                <w:rFonts w:ascii="宋体" w:hAnsi="宋体" w:cs="宋体" w:eastAsia="宋体" w:hint="default"/>
                <w:spacing w:val="8"/>
                <w:sz w:val="21"/>
                <w:szCs w:val="21"/>
              </w:rPr>
              <w:t>股东、上海慧盛创业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投资有限公司、上海</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古德投资咨询有限公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司、欧姆龙（中国）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有限公司</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包叔平等 </w:t>
            </w:r>
            <w:r>
              <w:rPr>
                <w:rFonts w:ascii="宋体" w:hAnsi="宋体" w:cs="宋体" w:eastAsia="宋体" w:hint="default"/>
                <w:sz w:val="21"/>
                <w:szCs w:val="21"/>
              </w:rPr>
              <w:t>38</w:t>
            </w:r>
            <w:r>
              <w:rPr>
                <w:rFonts w:ascii="宋体" w:hAnsi="宋体" w:cs="宋体" w:eastAsia="宋体" w:hint="default"/>
                <w:spacing w:val="28"/>
                <w:sz w:val="21"/>
                <w:szCs w:val="21"/>
              </w:rPr>
              <w:t> </w:t>
            </w:r>
            <w:r>
              <w:rPr>
                <w:rFonts w:ascii="宋体" w:hAnsi="宋体" w:cs="宋体" w:eastAsia="宋体" w:hint="default"/>
                <w:sz w:val="21"/>
                <w:szCs w:val="21"/>
              </w:rPr>
              <w:t>位自然人</w:t>
            </w:r>
            <w:r>
              <w:rPr>
                <w:rFonts w:ascii="宋体" w:hAnsi="宋体" w:cs="宋体" w:eastAsia="宋体" w:hint="default"/>
                <w:w w:val="100"/>
                <w:sz w:val="21"/>
                <w:szCs w:val="21"/>
              </w:rPr>
              <w:t> </w:t>
            </w:r>
            <w:r>
              <w:rPr>
                <w:rFonts w:ascii="宋体" w:hAnsi="宋体" w:cs="宋体" w:eastAsia="宋体" w:hint="default"/>
                <w:spacing w:val="2"/>
                <w:sz w:val="21"/>
                <w:szCs w:val="21"/>
              </w:rPr>
              <w:t>股东、上海古德投资咨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询有限公司关于不从事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同业竞争生产经营活动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的承诺；上海慧盛创业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投资有限公司、欧姆龙</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pacing w:val="2"/>
                <w:sz w:val="21"/>
                <w:szCs w:val="21"/>
              </w:rPr>
              <w:t>（中国）有限公司关于</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不从事有损于海隆软件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利益的生产经营活动的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承诺。</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2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left="194" w:right="0"/>
        <w:jc w:val="both"/>
        <w:rPr>
          <w:b w:val="0"/>
          <w:bCs w:val="0"/>
        </w:rPr>
      </w:pPr>
      <w:r>
        <w:rPr/>
        <w:t>十、公司聘任会计师事务所情况</w:t>
      </w:r>
      <w:r>
        <w:rPr>
          <w:b w:val="0"/>
          <w:bCs w:val="0"/>
        </w:rPr>
      </w:r>
    </w:p>
    <w:p>
      <w:pPr>
        <w:pStyle w:val="BodyText"/>
        <w:spacing w:line="240" w:lineRule="auto" w:before="154"/>
        <w:ind w:left="674" w:right="92"/>
        <w:jc w:val="left"/>
      </w:pPr>
      <w:r>
        <w:rPr/>
        <w:t>报告期内，公司</w:t>
      </w:r>
      <w:r>
        <w:rPr>
          <w:spacing w:val="-58"/>
        </w:rPr>
        <w:t> </w:t>
      </w:r>
      <w:r>
        <w:rPr>
          <w:rFonts w:ascii="宋体" w:hAnsi="宋体" w:cs="宋体" w:eastAsia="宋体" w:hint="default"/>
        </w:rPr>
        <w:t>2010</w:t>
      </w:r>
      <w:r>
        <w:rPr>
          <w:rFonts w:ascii="宋体" w:hAnsi="宋体" w:cs="宋体" w:eastAsia="宋体" w:hint="default"/>
          <w:spacing w:val="-55"/>
        </w:rPr>
        <w:t> </w:t>
      </w:r>
      <w:r>
        <w:rPr/>
        <w:t>年度股东大会审议通过了《关于续聘会计师事务所的议案</w:t>
      </w:r>
      <w:r>
        <w:rPr>
          <w:spacing w:val="-120"/>
        </w:rPr>
        <w:t>》</w:t>
      </w:r>
      <w:r>
        <w:rPr/>
        <w:t>，</w:t>
      </w:r>
    </w:p>
    <w:p>
      <w:pPr>
        <w:pStyle w:val="BodyText"/>
        <w:spacing w:line="240" w:lineRule="auto" w:before="154"/>
        <w:ind w:left="194" w:right="0"/>
        <w:jc w:val="both"/>
      </w:pPr>
      <w:r>
        <w:rPr/>
        <w:t>续聘上海众华</w:t>
      </w:r>
      <w:r>
        <w:rPr>
          <w:spacing w:val="-1"/>
        </w:rPr>
        <w:t>沪</w:t>
      </w:r>
      <w:r>
        <w:rPr/>
        <w:t>银会计师事务所有限公司为公司</w:t>
      </w:r>
      <w:r>
        <w:rPr>
          <w:spacing w:val="-59"/>
        </w:rPr>
        <w:t> </w:t>
      </w:r>
      <w:r>
        <w:rPr>
          <w:rFonts w:ascii="宋体" w:hAnsi="宋体" w:cs="宋体" w:eastAsia="宋体" w:hint="default"/>
        </w:rPr>
        <w:t>2011</w:t>
      </w:r>
      <w:r>
        <w:rPr>
          <w:rFonts w:ascii="宋体" w:hAnsi="宋体" w:cs="宋体" w:eastAsia="宋体" w:hint="default"/>
          <w:spacing w:val="-60"/>
        </w:rPr>
        <w:t> </w:t>
      </w:r>
      <w:r>
        <w:rPr/>
        <w:t>年度财务审计机构</w:t>
      </w:r>
      <w:r>
        <w:rPr>
          <w:spacing w:val="-113"/>
        </w:rPr>
        <w:t>，</w:t>
      </w:r>
      <w:r>
        <w:rPr/>
        <w:t>审计费用总额</w:t>
      </w:r>
    </w:p>
    <w:p>
      <w:pPr>
        <w:pStyle w:val="BodyText"/>
        <w:spacing w:line="240" w:lineRule="auto" w:before="154"/>
        <w:ind w:left="194" w:right="0"/>
        <w:jc w:val="both"/>
      </w:pPr>
      <w:r>
        <w:rPr/>
        <w:t>为 </w:t>
      </w:r>
      <w:r>
        <w:rPr>
          <w:rFonts w:ascii="宋体" w:hAnsi="宋体" w:cs="宋体" w:eastAsia="宋体" w:hint="default"/>
        </w:rPr>
        <w:t>45</w:t>
      </w:r>
      <w:r>
        <w:rPr>
          <w:rFonts w:ascii="宋体" w:hAnsi="宋体" w:cs="宋体" w:eastAsia="宋体" w:hint="default"/>
          <w:spacing w:val="-89"/>
        </w:rPr>
        <w:t> </w:t>
      </w:r>
      <w:r>
        <w:rPr>
          <w:spacing w:val="-4"/>
        </w:rPr>
        <w:t>万元。截止报告期末，上海众华沪银会计师事务所有限公司已为公司提供了首次公</w:t>
      </w:r>
    </w:p>
    <w:p>
      <w:pPr>
        <w:pStyle w:val="BodyText"/>
        <w:spacing w:line="240" w:lineRule="auto" w:before="154"/>
        <w:ind w:left="194" w:right="0"/>
        <w:jc w:val="both"/>
      </w:pPr>
      <w:r>
        <w:rPr/>
        <w:t>开发行股票前</w:t>
      </w:r>
      <w:r>
        <w:rPr>
          <w:spacing w:val="-61"/>
        </w:rPr>
        <w:t> </w:t>
      </w:r>
      <w:r>
        <w:rPr>
          <w:rFonts w:ascii="宋体" w:hAnsi="宋体" w:cs="宋体" w:eastAsia="宋体" w:hint="default"/>
        </w:rPr>
        <w:t>3</w:t>
      </w:r>
      <w:r>
        <w:rPr>
          <w:rFonts w:ascii="宋体" w:hAnsi="宋体" w:cs="宋体" w:eastAsia="宋体" w:hint="default"/>
          <w:spacing w:val="-60"/>
        </w:rPr>
        <w:t> </w:t>
      </w:r>
      <w:r>
        <w:rPr/>
        <w:t>年度（</w:t>
      </w:r>
      <w:r>
        <w:rPr>
          <w:rFonts w:ascii="宋体" w:hAnsi="宋体" w:cs="宋体" w:eastAsia="宋体" w:hint="default"/>
        </w:rPr>
        <w:t>2004-2006</w:t>
      </w:r>
      <w:r>
        <w:rPr>
          <w:rFonts w:ascii="宋体" w:hAnsi="宋体" w:cs="宋体" w:eastAsia="宋体" w:hint="default"/>
          <w:spacing w:val="-60"/>
        </w:rPr>
        <w:t> </w:t>
      </w:r>
      <w:r>
        <w:rPr/>
        <w:t>年）及</w:t>
      </w:r>
      <w:r>
        <w:rPr>
          <w:spacing w:val="-60"/>
        </w:rPr>
        <w:t> </w:t>
      </w:r>
      <w:r>
        <w:rPr>
          <w:rFonts w:ascii="宋体" w:hAnsi="宋体" w:cs="宋体" w:eastAsia="宋体" w:hint="default"/>
        </w:rPr>
        <w:t>2007-2011</w:t>
      </w:r>
      <w:r>
        <w:rPr>
          <w:rFonts w:ascii="宋体" w:hAnsi="宋体" w:cs="宋体" w:eastAsia="宋体" w:hint="default"/>
          <w:spacing w:val="-60"/>
        </w:rPr>
        <w:t> </w:t>
      </w:r>
      <w:r>
        <w:rPr/>
        <w:t>年度的审计服务。</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98" w:right="92" w:hanging="504"/>
        <w:jc w:val="left"/>
        <w:rPr>
          <w:rFonts w:ascii="宋体" w:hAnsi="宋体" w:cs="宋体" w:eastAsia="宋体" w:hint="default"/>
          <w:sz w:val="24"/>
          <w:szCs w:val="24"/>
        </w:rPr>
      </w:pPr>
      <w:r>
        <w:rPr>
          <w:rFonts w:ascii="宋体" w:hAnsi="宋体" w:cs="宋体" w:eastAsia="宋体" w:hint="default"/>
          <w:b/>
          <w:bCs/>
          <w:sz w:val="24"/>
          <w:szCs w:val="24"/>
        </w:rPr>
        <w:t>十一、公司及其董事、监事、高级管理人员、实际控制人处罚及整改情况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报告期内，公司及其董事、监事、高级管理人员、实际控制人均未受有权机关、司</w:t>
      </w:r>
    </w:p>
    <w:p>
      <w:pPr>
        <w:pStyle w:val="BodyText"/>
        <w:spacing w:line="357" w:lineRule="auto" w:before="37"/>
        <w:ind w:left="194" w:right="221"/>
        <w:jc w:val="both"/>
      </w:pPr>
      <w:r>
        <w:rPr/>
        <w:t>法纪检部门采取强制措施、被移送司法机关或追究刑事责任、中国证监会稽查、中国证</w:t>
      </w:r>
      <w:r>
        <w:rPr>
          <w:spacing w:val="-115"/>
        </w:rPr>
        <w:t> </w:t>
      </w:r>
      <w:r>
        <w:rPr>
          <w:spacing w:val="-115"/>
        </w:rPr>
      </w:r>
      <w:r>
        <w:rPr/>
        <w:t>监会行政处罚、证券市场禁入、认定为不适当人选、被其他行政管理部门处罚及证券交</w:t>
      </w:r>
      <w:r>
        <w:rPr>
          <w:spacing w:val="-113"/>
        </w:rPr>
        <w:t> </w:t>
      </w:r>
      <w:r>
        <w:rPr>
          <w:spacing w:val="-113"/>
        </w:rPr>
      </w:r>
      <w:r>
        <w:rPr/>
        <w:t>易所公开谴责的情形。</w:t>
      </w:r>
    </w:p>
    <w:p>
      <w:pPr>
        <w:spacing w:after="0" w:line="357" w:lineRule="auto"/>
        <w:jc w:val="both"/>
        <w:sectPr>
          <w:pgSz w:w="11910" w:h="16840"/>
          <w:pgMar w:header="876" w:footer="1186" w:top="1100" w:bottom="1380" w:left="1220" w:right="1140"/>
        </w:sectPr>
      </w:pPr>
    </w:p>
    <w:p>
      <w:pPr>
        <w:spacing w:line="240" w:lineRule="auto" w:before="7"/>
        <w:rPr>
          <w:rFonts w:ascii="宋体" w:hAnsi="宋体" w:cs="宋体" w:eastAsia="宋体" w:hint="default"/>
          <w:sz w:val="25"/>
          <w:szCs w:val="25"/>
        </w:rPr>
      </w:pPr>
    </w:p>
    <w:p>
      <w:pPr>
        <w:spacing w:line="357" w:lineRule="auto" w:before="26"/>
        <w:ind w:left="759" w:right="3427" w:hanging="466"/>
        <w:jc w:val="left"/>
        <w:rPr>
          <w:rFonts w:ascii="宋体" w:hAnsi="宋体" w:cs="宋体" w:eastAsia="宋体" w:hint="default"/>
          <w:sz w:val="24"/>
          <w:szCs w:val="24"/>
        </w:rPr>
      </w:pPr>
      <w:r>
        <w:rPr>
          <w:rFonts w:ascii="宋体" w:hAnsi="宋体" w:cs="宋体" w:eastAsia="宋体" w:hint="default"/>
          <w:b/>
          <w:bCs/>
          <w:sz w:val="24"/>
          <w:szCs w:val="24"/>
        </w:rPr>
        <w:t>十二、报告期内，公司其他重大事项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报告期内，公司不存在应披露而未披露的重大事项。 报告期内，公司已披露的重要事项索引如下：</w:t>
      </w:r>
    </w:p>
    <w:p>
      <w:pPr>
        <w:spacing w:line="240" w:lineRule="auto" w:before="8"/>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644"/>
        <w:gridCol w:w="1315"/>
        <w:gridCol w:w="1345"/>
        <w:gridCol w:w="4712"/>
        <w:gridCol w:w="1464"/>
      </w:tblGrid>
      <w:tr>
        <w:trPr>
          <w:trHeight w:val="550" w:hRule="exact"/>
        </w:trPr>
        <w:tc>
          <w:tcPr>
            <w:tcW w:w="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30" w:right="0"/>
              <w:jc w:val="left"/>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47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b/>
                <w:bCs/>
                <w:sz w:val="21"/>
                <w:szCs w:val="21"/>
              </w:rPr>
              <w:t>公告文件名称</w:t>
            </w:r>
            <w:r>
              <w:rPr>
                <w:rFonts w:ascii="宋体" w:hAnsi="宋体" w:cs="宋体" w:eastAsia="宋体"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304" w:right="0"/>
              <w:jc w:val="left"/>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55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2011-1-15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2011-001</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关于完成控股子公司工商注销登记的公告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99"/>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2011-1-21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2011-002</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年度业绩预告的修正公告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99"/>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2011-1-28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2011-003</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第四届董事会第五次会议决议公告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hanging="99"/>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5"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w w:val="100"/>
                <w:sz w:val="21"/>
              </w:rPr>
              <w:t>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9" w:right="0"/>
              <w:jc w:val="left"/>
              <w:rPr>
                <w:rFonts w:ascii="宋体" w:hAnsi="宋体" w:cs="宋体" w:eastAsia="宋体" w:hint="default"/>
                <w:sz w:val="21"/>
                <w:szCs w:val="21"/>
              </w:rPr>
            </w:pPr>
            <w:r>
              <w:rPr>
                <w:rFonts w:ascii="宋体"/>
                <w:sz w:val="21"/>
              </w:rPr>
              <w:t>2011-2-16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21"/>
                <w:szCs w:val="21"/>
              </w:rPr>
            </w:pPr>
            <w:r>
              <w:rPr>
                <w:rFonts w:ascii="宋体"/>
                <w:sz w:val="21"/>
              </w:rPr>
              <w:t>2011-004</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年度业绩快报公告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hanging="99"/>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2011-3-15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2011-005</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关于日本地震对公司业务影响的提示性公告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hanging="99"/>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2011-006</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年度报告摘要</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2011-007</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第四届董事会第六次会议决议公告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99"/>
              <w:jc w:val="left"/>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w w:val="100"/>
                <w:sz w:val="21"/>
              </w:rPr>
              <w:t>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2011-008</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关于变更部分募投项目实施地点的公告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w w:val="100"/>
                <w:sz w:val="21"/>
              </w:rPr>
              <w:t>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2011-009</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6"/>
              <w:ind w:right="0"/>
              <w:jc w:val="center"/>
              <w:rPr>
                <w:rFonts w:ascii="宋体" w:hAnsi="宋体" w:cs="宋体" w:eastAsia="宋体" w:hint="default"/>
                <w:sz w:val="21"/>
                <w:szCs w:val="21"/>
              </w:rPr>
            </w:pPr>
            <w:r>
              <w:rPr>
                <w:rFonts w:ascii="宋体" w:hAnsi="宋体" w:cs="宋体" w:eastAsia="宋体" w:hint="default"/>
                <w:sz w:val="21"/>
                <w:szCs w:val="21"/>
              </w:rPr>
              <w:t>关于使用募集资金购置普天信息产业园</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号楼第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8-11</w:t>
            </w:r>
            <w:r>
              <w:rPr>
                <w:rFonts w:ascii="宋体" w:hAnsi="宋体" w:cs="宋体" w:eastAsia="宋体" w:hint="default"/>
                <w:spacing w:val="-52"/>
                <w:sz w:val="21"/>
                <w:szCs w:val="21"/>
              </w:rPr>
              <w:t> </w:t>
            </w:r>
            <w:r>
              <w:rPr>
                <w:rFonts w:ascii="宋体" w:hAnsi="宋体" w:cs="宋体" w:eastAsia="宋体" w:hint="default"/>
                <w:sz w:val="21"/>
                <w:szCs w:val="21"/>
              </w:rPr>
              <w:t>层房产的公告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1" w:right="86" w:hanging="99"/>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2011-010</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z w:val="21"/>
                <w:szCs w:val="21"/>
              </w:rPr>
              <w:t>关于授权总经理办理购置普天信息产业园 </w:t>
            </w:r>
            <w:r>
              <w:rPr>
                <w:rFonts w:ascii="宋体" w:hAnsi="宋体" w:cs="宋体" w:eastAsia="宋体" w:hint="default"/>
                <w:sz w:val="21"/>
                <w:szCs w:val="21"/>
              </w:rPr>
              <w:t>2</w:t>
            </w:r>
            <w:r>
              <w:rPr>
                <w:rFonts w:ascii="宋体" w:hAnsi="宋体" w:cs="宋体" w:eastAsia="宋体" w:hint="default"/>
                <w:spacing w:val="-21"/>
                <w:sz w:val="21"/>
                <w:szCs w:val="21"/>
              </w:rPr>
              <w:t> </w:t>
            </w:r>
            <w:r>
              <w:rPr>
                <w:rFonts w:ascii="宋体" w:hAnsi="宋体" w:cs="宋体" w:eastAsia="宋体" w:hint="default"/>
                <w:spacing w:val="-3"/>
                <w:sz w:val="21"/>
                <w:szCs w:val="21"/>
              </w:rPr>
              <w:t>号楼</w:t>
            </w:r>
            <w:r>
              <w:rPr>
                <w:rFonts w:ascii="宋体" w:hAnsi="宋体" w:cs="宋体" w:eastAsia="宋体" w:hint="default"/>
                <w:spacing w:val="-3"/>
                <w:w w:val="100"/>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层房产的公告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2011-011</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年度日常关联交易公告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2011-012</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04"/>
              <w:jc w:val="left"/>
              <w:rPr>
                <w:rFonts w:ascii="宋体" w:hAnsi="宋体" w:cs="宋体" w:eastAsia="宋体" w:hint="default"/>
                <w:sz w:val="21"/>
                <w:szCs w:val="21"/>
              </w:rPr>
            </w:pPr>
            <w:r>
              <w:rPr>
                <w:rFonts w:ascii="宋体" w:hAnsi="宋体" w:cs="宋体" w:eastAsia="宋体" w:hint="default"/>
                <w:spacing w:val="2"/>
                <w:sz w:val="21"/>
                <w:szCs w:val="21"/>
              </w:rPr>
              <w:t>关于董事、高级管理人员、监事及内部审计负责</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人人事变动的公告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2011-013</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年度股东大会的通知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2011-014</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第四届监事会第四次会议决议公告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2011-015</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关于举行网上</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年度业绩说明会的通知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9" w:right="0"/>
              <w:jc w:val="left"/>
              <w:rPr>
                <w:rFonts w:ascii="宋体" w:hAnsi="宋体" w:cs="宋体" w:eastAsia="宋体" w:hint="default"/>
                <w:sz w:val="21"/>
                <w:szCs w:val="21"/>
              </w:rPr>
            </w:pPr>
            <w:r>
              <w:rPr>
                <w:rFonts w:ascii="宋体"/>
                <w:sz w:val="21"/>
              </w:rPr>
              <w:t>2011-4-13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2011-016</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年度募集资金存放与使用情况的专项报告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9" w:right="0"/>
              <w:jc w:val="left"/>
              <w:rPr>
                <w:rFonts w:ascii="宋体" w:hAnsi="宋体" w:cs="宋体" w:eastAsia="宋体" w:hint="default"/>
                <w:sz w:val="21"/>
                <w:szCs w:val="21"/>
              </w:rPr>
            </w:pPr>
            <w:r>
              <w:rPr>
                <w:rFonts w:ascii="宋体"/>
                <w:sz w:val="21"/>
              </w:rPr>
              <w:t>2011-4-22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2011-017</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年第一季度季度报告正文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sz w:val="21"/>
              </w:rPr>
              <w:t>2011-5-11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2011-018</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sz w:val="21"/>
              </w:rPr>
              <w:t>2011-5-13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2011-019</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bl>
    <w:p>
      <w:pPr>
        <w:spacing w:after="0" w:line="273" w:lineRule="auto"/>
        <w:jc w:val="left"/>
        <w:rPr>
          <w:rFonts w:ascii="宋体" w:hAnsi="宋体" w:cs="宋体" w:eastAsia="宋体" w:hint="default"/>
          <w:sz w:val="21"/>
          <w:szCs w:val="21"/>
        </w:rPr>
        <w:sectPr>
          <w:pgSz w:w="11910" w:h="16840"/>
          <w:pgMar w:header="876" w:footer="1186" w:top="1100" w:bottom="1380" w:left="1120" w:right="1060"/>
        </w:sectPr>
      </w:pPr>
    </w:p>
    <w:p>
      <w:pPr>
        <w:spacing w:line="240" w:lineRule="auto" w:before="6"/>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644"/>
        <w:gridCol w:w="1315"/>
        <w:gridCol w:w="1345"/>
        <w:gridCol w:w="4712"/>
        <w:gridCol w:w="1464"/>
      </w:tblGrid>
      <w:tr>
        <w:trPr>
          <w:trHeight w:val="629" w:hRule="exact"/>
        </w:trPr>
        <w:tc>
          <w:tcPr>
            <w:tcW w:w="6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w:t>
            </w: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2011-5-21</w:t>
            </w: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2011-020</w:t>
            </w:r>
          </w:p>
        </w:tc>
        <w:tc>
          <w:tcPr>
            <w:tcW w:w="47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年度权益分派公告</w:t>
            </w:r>
          </w:p>
        </w:tc>
        <w:tc>
          <w:tcPr>
            <w:tcW w:w="1464"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2011-7-20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2011-021</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年半年度业绩快报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2011-8-6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2011-022</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2011-8-10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2011-023</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年半年度报告摘要</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2011-9-21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2011-024</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2011-9-21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2011-025</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第四届监事会第七次会议决议公告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2011-10-26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2011-026</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2011-10-26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2011-027</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2011-11-11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2011-028</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关于全资子公司对外投资的提示性公告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2011-11-18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2011-029</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股东减持公告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2011-11-18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2011-030</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2011-031</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第四届董事会第十一次会议决议公告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2011-032</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对外投资暨关联交易公告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2011-033</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关于更换证券事务代表的公告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2011-12-10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2011-034</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第四届董事会第十二次临时会议决议公告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2011-12-8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2011-035</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首次公开发行前已发行股份上市流通提示性公告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2011-12-16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2011-036</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104"/>
              <w:jc w:val="left"/>
              <w:rPr>
                <w:rFonts w:ascii="宋体" w:hAnsi="宋体" w:cs="宋体" w:eastAsia="宋体" w:hint="default"/>
                <w:sz w:val="21"/>
                <w:szCs w:val="21"/>
              </w:rPr>
            </w:pPr>
            <w:r>
              <w:rPr>
                <w:rFonts w:ascii="宋体" w:hAnsi="宋体" w:cs="宋体" w:eastAsia="宋体" w:hint="default"/>
                <w:spacing w:val="2"/>
                <w:sz w:val="21"/>
                <w:szCs w:val="21"/>
              </w:rPr>
              <w:t>关于证监会对公司股权激励草案备案无异议的公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2011-12-22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2011-037</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年第一次临时股东大会的通知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2011-12-22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2011-038</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独立董事公开征集委托投票权报告书</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2011-12-22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2011-039</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第四届董事会第十三次临时会议决议公告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634"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2011-12-30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2011-040</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年第一次临时股东大会的提示性公告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bl>
    <w:p>
      <w:pPr>
        <w:spacing w:after="0" w:line="273" w:lineRule="auto"/>
        <w:jc w:val="left"/>
        <w:rPr>
          <w:rFonts w:ascii="宋体" w:hAnsi="宋体" w:cs="宋体" w:eastAsia="宋体" w:hint="default"/>
          <w:sz w:val="21"/>
          <w:szCs w:val="21"/>
        </w:rPr>
        <w:sectPr>
          <w:pgSz w:w="11910" w:h="16840"/>
          <w:pgMar w:header="876" w:footer="1186" w:top="1100" w:bottom="1380" w:left="1120" w:right="1060"/>
        </w:sectPr>
      </w:pPr>
    </w:p>
    <w:p>
      <w:pPr>
        <w:spacing w:line="240" w:lineRule="auto" w:before="2"/>
        <w:rPr>
          <w:rFonts w:ascii="Times New Roman" w:hAnsi="Times New Roman" w:cs="Times New Roman" w:eastAsia="Times New Roman" w:hint="default"/>
          <w:sz w:val="14"/>
          <w:szCs w:val="14"/>
        </w:rPr>
      </w:pPr>
    </w:p>
    <w:p>
      <w:pPr>
        <w:pStyle w:val="Heading1"/>
        <w:tabs>
          <w:tab w:pos="4496" w:val="left" w:leader="none"/>
        </w:tabs>
        <w:spacing w:line="240" w:lineRule="auto"/>
        <w:ind w:left="2888" w:right="0"/>
        <w:jc w:val="left"/>
        <w:rPr>
          <w:b w:val="0"/>
          <w:bCs w:val="0"/>
        </w:rPr>
      </w:pPr>
      <w:bookmarkStart w:name="_TOC_250001" w:id="12"/>
      <w:r>
        <w:rPr>
          <w:w w:val="95"/>
        </w:rPr>
        <w:t>第十二节</w:t>
        <w:tab/>
      </w:r>
      <w:r>
        <w:rPr/>
        <w:t>财务报告</w:t>
      </w:r>
      <w:bookmarkEnd w:id="12"/>
      <w:r>
        <w:rPr>
          <w:b w:val="0"/>
          <w:bCs w:val="0"/>
        </w:rPr>
      </w:r>
    </w:p>
    <w:p>
      <w:pPr>
        <w:spacing w:line="240" w:lineRule="auto" w:before="11"/>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headerReference w:type="default" r:id="rId19"/>
          <w:footerReference w:type="default" r:id="rId20"/>
          <w:pgSz w:w="11910" w:h="16840"/>
          <w:pgMar w:header="876" w:footer="980" w:top="1320" w:bottom="1160" w:left="1620" w:right="1580"/>
          <w:pgNumType w:start="78"/>
        </w:sectPr>
      </w:pPr>
    </w:p>
    <w:p>
      <w:pPr>
        <w:pStyle w:val="Heading3"/>
        <w:spacing w:line="240" w:lineRule="auto"/>
        <w:ind w:left="180" w:right="0"/>
        <w:jc w:val="left"/>
        <w:rPr>
          <w:b w:val="0"/>
          <w:bCs w:val="0"/>
        </w:rPr>
      </w:pPr>
      <w:r>
        <w:rPr>
          <w:w w:val="95"/>
        </w:rPr>
        <w:t>一、审计报告正文</w:t>
      </w:r>
      <w:r>
        <w:rPr>
          <w:b w:val="0"/>
          <w:bCs w:val="0"/>
        </w:rPr>
      </w:r>
    </w:p>
    <w:p>
      <w:pPr>
        <w:spacing w:before="377"/>
        <w:ind w:left="180" w:right="-17" w:firstLine="0"/>
        <w:jc w:val="left"/>
        <w:rPr>
          <w:rFonts w:ascii="宋体" w:hAnsi="宋体" w:cs="宋体" w:eastAsia="宋体" w:hint="default"/>
          <w:sz w:val="48"/>
          <w:szCs w:val="48"/>
        </w:rPr>
      </w:pPr>
      <w:r>
        <w:rPr/>
        <w:br w:type="column"/>
      </w:r>
      <w:r>
        <w:rPr>
          <w:rFonts w:ascii="宋体" w:hAnsi="宋体" w:cs="宋体" w:eastAsia="宋体" w:hint="default"/>
          <w:b/>
          <w:bCs/>
          <w:sz w:val="48"/>
          <w:szCs w:val="48"/>
        </w:rPr>
        <w:t>审 计 报</w:t>
      </w:r>
      <w:r>
        <w:rPr>
          <w:rFonts w:ascii="宋体" w:hAnsi="宋体" w:cs="宋体" w:eastAsia="宋体" w:hint="default"/>
          <w:b/>
          <w:bCs/>
          <w:spacing w:val="-6"/>
          <w:sz w:val="48"/>
          <w:szCs w:val="48"/>
        </w:rPr>
        <w:t> </w:t>
      </w:r>
      <w:r>
        <w:rPr>
          <w:rFonts w:ascii="宋体" w:hAnsi="宋体" w:cs="宋体" w:eastAsia="宋体" w:hint="default"/>
          <w:b/>
          <w:bCs/>
          <w:sz w:val="48"/>
          <w:szCs w:val="48"/>
        </w:rPr>
        <w:t>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before="0"/>
        <w:ind w:left="180" w:right="0" w:firstLine="0"/>
        <w:jc w:val="left"/>
        <w:rPr>
          <w:rFonts w:ascii="宋体" w:hAnsi="宋体" w:cs="宋体" w:eastAsia="宋体" w:hint="default"/>
          <w:sz w:val="21"/>
          <w:szCs w:val="21"/>
        </w:rPr>
      </w:pPr>
      <w:r>
        <w:rPr>
          <w:rFonts w:ascii="宋体" w:hAnsi="宋体" w:cs="宋体" w:eastAsia="宋体" w:hint="default"/>
          <w:sz w:val="21"/>
          <w:szCs w:val="21"/>
        </w:rPr>
        <w:t>沪众会字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0014</w:t>
      </w:r>
      <w:r>
        <w:rPr>
          <w:rFonts w:ascii="宋体" w:hAnsi="宋体" w:cs="宋体" w:eastAsia="宋体" w:hint="default"/>
          <w:spacing w:val="-56"/>
          <w:sz w:val="21"/>
          <w:szCs w:val="21"/>
        </w:rPr>
        <w:t> </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10" w:h="16840"/>
          <w:pgMar w:top="1100" w:bottom="1380" w:left="1620" w:right="1580"/>
          <w:cols w:num="3" w:equalWidth="0">
            <w:col w:w="2108" w:space="720"/>
            <w:col w:w="2831" w:space="234"/>
            <w:col w:w="2817"/>
          </w:cols>
        </w:sectPr>
      </w:pPr>
    </w:p>
    <w:p>
      <w:pPr>
        <w:spacing w:line="240" w:lineRule="auto" w:before="11"/>
        <w:rPr>
          <w:rFonts w:ascii="宋体" w:hAnsi="宋体" w:cs="宋体" w:eastAsia="宋体" w:hint="default"/>
          <w:sz w:val="17"/>
          <w:szCs w:val="17"/>
        </w:rPr>
      </w:pPr>
    </w:p>
    <w:p>
      <w:pPr>
        <w:spacing w:before="36"/>
        <w:ind w:left="180" w:right="0" w:firstLine="0"/>
        <w:jc w:val="both"/>
        <w:rPr>
          <w:rFonts w:ascii="宋体" w:hAnsi="宋体" w:cs="宋体" w:eastAsia="宋体" w:hint="default"/>
          <w:sz w:val="21"/>
          <w:szCs w:val="21"/>
        </w:rPr>
      </w:pPr>
      <w:r>
        <w:rPr>
          <w:rFonts w:ascii="宋体" w:hAnsi="宋体" w:cs="宋体" w:eastAsia="宋体" w:hint="default"/>
          <w:b/>
          <w:bCs/>
          <w:sz w:val="21"/>
          <w:szCs w:val="21"/>
        </w:rPr>
        <w:t>上海海隆软件股份有限公司全体股东：</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p>
      <w:pPr>
        <w:spacing w:line="237" w:lineRule="auto" w:before="0"/>
        <w:ind w:left="180" w:right="0" w:firstLine="419"/>
        <w:jc w:val="left"/>
        <w:rPr>
          <w:rFonts w:ascii="宋体" w:hAnsi="宋体" w:cs="宋体" w:eastAsia="宋体" w:hint="default"/>
          <w:sz w:val="21"/>
          <w:szCs w:val="21"/>
        </w:rPr>
      </w:pPr>
      <w:r>
        <w:rPr>
          <w:rFonts w:ascii="宋体" w:hAnsi="宋体" w:cs="宋体" w:eastAsia="宋体" w:hint="default"/>
          <w:sz w:val="21"/>
          <w:szCs w:val="21"/>
        </w:rPr>
        <w:t>我们审计了后附的上海海隆软件股份有限公司</w:t>
      </w:r>
      <w:r>
        <w:rPr>
          <w:rFonts w:ascii="宋体" w:hAnsi="宋体" w:cs="宋体" w:eastAsia="宋体" w:hint="default"/>
          <w:sz w:val="21"/>
          <w:szCs w:val="21"/>
        </w:rPr>
        <w:t>(</w:t>
      </w:r>
      <w:r>
        <w:rPr>
          <w:rFonts w:ascii="宋体" w:hAnsi="宋体" w:cs="宋体" w:eastAsia="宋体" w:hint="default"/>
          <w:sz w:val="21"/>
          <w:szCs w:val="21"/>
        </w:rPr>
        <w:t>以下简称海隆软件公司</w:t>
      </w:r>
      <w:r>
        <w:rPr>
          <w:rFonts w:ascii="宋体" w:hAnsi="宋体" w:cs="宋体" w:eastAsia="宋体" w:hint="default"/>
          <w:sz w:val="21"/>
          <w:szCs w:val="21"/>
        </w:rPr>
        <w:t>)</w:t>
      </w:r>
      <w:r>
        <w:rPr>
          <w:rFonts w:ascii="宋体" w:hAnsi="宋体" w:cs="宋体" w:eastAsia="宋体" w:hint="default"/>
          <w:sz w:val="21"/>
          <w:szCs w:val="21"/>
        </w:rPr>
        <w:t>合并及公司财</w:t>
      </w:r>
      <w:r>
        <w:rPr>
          <w:rFonts w:ascii="宋体" w:hAnsi="宋体" w:cs="宋体" w:eastAsia="宋体" w:hint="default"/>
          <w:w w:val="100"/>
          <w:sz w:val="21"/>
          <w:szCs w:val="21"/>
        </w:rPr>
        <w:t> </w:t>
      </w:r>
      <w:r>
        <w:rPr>
          <w:rFonts w:ascii="宋体" w:hAnsi="宋体" w:cs="宋体" w:eastAsia="宋体" w:hint="default"/>
          <w:spacing w:val="-14"/>
          <w:sz w:val="21"/>
          <w:szCs w:val="21"/>
        </w:rPr>
        <w:t>务报表，包括</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6"/>
          <w:sz w:val="21"/>
          <w:szCs w:val="21"/>
        </w:rPr>
        <w:t>日的合并及公司资产负债表，</w:t>
      </w:r>
      <w:r>
        <w:rPr>
          <w:rFonts w:ascii="宋体" w:hAnsi="宋体" w:cs="宋体" w:eastAsia="宋体" w:hint="default"/>
          <w:spacing w:val="-6"/>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年度的合并及公司利润表、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合并及公司现金流量表、合并股东权益变动表及公司股东权益变动表以及财务报表附注。</w:t>
      </w:r>
    </w:p>
    <w:p>
      <w:pPr>
        <w:spacing w:line="240" w:lineRule="auto" w:before="9"/>
        <w:rPr>
          <w:rFonts w:ascii="宋体" w:hAnsi="宋体" w:cs="宋体" w:eastAsia="宋体" w:hint="default"/>
          <w:sz w:val="20"/>
          <w:szCs w:val="20"/>
        </w:rPr>
      </w:pPr>
    </w:p>
    <w:p>
      <w:pPr>
        <w:spacing w:before="0"/>
        <w:ind w:left="600" w:right="0" w:firstLine="98"/>
        <w:jc w:val="left"/>
        <w:rPr>
          <w:rFonts w:ascii="宋体" w:hAnsi="宋体" w:cs="宋体" w:eastAsia="宋体" w:hint="default"/>
          <w:sz w:val="21"/>
          <w:szCs w:val="21"/>
        </w:rPr>
      </w:pPr>
      <w:r>
        <w:rPr>
          <w:rFonts w:ascii="宋体" w:hAnsi="宋体" w:cs="宋体" w:eastAsia="宋体" w:hint="default"/>
          <w:b/>
          <w:bCs/>
          <w:sz w:val="21"/>
          <w:szCs w:val="21"/>
        </w:rPr>
        <w:t>一、管理层对合并及公司财务报表的责任</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编制和公允列报海隆软件公司合并及公司财务报表是管理层的责任，这种责任包括：</w:t>
      </w:r>
      <w:r>
        <w:rPr>
          <w:rFonts w:ascii="宋体" w:hAnsi="宋体" w:cs="宋体" w:eastAsia="宋体" w:hint="default"/>
          <w:spacing w:val="-7"/>
          <w:w w:val="100"/>
          <w:sz w:val="21"/>
          <w:szCs w:val="21"/>
        </w:rPr>
        <w:t>(1)</w:t>
      </w:r>
    </w:p>
    <w:p>
      <w:pPr>
        <w:spacing w:line="274" w:lineRule="exact" w:before="22"/>
        <w:ind w:left="180" w:right="120" w:firstLine="0"/>
        <w:jc w:val="both"/>
        <w:rPr>
          <w:rFonts w:ascii="宋体" w:hAnsi="宋体" w:cs="宋体" w:eastAsia="宋体" w:hint="default"/>
          <w:sz w:val="21"/>
          <w:szCs w:val="21"/>
        </w:rPr>
      </w:pPr>
      <w:r>
        <w:rPr>
          <w:rFonts w:ascii="宋体" w:hAnsi="宋体" w:cs="宋体" w:eastAsia="宋体" w:hint="default"/>
          <w:sz w:val="21"/>
          <w:szCs w:val="21"/>
        </w:rPr>
        <w:t>按照企业会计准则的规定编制合并及公司财务报表，并使其实现公允反映；</w:t>
      </w:r>
      <w:r>
        <w:rPr>
          <w:rFonts w:ascii="宋体" w:hAnsi="宋体" w:cs="宋体" w:eastAsia="宋体" w:hint="default"/>
          <w:sz w:val="21"/>
          <w:szCs w:val="21"/>
        </w:rPr>
        <w:t>(2)</w:t>
      </w:r>
      <w:r>
        <w:rPr>
          <w:rFonts w:ascii="宋体" w:hAnsi="宋体" w:cs="宋体" w:eastAsia="宋体" w:hint="default"/>
          <w:sz w:val="21"/>
          <w:szCs w:val="21"/>
        </w:rPr>
        <w:t>设计、执行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和维护必要的内部控制，以使合并及公司财务报表不存在由于舞弊或错误导致的重大错报。</w:t>
      </w:r>
    </w:p>
    <w:p>
      <w:pPr>
        <w:spacing w:line="240" w:lineRule="auto" w:before="11"/>
        <w:rPr>
          <w:rFonts w:ascii="宋体" w:hAnsi="宋体" w:cs="宋体" w:eastAsia="宋体" w:hint="default"/>
          <w:sz w:val="20"/>
          <w:szCs w:val="20"/>
        </w:rPr>
      </w:pPr>
    </w:p>
    <w:p>
      <w:pPr>
        <w:spacing w:line="272" w:lineRule="exact" w:before="0"/>
        <w:ind w:left="600" w:right="0" w:firstLine="96"/>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我们的责任是在执行审计工作的基础上对合并及公司财务报表发表审计意见。我们按照</w:t>
      </w:r>
    </w:p>
    <w:p>
      <w:pPr>
        <w:spacing w:line="272" w:lineRule="exact" w:before="1"/>
        <w:ind w:left="180" w:right="211" w:firstLine="0"/>
        <w:jc w:val="both"/>
        <w:rPr>
          <w:rFonts w:ascii="宋体" w:hAnsi="宋体" w:cs="宋体" w:eastAsia="宋体" w:hint="default"/>
          <w:sz w:val="21"/>
          <w:szCs w:val="21"/>
        </w:rPr>
      </w:pPr>
      <w:r>
        <w:rPr>
          <w:rFonts w:ascii="宋体" w:hAnsi="宋体" w:cs="宋体" w:eastAsia="宋体" w:hint="default"/>
          <w:spacing w:val="-4"/>
          <w:w w:val="100"/>
          <w:sz w:val="21"/>
          <w:szCs w:val="21"/>
        </w:rPr>
        <w:t>中国注册会计师审计准则的规定执行了审计工作。中国注册会计师审计准则要求我们遵守中</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w w:val="100"/>
          <w:sz w:val="21"/>
          <w:szCs w:val="21"/>
        </w:rPr>
        <w:t>国注册会计师职业道德守则，计划和执行审计工作以对合并及公司财务报表是否不存在重大</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错报获取合理保证。</w:t>
      </w:r>
    </w:p>
    <w:p>
      <w:pPr>
        <w:spacing w:line="272" w:lineRule="exact" w:before="1"/>
        <w:ind w:left="180" w:right="0" w:firstLine="419"/>
        <w:jc w:val="left"/>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审计工作涉及实施审计程序，以获取有关合并及公司财务报表金额和披露的审计证据。</w:t>
      </w:r>
      <w:r>
        <w:rPr>
          <w:rFonts w:ascii="宋体" w:hAnsi="宋体" w:cs="宋体" w:eastAsia="宋体" w:hint="default"/>
          <w:w w:val="100"/>
          <w:sz w:val="21"/>
          <w:szCs w:val="21"/>
        </w:rPr>
        <w:t> </w:t>
      </w:r>
      <w:r>
        <w:rPr>
          <w:rFonts w:ascii="宋体" w:hAnsi="宋体" w:cs="宋体" w:eastAsia="宋体" w:hint="default"/>
          <w:spacing w:val="-4"/>
          <w:w w:val="100"/>
          <w:sz w:val="21"/>
          <w:szCs w:val="21"/>
        </w:rPr>
        <w:t>选择的审计程序取决于注册会计师的判断，包括对由于舞弊或错误导致的合并及公司财务报</w:t>
      </w:r>
    </w:p>
    <w:p>
      <w:pPr>
        <w:spacing w:line="272" w:lineRule="exact" w:before="1"/>
        <w:ind w:left="180" w:right="211" w:firstLine="0"/>
        <w:jc w:val="both"/>
        <w:rPr>
          <w:rFonts w:ascii="宋体" w:hAnsi="宋体" w:cs="宋体" w:eastAsia="宋体" w:hint="default"/>
          <w:sz w:val="21"/>
          <w:szCs w:val="21"/>
        </w:rPr>
      </w:pPr>
      <w:r>
        <w:rPr>
          <w:rFonts w:ascii="宋体" w:hAnsi="宋体" w:cs="宋体" w:eastAsia="宋体" w:hint="default"/>
          <w:spacing w:val="-4"/>
          <w:sz w:val="21"/>
          <w:szCs w:val="21"/>
        </w:rPr>
        <w:t>表重大错报风险的评估。在进行风险评估时，注册会计师考虑与合并及公司财务报表编制和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公允列报相关的内部控制，以设计恰当的审计程序，但目的并非对内部控制的有效性发表意</w:t>
      </w:r>
    </w:p>
    <w:p>
      <w:pPr>
        <w:spacing w:line="272" w:lineRule="exact" w:before="1"/>
        <w:ind w:left="180" w:right="211" w:firstLine="0"/>
        <w:jc w:val="both"/>
        <w:rPr>
          <w:rFonts w:ascii="宋体" w:hAnsi="宋体" w:cs="宋体" w:eastAsia="宋体" w:hint="default"/>
          <w:sz w:val="21"/>
          <w:szCs w:val="21"/>
        </w:rPr>
      </w:pPr>
      <w:r>
        <w:rPr>
          <w:rFonts w:ascii="宋体" w:hAnsi="宋体" w:cs="宋体" w:eastAsia="宋体" w:hint="default"/>
          <w:spacing w:val="-4"/>
          <w:sz w:val="21"/>
          <w:szCs w:val="21"/>
        </w:rPr>
        <w:t>见。审计工作还包括评价管理层选用会计政策的恰当性和作出会计估计的合理性，以及评价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合并及公司财务报表的总体列报。</w:t>
      </w:r>
    </w:p>
    <w:p>
      <w:pPr>
        <w:spacing w:line="249" w:lineRule="exact" w:before="0"/>
        <w:ind w:left="600" w:right="0"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10"/>
        <w:rPr>
          <w:rFonts w:ascii="宋体" w:hAnsi="宋体" w:cs="宋体" w:eastAsia="宋体" w:hint="default"/>
          <w:sz w:val="22"/>
          <w:szCs w:val="22"/>
        </w:rPr>
      </w:pPr>
    </w:p>
    <w:p>
      <w:pPr>
        <w:spacing w:line="272" w:lineRule="exact" w:before="0"/>
        <w:ind w:left="600" w:right="0" w:firstLine="98"/>
        <w:jc w:val="left"/>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我们认为，海隆软件公司合并及公司财务报表在所有重大方面按照企业会计准则的规定</w:t>
      </w:r>
    </w:p>
    <w:p>
      <w:pPr>
        <w:spacing w:line="272" w:lineRule="exact" w:before="1"/>
        <w:ind w:left="180" w:right="215" w:firstLine="0"/>
        <w:jc w:val="both"/>
        <w:rPr>
          <w:rFonts w:ascii="宋体" w:hAnsi="宋体" w:cs="宋体" w:eastAsia="宋体" w:hint="default"/>
          <w:sz w:val="21"/>
          <w:szCs w:val="21"/>
        </w:rPr>
      </w:pPr>
      <w:r>
        <w:rPr>
          <w:rFonts w:ascii="宋体" w:hAnsi="宋体" w:cs="宋体" w:eastAsia="宋体" w:hint="default"/>
          <w:spacing w:val="-8"/>
          <w:w w:val="100"/>
          <w:sz w:val="21"/>
          <w:szCs w:val="21"/>
        </w:rPr>
        <w:t>编制，公允反映了海隆软件公司</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日的合并及公司财务状况以及</w:t>
      </w:r>
      <w:r>
        <w:rPr>
          <w:rFonts w:ascii="宋体" w:hAnsi="宋体" w:cs="宋体" w:eastAsia="宋体" w:hint="default"/>
          <w:spacing w:val="-55"/>
          <w:w w:val="100"/>
          <w:sz w:val="21"/>
          <w:szCs w:val="21"/>
        </w:rPr>
        <w:t> </w:t>
      </w:r>
      <w:r>
        <w:rPr>
          <w:rFonts w:ascii="宋体" w:hAnsi="宋体" w:cs="宋体" w:eastAsia="宋体" w:hint="default"/>
          <w:w w:val="100"/>
          <w:sz w:val="21"/>
          <w:szCs w:val="21"/>
        </w:rPr>
        <w:t>2011</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年度的</w:t>
      </w:r>
      <w:r>
        <w:rPr>
          <w:rFonts w:ascii="宋体" w:hAnsi="宋体" w:cs="宋体" w:eastAsia="宋体" w:hint="default"/>
          <w:w w:val="100"/>
          <w:sz w:val="21"/>
          <w:szCs w:val="21"/>
        </w:rPr>
        <w:t> </w:t>
      </w:r>
      <w:r>
        <w:rPr>
          <w:rFonts w:ascii="宋体" w:hAnsi="宋体" w:cs="宋体" w:eastAsia="宋体" w:hint="default"/>
          <w:sz w:val="21"/>
          <w:szCs w:val="21"/>
        </w:rPr>
        <w:t>合并及公司经营成果和合并及公司现金流量。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80" w:right="0" w:firstLine="0"/>
        <w:jc w:val="both"/>
        <w:rPr>
          <w:rFonts w:ascii="宋体" w:hAnsi="宋体" w:cs="宋体" w:eastAsia="宋体" w:hint="default"/>
          <w:sz w:val="21"/>
          <w:szCs w:val="21"/>
        </w:rPr>
      </w:pPr>
      <w:r>
        <w:rPr>
          <w:rFonts w:ascii="宋体" w:hAnsi="宋体" w:cs="宋体" w:eastAsia="宋体" w:hint="default"/>
          <w:sz w:val="21"/>
          <w:szCs w:val="21"/>
        </w:rPr>
        <w:t>上海众华沪银会计师事务所有限公司        中国注册会计师    </w:t>
      </w:r>
      <w:r>
        <w:rPr>
          <w:rFonts w:ascii="宋体" w:hAnsi="宋体" w:cs="宋体" w:eastAsia="宋体" w:hint="default"/>
          <w:spacing w:val="104"/>
          <w:sz w:val="21"/>
          <w:szCs w:val="21"/>
        </w:rPr>
        <w:t> </w:t>
      </w:r>
      <w:r>
        <w:rPr>
          <w:rFonts w:ascii="宋体" w:hAnsi="宋体" w:cs="宋体" w:eastAsia="宋体" w:hint="default"/>
          <w:sz w:val="21"/>
          <w:szCs w:val="21"/>
        </w:rPr>
        <w:t>林东模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6481" w:val="left" w:leader="none"/>
          <w:tab w:pos="6901" w:val="left" w:leader="none"/>
        </w:tabs>
        <w:spacing w:before="0"/>
        <w:ind w:left="4381" w:right="0" w:firstLine="0"/>
        <w:jc w:val="left"/>
        <w:rPr>
          <w:rFonts w:ascii="宋体" w:hAnsi="宋体" w:cs="宋体" w:eastAsia="宋体" w:hint="default"/>
          <w:sz w:val="21"/>
          <w:szCs w:val="21"/>
        </w:rPr>
      </w:pPr>
      <w:r>
        <w:rPr>
          <w:rFonts w:ascii="宋体" w:hAnsi="宋体" w:cs="宋体" w:eastAsia="宋体" w:hint="default"/>
          <w:spacing w:val="-2"/>
          <w:sz w:val="21"/>
          <w:szCs w:val="21"/>
        </w:rPr>
        <w:t>中国注册会计师</w:t>
        <w:tab/>
      </w:r>
      <w:r>
        <w:rPr>
          <w:rFonts w:ascii="宋体" w:hAnsi="宋体" w:cs="宋体" w:eastAsia="宋体" w:hint="default"/>
          <w:sz w:val="21"/>
          <w:szCs w:val="21"/>
        </w:rPr>
        <w:t>杨</w:t>
        <w:tab/>
        <w:t>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tabs>
          <w:tab w:pos="4380" w:val="left" w:leader="none"/>
        </w:tabs>
        <w:spacing w:before="0"/>
        <w:ind w:left="180" w:right="0" w:firstLine="0"/>
        <w:jc w:val="both"/>
        <w:rPr>
          <w:rFonts w:ascii="宋体" w:hAnsi="宋体" w:cs="宋体" w:eastAsia="宋体" w:hint="default"/>
          <w:sz w:val="21"/>
          <w:szCs w:val="21"/>
        </w:rPr>
      </w:pPr>
      <w:r>
        <w:rPr>
          <w:rFonts w:ascii="宋体" w:hAnsi="宋体" w:cs="宋体" w:eastAsia="宋体" w:hint="default"/>
          <w:spacing w:val="-1"/>
          <w:sz w:val="21"/>
          <w:szCs w:val="21"/>
        </w:rPr>
        <w:t>中国，上海</w:t>
        <w:tab/>
      </w:r>
      <w:r>
        <w:rPr>
          <w:rFonts w:ascii="宋体" w:hAnsi="宋体" w:cs="宋体" w:eastAsia="宋体" w:hint="default"/>
          <w:spacing w:val="-2"/>
          <w:sz w:val="21"/>
          <w:szCs w:val="21"/>
        </w:rPr>
        <w:t>二〇一二年四月十六日</w:t>
      </w:r>
    </w:p>
    <w:p>
      <w:pPr>
        <w:spacing w:after="0"/>
        <w:jc w:val="both"/>
        <w:rPr>
          <w:rFonts w:ascii="宋体" w:hAnsi="宋体" w:cs="宋体" w:eastAsia="宋体" w:hint="default"/>
          <w:sz w:val="21"/>
          <w:szCs w:val="21"/>
        </w:rPr>
        <w:sectPr>
          <w:type w:val="continuous"/>
          <w:pgSz w:w="11910" w:h="16840"/>
          <w:pgMar w:top="1100" w:bottom="1380" w:left="1620" w:right="1580"/>
        </w:sectPr>
      </w:pPr>
    </w:p>
    <w:p>
      <w:pPr>
        <w:pStyle w:val="Heading3"/>
        <w:spacing w:line="313" w:lineRule="exact" w:before="72"/>
        <w:ind w:left="920" w:right="0"/>
        <w:jc w:val="left"/>
        <w:rPr>
          <w:b w:val="0"/>
          <w:bCs w:val="0"/>
        </w:rPr>
      </w:pPr>
      <w:r>
        <w:rPr/>
        <w:t>二、财务报表</w:t>
      </w:r>
      <w:r>
        <w:rPr>
          <w:b w:val="0"/>
          <w:bCs w:val="0"/>
        </w:rPr>
      </w:r>
    </w:p>
    <w:p>
      <w:pPr>
        <w:pStyle w:val="Heading3"/>
        <w:spacing w:line="313" w:lineRule="exact" w:before="0"/>
        <w:ind w:left="920" w:right="0"/>
        <w:jc w:val="left"/>
        <w:rPr>
          <w:b w:val="0"/>
          <w:bCs w:val="0"/>
        </w:rPr>
      </w:pPr>
      <w:r>
        <w:rPr/>
        <w:t>（一）资产负债表</w:t>
      </w:r>
      <w:r>
        <w:rPr>
          <w:b w:val="0"/>
          <w:bCs w:val="0"/>
        </w:rPr>
      </w:r>
    </w:p>
    <w:p>
      <w:pPr>
        <w:spacing w:line="240" w:lineRule="auto" w:before="5"/>
        <w:rPr>
          <w:rFonts w:ascii="宋体" w:hAnsi="宋体" w:cs="宋体" w:eastAsia="宋体" w:hint="default"/>
          <w:b/>
          <w:bCs/>
          <w:sz w:val="27"/>
          <w:szCs w:val="27"/>
        </w:rPr>
      </w:pPr>
    </w:p>
    <w:p>
      <w:pPr>
        <w:tabs>
          <w:tab w:pos="5384" w:val="left" w:leader="none"/>
          <w:tab w:pos="8851" w:val="left" w:leader="none"/>
        </w:tabs>
        <w:spacing w:before="0"/>
        <w:ind w:left="43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834"/>
        <w:gridCol w:w="636"/>
        <w:gridCol w:w="637"/>
        <w:gridCol w:w="1699"/>
        <w:gridCol w:w="1695"/>
        <w:gridCol w:w="1685"/>
        <w:gridCol w:w="1687"/>
      </w:tblGrid>
      <w:tr>
        <w:trPr>
          <w:trHeight w:val="358" w:hRule="exact"/>
        </w:trPr>
        <w:tc>
          <w:tcPr>
            <w:tcW w:w="1834"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27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99" w:type="dxa"/>
            <w:vMerge w:val="restart"/>
            <w:tcBorders>
              <w:top w:val="single" w:sz="17" w:space="0" w:color="000000"/>
              <w:left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95" w:type="dxa"/>
            <w:vMerge w:val="restart"/>
            <w:tcBorders>
              <w:top w:val="single" w:sz="17" w:space="0" w:color="000000"/>
              <w:left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685" w:type="dxa"/>
            <w:vMerge w:val="restart"/>
            <w:tcBorders>
              <w:top w:val="single" w:sz="17" w:space="0" w:color="000000"/>
              <w:left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87" w:type="dxa"/>
            <w:vMerge w:val="restart"/>
            <w:tcBorders>
              <w:top w:val="single" w:sz="17" w:space="0" w:color="000000"/>
              <w:left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1834" w:type="dxa"/>
            <w:vMerge/>
            <w:tcBorders>
              <w:left w:val="nil" w:sz="6" w:space="0" w:color="auto"/>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2"/>
              <w:jc w:val="right"/>
              <w:rPr>
                <w:rFonts w:ascii="宋体" w:hAnsi="宋体" w:cs="宋体" w:eastAsia="宋体" w:hint="default"/>
                <w:sz w:val="18"/>
                <w:szCs w:val="18"/>
              </w:rPr>
            </w:pPr>
            <w:r>
              <w:rPr>
                <w:rFonts w:ascii="宋体" w:hAnsi="宋体" w:cs="宋体" w:eastAsia="宋体" w:hint="default"/>
                <w:sz w:val="18"/>
                <w:szCs w:val="18"/>
              </w:rPr>
              <w:t>合并</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699" w:type="dxa"/>
            <w:vMerge/>
            <w:tcBorders>
              <w:left w:val="single" w:sz="4" w:space="0" w:color="000000"/>
              <w:bottom w:val="single" w:sz="4" w:space="0" w:color="000000"/>
              <w:right w:val="single" w:sz="4" w:space="0" w:color="000000"/>
            </w:tcBorders>
          </w:tcPr>
          <w:p>
            <w:pPr/>
          </w:p>
        </w:tc>
        <w:tc>
          <w:tcPr>
            <w:tcW w:w="1695"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nil" w:sz="6" w:space="0" w:color="auto"/>
            </w:tcBorders>
          </w:tcPr>
          <w:p>
            <w:pPr/>
          </w:p>
        </w:tc>
      </w:tr>
      <w:tr>
        <w:trPr>
          <w:trHeight w:val="370"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6.1</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247,726,796.12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296,183,647.67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193,057,115.59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246,645,739.02</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30,849,856.34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25,388,054.15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23,930,939.58</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23,106,703.13</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6.4</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1,102,725.78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1,119,686.44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3,197,618.00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8,115,134.41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1,265,738.70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7,413,667.07</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6.5</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1,362,966.71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1,357,967.49</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64"/>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284,239,962.95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332,164,490.16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218,253,793.87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277,166,109.22</w:t>
            </w:r>
          </w:p>
        </w:tc>
      </w:tr>
      <w:tr>
        <w:trPr>
          <w:trHeight w:val="32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6.6</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248,700.00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248,700.00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12.3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18,916,919.95</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18,916,919.95</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6.7</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123,119,088.45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14,062,094.49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120,209,899.67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11,791,448.47</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6.8</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9,508,636.16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7,697,953.23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8,666,795.15</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7,237,703.81</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6.8</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3,194,138.72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1,715,732.24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3,194,138.72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1,715,732.24</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6.9</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146,337.55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146,337.55</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6.10</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3,561,523.90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2,834,010.34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1,796,553.65</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881,349.01</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6.11</w:t>
            </w: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20,000.00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20,000.00</w:t>
            </w:r>
          </w:p>
        </w:tc>
      </w:tr>
      <w:tr>
        <w:trPr>
          <w:trHeight w:val="322"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139,778,424.78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26,724,827.85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152,784,307.14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40,563,153.48</w:t>
            </w:r>
          </w:p>
        </w:tc>
      </w:tr>
      <w:tr>
        <w:trPr>
          <w:trHeight w:val="338" w:hRule="exact"/>
        </w:trPr>
        <w:tc>
          <w:tcPr>
            <w:tcW w:w="183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636" w:type="dxa"/>
            <w:tcBorders>
              <w:top w:val="single" w:sz="4" w:space="0" w:color="000000"/>
              <w:left w:val="single" w:sz="4" w:space="0" w:color="000000"/>
              <w:bottom w:val="single" w:sz="17" w:space="0" w:color="000000"/>
              <w:right w:val="single" w:sz="4" w:space="0" w:color="000000"/>
            </w:tcBorders>
          </w:tcPr>
          <w:p>
            <w:pPr/>
          </w:p>
        </w:tc>
        <w:tc>
          <w:tcPr>
            <w:tcW w:w="637" w:type="dxa"/>
            <w:tcBorders>
              <w:top w:val="single" w:sz="4" w:space="0" w:color="000000"/>
              <w:left w:val="single" w:sz="4" w:space="0" w:color="000000"/>
              <w:bottom w:val="single" w:sz="17" w:space="0" w:color="000000"/>
              <w:right w:val="single" w:sz="4" w:space="0" w:color="000000"/>
            </w:tcBorders>
          </w:tcPr>
          <w:p>
            <w:pP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424,018,387.73</w:t>
            </w:r>
          </w:p>
        </w:tc>
        <w:tc>
          <w:tcPr>
            <w:tcW w:w="1695" w:type="dxa"/>
            <w:tcBorders>
              <w:top w:val="single" w:sz="4" w:space="0" w:color="000000"/>
              <w:left w:val="single" w:sz="4" w:space="0" w:color="000000"/>
              <w:bottom w:val="single" w:sz="17"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358,889,318.01</w:t>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371,038,101.01</w:t>
            </w:r>
          </w:p>
        </w:tc>
        <w:tc>
          <w:tcPr>
            <w:tcW w:w="1687" w:type="dxa"/>
            <w:tcBorders>
              <w:top w:val="single" w:sz="4" w:space="0" w:color="000000"/>
              <w:left w:val="single" w:sz="4" w:space="0" w:color="000000"/>
              <w:bottom w:val="single" w:sz="17"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317,729,262.70</w:t>
            </w:r>
          </w:p>
        </w:tc>
      </w:tr>
    </w:tbl>
    <w:p>
      <w:pPr>
        <w:spacing w:after="0" w:line="262" w:lineRule="exact"/>
        <w:jc w:val="right"/>
        <w:rPr>
          <w:rFonts w:ascii="宋体" w:hAnsi="宋体" w:cs="宋体" w:eastAsia="宋体" w:hint="default"/>
          <w:sz w:val="21"/>
          <w:szCs w:val="21"/>
        </w:rPr>
        <w:sectPr>
          <w:pgSz w:w="11910" w:h="16840"/>
          <w:pgMar w:header="876" w:footer="980" w:top="1320" w:bottom="1160" w:left="880" w:right="860"/>
        </w:sectPr>
      </w:pPr>
    </w:p>
    <w:p>
      <w:pPr>
        <w:pStyle w:val="Heading3"/>
        <w:spacing w:line="240" w:lineRule="auto" w:before="72"/>
        <w:ind w:left="1120" w:right="0"/>
        <w:jc w:val="left"/>
        <w:rPr>
          <w:b w:val="0"/>
          <w:bCs w:val="0"/>
        </w:rPr>
      </w:pPr>
      <w:r>
        <w:rPr/>
        <w:t>（一）资产负债表（续）</w:t>
      </w:r>
      <w:r>
        <w:rPr>
          <w:b w:val="0"/>
          <w:bCs w:val="0"/>
        </w:rPr>
      </w:r>
    </w:p>
    <w:p>
      <w:pPr>
        <w:tabs>
          <w:tab w:pos="5584" w:val="left" w:leader="none"/>
          <w:tab w:pos="9051" w:val="left" w:leader="none"/>
        </w:tabs>
        <w:spacing w:before="47"/>
        <w:ind w:left="63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326"/>
        <w:gridCol w:w="636"/>
        <w:gridCol w:w="574"/>
        <w:gridCol w:w="1685"/>
        <w:gridCol w:w="1688"/>
        <w:gridCol w:w="1685"/>
        <w:gridCol w:w="1687"/>
      </w:tblGrid>
      <w:tr>
        <w:trPr>
          <w:trHeight w:val="358" w:hRule="exact"/>
        </w:trPr>
        <w:tc>
          <w:tcPr>
            <w:tcW w:w="2326"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38"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21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85"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88"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85"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87" w:type="dxa"/>
            <w:vMerge w:val="restart"/>
            <w:tcBorders>
              <w:top w:val="single" w:sz="17"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670" w:hRule="exact"/>
        </w:trPr>
        <w:tc>
          <w:tcPr>
            <w:tcW w:w="2326" w:type="dxa"/>
            <w:vMerge/>
            <w:tcBorders>
              <w:left w:val="nil" w:sz="6" w:space="0" w:color="auto"/>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92" w:right="191"/>
              <w:jc w:val="center"/>
              <w:rPr>
                <w:rFonts w:ascii="宋体" w:hAnsi="宋体" w:cs="宋体" w:eastAsia="宋体" w:hint="default"/>
                <w:sz w:val="18"/>
                <w:szCs w:val="18"/>
              </w:rPr>
            </w:pPr>
            <w:r>
              <w:rPr>
                <w:rFonts w:ascii="宋体" w:hAnsi="宋体" w:cs="宋体" w:eastAsia="宋体" w:hint="default"/>
                <w:sz w:val="18"/>
                <w:szCs w:val="18"/>
              </w:rPr>
              <w:t>公 司</w:t>
            </w:r>
          </w:p>
        </w:tc>
        <w:tc>
          <w:tcPr>
            <w:tcW w:w="1685"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6.13</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14,866,180.00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14,063,000.00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10,000,000.00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10,000,000.00</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6.14</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2,207,983.10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678,579.56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2,873,353.00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3,643,590.27</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6.15</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969,036.67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1,487,591.04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6.16</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10,735,030.00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11,327,483.25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7,402,712.52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8,264,699.26</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6.17</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11,595,569.18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7,052,159.27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6,160,164.66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2,297,865.08</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6.18</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374,933.55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958,910.34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84,188.76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400,465.07</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6.19</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2,136,748.02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1,943,327.02</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40,748,732.50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37,704,471.48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26,520,418.94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26,549,946.70</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40,748,732.50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37,704,471.48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26,520,418.94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26,549,946.70</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股东权益（或股东权益）：</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6.20</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111,930,000.00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74,620,000.00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111,930,000.00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74,620,000.00</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6.21</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66,114,508.26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99,526,908.26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66,093,813.46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99,506,213.46</w:t>
            </w:r>
          </w:p>
        </w:tc>
      </w:tr>
      <w:tr>
        <w:trPr>
          <w:trHeight w:val="32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6.22</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23,893,760.48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18,203,483.87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23,893,760.48</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18,203,483.87</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6.23</w:t>
            </w: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164,402,873.88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112,584,973.95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142,600,108.13</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98,849,618.67</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873,186.45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850,972.34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09"/>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367,214,329.07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305,786,338.42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344,517,682.07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291,179,316.00</w:t>
            </w:r>
          </w:p>
        </w:tc>
      </w:tr>
      <w:tr>
        <w:trPr>
          <w:trHeight w:val="322"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16,055,326.16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15,398,508.11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383,269,655.23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321,184,846.53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344,517,682.07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291,179,316.00</w:t>
            </w:r>
          </w:p>
        </w:tc>
      </w:tr>
      <w:tr>
        <w:trPr>
          <w:trHeight w:val="389" w:hRule="exact"/>
        </w:trPr>
        <w:tc>
          <w:tcPr>
            <w:tcW w:w="232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负债及股东权益总计</w:t>
            </w:r>
            <w:r>
              <w:rPr>
                <w:rFonts w:ascii="宋体" w:hAnsi="宋体" w:cs="宋体" w:eastAsia="宋体" w:hint="default"/>
                <w:sz w:val="18"/>
                <w:szCs w:val="18"/>
              </w:rPr>
            </w:r>
          </w:p>
        </w:tc>
        <w:tc>
          <w:tcPr>
            <w:tcW w:w="636" w:type="dxa"/>
            <w:tcBorders>
              <w:top w:val="single" w:sz="4" w:space="0" w:color="000000"/>
              <w:left w:val="single" w:sz="4" w:space="0" w:color="000000"/>
              <w:bottom w:val="single" w:sz="17" w:space="0" w:color="000000"/>
              <w:right w:val="single" w:sz="4" w:space="0" w:color="000000"/>
            </w:tcBorders>
          </w:tcPr>
          <w:p>
            <w:pPr/>
          </w:p>
        </w:tc>
        <w:tc>
          <w:tcPr>
            <w:tcW w:w="574" w:type="dxa"/>
            <w:tcBorders>
              <w:top w:val="single" w:sz="4" w:space="0" w:color="000000"/>
              <w:left w:val="single" w:sz="4" w:space="0" w:color="000000"/>
              <w:bottom w:val="single" w:sz="17" w:space="0" w:color="000000"/>
              <w:right w:val="single" w:sz="4" w:space="0" w:color="000000"/>
            </w:tcBorders>
          </w:tcPr>
          <w:p>
            <w:pP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pacing w:val="-1"/>
                <w:sz w:val="21"/>
              </w:rPr>
              <w:t>424,018,387.73</w:t>
            </w:r>
          </w:p>
        </w:tc>
        <w:tc>
          <w:tcPr>
            <w:tcW w:w="16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358,889,318.01</w:t>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pacing w:val="-1"/>
                <w:sz w:val="21"/>
              </w:rPr>
              <w:t>371,038,101.01</w:t>
            </w:r>
          </w:p>
        </w:tc>
        <w:tc>
          <w:tcPr>
            <w:tcW w:w="168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pacing w:val="-1"/>
                <w:sz w:val="21"/>
              </w:rPr>
              <w:t>317,729,262.70</w:t>
            </w:r>
          </w:p>
        </w:tc>
      </w:tr>
    </w:tbl>
    <w:p>
      <w:pPr>
        <w:spacing w:line="266" w:lineRule="exact" w:before="0"/>
        <w:ind w:left="270" w:right="0" w:firstLine="0"/>
        <w:jc w:val="left"/>
        <w:rPr>
          <w:rFonts w:ascii="宋体" w:hAnsi="宋体" w:cs="宋体" w:eastAsia="宋体" w:hint="default"/>
          <w:sz w:val="22"/>
          <w:szCs w:val="22"/>
        </w:rPr>
      </w:pPr>
      <w:r>
        <w:rPr>
          <w:rFonts w:ascii="宋体" w:hAnsi="宋体" w:cs="宋体" w:eastAsia="宋体" w:hint="default"/>
          <w:sz w:val="22"/>
          <w:szCs w:val="22"/>
        </w:rPr>
        <w:t>后附财务报表附注为本财务报表的必要组成部分。</w:t>
      </w:r>
    </w:p>
    <w:p>
      <w:pPr>
        <w:tabs>
          <w:tab w:pos="3132" w:val="left" w:leader="none"/>
          <w:tab w:pos="6982" w:val="left" w:leader="none"/>
        </w:tabs>
        <w:spacing w:before="24"/>
        <w:ind w:left="270"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t>主管会计工作负责人：包叔平</w:t>
        <w:tab/>
        <w:t>会计机构负责人：董</w:t>
      </w:r>
      <w:r>
        <w:rPr>
          <w:rFonts w:ascii="宋体" w:hAnsi="宋体" w:cs="宋体" w:eastAsia="宋体" w:hint="default"/>
          <w:spacing w:val="9"/>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1910" w:h="16840"/>
          <w:pgMar w:header="876" w:footer="980" w:top="1320" w:bottom="1160" w:left="680" w:right="660"/>
        </w:sectPr>
      </w:pPr>
    </w:p>
    <w:p>
      <w:pPr>
        <w:pStyle w:val="Heading3"/>
        <w:spacing w:line="240" w:lineRule="auto" w:before="72"/>
        <w:ind w:left="960" w:right="0"/>
        <w:jc w:val="left"/>
        <w:rPr>
          <w:b w:val="0"/>
          <w:bCs w:val="0"/>
        </w:rPr>
      </w:pPr>
      <w:r>
        <w:rPr/>
        <w:t>（二）利润表</w:t>
      </w:r>
      <w:r>
        <w:rPr>
          <w:b w:val="0"/>
          <w:bCs w:val="0"/>
        </w:rPr>
      </w:r>
    </w:p>
    <w:p>
      <w:pPr>
        <w:tabs>
          <w:tab w:pos="5725" w:val="left" w:leader="none"/>
          <w:tab w:pos="9191" w:val="left" w:leader="none"/>
        </w:tabs>
        <w:spacing w:before="47"/>
        <w:ind w:left="77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055"/>
        <w:gridCol w:w="576"/>
        <w:gridCol w:w="577"/>
        <w:gridCol w:w="1687"/>
        <w:gridCol w:w="1685"/>
        <w:gridCol w:w="1688"/>
        <w:gridCol w:w="1685"/>
      </w:tblGrid>
      <w:tr>
        <w:trPr>
          <w:trHeight w:val="358" w:hRule="exact"/>
        </w:trPr>
        <w:tc>
          <w:tcPr>
            <w:tcW w:w="2055"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87"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85" w:type="dxa"/>
            <w:vMerge w:val="restart"/>
            <w:tcBorders>
              <w:top w:val="single" w:sz="17" w:space="0" w:color="000000"/>
              <w:left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88"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85" w:type="dxa"/>
            <w:vMerge w:val="restart"/>
            <w:tcBorders>
              <w:top w:val="single" w:sz="17" w:space="0" w:color="000000"/>
              <w:left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40" w:lineRule="auto" w:before="76"/>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2055" w:type="dxa"/>
            <w:vMerge/>
            <w:tcBorders>
              <w:left w:val="nil" w:sz="6" w:space="0" w:color="auto"/>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687"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390,699,391.77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294,250,120.89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240,249,355.20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177,271,977.87</w:t>
            </w:r>
          </w:p>
        </w:tc>
      </w:tr>
      <w:tr>
        <w:trPr>
          <w:trHeight w:val="324"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226,371,728.18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175,755,281.47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119,763,203.63</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91,929,467.52</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6.25</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720,506.95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413,976.57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86,200.89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178,250.79</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6.26</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17,048,357.14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13,693,061.69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10,926,609.76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9,633,337.33</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6.27</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75,818,215.05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61,519,913.66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51,030,673.54</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39,737,398.72</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6.28</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-1,348,692.68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-1,886,313.64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-1,170,819.77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-1,535,927.14</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6.29</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-149,020.03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-59,348.24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-200,000.00</w:t>
            </w: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12.5</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486,516.00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-183,878.68</w:t>
            </w:r>
          </w:p>
        </w:tc>
      </w:tr>
      <w:tr>
        <w:trPr>
          <w:trHeight w:val="634"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2" w:firstLine="362"/>
              <w:jc w:val="left"/>
              <w:rPr>
                <w:rFonts w:ascii="宋体" w:hAnsi="宋体" w:cs="宋体" w:eastAsia="宋体" w:hint="default"/>
                <w:sz w:val="18"/>
                <w:szCs w:val="18"/>
              </w:rPr>
            </w:pPr>
            <w:r>
              <w:rPr>
                <w:rFonts w:ascii="宋体" w:hAnsi="宋体" w:cs="宋体" w:eastAsia="宋体" w:hint="default"/>
                <w:sz w:val="18"/>
                <w:szCs w:val="18"/>
              </w:rPr>
              <w:t>其中：对联营企业 和合营企业的投资收益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72,238,297.16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44,813,549.38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60,300,003.15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37,145,571.97</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6.30</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7,118,032.28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9,619,080.53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6,491,288.60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8,764,293.00</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6.31</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167,075.68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506,126.11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141,827.20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441,977.90</w:t>
            </w:r>
          </w:p>
        </w:tc>
      </w:tr>
      <w:tr>
        <w:trPr>
          <w:trHeight w:val="636"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firstLine="274"/>
              <w:jc w:val="left"/>
              <w:rPr>
                <w:rFonts w:ascii="宋体" w:hAnsi="宋体" w:cs="宋体" w:eastAsia="宋体" w:hint="default"/>
                <w:sz w:val="18"/>
                <w:szCs w:val="18"/>
              </w:rPr>
            </w:pPr>
            <w:r>
              <w:rPr>
                <w:rFonts w:ascii="宋体" w:hAnsi="宋体" w:cs="宋体" w:eastAsia="宋体" w:hint="default"/>
                <w:spacing w:val="-8"/>
                <w:sz w:val="18"/>
                <w:szCs w:val="18"/>
              </w:rPr>
              <w:t>其中：非流动资产处</w:t>
            </w:r>
            <w:r>
              <w:rPr>
                <w:rFonts w:ascii="宋体" w:hAnsi="宋体" w:cs="宋体" w:eastAsia="宋体" w:hint="default"/>
                <w:sz w:val="18"/>
                <w:szCs w:val="18"/>
              </w:rPr>
              <w:t> 置损失</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140,478.26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126,801.11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126,827.20</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82,652.90</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79,189,253.76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53,926,503.80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66,649,464.55</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45,467,887.07</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6.32</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13,094,823.17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6,580,544.01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9,746,698.48</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4,210,586.12</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66,094,430.59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47,345,959.79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56,902,766.07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41,257,300.95</w:t>
            </w:r>
          </w:p>
        </w:tc>
      </w:tr>
      <w:tr>
        <w:trPr>
          <w:trHeight w:val="634"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25"/>
              <w:jc w:val="left"/>
              <w:rPr>
                <w:rFonts w:ascii="宋体" w:hAnsi="宋体" w:cs="宋体" w:eastAsia="宋体" w:hint="default"/>
                <w:sz w:val="18"/>
                <w:szCs w:val="18"/>
              </w:rPr>
            </w:pPr>
            <w:r>
              <w:rPr>
                <w:rFonts w:ascii="宋体" w:hAnsi="宋体" w:cs="宋体" w:eastAsia="宋体" w:hint="default"/>
                <w:sz w:val="18"/>
                <w:szCs w:val="18"/>
              </w:rPr>
              <w:t>归属于母公司所有者的 净利润</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64,970,176.54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45,202,806.42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56,902,766.07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41,257,300.95</w:t>
            </w: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1,124,254.05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2,143,153.37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6.33</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6.33</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0.40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6.34</w:t>
            </w: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22,214.11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338,671.19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66,116,644.70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47,684,630.98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56,902,766.07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41,257,300.95</w:t>
            </w:r>
          </w:p>
        </w:tc>
      </w:tr>
      <w:tr>
        <w:trPr>
          <w:trHeight w:val="634" w:hRule="exact"/>
        </w:trPr>
        <w:tc>
          <w:tcPr>
            <w:tcW w:w="205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5"/>
              <w:jc w:val="left"/>
              <w:rPr>
                <w:rFonts w:ascii="宋体" w:hAnsi="宋体" w:cs="宋体" w:eastAsia="宋体" w:hint="default"/>
                <w:sz w:val="18"/>
                <w:szCs w:val="18"/>
              </w:rPr>
            </w:pPr>
            <w:r>
              <w:rPr>
                <w:rFonts w:ascii="宋体" w:hAnsi="宋体" w:cs="宋体" w:eastAsia="宋体" w:hint="default"/>
                <w:sz w:val="18"/>
                <w:szCs w:val="18"/>
              </w:rPr>
              <w:t>归属于母公司所有者的 综合收益总额</w:t>
            </w: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64,992,390.65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45,541,477.61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56,902,766.07</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41,257,300.95</w:t>
            </w:r>
          </w:p>
        </w:tc>
      </w:tr>
      <w:tr>
        <w:trPr>
          <w:trHeight w:val="653" w:hRule="exact"/>
        </w:trPr>
        <w:tc>
          <w:tcPr>
            <w:tcW w:w="2055" w:type="dxa"/>
            <w:tcBorders>
              <w:top w:val="single" w:sz="4" w:space="0" w:color="000000"/>
              <w:left w:val="nil" w:sz="6" w:space="0" w:color="auto"/>
              <w:bottom w:val="single" w:sz="17" w:space="0" w:color="000000"/>
              <w:right w:val="single" w:sz="4" w:space="0" w:color="000000"/>
            </w:tcBorders>
          </w:tcPr>
          <w:p>
            <w:pPr>
              <w:pStyle w:val="TableParagraph"/>
              <w:spacing w:line="316" w:lineRule="auto" w:before="10"/>
              <w:ind w:left="122" w:right="125"/>
              <w:jc w:val="left"/>
              <w:rPr>
                <w:rFonts w:ascii="宋体" w:hAnsi="宋体" w:cs="宋体" w:eastAsia="宋体" w:hint="default"/>
                <w:sz w:val="18"/>
                <w:szCs w:val="18"/>
              </w:rPr>
            </w:pPr>
            <w:r>
              <w:rPr>
                <w:rFonts w:ascii="宋体" w:hAnsi="宋体" w:cs="宋体" w:eastAsia="宋体" w:hint="default"/>
                <w:sz w:val="18"/>
                <w:szCs w:val="18"/>
              </w:rPr>
              <w:t>归属于少数股东的综合 收益总额</w:t>
            </w:r>
          </w:p>
        </w:tc>
        <w:tc>
          <w:tcPr>
            <w:tcW w:w="576" w:type="dxa"/>
            <w:tcBorders>
              <w:top w:val="single" w:sz="4" w:space="0" w:color="000000"/>
              <w:left w:val="single" w:sz="4" w:space="0" w:color="000000"/>
              <w:bottom w:val="single" w:sz="17" w:space="0" w:color="000000"/>
              <w:right w:val="single" w:sz="4" w:space="0" w:color="000000"/>
            </w:tcBorders>
          </w:tcPr>
          <w:p>
            <w:pPr/>
          </w:p>
        </w:tc>
        <w:tc>
          <w:tcPr>
            <w:tcW w:w="577" w:type="dxa"/>
            <w:tcBorders>
              <w:top w:val="single" w:sz="4" w:space="0" w:color="000000"/>
              <w:left w:val="single" w:sz="4" w:space="0" w:color="000000"/>
              <w:bottom w:val="single" w:sz="17" w:space="0" w:color="000000"/>
              <w:right w:val="single" w:sz="4" w:space="0" w:color="000000"/>
            </w:tcBorders>
          </w:tcPr>
          <w:p>
            <w:pPr/>
          </w:p>
        </w:tc>
        <w:tc>
          <w:tcPr>
            <w:tcW w:w="16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1,124,254.05</w:t>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2,143,153.37</w:t>
            </w:r>
          </w:p>
        </w:tc>
        <w:tc>
          <w:tcPr>
            <w:tcW w:w="1688" w:type="dxa"/>
            <w:tcBorders>
              <w:top w:val="single" w:sz="4" w:space="0" w:color="000000"/>
              <w:left w:val="single" w:sz="4" w:space="0" w:color="000000"/>
              <w:bottom w:val="single" w:sz="17" w:space="0" w:color="000000"/>
              <w:right w:val="single" w:sz="4" w:space="0" w:color="000000"/>
            </w:tcBorders>
          </w:tcPr>
          <w:p>
            <w:pPr/>
          </w:p>
        </w:tc>
        <w:tc>
          <w:tcPr>
            <w:tcW w:w="1685" w:type="dxa"/>
            <w:tcBorders>
              <w:top w:val="single" w:sz="4" w:space="0" w:color="000000"/>
              <w:left w:val="single" w:sz="4" w:space="0" w:color="000000"/>
              <w:bottom w:val="single" w:sz="17" w:space="0" w:color="000000"/>
              <w:right w:val="nil" w:sz="6" w:space="0" w:color="auto"/>
            </w:tcBorders>
          </w:tcPr>
          <w:p>
            <w:pPr/>
          </w:p>
        </w:tc>
      </w:tr>
    </w:tbl>
    <w:p>
      <w:pPr>
        <w:spacing w:line="240" w:lineRule="auto" w:before="9"/>
        <w:rPr>
          <w:rFonts w:ascii="宋体" w:hAnsi="宋体" w:cs="宋体" w:eastAsia="宋体" w:hint="default"/>
          <w:sz w:val="19"/>
          <w:szCs w:val="19"/>
        </w:rPr>
      </w:pPr>
    </w:p>
    <w:p>
      <w:pPr>
        <w:tabs>
          <w:tab w:pos="3255" w:val="left" w:leader="none"/>
          <w:tab w:pos="7030" w:val="left" w:leader="none"/>
        </w:tabs>
        <w:spacing w:before="32"/>
        <w:ind w:left="468" w:right="0" w:firstLine="0"/>
        <w:jc w:val="left"/>
        <w:rPr>
          <w:rFonts w:ascii="宋体" w:hAnsi="宋体" w:cs="宋体" w:eastAsia="宋体" w:hint="default"/>
          <w:sz w:val="22"/>
          <w:szCs w:val="22"/>
        </w:rPr>
      </w:pPr>
      <w:r>
        <w:rPr>
          <w:rFonts w:ascii="宋体" w:hAnsi="宋体" w:cs="宋体" w:eastAsia="宋体" w:hint="default"/>
          <w:spacing w:val="-9"/>
          <w:sz w:val="22"/>
          <w:szCs w:val="22"/>
        </w:rPr>
        <w:t>法定代表人：包叔平</w:t>
        <w:tab/>
      </w:r>
      <w:r>
        <w:rPr>
          <w:rFonts w:ascii="宋体" w:hAnsi="宋体" w:cs="宋体" w:eastAsia="宋体" w:hint="default"/>
          <w:spacing w:val="-7"/>
          <w:sz w:val="22"/>
          <w:szCs w:val="22"/>
        </w:rPr>
        <w:t>主管会计工作负责人：包叔平</w:t>
        <w:tab/>
      </w:r>
      <w:r>
        <w:rPr>
          <w:rFonts w:ascii="宋体" w:hAnsi="宋体" w:cs="宋体" w:eastAsia="宋体" w:hint="default"/>
          <w:spacing w:val="-9"/>
          <w:sz w:val="22"/>
          <w:szCs w:val="22"/>
        </w:rPr>
        <w:t>会计机构负责人：董</w:t>
      </w:r>
      <w:r>
        <w:rPr>
          <w:rFonts w:ascii="宋体" w:hAnsi="宋体" w:cs="宋体" w:eastAsia="宋体" w:hint="default"/>
          <w:spacing w:val="9"/>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1910" w:h="16840"/>
          <w:pgMar w:header="876" w:footer="980" w:top="1320" w:bottom="1160" w:left="840" w:right="840"/>
        </w:sectPr>
      </w:pPr>
    </w:p>
    <w:p>
      <w:pPr>
        <w:spacing w:line="240" w:lineRule="auto" w:before="7"/>
        <w:rPr>
          <w:rFonts w:ascii="宋体" w:hAnsi="宋体" w:cs="宋体" w:eastAsia="宋体" w:hint="default"/>
          <w:sz w:val="9"/>
          <w:szCs w:val="9"/>
        </w:rPr>
      </w:pPr>
    </w:p>
    <w:p>
      <w:pPr>
        <w:pStyle w:val="Heading3"/>
        <w:spacing w:line="240" w:lineRule="auto"/>
        <w:ind w:left="192" w:right="0"/>
        <w:jc w:val="left"/>
        <w:rPr>
          <w:b w:val="0"/>
          <w:bCs w:val="0"/>
        </w:rPr>
      </w:pPr>
      <w:r>
        <w:rPr/>
        <w:t>（三）现金流量表</w:t>
      </w:r>
      <w:r>
        <w:rPr>
          <w:b w:val="0"/>
          <w:bCs w:val="0"/>
        </w:rPr>
      </w:r>
    </w:p>
    <w:p>
      <w:pPr>
        <w:tabs>
          <w:tab w:pos="7357" w:val="left" w:leader="none"/>
          <w:tab w:pos="13166" w:val="left" w:leader="none"/>
        </w:tabs>
        <w:spacing w:before="46"/>
        <w:ind w:left="783"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452" w:type="dxa"/>
        <w:tblLayout w:type="fixed"/>
        <w:tblCellMar>
          <w:top w:w="0" w:type="dxa"/>
          <w:left w:w="0" w:type="dxa"/>
          <w:bottom w:w="0" w:type="dxa"/>
          <w:right w:w="0" w:type="dxa"/>
        </w:tblCellMar>
        <w:tblLook w:val="01E0"/>
      </w:tblPr>
      <w:tblGrid>
        <w:gridCol w:w="4676"/>
        <w:gridCol w:w="785"/>
        <w:gridCol w:w="588"/>
        <w:gridCol w:w="1946"/>
        <w:gridCol w:w="1995"/>
        <w:gridCol w:w="1790"/>
        <w:gridCol w:w="2084"/>
      </w:tblGrid>
      <w:tr>
        <w:trPr>
          <w:trHeight w:val="358" w:hRule="exact"/>
        </w:trPr>
        <w:tc>
          <w:tcPr>
            <w:tcW w:w="4676"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37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46" w:type="dxa"/>
            <w:vMerge w:val="restart"/>
            <w:tcBorders>
              <w:top w:val="single" w:sz="17" w:space="0" w:color="000000"/>
              <w:left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995" w:type="dxa"/>
            <w:vMerge w:val="restart"/>
            <w:tcBorders>
              <w:top w:val="single" w:sz="17" w:space="0" w:color="000000"/>
              <w:left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90" w:type="dxa"/>
            <w:vMerge w:val="restart"/>
            <w:tcBorders>
              <w:top w:val="single" w:sz="17" w:space="0" w:color="000000"/>
              <w:left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084" w:type="dxa"/>
            <w:vMerge w:val="restart"/>
            <w:tcBorders>
              <w:top w:val="single" w:sz="17" w:space="0" w:color="000000"/>
              <w:left w:val="single" w:sz="4" w:space="0" w:color="000000"/>
              <w:right w:val="nil" w:sz="6" w:space="0" w:color="auto"/>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58" w:hRule="exact"/>
        </w:trPr>
        <w:tc>
          <w:tcPr>
            <w:tcW w:w="4676" w:type="dxa"/>
            <w:vMerge/>
            <w:tcBorders>
              <w:left w:val="nil" w:sz="6" w:space="0" w:color="auto"/>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946" w:type="dxa"/>
            <w:vMerge/>
            <w:tcBorders>
              <w:left w:val="single" w:sz="4" w:space="0" w:color="000000"/>
              <w:bottom w:val="single" w:sz="4" w:space="0" w:color="000000"/>
              <w:right w:val="single" w:sz="4" w:space="0" w:color="000000"/>
            </w:tcBorders>
          </w:tcPr>
          <w:p>
            <w:pPr/>
          </w:p>
        </w:tc>
        <w:tc>
          <w:tcPr>
            <w:tcW w:w="1995" w:type="dxa"/>
            <w:vMerge/>
            <w:tcBorders>
              <w:left w:val="single" w:sz="4" w:space="0" w:color="000000"/>
              <w:bottom w:val="single" w:sz="4" w:space="0" w:color="000000"/>
              <w:right w:val="single" w:sz="4" w:space="0" w:color="000000"/>
            </w:tcBorders>
          </w:tcPr>
          <w:p>
            <w:pPr/>
          </w:p>
        </w:tc>
        <w:tc>
          <w:tcPr>
            <w:tcW w:w="1790" w:type="dxa"/>
            <w:vMerge/>
            <w:tcBorders>
              <w:left w:val="single" w:sz="4" w:space="0" w:color="000000"/>
              <w:bottom w:val="single" w:sz="4" w:space="0" w:color="000000"/>
              <w:right w:val="single" w:sz="4" w:space="0" w:color="000000"/>
            </w:tcBorders>
          </w:tcPr>
          <w:p>
            <w:pPr/>
          </w:p>
        </w:tc>
        <w:tc>
          <w:tcPr>
            <w:tcW w:w="2084" w:type="dxa"/>
            <w:vMerge/>
            <w:tcBorders>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400,947,781.51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296,787,235.93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238,497,473.59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160,056,248.83</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216,500.00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6.35.1</w:t>
            </w: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12,246,350.88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12,787,205.87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12,545,012.55</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5"/>
              <w:jc w:val="right"/>
              <w:rPr>
                <w:rFonts w:ascii="宋体" w:hAnsi="宋体" w:cs="宋体" w:eastAsia="宋体" w:hint="default"/>
                <w:sz w:val="21"/>
                <w:szCs w:val="21"/>
              </w:rPr>
            </w:pPr>
            <w:r>
              <w:rPr>
                <w:rFonts w:ascii="宋体"/>
                <w:spacing w:val="-1"/>
                <w:sz w:val="21"/>
              </w:rPr>
              <w:t>11,972,753.19</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413,194,132.39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309,790,941.80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251,042,486.14</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172,029,002.02</w:t>
            </w:r>
          </w:p>
        </w:tc>
      </w:tr>
      <w:tr>
        <w:trPr>
          <w:trHeight w:val="324"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98,212,053.50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80,400,228.11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58,603,855.08</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5"/>
              <w:jc w:val="right"/>
              <w:rPr>
                <w:rFonts w:ascii="宋体" w:hAnsi="宋体" w:cs="宋体" w:eastAsia="宋体" w:hint="default"/>
                <w:sz w:val="21"/>
                <w:szCs w:val="21"/>
              </w:rPr>
            </w:pPr>
            <w:r>
              <w:rPr>
                <w:rFonts w:ascii="宋体"/>
                <w:spacing w:val="-1"/>
                <w:sz w:val="21"/>
              </w:rPr>
              <w:t>35,821,688.08</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177,737,727.50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136,409,006.77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89,019,286.23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76,139,443.34</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24,324,463.79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18,080,166.93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14,036,236.27</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9,613,191.17</w:t>
            </w:r>
          </w:p>
        </w:tc>
      </w:tr>
      <w:tr>
        <w:trPr>
          <w:trHeight w:val="370"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6.35.2</w:t>
            </w: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31,741,643.72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32,010,794.21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15,394,683.19</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17,981,020.31</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332,015,888.51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266,900,196.02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177,054,060.77</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139,555,342.90</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6.36.1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81,178,243.88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42,890,745.78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73,988,425.37</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32,473,659.12</w:t>
            </w:r>
          </w:p>
        </w:tc>
      </w:tr>
      <w:tr>
        <w:trPr>
          <w:trHeight w:val="324"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486,516.00</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253,499.10</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79,767.62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151,940.74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76,277.12</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90,000.00</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79,767.62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151,940.74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562,793.12</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343,499.10</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117,816,554.91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11,069,291.35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115,975,994.78</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7,375,883.06</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14,125,000.00</w:t>
            </w: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117,816,554.91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11,069,291.35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115,975,994.78</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21,500,883.06</w:t>
            </w:r>
          </w:p>
        </w:tc>
      </w:tr>
      <w:tr>
        <w:trPr>
          <w:trHeight w:val="324" w:hRule="exact"/>
        </w:trPr>
        <w:tc>
          <w:tcPr>
            <w:tcW w:w="46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-117,736,787.29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-10,917,350.61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-115,413,201.66</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-21,157,383.96</w:t>
            </w:r>
          </w:p>
        </w:tc>
      </w:tr>
    </w:tbl>
    <w:p>
      <w:pPr>
        <w:spacing w:after="0" w:line="265" w:lineRule="exact"/>
        <w:jc w:val="right"/>
        <w:rPr>
          <w:rFonts w:ascii="宋体" w:hAnsi="宋体" w:cs="宋体" w:eastAsia="宋体" w:hint="default"/>
          <w:sz w:val="21"/>
          <w:szCs w:val="21"/>
        </w:rPr>
        <w:sectPr>
          <w:headerReference w:type="default" r:id="rId21"/>
          <w:footerReference w:type="default" r:id="rId22"/>
          <w:pgSz w:w="16840" w:h="11910" w:orient="landscape"/>
          <w:pgMar w:header="876" w:footer="980" w:top="1040" w:bottom="1160" w:left="940" w:right="1400"/>
          <w:pgNumType w:start="82"/>
        </w:sectPr>
      </w:pPr>
    </w:p>
    <w:p>
      <w:pPr>
        <w:pStyle w:val="Heading3"/>
        <w:spacing w:line="240" w:lineRule="auto" w:before="89"/>
        <w:ind w:left="192" w:right="0"/>
        <w:jc w:val="left"/>
        <w:rPr>
          <w:b w:val="0"/>
          <w:bCs w:val="0"/>
        </w:rPr>
      </w:pPr>
      <w:r>
        <w:rPr/>
        <w:t>（三）现金流量表（续）</w:t>
      </w:r>
      <w:r>
        <w:rPr>
          <w:b w:val="0"/>
          <w:bCs w:val="0"/>
        </w:rPr>
      </w:r>
    </w:p>
    <w:p>
      <w:pPr>
        <w:tabs>
          <w:tab w:pos="7266" w:val="left" w:leader="none"/>
          <w:tab w:pos="13075" w:val="left" w:leader="none"/>
        </w:tabs>
        <w:spacing w:before="46"/>
        <w:ind w:left="423"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473" w:type="dxa"/>
        <w:tblLayout w:type="fixed"/>
        <w:tblCellMar>
          <w:top w:w="0" w:type="dxa"/>
          <w:left w:w="0" w:type="dxa"/>
          <w:bottom w:w="0" w:type="dxa"/>
          <w:right w:w="0" w:type="dxa"/>
        </w:tblCellMar>
        <w:tblLook w:val="01E0"/>
      </w:tblPr>
      <w:tblGrid>
        <w:gridCol w:w="4743"/>
        <w:gridCol w:w="756"/>
        <w:gridCol w:w="650"/>
        <w:gridCol w:w="1952"/>
        <w:gridCol w:w="1949"/>
        <w:gridCol w:w="1757"/>
        <w:gridCol w:w="2035"/>
      </w:tblGrid>
      <w:tr>
        <w:trPr>
          <w:trHeight w:val="358" w:hRule="exact"/>
        </w:trPr>
        <w:tc>
          <w:tcPr>
            <w:tcW w:w="4743"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9"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0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52" w:type="dxa"/>
            <w:vMerge w:val="restart"/>
            <w:tcBorders>
              <w:top w:val="single" w:sz="17" w:space="0" w:color="000000"/>
              <w:left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949" w:type="dxa"/>
            <w:vMerge w:val="restart"/>
            <w:tcBorders>
              <w:top w:val="single" w:sz="17" w:space="0" w:color="000000"/>
              <w:left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57" w:type="dxa"/>
            <w:vMerge w:val="restart"/>
            <w:tcBorders>
              <w:top w:val="single" w:sz="17" w:space="0" w:color="000000"/>
              <w:left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035" w:type="dxa"/>
            <w:vMerge w:val="restart"/>
            <w:tcBorders>
              <w:top w:val="single" w:sz="17" w:space="0" w:color="000000"/>
              <w:left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4743" w:type="dxa"/>
            <w:vMerge/>
            <w:tcBorders>
              <w:left w:val="nil" w:sz="6" w:space="0" w:color="auto"/>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52"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757" w:type="dxa"/>
            <w:vMerge/>
            <w:tcBorders>
              <w:left w:val="single" w:sz="4" w:space="0" w:color="000000"/>
              <w:bottom w:val="single" w:sz="4" w:space="0" w:color="000000"/>
              <w:right w:val="single" w:sz="4" w:space="0" w:color="000000"/>
            </w:tcBorders>
          </w:tcPr>
          <w:p>
            <w:pPr/>
          </w:p>
        </w:tc>
        <w:tc>
          <w:tcPr>
            <w:tcW w:w="2035" w:type="dxa"/>
            <w:vMerge/>
            <w:tcBorders>
              <w:left w:val="single" w:sz="4" w:space="0" w:color="000000"/>
              <w:bottom w:val="single" w:sz="4" w:space="0" w:color="000000"/>
              <w:right w:val="nil" w:sz="6" w:space="0" w:color="auto"/>
            </w:tcBorders>
          </w:tcPr>
          <w:p>
            <w:pP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3,412,626.90</w:t>
            </w:r>
          </w:p>
        </w:tc>
        <w:tc>
          <w:tcPr>
            <w:tcW w:w="1757"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833"/>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3,412,626.90</w:t>
            </w:r>
          </w:p>
        </w:tc>
        <w:tc>
          <w:tcPr>
            <w:tcW w:w="1757"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18,110,300.00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18,126,000.00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10,000,000.00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8"/>
              <w:jc w:val="right"/>
              <w:rPr>
                <w:rFonts w:ascii="宋体" w:hAnsi="宋体" w:cs="宋体" w:eastAsia="宋体" w:hint="default"/>
                <w:sz w:val="21"/>
                <w:szCs w:val="21"/>
              </w:rPr>
            </w:pPr>
            <w:r>
              <w:rPr>
                <w:rFonts w:ascii="宋体"/>
                <w:spacing w:val="-1"/>
                <w:sz w:val="21"/>
              </w:rPr>
              <w:t>10,000,000.00</w:t>
            </w:r>
          </w:p>
        </w:tc>
      </w:tr>
      <w:tr>
        <w:trPr>
          <w:trHeight w:val="37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18,110,300.00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21,538,626.90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10,000,000.00</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17,307,120.00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22,916,840.00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10,000,000.00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10,000,000.00</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8,345,366.72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8,340,125.80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7,804,065.27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7,988,150.00</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833"/>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467,436.00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243,557.90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467,436.00</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243,557.90</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25,652,486.72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31,256,965.80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17,804,065.27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8"/>
              <w:jc w:val="right"/>
              <w:rPr>
                <w:rFonts w:ascii="宋体" w:hAnsi="宋体" w:cs="宋体" w:eastAsia="宋体" w:hint="default"/>
                <w:sz w:val="21"/>
                <w:szCs w:val="21"/>
              </w:rPr>
            </w:pPr>
            <w:r>
              <w:rPr>
                <w:rFonts w:ascii="宋体"/>
                <w:spacing w:val="-1"/>
                <w:sz w:val="21"/>
              </w:rPr>
              <w:t>17,988,150.00</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-7,542,186.72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-9,718,338.90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-7,804,065.27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8"/>
              <w:jc w:val="right"/>
              <w:rPr>
                <w:rFonts w:ascii="宋体" w:hAnsi="宋体" w:cs="宋体" w:eastAsia="宋体" w:hint="default"/>
                <w:sz w:val="21"/>
                <w:szCs w:val="21"/>
              </w:rPr>
            </w:pPr>
            <w:r>
              <w:rPr>
                <w:rFonts w:ascii="宋体"/>
                <w:spacing w:val="-1"/>
                <w:sz w:val="21"/>
              </w:rPr>
              <w:t>-7,988,150.00</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-4,356,121.42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1,539,447.94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-4,359,781.87</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1,253,552.16</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-48,456,851.55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23,794,504.21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-53,588,623.43</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8"/>
              <w:jc w:val="right"/>
              <w:rPr>
                <w:rFonts w:ascii="宋体" w:hAnsi="宋体" w:cs="宋体" w:eastAsia="宋体" w:hint="default"/>
                <w:sz w:val="21"/>
                <w:szCs w:val="21"/>
              </w:rPr>
            </w:pPr>
            <w:r>
              <w:rPr>
                <w:rFonts w:ascii="宋体"/>
                <w:spacing w:val="-1"/>
                <w:sz w:val="21"/>
              </w:rPr>
              <w:t>4,581,677.32</w:t>
            </w:r>
          </w:p>
        </w:tc>
      </w:tr>
      <w:tr>
        <w:trPr>
          <w:trHeight w:val="322"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296,183,647.67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272,389,143.46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246,645,739.02</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242,064,061.70</w:t>
            </w:r>
          </w:p>
        </w:tc>
      </w:tr>
      <w:tr>
        <w:trPr>
          <w:trHeight w:val="324" w:hRule="exact"/>
        </w:trPr>
        <w:tc>
          <w:tcPr>
            <w:tcW w:w="4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6.36.2</w:t>
            </w:r>
          </w:p>
        </w:tc>
        <w:tc>
          <w:tcPr>
            <w:tcW w:w="65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247,726,796.12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296,183,647.67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193,057,115.59</w:t>
            </w:r>
          </w:p>
        </w:tc>
        <w:tc>
          <w:tcPr>
            <w:tcW w:w="203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5"/>
              <w:jc w:val="right"/>
              <w:rPr>
                <w:rFonts w:ascii="宋体" w:hAnsi="宋体" w:cs="宋体" w:eastAsia="宋体" w:hint="default"/>
                <w:sz w:val="21"/>
                <w:szCs w:val="21"/>
              </w:rPr>
            </w:pPr>
            <w:r>
              <w:rPr>
                <w:rFonts w:ascii="宋体"/>
                <w:spacing w:val="-1"/>
                <w:sz w:val="21"/>
              </w:rPr>
              <w:t>246,645,739.02</w:t>
            </w:r>
          </w:p>
        </w:tc>
      </w:tr>
    </w:tbl>
    <w:p>
      <w:pPr>
        <w:tabs>
          <w:tab w:pos="5476" w:val="left" w:leader="none"/>
          <w:tab w:pos="10972" w:val="left" w:leader="none"/>
        </w:tabs>
        <w:spacing w:before="55"/>
        <w:ind w:left="1074"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r>
      <w:r>
        <w:rPr>
          <w:rFonts w:ascii="宋体" w:hAnsi="宋体" w:cs="宋体" w:eastAsia="宋体" w:hint="default"/>
          <w:spacing w:val="-2"/>
          <w:sz w:val="22"/>
          <w:szCs w:val="22"/>
        </w:rPr>
        <w:t>主管会计工作负责人：包叔平</w:t>
        <w:tab/>
      </w:r>
      <w:r>
        <w:rPr>
          <w:rFonts w:ascii="宋体" w:hAnsi="宋体" w:cs="宋体" w:eastAsia="宋体" w:hint="default"/>
          <w:spacing w:val="-1"/>
          <w:sz w:val="22"/>
          <w:szCs w:val="22"/>
        </w:rPr>
        <w:t>会计机构负责人：董</w:t>
      </w:r>
      <w:r>
        <w:rPr>
          <w:rFonts w:ascii="宋体" w:hAnsi="宋体" w:cs="宋体" w:eastAsia="宋体" w:hint="default"/>
          <w:spacing w:val="9"/>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6840" w:h="11910" w:orient="landscape"/>
          <w:pgMar w:header="876" w:footer="980" w:top="1100" w:bottom="1160" w:left="940" w:right="1400"/>
        </w:sectPr>
      </w:pPr>
    </w:p>
    <w:p>
      <w:pPr>
        <w:pStyle w:val="Heading3"/>
        <w:spacing w:line="240" w:lineRule="auto" w:before="21"/>
        <w:ind w:left="487" w:right="0"/>
        <w:jc w:val="left"/>
        <w:rPr>
          <w:b w:val="0"/>
          <w:bCs w:val="0"/>
        </w:rPr>
      </w:pPr>
      <w:r>
        <w:rPr/>
        <w:pict>
          <v:shape style="position:absolute;margin-left:45.25pt;margin-top:-9.07437pt;width:38.4pt;height:7.8pt;mso-position-horizontal-relative:page;mso-position-vertical-relative:paragraph;z-index:1168" type="#_x0000_t75" stroked="false">
            <v:imagedata r:id="rId24" o:title=""/>
          </v:shape>
        </w:pict>
      </w:r>
      <w:r>
        <w:rPr/>
        <w:pict>
          <v:group style="position:absolute;margin-left:41.759998pt;margin-top:2.68563pt;width:765.7pt;height:.1pt;mso-position-horizontal-relative:page;mso-position-vertical-relative:paragraph;z-index:-796912" coordorigin="835,54" coordsize="15314,2">
            <v:shape style="position:absolute;left:835;top:54;width:15314;height:2" coordorigin="835,54" coordsize="15314,0" path="m835,54l16149,54e" filled="false" stroked="true" strokeweight=".72pt" strokecolor="#000000">
              <v:path arrowok="t"/>
            </v:shape>
            <w10:wrap type="none"/>
          </v:group>
        </w:pict>
      </w:r>
      <w:r>
        <w:rPr/>
        <w:t>（四）合并股东权益变动表</w:t>
      </w:r>
      <w:r>
        <w:rPr>
          <w:b w:val="0"/>
          <w:bCs w:val="0"/>
        </w:rPr>
      </w:r>
    </w:p>
    <w:p>
      <w:pPr>
        <w:tabs>
          <w:tab w:pos="7133" w:val="left" w:leader="none"/>
          <w:tab w:pos="12945" w:val="left" w:leader="none"/>
        </w:tabs>
        <w:spacing w:before="46"/>
        <w:ind w:left="11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080"/>
        <w:gridCol w:w="1582"/>
        <w:gridCol w:w="1582"/>
        <w:gridCol w:w="1224"/>
        <w:gridCol w:w="1582"/>
        <w:gridCol w:w="1687"/>
        <w:gridCol w:w="1680"/>
        <w:gridCol w:w="1580"/>
        <w:gridCol w:w="1687"/>
      </w:tblGrid>
      <w:tr>
        <w:trPr>
          <w:trHeight w:val="341" w:hRule="exact"/>
        </w:trPr>
        <w:tc>
          <w:tcPr>
            <w:tcW w:w="3080"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37" w:type="dxa"/>
            <w:gridSpan w:val="6"/>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80"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7" w:type="dxa"/>
            <w:vMerge w:val="restart"/>
            <w:tcBorders>
              <w:top w:val="single" w:sz="17"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58" w:hRule="exact"/>
        </w:trPr>
        <w:tc>
          <w:tcPr>
            <w:tcW w:w="3080"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3"/>
              <w:jc w:val="righ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80"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74,620,000.00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99,506,213.46</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14,077,753.77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78,969,897.63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512,301.15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10,106,980.54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277,793,146.55</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74,620,000.00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99,506,213.46</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14,077,753.77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78,969,897.63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512,301.15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10,106,980.54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277,793,146.55</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20,694.80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4,125,730.10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33,615,076.32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338,671.19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5,291,527.57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43,391,699.98</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45,202,806.42</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2,143,153.37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47,345,959.79</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338,671.19</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338,671.19</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45,202,806.42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338,671.19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2,143,153.37</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47,684,630.98</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20,694.80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3,391,932.10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3,412,626.90</w:t>
            </w:r>
          </w:p>
        </w:tc>
      </w:tr>
      <w:tr>
        <w:trPr>
          <w:trHeight w:val="324"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20,694.80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3,391,932.10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3,412,626.90</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4,125,730.10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-11,587,730.10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-243,557.90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-7,705,557.90</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4,125,730.10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-4,125,730.10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-7,462,000.00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-243,557.90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right="103"/>
              <w:jc w:val="right"/>
              <w:rPr>
                <w:rFonts w:ascii="宋体" w:hAnsi="宋体" w:cs="宋体" w:eastAsia="宋体" w:hint="default"/>
                <w:sz w:val="21"/>
                <w:szCs w:val="21"/>
              </w:rPr>
            </w:pPr>
            <w:r>
              <w:rPr>
                <w:rFonts w:ascii="宋体"/>
                <w:spacing w:val="-1"/>
                <w:sz w:val="21"/>
              </w:rPr>
              <w:t>-7,705,557.90</w:t>
            </w: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74,620,000.00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99,526,908.26</w:t>
            </w:r>
          </w:p>
        </w:tc>
        <w:tc>
          <w:tcPr>
            <w:tcW w:w="12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18,203,483.87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112,584,973.95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850,972.34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15,398,508.11</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321,184,846.53</w:t>
            </w:r>
          </w:p>
        </w:tc>
      </w:tr>
    </w:tbl>
    <w:p>
      <w:pPr>
        <w:spacing w:after="0" w:line="262" w:lineRule="exact"/>
        <w:jc w:val="right"/>
        <w:rPr>
          <w:rFonts w:ascii="宋体" w:hAnsi="宋体" w:cs="宋体" w:eastAsia="宋体" w:hint="default"/>
          <w:sz w:val="21"/>
          <w:szCs w:val="21"/>
        </w:rPr>
        <w:sectPr>
          <w:footerReference w:type="default" r:id="rId23"/>
          <w:pgSz w:w="16840" w:h="11910" w:orient="landscape"/>
          <w:pgMar w:footer="980" w:header="876" w:top="1040" w:bottom="1160" w:left="420" w:right="460"/>
          <w:pgNumType w:start="84"/>
        </w:sectPr>
      </w:pPr>
    </w:p>
    <w:p>
      <w:pPr>
        <w:pStyle w:val="Heading3"/>
        <w:spacing w:line="240" w:lineRule="auto" w:before="21"/>
        <w:ind w:left="187" w:right="0"/>
        <w:jc w:val="left"/>
        <w:rPr>
          <w:b w:val="0"/>
          <w:bCs w:val="0"/>
        </w:rPr>
      </w:pPr>
      <w:r>
        <w:rPr/>
        <w:pict>
          <v:group style="position:absolute;margin-left:41.759998pt;margin-top:2.68563pt;width:765.7pt;height:.1pt;mso-position-horizontal-relative:page;mso-position-vertical-relative:paragraph;z-index:-796888" coordorigin="835,54" coordsize="15314,2">
            <v:shape style="position:absolute;left:835;top:54;width:15314;height:2" coordorigin="835,54" coordsize="15314,0" path="m835,54l16149,54e" filled="false" stroked="true" strokeweight=".72pt" strokecolor="#000000">
              <v:path arrowok="t"/>
            </v:shape>
            <w10:wrap type="none"/>
          </v:group>
        </w:pict>
      </w:r>
      <w:r>
        <w:rPr/>
        <w:t>（四）合并股东权益变动表（续）</w:t>
      </w:r>
      <w:r>
        <w:rPr>
          <w:b w:val="0"/>
          <w:bCs w:val="0"/>
        </w:rPr>
      </w:r>
    </w:p>
    <w:p>
      <w:pPr>
        <w:tabs>
          <w:tab w:pos="7800" w:val="left" w:leader="none"/>
          <w:tab w:pos="13609" w:val="left" w:leader="none"/>
        </w:tabs>
        <w:spacing w:before="46"/>
        <w:ind w:left="957"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347" w:type="dxa"/>
        <w:tblLayout w:type="fixed"/>
        <w:tblCellMar>
          <w:top w:w="0" w:type="dxa"/>
          <w:left w:w="0" w:type="dxa"/>
          <w:bottom w:w="0" w:type="dxa"/>
          <w:right w:w="0" w:type="dxa"/>
        </w:tblCellMar>
        <w:tblLook w:val="01E0"/>
      </w:tblPr>
      <w:tblGrid>
        <w:gridCol w:w="2962"/>
        <w:gridCol w:w="1688"/>
        <w:gridCol w:w="1685"/>
        <w:gridCol w:w="888"/>
        <w:gridCol w:w="1584"/>
        <w:gridCol w:w="1685"/>
        <w:gridCol w:w="1267"/>
        <w:gridCol w:w="1640"/>
        <w:gridCol w:w="1735"/>
      </w:tblGrid>
      <w:tr>
        <w:trPr>
          <w:trHeight w:val="40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74,620,000.00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99,526,908.26</w:t>
            </w: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18,203,483.87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112,584,973.95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850,972.34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15,398,508.11</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宋体" w:hAnsi="宋体" w:cs="宋体" w:eastAsia="宋体" w:hint="default"/>
                <w:sz w:val="21"/>
                <w:szCs w:val="21"/>
              </w:rPr>
            </w:pPr>
            <w:r>
              <w:rPr>
                <w:rFonts w:ascii="宋体"/>
                <w:spacing w:val="-1"/>
                <w:sz w:val="21"/>
              </w:rPr>
              <w:t>321,184,846.53</w:t>
            </w: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74,620,000.00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99,526,908.26</w:t>
            </w: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18,203,483.87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112,584,973.95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850,972.34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15,398,508.11</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321,184,846.53</w:t>
            </w:r>
          </w:p>
        </w:tc>
      </w:tr>
      <w:tr>
        <w:trPr>
          <w:trHeight w:val="401"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37,310,000.00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-33,412,400.00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5,690,276.61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51,817,899.93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22,214.11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656,818.05</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62,084,808.70</w:t>
            </w:r>
          </w:p>
        </w:tc>
      </w:tr>
      <w:tr>
        <w:trPr>
          <w:trHeight w:val="404"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64,970,176.54</w:t>
            </w: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spacing w:val="-1"/>
                <w:sz w:val="21"/>
              </w:rPr>
              <w:t>1,124,254.05</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宋体" w:hAnsi="宋体" w:cs="宋体" w:eastAsia="宋体" w:hint="default"/>
                <w:sz w:val="21"/>
                <w:szCs w:val="21"/>
              </w:rPr>
            </w:pPr>
            <w:r>
              <w:rPr>
                <w:rFonts w:ascii="宋体"/>
                <w:spacing w:val="-1"/>
                <w:sz w:val="21"/>
              </w:rPr>
              <w:t>66,094,430.59</w:t>
            </w:r>
          </w:p>
        </w:tc>
      </w:tr>
      <w:tr>
        <w:trPr>
          <w:trHeight w:val="401"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22,214.11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22,214.11</w:t>
            </w:r>
          </w:p>
        </w:tc>
      </w:tr>
      <w:tr>
        <w:trPr>
          <w:trHeight w:val="40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64,970,176.54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22,214.11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1,124,254.05</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66,116,644.70</w:t>
            </w: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．股份支付计入所有者权益的金额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5,690,276.61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-13,152,276.61</w:t>
            </w: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-467,436.00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-7,929,436.00</w:t>
            </w: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5,690,276.61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-5,690,276.61</w:t>
            </w: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-7,462,000.00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-467,436.00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-7,929,436.00</w:t>
            </w:r>
          </w:p>
        </w:tc>
      </w:tr>
      <w:tr>
        <w:trPr>
          <w:trHeight w:val="324"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37,310,000.00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-37,310,000.00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-37,310,000.00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404" w:hRule="exact"/>
        </w:trPr>
        <w:tc>
          <w:tcPr>
            <w:tcW w:w="29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3,897,600.00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3,897,600.00</w:t>
            </w:r>
          </w:p>
        </w:tc>
      </w:tr>
      <w:tr>
        <w:trPr>
          <w:trHeight w:val="420" w:hRule="exact"/>
        </w:trPr>
        <w:tc>
          <w:tcPr>
            <w:tcW w:w="296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111,930,000.00</w:t>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66,114,508.26</w:t>
            </w:r>
          </w:p>
        </w:tc>
        <w:tc>
          <w:tcPr>
            <w:tcW w:w="888" w:type="dxa"/>
            <w:tcBorders>
              <w:top w:val="single" w:sz="4" w:space="0" w:color="000000"/>
              <w:left w:val="single" w:sz="4" w:space="0" w:color="000000"/>
              <w:bottom w:val="single" w:sz="17" w:space="0" w:color="000000"/>
              <w:right w:val="single" w:sz="4" w:space="0" w:color="000000"/>
            </w:tcBorders>
          </w:tcPr>
          <w:p>
            <w:pPr/>
          </w:p>
        </w:tc>
        <w:tc>
          <w:tcPr>
            <w:tcW w:w="15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23,893,760.48</w:t>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164,402,873.88</w:t>
            </w:r>
          </w:p>
        </w:tc>
        <w:tc>
          <w:tcPr>
            <w:tcW w:w="126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873,186.45</w:t>
            </w:r>
          </w:p>
        </w:tc>
        <w:tc>
          <w:tcPr>
            <w:tcW w:w="16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16,055,326.16</w:t>
            </w:r>
          </w:p>
        </w:tc>
        <w:tc>
          <w:tcPr>
            <w:tcW w:w="173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383,269,655.23</w:t>
            </w:r>
          </w:p>
        </w:tc>
      </w:tr>
    </w:tbl>
    <w:p>
      <w:pPr>
        <w:tabs>
          <w:tab w:pos="5249" w:val="left" w:leader="none"/>
          <w:tab w:pos="10088" w:val="left" w:leader="none"/>
        </w:tabs>
        <w:spacing w:before="55"/>
        <w:ind w:left="1507"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r>
      <w:r>
        <w:rPr>
          <w:rFonts w:ascii="宋体" w:hAnsi="宋体" w:cs="宋体" w:eastAsia="宋体" w:hint="default"/>
          <w:spacing w:val="-2"/>
          <w:sz w:val="22"/>
          <w:szCs w:val="22"/>
        </w:rPr>
        <w:t>主管会计工作负责人：包叔平</w:t>
        <w:tab/>
      </w:r>
      <w:r>
        <w:rPr>
          <w:rFonts w:ascii="宋体" w:hAnsi="宋体" w:cs="宋体" w:eastAsia="宋体" w:hint="default"/>
          <w:spacing w:val="-1"/>
          <w:sz w:val="22"/>
          <w:szCs w:val="22"/>
        </w:rPr>
        <w:t>会计机构负责人：董</w:t>
      </w:r>
      <w:r>
        <w:rPr>
          <w:rFonts w:ascii="宋体" w:hAnsi="宋体" w:cs="宋体" w:eastAsia="宋体" w:hint="default"/>
          <w:spacing w:val="6"/>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6840" w:h="11910" w:orient="landscape"/>
          <w:pgMar w:header="876" w:footer="980" w:top="1040" w:bottom="1160" w:left="720" w:right="460"/>
        </w:sectPr>
      </w:pPr>
    </w:p>
    <w:p>
      <w:pPr>
        <w:spacing w:line="240" w:lineRule="auto" w:before="2"/>
        <w:rPr>
          <w:rFonts w:ascii="宋体" w:hAnsi="宋体" w:cs="宋体" w:eastAsia="宋体" w:hint="default"/>
          <w:sz w:val="13"/>
          <w:szCs w:val="13"/>
        </w:rPr>
      </w:pPr>
    </w:p>
    <w:p>
      <w:pPr>
        <w:pStyle w:val="Heading3"/>
        <w:spacing w:line="240" w:lineRule="auto"/>
        <w:ind w:left="180" w:right="0"/>
        <w:jc w:val="left"/>
        <w:rPr>
          <w:b w:val="0"/>
          <w:bCs w:val="0"/>
        </w:rPr>
      </w:pPr>
      <w:r>
        <w:rPr/>
        <w:t>（五）母公司股东权益变动表</w:t>
      </w:r>
      <w:r>
        <w:rPr>
          <w:b w:val="0"/>
          <w:bCs w:val="0"/>
        </w:rPr>
      </w:r>
    </w:p>
    <w:p>
      <w:pPr>
        <w:tabs>
          <w:tab w:pos="7181" w:val="left" w:leader="none"/>
          <w:tab w:pos="12990" w:val="left" w:leader="none"/>
        </w:tabs>
        <w:spacing w:before="123"/>
        <w:ind w:left="1147"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单位：元</w:t>
      </w:r>
    </w:p>
    <w:p>
      <w:pPr>
        <w:spacing w:line="240" w:lineRule="auto" w:before="3"/>
        <w:rPr>
          <w:rFonts w:ascii="宋体" w:hAnsi="宋体" w:cs="宋体" w:eastAsia="宋体" w:hint="default"/>
          <w:sz w:val="5"/>
          <w:szCs w:val="5"/>
        </w:rPr>
      </w:pPr>
    </w:p>
    <w:tbl>
      <w:tblPr>
        <w:tblW w:w="0" w:type="auto"/>
        <w:jc w:val="left"/>
        <w:tblInd w:w="292" w:type="dxa"/>
        <w:tblLayout w:type="fixed"/>
        <w:tblCellMar>
          <w:top w:w="0" w:type="dxa"/>
          <w:left w:w="0" w:type="dxa"/>
          <w:bottom w:w="0" w:type="dxa"/>
          <w:right w:w="0" w:type="dxa"/>
        </w:tblCellMar>
        <w:tblLook w:val="01E0"/>
      </w:tblPr>
      <w:tblGrid>
        <w:gridCol w:w="3689"/>
        <w:gridCol w:w="1817"/>
        <w:gridCol w:w="1625"/>
        <w:gridCol w:w="1452"/>
        <w:gridCol w:w="1740"/>
        <w:gridCol w:w="1889"/>
        <w:gridCol w:w="1721"/>
      </w:tblGrid>
      <w:tr>
        <w:trPr>
          <w:trHeight w:val="341" w:hRule="exact"/>
        </w:trPr>
        <w:tc>
          <w:tcPr>
            <w:tcW w:w="368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2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5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4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8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74,620,000.00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99,506,213.46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14,077,753.77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69,180,047.82</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257,384,015.05</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74,620,000.00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99,506,213.46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14,077,753.77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69,180,047.82</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257,384,015.05</w:t>
            </w:r>
          </w:p>
        </w:tc>
      </w:tr>
      <w:tr>
        <w:trPr>
          <w:trHeight w:val="325"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4,125,730.10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29,669,570.85</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33,795,300.95</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41,257,300.95</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41,257,300.95</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41,257,300.95</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41,257,300.95</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4,125,730.10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-11,587,730.10</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3" w:lineRule="exact"/>
              <w:ind w:right="103"/>
              <w:jc w:val="right"/>
              <w:rPr>
                <w:rFonts w:ascii="宋体" w:hAnsi="宋体" w:cs="宋体" w:eastAsia="宋体" w:hint="default"/>
                <w:sz w:val="21"/>
                <w:szCs w:val="21"/>
              </w:rPr>
            </w:pPr>
            <w:r>
              <w:rPr>
                <w:rFonts w:ascii="宋体"/>
                <w:spacing w:val="-1"/>
                <w:sz w:val="21"/>
              </w:rPr>
              <w:t>-7,462,000.00</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4,125,730.10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-4,125,730.10</w:t>
            </w: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-7,462,000.00</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-7,462,000.00</w:t>
            </w: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（六）专项储备使用和提取</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17"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74,620,000.00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sz w:val="21"/>
              </w:rPr>
              <w:t>99,506,213.46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18,203,483.87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98,849,618.67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291,179,316.00</w:t>
            </w:r>
          </w:p>
        </w:tc>
      </w:tr>
    </w:tbl>
    <w:p>
      <w:pPr>
        <w:spacing w:after="0" w:line="262" w:lineRule="exact"/>
        <w:jc w:val="right"/>
        <w:rPr>
          <w:rFonts w:ascii="宋体" w:hAnsi="宋体" w:cs="宋体" w:eastAsia="宋体" w:hint="default"/>
          <w:sz w:val="21"/>
          <w:szCs w:val="21"/>
        </w:rPr>
        <w:sectPr>
          <w:headerReference w:type="default" r:id="rId25"/>
          <w:pgSz w:w="16840" w:h="11910" w:orient="landscape"/>
          <w:pgMar w:header="876" w:footer="980" w:top="1100" w:bottom="1160" w:left="1260" w:right="1180"/>
        </w:sectPr>
      </w:pPr>
    </w:p>
    <w:p>
      <w:pPr>
        <w:spacing w:line="240" w:lineRule="auto" w:before="2"/>
        <w:rPr>
          <w:rFonts w:ascii="宋体" w:hAnsi="宋体" w:cs="宋体" w:eastAsia="宋体" w:hint="default"/>
          <w:sz w:val="13"/>
          <w:szCs w:val="13"/>
        </w:rPr>
      </w:pPr>
    </w:p>
    <w:p>
      <w:pPr>
        <w:pStyle w:val="Heading3"/>
        <w:spacing w:line="240" w:lineRule="auto"/>
        <w:ind w:left="240" w:right="0"/>
        <w:jc w:val="left"/>
        <w:rPr>
          <w:b w:val="0"/>
          <w:bCs w:val="0"/>
        </w:rPr>
      </w:pPr>
      <w:r>
        <w:rPr/>
        <w:t>（五）母公司股东权益变动表（续）</w:t>
      </w:r>
      <w:r>
        <w:rPr>
          <w:b w:val="0"/>
          <w:bCs w:val="0"/>
        </w:rPr>
      </w:r>
    </w:p>
    <w:p>
      <w:pPr>
        <w:tabs>
          <w:tab w:pos="6953" w:val="left" w:leader="none"/>
          <w:tab w:pos="12762" w:val="left" w:leader="none"/>
        </w:tabs>
        <w:spacing w:before="123"/>
        <w:ind w:left="11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295" w:type="dxa"/>
        <w:tblLayout w:type="fixed"/>
        <w:tblCellMar>
          <w:top w:w="0" w:type="dxa"/>
          <w:left w:w="0" w:type="dxa"/>
          <w:bottom w:w="0" w:type="dxa"/>
          <w:right w:w="0" w:type="dxa"/>
        </w:tblCellMar>
        <w:tblLook w:val="01E0"/>
      </w:tblPr>
      <w:tblGrid>
        <w:gridCol w:w="3682"/>
        <w:gridCol w:w="1822"/>
        <w:gridCol w:w="1685"/>
        <w:gridCol w:w="1457"/>
        <w:gridCol w:w="1735"/>
        <w:gridCol w:w="1889"/>
        <w:gridCol w:w="1721"/>
      </w:tblGrid>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74,620,000.00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99,506,213.46</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18,203,483.87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98,849,618.67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291,179,316.00</w:t>
            </w: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74,620,000.00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center"/>
              <w:rPr>
                <w:rFonts w:ascii="宋体" w:hAnsi="宋体" w:cs="宋体" w:eastAsia="宋体" w:hint="default"/>
                <w:sz w:val="21"/>
                <w:szCs w:val="21"/>
              </w:rPr>
            </w:pPr>
            <w:r>
              <w:rPr>
                <w:rFonts w:ascii="宋体"/>
                <w:sz w:val="21"/>
              </w:rPr>
              <w:t>99,506,213.46</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18,203,483.87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98,849,618.67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291,179,316.00</w:t>
            </w: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-37,310,000.00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5,690,276.61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43,750,489.46</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49,440,766.07</w:t>
            </w:r>
          </w:p>
        </w:tc>
      </w:tr>
      <w:tr>
        <w:trPr>
          <w:trHeight w:val="325"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56,902,766.07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56,902,766.07</w:t>
            </w: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56,902,766.07</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56,902,766.07</w:t>
            </w: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5,690,276.61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-13,152,276.61</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-7,462,000.00</w:t>
            </w: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5,690,276.61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-5,690,276.61</w:t>
            </w: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-7,462,000.00</w:t>
            </w:r>
          </w:p>
        </w:tc>
        <w:tc>
          <w:tcPr>
            <w:tcW w:w="1721"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-7,462,000.00</w:t>
            </w: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37,310,000.00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-37,310,000.00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pacing w:val="-1"/>
                <w:sz w:val="21"/>
              </w:rPr>
              <w:t>37,310,000.00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sz w:val="21"/>
              </w:rPr>
              <w:t>-37,310,000.00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2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68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822" w:type="dxa"/>
            <w:tcBorders>
              <w:top w:val="single" w:sz="4" w:space="0" w:color="000000"/>
              <w:left w:val="single" w:sz="4" w:space="0" w:color="000000"/>
              <w:bottom w:val="single" w:sz="17"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111,930,000.00</w:t>
            </w:r>
          </w:p>
        </w:tc>
        <w:tc>
          <w:tcPr>
            <w:tcW w:w="1685" w:type="dxa"/>
            <w:tcBorders>
              <w:top w:val="single" w:sz="4" w:space="0" w:color="000000"/>
              <w:left w:val="single" w:sz="4" w:space="0" w:color="000000"/>
              <w:bottom w:val="single" w:sz="17" w:space="0" w:color="000000"/>
              <w:right w:val="single" w:sz="4" w:space="0" w:color="000000"/>
            </w:tcBorders>
          </w:tcPr>
          <w:p>
            <w:pPr>
              <w:pStyle w:val="TableParagraph"/>
              <w:spacing w:line="265" w:lineRule="exact"/>
              <w:ind w:left="110" w:right="0"/>
              <w:jc w:val="center"/>
              <w:rPr>
                <w:rFonts w:ascii="宋体" w:hAnsi="宋体" w:cs="宋体" w:eastAsia="宋体" w:hint="default"/>
                <w:sz w:val="21"/>
                <w:szCs w:val="21"/>
              </w:rPr>
            </w:pPr>
            <w:r>
              <w:rPr>
                <w:rFonts w:ascii="宋体"/>
                <w:sz w:val="21"/>
              </w:rPr>
              <w:t>62,196,213.46</w:t>
            </w:r>
          </w:p>
        </w:tc>
        <w:tc>
          <w:tcPr>
            <w:tcW w:w="1457" w:type="dxa"/>
            <w:tcBorders>
              <w:top w:val="single" w:sz="4" w:space="0" w:color="000000"/>
              <w:left w:val="single" w:sz="4" w:space="0" w:color="000000"/>
              <w:bottom w:val="single" w:sz="17" w:space="0" w:color="000000"/>
              <w:right w:val="single" w:sz="4" w:space="0" w:color="000000"/>
            </w:tcBorders>
          </w:tcPr>
          <w:p>
            <w:pPr/>
          </w:p>
        </w:tc>
        <w:tc>
          <w:tcPr>
            <w:tcW w:w="1735" w:type="dxa"/>
            <w:tcBorders>
              <w:top w:val="single" w:sz="4" w:space="0" w:color="000000"/>
              <w:left w:val="single" w:sz="4" w:space="0" w:color="000000"/>
              <w:bottom w:val="single" w:sz="17"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23,893,760.48</w:t>
            </w:r>
          </w:p>
        </w:tc>
        <w:tc>
          <w:tcPr>
            <w:tcW w:w="1889" w:type="dxa"/>
            <w:tcBorders>
              <w:top w:val="single" w:sz="4" w:space="0" w:color="000000"/>
              <w:left w:val="single" w:sz="4" w:space="0" w:color="000000"/>
              <w:bottom w:val="single" w:sz="17"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142,600,108.13</w:t>
            </w:r>
          </w:p>
        </w:tc>
        <w:tc>
          <w:tcPr>
            <w:tcW w:w="1721" w:type="dxa"/>
            <w:tcBorders>
              <w:top w:val="single" w:sz="4" w:space="0" w:color="000000"/>
              <w:left w:val="single" w:sz="4" w:space="0" w:color="000000"/>
              <w:bottom w:val="single" w:sz="17" w:space="0" w:color="000000"/>
              <w:right w:val="nil" w:sz="6" w:space="0" w:color="auto"/>
            </w:tcBorders>
          </w:tcPr>
          <w:p>
            <w:pPr>
              <w:pStyle w:val="TableParagraph"/>
              <w:spacing w:line="265" w:lineRule="exact"/>
              <w:ind w:right="103"/>
              <w:jc w:val="right"/>
              <w:rPr>
                <w:rFonts w:ascii="宋体" w:hAnsi="宋体" w:cs="宋体" w:eastAsia="宋体" w:hint="default"/>
                <w:sz w:val="21"/>
                <w:szCs w:val="21"/>
              </w:rPr>
            </w:pPr>
            <w:r>
              <w:rPr>
                <w:rFonts w:ascii="宋体"/>
                <w:spacing w:val="-1"/>
                <w:sz w:val="21"/>
              </w:rPr>
              <w:t>340,620,082.07</w:t>
            </w:r>
          </w:p>
        </w:tc>
      </w:tr>
    </w:tbl>
    <w:p>
      <w:pPr>
        <w:tabs>
          <w:tab w:pos="5631" w:val="left" w:leader="none"/>
          <w:tab w:pos="10690" w:val="left" w:leader="none"/>
        </w:tabs>
        <w:spacing w:before="55"/>
        <w:ind w:left="1339"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t>主管会计工作负责人：包叔平</w:t>
        <w:tab/>
        <w:t>会计机构负责人：董</w:t>
      </w:r>
      <w:r>
        <w:rPr>
          <w:rFonts w:ascii="宋体" w:hAnsi="宋体" w:cs="宋体" w:eastAsia="宋体" w:hint="default"/>
          <w:spacing w:val="9"/>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6840" w:h="11910" w:orient="landscape"/>
          <w:pgMar w:header="876" w:footer="980" w:top="1100" w:bottom="1160" w:left="1200" w:right="118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1</w:t>
            </w:r>
            <w:r>
              <w:rPr>
                <w:rFonts w:ascii="宋体"/>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公司基本情况</w:t>
            </w:r>
            <w:r>
              <w:rPr>
                <w:rFonts w:ascii="宋体" w:hAnsi="宋体" w:cs="宋体" w:eastAsia="宋体" w:hint="default"/>
                <w:sz w:val="21"/>
                <w:szCs w:val="21"/>
              </w:rPr>
            </w:r>
          </w:p>
        </w:tc>
      </w:tr>
      <w:tr>
        <w:trPr>
          <w:trHeight w:val="3541"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58"/>
              <w:jc w:val="both"/>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宋体" w:hAnsi="宋体" w:cs="宋体" w:eastAsia="宋体" w:hint="default"/>
                <w:sz w:val="21"/>
                <w:szCs w:val="21"/>
              </w:rPr>
              <w:t>(</w:t>
            </w:r>
            <w:r>
              <w:rPr>
                <w:rFonts w:ascii="宋体" w:hAnsi="宋体" w:cs="宋体" w:eastAsia="宋体" w:hint="default"/>
                <w:sz w:val="21"/>
                <w:szCs w:val="21"/>
              </w:rPr>
              <w:t>以下简称“本公司”)系于</w:t>
            </w:r>
            <w:r>
              <w:rPr>
                <w:rFonts w:ascii="宋体" w:hAnsi="宋体" w:cs="宋体" w:eastAsia="宋体" w:hint="default"/>
                <w:spacing w:val="-74"/>
                <w:sz w:val="21"/>
                <w:szCs w:val="21"/>
              </w:rPr>
              <w:t> </w:t>
            </w:r>
            <w:r>
              <w:rPr>
                <w:rFonts w:ascii="宋体" w:hAnsi="宋体" w:cs="宋体" w:eastAsia="宋体" w:hint="default"/>
                <w:sz w:val="21"/>
                <w:szCs w:val="21"/>
              </w:rPr>
              <w:t>2001</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6</w:t>
            </w:r>
            <w:r>
              <w:rPr>
                <w:rFonts w:ascii="宋体" w:hAnsi="宋体" w:cs="宋体" w:eastAsia="宋体" w:hint="default"/>
                <w:spacing w:val="-71"/>
                <w:sz w:val="21"/>
                <w:szCs w:val="21"/>
              </w:rPr>
              <w:t> </w:t>
            </w:r>
            <w:r>
              <w:rPr>
                <w:rFonts w:ascii="宋体" w:hAnsi="宋体" w:cs="宋体" w:eastAsia="宋体" w:hint="default"/>
                <w:sz w:val="21"/>
                <w:szCs w:val="21"/>
              </w:rPr>
              <w:t>月经上海市人民政府以沪府体改</w:t>
            </w:r>
            <w:r>
              <w:rPr>
                <w:rFonts w:ascii="宋体" w:hAnsi="宋体" w:cs="宋体" w:eastAsia="宋体" w:hint="default"/>
                <w:w w:val="100"/>
                <w:sz w:val="21"/>
                <w:szCs w:val="21"/>
              </w:rPr>
              <w:t> </w:t>
            </w:r>
            <w:r>
              <w:rPr>
                <w:rFonts w:ascii="宋体" w:hAnsi="宋体" w:cs="宋体" w:eastAsia="宋体" w:hint="default"/>
                <w:sz w:val="21"/>
                <w:szCs w:val="21"/>
              </w:rPr>
              <w:t>审（</w:t>
            </w:r>
            <w:r>
              <w:rPr>
                <w:rFonts w:ascii="宋体" w:hAnsi="宋体" w:cs="宋体" w:eastAsia="宋体" w:hint="default"/>
                <w:sz w:val="21"/>
                <w:szCs w:val="21"/>
              </w:rPr>
              <w:t>2001</w:t>
            </w:r>
            <w:r>
              <w:rPr>
                <w:rFonts w:ascii="宋体" w:hAnsi="宋体" w:cs="宋体" w:eastAsia="宋体" w:hint="default"/>
                <w:sz w:val="21"/>
                <w:szCs w:val="21"/>
              </w:rPr>
              <w:t>）</w:t>
            </w:r>
            <w:r>
              <w:rPr>
                <w:rFonts w:ascii="宋体" w:hAnsi="宋体" w:cs="宋体" w:eastAsia="宋体" w:hint="default"/>
                <w:sz w:val="21"/>
                <w:szCs w:val="21"/>
              </w:rPr>
              <w:t>012</w:t>
            </w:r>
            <w:r>
              <w:rPr>
                <w:rFonts w:ascii="宋体" w:hAnsi="宋体" w:cs="宋体" w:eastAsia="宋体" w:hint="default"/>
                <w:spacing w:val="33"/>
                <w:sz w:val="21"/>
                <w:szCs w:val="21"/>
              </w:rPr>
              <w:t> </w:t>
            </w:r>
            <w:r>
              <w:rPr>
                <w:rFonts w:ascii="宋体" w:hAnsi="宋体" w:cs="宋体" w:eastAsia="宋体" w:hint="default"/>
                <w:sz w:val="21"/>
                <w:szCs w:val="21"/>
              </w:rPr>
              <w:t>号文《关于同意设立上海交大欧姆龙软件股份有限公司的批复》的批准，由上海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欧姆龙计算机有限公司整体变更而设立的股份有限公司，设立时股本总额为</w:t>
            </w:r>
            <w:r>
              <w:rPr>
                <w:rFonts w:ascii="宋体" w:hAnsi="宋体" w:cs="宋体" w:eastAsia="宋体" w:hint="default"/>
                <w:spacing w:val="-59"/>
                <w:sz w:val="21"/>
                <w:szCs w:val="21"/>
              </w:rPr>
              <w:t> </w:t>
            </w:r>
            <w:r>
              <w:rPr>
                <w:rFonts w:ascii="宋体" w:hAnsi="宋体" w:cs="宋体" w:eastAsia="宋体" w:hint="default"/>
                <w:sz w:val="21"/>
                <w:szCs w:val="21"/>
              </w:rPr>
              <w:t>3,000</w:t>
            </w:r>
            <w:r>
              <w:rPr>
                <w:rFonts w:ascii="宋体" w:hAnsi="宋体" w:cs="宋体" w:eastAsia="宋体" w:hint="default"/>
                <w:spacing w:val="-60"/>
                <w:sz w:val="21"/>
                <w:szCs w:val="21"/>
              </w:rPr>
              <w:t> </w:t>
            </w:r>
            <w:r>
              <w:rPr>
                <w:rFonts w:ascii="宋体" w:hAnsi="宋体" w:cs="宋体" w:eastAsia="宋体" w:hint="default"/>
                <w:sz w:val="21"/>
                <w:szCs w:val="21"/>
              </w:rPr>
              <w:t>万元；</w:t>
            </w:r>
            <w:r>
              <w:rPr>
                <w:rFonts w:ascii="宋体" w:hAnsi="宋体" w:cs="宋体" w:eastAsia="宋体" w:hint="default"/>
                <w:sz w:val="21"/>
                <w:szCs w:val="21"/>
              </w:rPr>
              <w:t>2004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月经股东会决议向全体股东每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股送</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6"/>
                <w:sz w:val="21"/>
                <w:szCs w:val="21"/>
              </w:rPr>
              <w:t>股，股本总额变更为</w:t>
            </w:r>
            <w:r>
              <w:rPr>
                <w:rFonts w:ascii="宋体" w:hAnsi="宋体" w:cs="宋体" w:eastAsia="宋体" w:hint="default"/>
                <w:spacing w:val="-50"/>
                <w:sz w:val="21"/>
                <w:szCs w:val="21"/>
              </w:rPr>
              <w:t> </w:t>
            </w:r>
            <w:r>
              <w:rPr>
                <w:rFonts w:ascii="宋体" w:hAnsi="宋体" w:cs="宋体" w:eastAsia="宋体" w:hint="default"/>
                <w:sz w:val="21"/>
                <w:szCs w:val="21"/>
              </w:rPr>
              <w:t>3,900</w:t>
            </w:r>
            <w:r>
              <w:rPr>
                <w:rFonts w:ascii="宋体" w:hAnsi="宋体" w:cs="宋体" w:eastAsia="宋体" w:hint="default"/>
                <w:spacing w:val="-50"/>
                <w:sz w:val="21"/>
                <w:szCs w:val="21"/>
              </w:rPr>
              <w:t> </w:t>
            </w:r>
            <w:r>
              <w:rPr>
                <w:rFonts w:ascii="宋体" w:hAnsi="宋体" w:cs="宋体" w:eastAsia="宋体" w:hint="default"/>
                <w:spacing w:val="-7"/>
                <w:sz w:val="21"/>
                <w:szCs w:val="21"/>
              </w:rPr>
              <w:t>万元；</w:t>
            </w:r>
            <w:r>
              <w:rPr>
                <w:rFonts w:ascii="宋体" w:hAnsi="宋体" w:cs="宋体" w:eastAsia="宋体" w:hint="default"/>
                <w:spacing w:val="-7"/>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月经股东会</w:t>
            </w:r>
          </w:p>
          <w:p>
            <w:pPr>
              <w:pStyle w:val="TableParagraph"/>
              <w:spacing w:line="237" w:lineRule="auto"/>
              <w:ind w:left="136" w:right="158"/>
              <w:jc w:val="both"/>
              <w:rPr>
                <w:rFonts w:ascii="宋体" w:hAnsi="宋体" w:cs="宋体" w:eastAsia="宋体" w:hint="default"/>
                <w:sz w:val="21"/>
                <w:szCs w:val="21"/>
              </w:rPr>
            </w:pPr>
            <w:r>
              <w:rPr>
                <w:rFonts w:ascii="宋体" w:hAnsi="宋体" w:cs="宋体" w:eastAsia="宋体" w:hint="default"/>
                <w:sz w:val="21"/>
                <w:szCs w:val="21"/>
              </w:rPr>
              <w:t>决议在前次基础上向全体股东每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股送</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股，股本总额变更为</w:t>
            </w:r>
            <w:r>
              <w:rPr>
                <w:rFonts w:ascii="宋体" w:hAnsi="宋体" w:cs="宋体" w:eastAsia="宋体" w:hint="default"/>
                <w:spacing w:val="-50"/>
                <w:sz w:val="21"/>
                <w:szCs w:val="21"/>
              </w:rPr>
              <w:t> </w:t>
            </w:r>
            <w:r>
              <w:rPr>
                <w:rFonts w:ascii="宋体" w:hAnsi="宋体" w:cs="宋体" w:eastAsia="宋体" w:hint="default"/>
                <w:sz w:val="21"/>
                <w:szCs w:val="21"/>
              </w:rPr>
              <w:t>4,290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pacing w:val="-3"/>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月经中国</w:t>
            </w:r>
            <w:r>
              <w:rPr>
                <w:rFonts w:ascii="宋体" w:hAnsi="宋体" w:cs="宋体" w:eastAsia="宋体" w:hint="default"/>
                <w:w w:val="100"/>
                <w:sz w:val="21"/>
                <w:szCs w:val="21"/>
              </w:rPr>
              <w:t> </w:t>
            </w:r>
            <w:r>
              <w:rPr>
                <w:rFonts w:ascii="宋体" w:hAnsi="宋体" w:cs="宋体" w:eastAsia="宋体" w:hint="default"/>
                <w:sz w:val="21"/>
                <w:szCs w:val="21"/>
              </w:rPr>
              <w:t>证券监督管理委员会以证监发行字</w:t>
            </w:r>
            <w:r>
              <w:rPr>
                <w:rFonts w:ascii="宋体" w:hAnsi="宋体" w:cs="宋体" w:eastAsia="宋体" w:hint="default"/>
                <w:sz w:val="21"/>
                <w:szCs w:val="21"/>
              </w:rPr>
              <w:t>[2007]413</w:t>
            </w:r>
            <w:r>
              <w:rPr>
                <w:rFonts w:ascii="宋体" w:hAnsi="宋体" w:cs="宋体" w:eastAsia="宋体" w:hint="default"/>
                <w:spacing w:val="32"/>
                <w:sz w:val="21"/>
                <w:szCs w:val="21"/>
              </w:rPr>
              <w:t> </w:t>
            </w:r>
            <w:r>
              <w:rPr>
                <w:rFonts w:ascii="宋体" w:hAnsi="宋体" w:cs="宋体" w:eastAsia="宋体" w:hint="default"/>
                <w:sz w:val="21"/>
                <w:szCs w:val="21"/>
              </w:rPr>
              <w:t>号文《关于核准上海海隆软件股份有限公司首次公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开发行股票的通知》的核准，本公司于</w:t>
            </w:r>
            <w:r>
              <w:rPr>
                <w:rFonts w:ascii="宋体" w:hAnsi="宋体" w:cs="宋体" w:eastAsia="宋体" w:hint="default"/>
                <w:spacing w:val="-47"/>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z w:val="21"/>
                <w:szCs w:val="21"/>
              </w:rPr>
              <w:t>月向社会公开发行人民币普通股股票</w:t>
            </w:r>
            <w:r>
              <w:rPr>
                <w:rFonts w:ascii="宋体" w:hAnsi="宋体" w:cs="宋体" w:eastAsia="宋体" w:hint="default"/>
                <w:spacing w:val="-47"/>
                <w:sz w:val="21"/>
                <w:szCs w:val="21"/>
              </w:rPr>
              <w:t> </w:t>
            </w:r>
            <w:r>
              <w:rPr>
                <w:rFonts w:ascii="宋体" w:hAnsi="宋体" w:cs="宋体" w:eastAsia="宋体" w:hint="default"/>
                <w:sz w:val="21"/>
                <w:szCs w:val="21"/>
              </w:rPr>
              <w:t>1,450</w:t>
            </w:r>
            <w:r>
              <w:rPr>
                <w:rFonts w:ascii="宋体" w:hAnsi="宋体" w:cs="宋体" w:eastAsia="宋体" w:hint="default"/>
                <w:spacing w:val="-49"/>
                <w:sz w:val="21"/>
                <w:szCs w:val="21"/>
              </w:rPr>
              <w:t> </w:t>
            </w:r>
            <w:r>
              <w:rPr>
                <w:rFonts w:ascii="宋体" w:hAnsi="宋体" w:cs="宋体" w:eastAsia="宋体" w:hint="default"/>
                <w:sz w:val="21"/>
                <w:szCs w:val="21"/>
              </w:rPr>
              <w:t>万</w:t>
            </w:r>
          </w:p>
          <w:p>
            <w:pPr>
              <w:pStyle w:val="TableParagraph"/>
              <w:spacing w:line="272" w:lineRule="exact"/>
              <w:ind w:left="136" w:right="0"/>
              <w:jc w:val="both"/>
              <w:rPr>
                <w:rFonts w:ascii="宋体" w:hAnsi="宋体" w:cs="宋体" w:eastAsia="宋体" w:hint="default"/>
                <w:sz w:val="21"/>
                <w:szCs w:val="21"/>
              </w:rPr>
            </w:pPr>
            <w:r>
              <w:rPr>
                <w:rFonts w:ascii="宋体" w:hAnsi="宋体" w:cs="宋体" w:eastAsia="宋体" w:hint="default"/>
                <w:spacing w:val="-4"/>
                <w:sz w:val="21"/>
                <w:szCs w:val="21"/>
              </w:rPr>
              <w:t>股，每股面值</w:t>
            </w:r>
            <w:r>
              <w:rPr>
                <w:rFonts w:ascii="宋体" w:hAnsi="宋体" w:cs="宋体" w:eastAsia="宋体" w:hint="default"/>
                <w:spacing w:val="-46"/>
                <w:sz w:val="21"/>
                <w:szCs w:val="21"/>
              </w:rPr>
              <w:t> </w:t>
            </w:r>
            <w:r>
              <w:rPr>
                <w:rFonts w:ascii="宋体" w:hAnsi="宋体" w:cs="宋体" w:eastAsia="宋体" w:hint="default"/>
                <w:sz w:val="21"/>
                <w:szCs w:val="21"/>
              </w:rPr>
              <w:t>1.00</w:t>
            </w:r>
            <w:r>
              <w:rPr>
                <w:rFonts w:ascii="宋体" w:hAnsi="宋体" w:cs="宋体" w:eastAsia="宋体" w:hint="default"/>
                <w:spacing w:val="-46"/>
                <w:sz w:val="21"/>
                <w:szCs w:val="21"/>
              </w:rPr>
              <w:t> </w:t>
            </w:r>
            <w:r>
              <w:rPr>
                <w:rFonts w:ascii="宋体" w:hAnsi="宋体" w:cs="宋体" w:eastAsia="宋体" w:hint="default"/>
                <w:spacing w:val="-4"/>
                <w:sz w:val="21"/>
                <w:szCs w:val="21"/>
              </w:rPr>
              <w:t>元，每股发行价为</w:t>
            </w:r>
            <w:r>
              <w:rPr>
                <w:rFonts w:ascii="宋体" w:hAnsi="宋体" w:cs="宋体" w:eastAsia="宋体" w:hint="default"/>
                <w:spacing w:val="-43"/>
                <w:sz w:val="21"/>
                <w:szCs w:val="21"/>
              </w:rPr>
              <w:t> </w:t>
            </w:r>
            <w:r>
              <w:rPr>
                <w:rFonts w:ascii="宋体" w:hAnsi="宋体" w:cs="宋体" w:eastAsia="宋体" w:hint="default"/>
                <w:sz w:val="21"/>
                <w:szCs w:val="21"/>
              </w:rPr>
              <w:t>10.49</w:t>
            </w:r>
            <w:r>
              <w:rPr>
                <w:rFonts w:ascii="宋体" w:hAnsi="宋体" w:cs="宋体" w:eastAsia="宋体" w:hint="default"/>
                <w:spacing w:val="-44"/>
                <w:sz w:val="21"/>
                <w:szCs w:val="21"/>
              </w:rPr>
              <w:t> </w:t>
            </w:r>
            <w:r>
              <w:rPr>
                <w:rFonts w:ascii="宋体" w:hAnsi="宋体" w:cs="宋体" w:eastAsia="宋体" w:hint="default"/>
                <w:spacing w:val="-4"/>
                <w:sz w:val="21"/>
                <w:szCs w:val="21"/>
              </w:rPr>
              <w:t>元，发行后股本总额变更为</w:t>
            </w:r>
            <w:r>
              <w:rPr>
                <w:rFonts w:ascii="宋体" w:hAnsi="宋体" w:cs="宋体" w:eastAsia="宋体" w:hint="default"/>
                <w:spacing w:val="-44"/>
                <w:sz w:val="21"/>
                <w:szCs w:val="21"/>
              </w:rPr>
              <w:t> </w:t>
            </w:r>
            <w:r>
              <w:rPr>
                <w:rFonts w:ascii="宋体" w:hAnsi="宋体" w:cs="宋体" w:eastAsia="宋体" w:hint="default"/>
                <w:sz w:val="21"/>
                <w:szCs w:val="21"/>
              </w:rPr>
              <w:t>5,740</w:t>
            </w:r>
            <w:r>
              <w:rPr>
                <w:rFonts w:ascii="宋体" w:hAnsi="宋体" w:cs="宋体" w:eastAsia="宋体" w:hint="default"/>
                <w:spacing w:val="-43"/>
                <w:sz w:val="21"/>
                <w:szCs w:val="21"/>
              </w:rPr>
              <w:t> </w:t>
            </w:r>
            <w:r>
              <w:rPr>
                <w:rFonts w:ascii="宋体" w:hAnsi="宋体" w:cs="宋体" w:eastAsia="宋体" w:hint="default"/>
                <w:spacing w:val="-4"/>
                <w:sz w:val="21"/>
                <w:szCs w:val="21"/>
              </w:rPr>
              <w:t>万元。本公司股票</w:t>
            </w:r>
          </w:p>
          <w:p>
            <w:pPr>
              <w:pStyle w:val="TableParagraph"/>
              <w:spacing w:line="272" w:lineRule="exact"/>
              <w:ind w:left="136"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日起在深圳证券交易所挂牌交易。</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月经股东大会决议通过以</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72" w:lineRule="exact"/>
              <w:ind w:left="136" w:right="0"/>
              <w:jc w:val="both"/>
              <w:rPr>
                <w:rFonts w:ascii="宋体" w:hAnsi="宋体" w:cs="宋体" w:eastAsia="宋体" w:hint="default"/>
                <w:sz w:val="21"/>
                <w:szCs w:val="21"/>
              </w:rPr>
            </w:pPr>
            <w:r>
              <w:rPr>
                <w:rFonts w:ascii="宋体" w:hAnsi="宋体" w:cs="宋体" w:eastAsia="宋体" w:hint="default"/>
                <w:sz w:val="21"/>
                <w:szCs w:val="21"/>
              </w:rPr>
              <w:t>末总股本</w:t>
            </w:r>
            <w:r>
              <w:rPr>
                <w:rFonts w:ascii="宋体" w:hAnsi="宋体" w:cs="宋体" w:eastAsia="宋体" w:hint="default"/>
                <w:spacing w:val="-47"/>
                <w:sz w:val="21"/>
                <w:szCs w:val="21"/>
              </w:rPr>
              <w:t> </w:t>
            </w:r>
            <w:r>
              <w:rPr>
                <w:rFonts w:ascii="宋体" w:hAnsi="宋体" w:cs="宋体" w:eastAsia="宋体" w:hint="default"/>
                <w:sz w:val="21"/>
                <w:szCs w:val="21"/>
              </w:rPr>
              <w:t>5,740</w:t>
            </w:r>
            <w:r>
              <w:rPr>
                <w:rFonts w:ascii="宋体" w:hAnsi="宋体" w:cs="宋体" w:eastAsia="宋体" w:hint="default"/>
                <w:spacing w:val="-49"/>
                <w:sz w:val="21"/>
                <w:szCs w:val="21"/>
              </w:rPr>
              <w:t> </w:t>
            </w:r>
            <w:r>
              <w:rPr>
                <w:rFonts w:ascii="宋体" w:hAnsi="宋体" w:cs="宋体" w:eastAsia="宋体" w:hint="default"/>
                <w:spacing w:val="-4"/>
                <w:sz w:val="21"/>
                <w:szCs w:val="21"/>
              </w:rPr>
              <w:t>万股为基数，以资本公积向全体股东每</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股转增</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pacing w:val="-6"/>
                <w:sz w:val="21"/>
                <w:szCs w:val="21"/>
              </w:rPr>
              <w:t>股，股本总额变更为</w:t>
            </w:r>
            <w:r>
              <w:rPr>
                <w:rFonts w:ascii="宋体" w:hAnsi="宋体" w:cs="宋体" w:eastAsia="宋体" w:hint="default"/>
                <w:spacing w:val="-46"/>
                <w:sz w:val="21"/>
                <w:szCs w:val="21"/>
              </w:rPr>
              <w:t> </w:t>
            </w:r>
            <w:r>
              <w:rPr>
                <w:rFonts w:ascii="宋体" w:hAnsi="宋体" w:cs="宋体" w:eastAsia="宋体" w:hint="default"/>
                <w:sz w:val="21"/>
                <w:szCs w:val="21"/>
              </w:rPr>
              <w:t>7,462</w:t>
            </w:r>
            <w:r>
              <w:rPr>
                <w:rFonts w:ascii="宋体" w:hAnsi="宋体" w:cs="宋体" w:eastAsia="宋体" w:hint="default"/>
                <w:spacing w:val="-47"/>
                <w:sz w:val="21"/>
                <w:szCs w:val="21"/>
              </w:rPr>
              <w:t> </w:t>
            </w:r>
            <w:r>
              <w:rPr>
                <w:rFonts w:ascii="宋体" w:hAnsi="宋体" w:cs="宋体" w:eastAsia="宋体" w:hint="default"/>
                <w:sz w:val="21"/>
                <w:szCs w:val="21"/>
              </w:rPr>
              <w:t>万</w:t>
            </w:r>
          </w:p>
          <w:p>
            <w:pPr>
              <w:pStyle w:val="TableParagraph"/>
              <w:spacing w:line="273" w:lineRule="exact"/>
              <w:ind w:left="136"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2011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月经股东大会决议通过以</w:t>
            </w:r>
            <w:r>
              <w:rPr>
                <w:rFonts w:ascii="宋体" w:hAnsi="宋体" w:cs="宋体" w:eastAsia="宋体" w:hint="default"/>
                <w:spacing w:val="-41"/>
                <w:sz w:val="21"/>
                <w:szCs w:val="21"/>
              </w:rPr>
              <w:t> </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年末总股本</w:t>
            </w:r>
            <w:r>
              <w:rPr>
                <w:rFonts w:ascii="宋体" w:hAnsi="宋体" w:cs="宋体" w:eastAsia="宋体" w:hint="default"/>
                <w:spacing w:val="-41"/>
                <w:sz w:val="21"/>
                <w:szCs w:val="21"/>
              </w:rPr>
              <w:t> </w:t>
            </w:r>
            <w:r>
              <w:rPr>
                <w:rFonts w:ascii="宋体" w:hAnsi="宋体" w:cs="宋体" w:eastAsia="宋体" w:hint="default"/>
                <w:sz w:val="21"/>
                <w:szCs w:val="21"/>
              </w:rPr>
              <w:t>7,462</w:t>
            </w:r>
            <w:r>
              <w:rPr>
                <w:rFonts w:ascii="宋体" w:hAnsi="宋体" w:cs="宋体" w:eastAsia="宋体" w:hint="default"/>
                <w:spacing w:val="-42"/>
                <w:sz w:val="21"/>
                <w:szCs w:val="21"/>
              </w:rPr>
              <w:t> </w:t>
            </w:r>
            <w:r>
              <w:rPr>
                <w:rFonts w:ascii="宋体" w:hAnsi="宋体" w:cs="宋体" w:eastAsia="宋体" w:hint="default"/>
                <w:sz w:val="21"/>
                <w:szCs w:val="21"/>
              </w:rPr>
              <w:t>万股为基数，以资本公积向全体</w:t>
            </w:r>
          </w:p>
          <w:p>
            <w:pPr>
              <w:pStyle w:val="TableParagraph"/>
              <w:spacing w:line="275" w:lineRule="exact"/>
              <w:ind w:left="136" w:right="0"/>
              <w:jc w:val="both"/>
              <w:rPr>
                <w:rFonts w:ascii="宋体" w:hAnsi="宋体" w:cs="宋体" w:eastAsia="宋体" w:hint="default"/>
                <w:sz w:val="21"/>
                <w:szCs w:val="21"/>
              </w:rPr>
            </w:pPr>
            <w:r>
              <w:rPr>
                <w:rFonts w:ascii="宋体" w:hAnsi="宋体" w:cs="宋体" w:eastAsia="宋体" w:hint="default"/>
                <w:sz w:val="21"/>
                <w:szCs w:val="21"/>
              </w:rPr>
              <w:t>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股，股本总额变更为</w:t>
            </w:r>
            <w:r>
              <w:rPr>
                <w:rFonts w:ascii="宋体" w:hAnsi="宋体" w:cs="宋体" w:eastAsia="宋体" w:hint="default"/>
                <w:spacing w:val="-52"/>
                <w:sz w:val="21"/>
                <w:szCs w:val="21"/>
              </w:rPr>
              <w:t> </w:t>
            </w:r>
            <w:r>
              <w:rPr>
                <w:rFonts w:ascii="宋体" w:hAnsi="宋体" w:cs="宋体" w:eastAsia="宋体" w:hint="default"/>
                <w:sz w:val="21"/>
                <w:szCs w:val="21"/>
              </w:rPr>
              <w:t>11,193</w:t>
            </w:r>
            <w:r>
              <w:rPr>
                <w:rFonts w:ascii="宋体" w:hAnsi="宋体" w:cs="宋体" w:eastAsia="宋体" w:hint="default"/>
                <w:spacing w:val="-5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163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136" w:right="0"/>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年末注册资本为</w:t>
            </w:r>
            <w:r>
              <w:rPr>
                <w:rFonts w:ascii="宋体" w:hAnsi="宋体" w:cs="宋体" w:eastAsia="宋体" w:hint="default"/>
                <w:spacing w:val="-52"/>
                <w:sz w:val="21"/>
                <w:szCs w:val="21"/>
              </w:rPr>
              <w:t> </w:t>
            </w:r>
            <w:r>
              <w:rPr>
                <w:rFonts w:ascii="宋体" w:hAnsi="宋体" w:cs="宋体" w:eastAsia="宋体" w:hint="default"/>
                <w:sz w:val="21"/>
                <w:szCs w:val="21"/>
              </w:rPr>
              <w:t>11,193</w:t>
            </w:r>
            <w:r>
              <w:rPr>
                <w:rFonts w:ascii="宋体" w:hAnsi="宋体" w:cs="宋体" w:eastAsia="宋体" w:hint="default"/>
                <w:spacing w:val="-55"/>
                <w:sz w:val="21"/>
                <w:szCs w:val="21"/>
              </w:rPr>
              <w:t> </w:t>
            </w:r>
            <w:r>
              <w:rPr>
                <w:rFonts w:ascii="宋体" w:hAnsi="宋体" w:cs="宋体" w:eastAsia="宋体" w:hint="default"/>
                <w:spacing w:val="-18"/>
                <w:sz w:val="21"/>
                <w:szCs w:val="21"/>
              </w:rPr>
              <w:t>万元，于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日取得由上海市工商行政管理局换发</w:t>
            </w:r>
          </w:p>
          <w:p>
            <w:pPr>
              <w:pStyle w:val="TableParagraph"/>
              <w:spacing w:line="272" w:lineRule="exact"/>
              <w:ind w:left="136" w:right="0"/>
              <w:jc w:val="both"/>
              <w:rPr>
                <w:rFonts w:ascii="宋体" w:hAnsi="宋体" w:cs="宋体" w:eastAsia="宋体" w:hint="default"/>
                <w:sz w:val="21"/>
                <w:szCs w:val="21"/>
              </w:rPr>
            </w:pPr>
            <w:r>
              <w:rPr>
                <w:rFonts w:ascii="宋体" w:hAnsi="宋体" w:cs="宋体" w:eastAsia="宋体" w:hint="default"/>
                <w:w w:val="100"/>
                <w:sz w:val="21"/>
                <w:szCs w:val="21"/>
              </w:rPr>
              <w:t>的</w:t>
            </w:r>
            <w:r>
              <w:rPr>
                <w:rFonts w:ascii="宋体" w:hAnsi="宋体" w:cs="宋体" w:eastAsia="宋体" w:hint="default"/>
                <w:spacing w:val="-36"/>
                <w:sz w:val="21"/>
                <w:szCs w:val="21"/>
              </w:rPr>
              <w:t> </w:t>
            </w:r>
            <w:r>
              <w:rPr>
                <w:rFonts w:ascii="宋体" w:hAnsi="宋体" w:cs="宋体" w:eastAsia="宋体" w:hint="default"/>
                <w:w w:val="100"/>
                <w:sz w:val="21"/>
                <w:szCs w:val="21"/>
              </w:rPr>
              <w:t>3100</w:t>
            </w:r>
            <w:r>
              <w:rPr>
                <w:rFonts w:ascii="宋体" w:hAnsi="宋体" w:cs="宋体" w:eastAsia="宋体" w:hint="default"/>
                <w:spacing w:val="-3"/>
                <w:w w:val="100"/>
                <w:sz w:val="21"/>
                <w:szCs w:val="21"/>
              </w:rPr>
              <w:t>0</w:t>
            </w:r>
            <w:r>
              <w:rPr>
                <w:rFonts w:ascii="宋体" w:hAnsi="宋体" w:cs="宋体" w:eastAsia="宋体" w:hint="default"/>
                <w:w w:val="100"/>
                <w:sz w:val="21"/>
                <w:szCs w:val="21"/>
              </w:rPr>
              <w:t>000</w:t>
            </w:r>
            <w:r>
              <w:rPr>
                <w:rFonts w:ascii="宋体" w:hAnsi="宋体" w:cs="宋体" w:eastAsia="宋体" w:hint="default"/>
                <w:spacing w:val="-3"/>
                <w:w w:val="100"/>
                <w:sz w:val="21"/>
                <w:szCs w:val="21"/>
              </w:rPr>
              <w:t>0</w:t>
            </w:r>
            <w:r>
              <w:rPr>
                <w:rFonts w:ascii="宋体" w:hAnsi="宋体" w:cs="宋体" w:eastAsia="宋体" w:hint="default"/>
                <w:w w:val="100"/>
                <w:sz w:val="21"/>
                <w:szCs w:val="21"/>
              </w:rPr>
              <w:t>003</w:t>
            </w:r>
            <w:r>
              <w:rPr>
                <w:rFonts w:ascii="宋体" w:hAnsi="宋体" w:cs="宋体" w:eastAsia="宋体" w:hint="default"/>
                <w:spacing w:val="-3"/>
                <w:w w:val="100"/>
                <w:sz w:val="21"/>
                <w:szCs w:val="21"/>
              </w:rPr>
              <w:t>1</w:t>
            </w:r>
            <w:r>
              <w:rPr>
                <w:rFonts w:ascii="宋体" w:hAnsi="宋体" w:cs="宋体" w:eastAsia="宋体" w:hint="default"/>
                <w:w w:val="100"/>
                <w:sz w:val="21"/>
                <w:szCs w:val="21"/>
              </w:rPr>
              <w:t>53</w:t>
            </w:r>
            <w:r>
              <w:rPr>
                <w:rFonts w:ascii="宋体" w:hAnsi="宋体" w:cs="宋体" w:eastAsia="宋体" w:hint="default"/>
                <w:spacing w:val="-3"/>
                <w:w w:val="100"/>
                <w:sz w:val="21"/>
                <w:szCs w:val="21"/>
              </w:rPr>
              <w:t>（市</w:t>
            </w:r>
            <w:r>
              <w:rPr>
                <w:rFonts w:ascii="宋体" w:hAnsi="宋体" w:cs="宋体" w:eastAsia="宋体" w:hint="default"/>
                <w:w w:val="100"/>
                <w:sz w:val="21"/>
                <w:szCs w:val="21"/>
              </w:rPr>
              <w:t>局）</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地</w:t>
            </w:r>
            <w:r>
              <w:rPr>
                <w:rFonts w:ascii="宋体" w:hAnsi="宋体" w:cs="宋体" w:eastAsia="宋体" w:hint="default"/>
                <w:spacing w:val="-3"/>
                <w:w w:val="100"/>
                <w:sz w:val="21"/>
                <w:szCs w:val="21"/>
              </w:rPr>
              <w:t>址</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w:t>
            </w:r>
            <w:r>
              <w:rPr>
                <w:rFonts w:ascii="宋体" w:hAnsi="宋体" w:cs="宋体" w:eastAsia="宋体" w:hint="default"/>
                <w:spacing w:val="-3"/>
                <w:w w:val="100"/>
                <w:sz w:val="21"/>
                <w:szCs w:val="21"/>
              </w:rPr>
              <w:t>上海</w:t>
            </w:r>
            <w:r>
              <w:rPr>
                <w:rFonts w:ascii="宋体" w:hAnsi="宋体" w:cs="宋体" w:eastAsia="宋体" w:hint="default"/>
                <w:w w:val="100"/>
                <w:sz w:val="21"/>
                <w:szCs w:val="21"/>
              </w:rPr>
              <w:t>市徐</w:t>
            </w:r>
            <w:r>
              <w:rPr>
                <w:rFonts w:ascii="宋体" w:hAnsi="宋体" w:cs="宋体" w:eastAsia="宋体" w:hint="default"/>
                <w:spacing w:val="-3"/>
                <w:w w:val="100"/>
                <w:sz w:val="21"/>
                <w:szCs w:val="21"/>
              </w:rPr>
              <w:t>家</w:t>
            </w:r>
            <w:r>
              <w:rPr>
                <w:rFonts w:ascii="宋体" w:hAnsi="宋体" w:cs="宋体" w:eastAsia="宋体" w:hint="default"/>
                <w:w w:val="100"/>
                <w:sz w:val="21"/>
                <w:szCs w:val="21"/>
              </w:rPr>
              <w:t>汇</w:t>
            </w:r>
            <w:r>
              <w:rPr>
                <w:rFonts w:ascii="宋体" w:hAnsi="宋体" w:cs="宋体" w:eastAsia="宋体" w:hint="default"/>
                <w:spacing w:val="-3"/>
                <w:w w:val="100"/>
                <w:sz w:val="21"/>
                <w:szCs w:val="21"/>
              </w:rPr>
              <w:t>宜</w:t>
            </w:r>
            <w:r>
              <w:rPr>
                <w:rFonts w:ascii="宋体" w:hAnsi="宋体" w:cs="宋体" w:eastAsia="宋体" w:hint="default"/>
                <w:w w:val="100"/>
                <w:sz w:val="21"/>
                <w:szCs w:val="21"/>
              </w:rPr>
              <w:t>山路</w:t>
            </w:r>
            <w:r>
              <w:rPr>
                <w:rFonts w:ascii="宋体" w:hAnsi="宋体" w:cs="宋体" w:eastAsia="宋体" w:hint="default"/>
                <w:spacing w:val="-36"/>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00</w:t>
            </w:r>
          </w:p>
          <w:p>
            <w:pPr>
              <w:pStyle w:val="TableParagraph"/>
              <w:spacing w:line="237" w:lineRule="auto" w:before="2"/>
              <w:ind w:left="136" w:right="158"/>
              <w:jc w:val="both"/>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35"/>
                <w:sz w:val="21"/>
                <w:szCs w:val="21"/>
              </w:rPr>
              <w:t> </w:t>
            </w:r>
            <w:r>
              <w:rPr>
                <w:rFonts w:ascii="宋体" w:hAnsi="宋体" w:cs="宋体" w:eastAsia="宋体" w:hint="default"/>
                <w:sz w:val="21"/>
                <w:szCs w:val="21"/>
              </w:rPr>
              <w:t>85</w:t>
            </w:r>
            <w:r>
              <w:rPr>
                <w:rFonts w:ascii="宋体" w:hAnsi="宋体" w:cs="宋体" w:eastAsia="宋体" w:hint="default"/>
                <w:spacing w:val="-38"/>
                <w:sz w:val="21"/>
                <w:szCs w:val="21"/>
              </w:rPr>
              <w:t> </w:t>
            </w:r>
            <w:r>
              <w:rPr>
                <w:rFonts w:ascii="宋体" w:hAnsi="宋体" w:cs="宋体" w:eastAsia="宋体" w:hint="default"/>
                <w:sz w:val="21"/>
                <w:szCs w:val="21"/>
              </w:rPr>
              <w:t>幢</w:t>
            </w:r>
            <w:r>
              <w:rPr>
                <w:rFonts w:ascii="宋体" w:hAnsi="宋体" w:cs="宋体" w:eastAsia="宋体" w:hint="default"/>
                <w:spacing w:val="-35"/>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pacing w:val="-4"/>
                <w:sz w:val="21"/>
                <w:szCs w:val="21"/>
              </w:rPr>
              <w:t>楼，经营范围为计算机软、硬件系统及相关系统的集成、开发、咨询、销售及服务，经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营本企业自产产品的出口业务和本企业所需的机械设备、零配件、原辅材料的进出口业务，本企</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业包括本企业控股的成员企业信息服务业务。</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b/>
                <w:w w:val="99"/>
                <w:sz w:val="21"/>
              </w:rPr>
              <w:t>2</w:t>
            </w:r>
            <w:r>
              <w:rPr>
                <w:rFonts w:ascii="宋体"/>
                <w:sz w:val="21"/>
              </w:rPr>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2.1</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财务报表的编制基础</w:t>
            </w:r>
          </w:p>
        </w:tc>
      </w:tr>
      <w:tr>
        <w:trPr>
          <w:trHeight w:val="952"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58"/>
              <w:jc w:val="left"/>
              <w:rPr>
                <w:rFonts w:ascii="宋体" w:hAnsi="宋体" w:cs="宋体" w:eastAsia="宋体" w:hint="default"/>
                <w:sz w:val="21"/>
                <w:szCs w:val="21"/>
              </w:rPr>
            </w:pPr>
            <w:r>
              <w:rPr>
                <w:rFonts w:ascii="宋体" w:hAnsi="宋体" w:cs="宋体" w:eastAsia="宋体" w:hint="default"/>
                <w:spacing w:val="-1"/>
                <w:sz w:val="21"/>
                <w:szCs w:val="21"/>
              </w:rPr>
              <w:t>本公司以持续经营为基础，根据实际发生的交易和事项，按照《企业会计准则—基本准则》和其</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他各项会计准则的规定进行确认和计量，在此基础上编制财务报表。</w:t>
            </w:r>
          </w:p>
        </w:tc>
      </w:tr>
      <w:tr>
        <w:trPr>
          <w:trHeight w:val="68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74"/>
              <w:jc w:val="right"/>
              <w:rPr>
                <w:rFonts w:ascii="宋体" w:hAnsi="宋体" w:cs="宋体" w:eastAsia="宋体" w:hint="default"/>
                <w:sz w:val="21"/>
                <w:szCs w:val="21"/>
              </w:rPr>
            </w:pPr>
            <w:r>
              <w:rPr>
                <w:rFonts w:ascii="宋体"/>
                <w:sz w:val="21"/>
              </w:rPr>
              <w:t>2.2</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遵循企业会计准则的声明</w:t>
            </w:r>
          </w:p>
        </w:tc>
      </w:tr>
      <w:tr>
        <w:trPr>
          <w:trHeight w:val="923"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59"/>
              <w:jc w:val="both"/>
              <w:rPr>
                <w:rFonts w:ascii="宋体" w:hAnsi="宋体" w:cs="宋体" w:eastAsia="宋体" w:hint="default"/>
                <w:sz w:val="21"/>
                <w:szCs w:val="21"/>
              </w:rPr>
            </w:pPr>
            <w:r>
              <w:rPr>
                <w:rFonts w:ascii="宋体" w:hAnsi="宋体" w:cs="宋体" w:eastAsia="宋体" w:hint="default"/>
                <w:spacing w:val="-1"/>
                <w:sz w:val="21"/>
                <w:szCs w:val="21"/>
              </w:rPr>
              <w:t>本公司所编制的财务报表符合企业会计准则的要求，真实、完整地反映了本公司的财务状况、经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营成果、股东权益变动和现金流量等有关信息，本公司管理层对财务报表的真实性、合法性和完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整性承担责任。</w:t>
            </w:r>
          </w:p>
        </w:tc>
      </w:tr>
    </w:tbl>
    <w:p>
      <w:pPr>
        <w:spacing w:after="0" w:line="237" w:lineRule="auto"/>
        <w:jc w:val="both"/>
        <w:rPr>
          <w:rFonts w:ascii="宋体" w:hAnsi="宋体" w:cs="宋体" w:eastAsia="宋体" w:hint="default"/>
          <w:sz w:val="21"/>
          <w:szCs w:val="21"/>
        </w:rPr>
        <w:sectPr>
          <w:headerReference w:type="default" r:id="rId26"/>
          <w:footerReference w:type="default" r:id="rId27"/>
          <w:pgSz w:w="11910" w:h="16840"/>
          <w:pgMar w:header="886" w:footer="980" w:top="1740" w:bottom="1160" w:left="900" w:right="860"/>
          <w:pgNumType w:start="88"/>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3.1</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会计期间</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会计期间为公历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4"/>
              <w:jc w:val="right"/>
              <w:rPr>
                <w:rFonts w:ascii="宋体" w:hAnsi="宋体" w:cs="宋体" w:eastAsia="宋体" w:hint="default"/>
                <w:sz w:val="21"/>
                <w:szCs w:val="21"/>
              </w:rPr>
            </w:pPr>
            <w:r>
              <w:rPr>
                <w:rFonts w:ascii="宋体"/>
                <w:sz w:val="21"/>
              </w:rPr>
              <w:t>3.2</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记账本位币为人民币。</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3.3</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同一控制下和非同一控制下企业合并的会计处理方法</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3.3.1 </w:t>
            </w:r>
            <w:r>
              <w:rPr>
                <w:rFonts w:ascii="宋体" w:hAnsi="宋体" w:cs="宋体" w:eastAsia="宋体" w:hint="default"/>
                <w:sz w:val="21"/>
                <w:szCs w:val="21"/>
              </w:rPr>
              <w:t>同一控制下的企业合并</w:t>
            </w:r>
          </w:p>
        </w:tc>
      </w:tr>
      <w:tr>
        <w:trPr>
          <w:trHeight w:val="819"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17"/>
              <w:jc w:val="left"/>
              <w:rPr>
                <w:rFonts w:ascii="宋体" w:hAnsi="宋体" w:cs="宋体" w:eastAsia="宋体" w:hint="default"/>
                <w:sz w:val="21"/>
                <w:szCs w:val="21"/>
              </w:rPr>
            </w:pPr>
            <w:r>
              <w:rPr>
                <w:rFonts w:ascii="宋体" w:hAnsi="宋体" w:cs="宋体" w:eastAsia="宋体" w:hint="default"/>
                <w:spacing w:val="-3"/>
                <w:sz w:val="21"/>
                <w:szCs w:val="21"/>
              </w:rPr>
              <w:t>参与合并的企业在合并前后均受同一方或相同的多方最终控制且该控制并非暂时性的，认定为同一</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控制下的企业合并。</w:t>
            </w:r>
          </w:p>
        </w:tc>
      </w:tr>
      <w:tr>
        <w:trPr>
          <w:trHeight w:val="1361"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6"/>
              <w:jc w:val="both"/>
              <w:rPr>
                <w:rFonts w:ascii="宋体" w:hAnsi="宋体" w:cs="宋体" w:eastAsia="宋体" w:hint="default"/>
                <w:sz w:val="21"/>
                <w:szCs w:val="21"/>
              </w:rPr>
            </w:pPr>
            <w:r>
              <w:rPr>
                <w:rFonts w:ascii="宋体" w:hAnsi="宋体" w:cs="宋体" w:eastAsia="宋体" w:hint="default"/>
                <w:spacing w:val="-3"/>
                <w:sz w:val="21"/>
                <w:szCs w:val="21"/>
              </w:rPr>
              <w:t>合并方以支付现金、转让非现金资产或承担债务方式作为合并对价的，在合并日按照取得被合并方</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所有者权益账面价值的份额作为长期股权投资的初始投资成本。长期股权投资初始投资成本与支付</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的现金、转让的非现金资产以及所承担债务账面价值之间的差额，调整资本公积；资本公积不足冲</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减的，调整留存收益。</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为进行企业合并发生的各项直接相关费用于发生时计入当期损益。</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3.3.2</w:t>
            </w:r>
            <w:r>
              <w:rPr>
                <w:rFonts w:ascii="宋体" w:hAnsi="宋体" w:cs="宋体" w:eastAsia="宋体" w:hint="default"/>
                <w:spacing w:val="1"/>
                <w:sz w:val="21"/>
                <w:szCs w:val="21"/>
              </w:rPr>
              <w:t> </w:t>
            </w:r>
            <w:r>
              <w:rPr>
                <w:rFonts w:ascii="宋体" w:hAnsi="宋体" w:cs="宋体" w:eastAsia="宋体" w:hint="default"/>
                <w:sz w:val="21"/>
                <w:szCs w:val="21"/>
              </w:rPr>
              <w:t>非同一控制下的企业合并</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33"/>
              <w:jc w:val="left"/>
              <w:rPr>
                <w:rFonts w:ascii="宋体" w:hAnsi="宋体" w:cs="宋体" w:eastAsia="宋体" w:hint="default"/>
                <w:sz w:val="21"/>
                <w:szCs w:val="21"/>
              </w:rPr>
            </w:pPr>
            <w:r>
              <w:rPr>
                <w:rFonts w:ascii="宋体" w:hAnsi="宋体" w:cs="宋体" w:eastAsia="宋体" w:hint="default"/>
                <w:spacing w:val="2"/>
                <w:sz w:val="21"/>
                <w:szCs w:val="21"/>
              </w:rPr>
              <w:t>参与合并的各方在合并前后不受同一方或相同的多方最终控制的，认定为非同一控制下的企业合</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并。</w:t>
            </w:r>
          </w:p>
        </w:tc>
      </w:tr>
      <w:tr>
        <w:trPr>
          <w:trHeight w:val="1363"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6"/>
              <w:jc w:val="both"/>
              <w:rPr>
                <w:rFonts w:ascii="宋体" w:hAnsi="宋体" w:cs="宋体" w:eastAsia="宋体" w:hint="default"/>
                <w:sz w:val="21"/>
                <w:szCs w:val="21"/>
              </w:rPr>
            </w:pPr>
            <w:r>
              <w:rPr>
                <w:rFonts w:ascii="宋体" w:hAnsi="宋体" w:cs="宋体" w:eastAsia="宋体" w:hint="default"/>
                <w:spacing w:val="-3"/>
                <w:sz w:val="21"/>
                <w:szCs w:val="21"/>
              </w:rPr>
              <w:t>购买方通过一次交换交易实现的企业合并，合并成本为购买方在购买日为取得对被购买方的控制权</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而付出的资产、发生或承担的负债以及发行的权益性证券的公允价值。通过多次交换交易分步实现</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的企业合并，合并成本为每一单项交易成本之和。购买方为进行企业合并发生的各项直接相关费用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也计入企业合并成本。</w:t>
            </w:r>
          </w:p>
        </w:tc>
      </w:tr>
      <w:tr>
        <w:trPr>
          <w:trHeight w:val="923"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7"/>
              <w:jc w:val="both"/>
              <w:rPr>
                <w:rFonts w:ascii="宋体" w:hAnsi="宋体" w:cs="宋体" w:eastAsia="宋体" w:hint="default"/>
                <w:sz w:val="21"/>
                <w:szCs w:val="21"/>
              </w:rPr>
            </w:pPr>
            <w:r>
              <w:rPr>
                <w:rFonts w:ascii="宋体" w:hAnsi="宋体" w:cs="宋体" w:eastAsia="宋体" w:hint="default"/>
                <w:spacing w:val="-3"/>
                <w:sz w:val="21"/>
                <w:szCs w:val="21"/>
              </w:rPr>
              <w:t>购买方的合并成本和购买方在合并中取得的可辨认净资产按购买日的公允价值计量。合并成本大于</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合并中取得的被购买方于购买日可辨认净资产公允价值份额的差额，确认为商誉；合并成本小于合</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并中取得的被购买方可辨认净资产公允价值份额的差额，计入当期损益。</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59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59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3.4</w:t>
            </w: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合并财务报表的编制方法</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w:t>
            </w:r>
          </w:p>
        </w:tc>
      </w:tr>
      <w:tr>
        <w:trPr>
          <w:trHeight w:val="1362"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37" w:lineRule="auto" w:before="104"/>
              <w:ind w:left="136" w:right="250"/>
              <w:jc w:val="both"/>
              <w:rPr>
                <w:rFonts w:ascii="宋体" w:hAnsi="宋体" w:cs="宋体" w:eastAsia="宋体" w:hint="default"/>
                <w:sz w:val="21"/>
                <w:szCs w:val="21"/>
              </w:rPr>
            </w:pPr>
            <w:r>
              <w:rPr>
                <w:rFonts w:ascii="宋体" w:hAnsi="宋体" w:cs="宋体" w:eastAsia="宋体" w:hint="default"/>
                <w:spacing w:val="-3"/>
                <w:sz w:val="21"/>
                <w:szCs w:val="21"/>
              </w:rPr>
              <w:t>从取得子公司实际控制权之日起，本公司开始将其予以合并；从丧失实际控制权之日起停止合并。公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司间所有重大往来余额、交易及未实现利润在合并财务报表编制时予以抵销。子公司的股东权益中不</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属于公司所拥有的部分作为少数股东权益在合并资产负债表中股东权益项下单独列示；子公司净利润</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中不属于公司所拥有的部分作为少数股东损益在合并利润表中净利润项下单独列示。</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306"/>
              <w:jc w:val="left"/>
              <w:rPr>
                <w:rFonts w:ascii="宋体" w:hAnsi="宋体" w:cs="宋体" w:eastAsia="宋体" w:hint="default"/>
                <w:sz w:val="21"/>
                <w:szCs w:val="21"/>
              </w:rPr>
            </w:pPr>
            <w:r>
              <w:rPr>
                <w:rFonts w:ascii="宋体" w:hAnsi="宋体" w:cs="宋体" w:eastAsia="宋体" w:hint="default"/>
                <w:spacing w:val="-4"/>
                <w:sz w:val="21"/>
                <w:szCs w:val="21"/>
              </w:rPr>
              <w:t>子公司与本公司采用的会计政策或会计期间不一致的，在编制合并财务报表时，按照本公司的会计政</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策或会计期间对子公司财务报表进行必要的调整。</w:t>
            </w:r>
          </w:p>
        </w:tc>
      </w:tr>
      <w:tr>
        <w:trPr>
          <w:trHeight w:val="1635"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305"/>
              <w:jc w:val="both"/>
              <w:rPr>
                <w:rFonts w:ascii="宋体" w:hAnsi="宋体" w:cs="宋体" w:eastAsia="宋体" w:hint="default"/>
                <w:sz w:val="21"/>
                <w:szCs w:val="21"/>
              </w:rPr>
            </w:pPr>
            <w:r>
              <w:rPr>
                <w:rFonts w:ascii="宋体" w:hAnsi="宋体" w:cs="宋体" w:eastAsia="宋体" w:hint="default"/>
                <w:spacing w:val="-4"/>
                <w:sz w:val="21"/>
                <w:szCs w:val="21"/>
              </w:rPr>
              <w:t>对于因非同一控制下企业合并取得的子公司，在编制合并财务报表时，以购买日可辨认净资产公允价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值为基础对其个别财务报表进行调整；对于因同一控制下企业合并取得的子公司，在编制合并财务报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4"/>
                <w:sz w:val="21"/>
                <w:szCs w:val="21"/>
              </w:rPr>
              <w:t>表时，视同该企业合并于报告期最早期间的期初已经发生，从报告期最早期间的期初起将其资产、负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债、经营成果和现金流量纳入合并财务报表，且其合并日前实现的净利润在合并利润表中单列项目反</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映。</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5"/>
              <w:jc w:val="right"/>
              <w:rPr>
                <w:rFonts w:ascii="宋体" w:hAnsi="宋体" w:cs="宋体" w:eastAsia="宋体" w:hint="default"/>
                <w:sz w:val="21"/>
                <w:szCs w:val="21"/>
              </w:rPr>
            </w:pPr>
            <w:r>
              <w:rPr>
                <w:rFonts w:ascii="宋体"/>
                <w:sz w:val="21"/>
              </w:rPr>
              <w:t>3.5</w:t>
            </w: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4" w:right="0"/>
              <w:jc w:val="left"/>
              <w:rPr>
                <w:rFonts w:ascii="宋体" w:hAnsi="宋体" w:cs="宋体" w:eastAsia="宋体" w:hint="default"/>
                <w:sz w:val="21"/>
                <w:szCs w:val="21"/>
              </w:rPr>
            </w:pPr>
            <w:r>
              <w:rPr>
                <w:rFonts w:ascii="宋体" w:hAnsi="宋体" w:cs="宋体" w:eastAsia="宋体" w:hint="default"/>
                <w:sz w:val="21"/>
                <w:szCs w:val="21"/>
              </w:rPr>
              <w:t>现金及现金等价物的确定标准</w:t>
            </w:r>
          </w:p>
        </w:tc>
      </w:tr>
      <w:tr>
        <w:trPr>
          <w:trHeight w:val="818"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4" w:right="198"/>
              <w:jc w:val="left"/>
              <w:rPr>
                <w:rFonts w:ascii="宋体" w:hAnsi="宋体" w:cs="宋体" w:eastAsia="宋体" w:hint="default"/>
                <w:sz w:val="21"/>
                <w:szCs w:val="21"/>
              </w:rPr>
            </w:pPr>
            <w:r>
              <w:rPr>
                <w:rFonts w:ascii="宋体" w:hAnsi="宋体" w:cs="宋体" w:eastAsia="宋体" w:hint="default"/>
                <w:spacing w:val="-2"/>
                <w:sz w:val="21"/>
                <w:szCs w:val="21"/>
              </w:rPr>
              <w:t>列示于现金流量表中的现金是指库存现金及可随时用于支付的存款，现金等价物是指持有的期限短、</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流动性强、易于转换为已知金额现金及价值变动风险很小的投资。</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3.6</w:t>
            </w: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外币业务和外币报表折算</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3.6.1</w:t>
            </w:r>
            <w:r>
              <w:rPr>
                <w:rFonts w:ascii="宋体" w:hAnsi="宋体" w:cs="宋体" w:eastAsia="宋体" w:hint="default"/>
                <w:spacing w:val="1"/>
                <w:sz w:val="21"/>
                <w:szCs w:val="21"/>
              </w:rPr>
              <w:t> </w:t>
            </w:r>
            <w:r>
              <w:rPr>
                <w:rFonts w:ascii="宋体" w:hAnsi="宋体" w:cs="宋体" w:eastAsia="宋体" w:hint="default"/>
                <w:sz w:val="21"/>
                <w:szCs w:val="21"/>
              </w:rPr>
              <w:t>外币业务</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外币业务按业务发生日的即期汇率将外币金额折算为人民币入账。</w:t>
            </w:r>
          </w:p>
        </w:tc>
      </w:tr>
      <w:tr>
        <w:trPr>
          <w:trHeight w:val="1363"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306"/>
              <w:jc w:val="both"/>
              <w:rPr>
                <w:rFonts w:ascii="宋体" w:hAnsi="宋体" w:cs="宋体" w:eastAsia="宋体" w:hint="default"/>
                <w:sz w:val="21"/>
                <w:szCs w:val="21"/>
              </w:rPr>
            </w:pPr>
            <w:r>
              <w:rPr>
                <w:rFonts w:ascii="宋体" w:hAnsi="宋体" w:cs="宋体" w:eastAsia="宋体" w:hint="default"/>
                <w:spacing w:val="-4"/>
                <w:sz w:val="21"/>
                <w:szCs w:val="21"/>
              </w:rPr>
              <w:t>于资产负债表日，外币货币性项目采用资产负债表日的即期汇率折算为人民币，所产生的折算差额除</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w w:val="100"/>
                <w:sz w:val="21"/>
                <w:szCs w:val="21"/>
              </w:rPr>
              <w:t>了为购建或生产符合资本化条件的资产而借入的外币借款产生的汇兑差额按资本化的原则处理外，直</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接计入当期损益。以历史成本计量的外币非货币性项目，于资产负债表日采用交易发生日的即期汇率</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折算。</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4" w:right="0"/>
              <w:jc w:val="left"/>
              <w:rPr>
                <w:rFonts w:ascii="宋体" w:hAnsi="宋体" w:cs="宋体" w:eastAsia="宋体" w:hint="default"/>
                <w:sz w:val="21"/>
                <w:szCs w:val="21"/>
              </w:rPr>
            </w:pPr>
            <w:r>
              <w:rPr>
                <w:rFonts w:ascii="宋体" w:hAnsi="宋体" w:cs="宋体" w:eastAsia="宋体" w:hint="default"/>
                <w:sz w:val="21"/>
                <w:szCs w:val="21"/>
              </w:rPr>
              <w:t>3.6.2</w:t>
            </w:r>
            <w:r>
              <w:rPr>
                <w:rFonts w:ascii="宋体" w:hAnsi="宋体" w:cs="宋体" w:eastAsia="宋体" w:hint="default"/>
                <w:spacing w:val="-2"/>
                <w:sz w:val="21"/>
                <w:szCs w:val="21"/>
              </w:rPr>
              <w:t> </w:t>
            </w:r>
            <w:r>
              <w:rPr>
                <w:rFonts w:ascii="宋体" w:hAnsi="宋体" w:cs="宋体" w:eastAsia="宋体" w:hint="default"/>
                <w:sz w:val="21"/>
                <w:szCs w:val="21"/>
              </w:rPr>
              <w:t>外币财务报表的折算</w:t>
            </w:r>
          </w:p>
        </w:tc>
      </w:tr>
      <w:tr>
        <w:trPr>
          <w:trHeight w:val="1739" w:hRule="exact"/>
        </w:trPr>
        <w:tc>
          <w:tcPr>
            <w:tcW w:w="772" w:type="dxa"/>
            <w:tcBorders>
              <w:top w:val="nil" w:sz="6" w:space="0" w:color="auto"/>
              <w:left w:val="nil" w:sz="6" w:space="0" w:color="auto"/>
              <w:bottom w:val="nil" w:sz="6" w:space="0" w:color="auto"/>
              <w:right w:val="nil" w:sz="6" w:space="0" w:color="auto"/>
            </w:tcBorders>
          </w:tcPr>
          <w:p>
            <w:pPr/>
          </w:p>
        </w:tc>
        <w:tc>
          <w:tcPr>
            <w:tcW w:w="959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44" w:right="306"/>
              <w:jc w:val="both"/>
              <w:rPr>
                <w:rFonts w:ascii="宋体" w:hAnsi="宋体" w:cs="宋体" w:eastAsia="宋体" w:hint="default"/>
                <w:sz w:val="21"/>
                <w:szCs w:val="21"/>
              </w:rPr>
            </w:pPr>
            <w:r>
              <w:rPr>
                <w:rFonts w:ascii="宋体" w:hAnsi="宋体" w:cs="宋体" w:eastAsia="宋体" w:hint="default"/>
                <w:sz w:val="21"/>
                <w:szCs w:val="21"/>
              </w:rPr>
              <w:t>以非记账本位币编制的资产负债表中的资产和负债项目，采用资产负债表日的即期汇率折算成记账</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本位币，股东权益中除未分配利润项目外，其他项目采用发生时的即期汇率折算。以非记账本位币</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编制的利润表中的收入与费用项目，采用交易发生日的即期汇率折算成记账本位币。上述折算产生</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的外币报表折算差额，在股东权益中以单独项目列示。以非记账本位币编制的现金流量表中各项目</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的现金流量采用现金流量发生日的即期汇率折算成记账本位币。汇率变动对现金的影响额，在现金</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流量表中单独列示。</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44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78" w:right="0"/>
              <w:jc w:val="left"/>
              <w:rPr>
                <w:rFonts w:ascii="宋体" w:hAnsi="宋体" w:cs="宋体" w:eastAsia="宋体" w:hint="default"/>
                <w:sz w:val="21"/>
                <w:szCs w:val="21"/>
              </w:rPr>
            </w:pPr>
            <w:r>
              <w:rPr>
                <w:rFonts w:ascii="宋体"/>
                <w:sz w:val="21"/>
              </w:rPr>
              <w:t>3.7</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金融工具</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3.7.1</w:t>
            </w:r>
            <w:r>
              <w:rPr>
                <w:rFonts w:ascii="宋体" w:hAnsi="宋体" w:cs="宋体" w:eastAsia="宋体" w:hint="default"/>
                <w:spacing w:val="-1"/>
                <w:sz w:val="21"/>
                <w:szCs w:val="21"/>
              </w:rPr>
              <w:t> </w:t>
            </w:r>
            <w:r>
              <w:rPr>
                <w:rFonts w:ascii="宋体" w:hAnsi="宋体" w:cs="宋体" w:eastAsia="宋体" w:hint="default"/>
                <w:sz w:val="21"/>
                <w:szCs w:val="21"/>
              </w:rPr>
              <w:t>金融工具的确认和终止确认</w:t>
            </w:r>
          </w:p>
        </w:tc>
      </w:tr>
      <w:tr>
        <w:trPr>
          <w:trHeight w:val="58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本公司于成为金融工具合同的一方时确认一项金融资产或金融负债。</w:t>
            </w:r>
          </w:p>
        </w:tc>
      </w:tr>
      <w:tr>
        <w:trPr>
          <w:trHeight w:val="140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3" w:lineRule="exact" w:before="145"/>
              <w:ind w:left="136" w:right="0"/>
              <w:jc w:val="left"/>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收取该金融资产现金流量的合同权利终止；</w:t>
            </w:r>
          </w:p>
          <w:p>
            <w:pPr>
              <w:pStyle w:val="TableParagraph"/>
              <w:spacing w:line="272" w:lineRule="exact" w:before="29"/>
              <w:ind w:left="496" w:right="162" w:hanging="36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该金融资产已转移，且符合《企业会计准则第</w:t>
            </w:r>
            <w:r>
              <w:rPr>
                <w:rFonts w:ascii="宋体" w:hAnsi="宋体" w:cs="宋体" w:eastAsia="宋体"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认条件。</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tc>
      </w:tr>
      <w:tr>
        <w:trPr>
          <w:trHeight w:val="54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36" w:right="0"/>
              <w:jc w:val="left"/>
              <w:rPr>
                <w:rFonts w:ascii="宋体" w:hAnsi="宋体" w:cs="宋体" w:eastAsia="宋体" w:hint="default"/>
                <w:sz w:val="21"/>
                <w:szCs w:val="21"/>
              </w:rPr>
            </w:pPr>
            <w:r>
              <w:rPr>
                <w:rFonts w:ascii="宋体" w:hAnsi="宋体" w:cs="宋体" w:eastAsia="宋体" w:hint="default"/>
                <w:sz w:val="21"/>
                <w:szCs w:val="21"/>
              </w:rPr>
              <w:t>3.7.2</w:t>
            </w:r>
            <w:r>
              <w:rPr>
                <w:rFonts w:ascii="宋体" w:hAnsi="宋体" w:cs="宋体" w:eastAsia="宋体" w:hint="default"/>
                <w:spacing w:val="-54"/>
                <w:sz w:val="21"/>
                <w:szCs w:val="21"/>
              </w:rPr>
              <w:t> </w:t>
            </w:r>
            <w:r>
              <w:rPr>
                <w:rFonts w:ascii="宋体" w:hAnsi="宋体" w:cs="宋体" w:eastAsia="宋体" w:hint="default"/>
                <w:sz w:val="21"/>
                <w:szCs w:val="21"/>
              </w:rPr>
              <w:t>金融资产的分类</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59"/>
              <w:jc w:val="both"/>
              <w:rPr>
                <w:rFonts w:ascii="宋体" w:hAnsi="宋体" w:cs="宋体" w:eastAsia="宋体" w:hint="default"/>
                <w:sz w:val="21"/>
                <w:szCs w:val="21"/>
              </w:rPr>
            </w:pPr>
            <w:r>
              <w:rPr>
                <w:rFonts w:ascii="宋体" w:hAnsi="宋体" w:cs="宋体" w:eastAsia="宋体" w:hint="default"/>
                <w:spacing w:val="-1"/>
                <w:sz w:val="21"/>
                <w:szCs w:val="21"/>
              </w:rPr>
              <w:t>金融资产于初始确认时分类为：以公允价值计量且其变动计入当期损益的金融资产、应收款项、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可供出售金融资产和持有至到期投资。金融资产的分类取决于本公司对金融资产的持有意图和持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有能力。</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以公允价值计量且其变动计入当期损益的金融资产</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39"/>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产在资产负债表中以交易性金融资产列示。</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应收款项</w:t>
            </w:r>
          </w:p>
        </w:tc>
      </w:tr>
      <w:tr>
        <w:trPr>
          <w:trHeight w:val="818"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29"/>
              <w:jc w:val="left"/>
              <w:rPr>
                <w:rFonts w:ascii="宋体" w:hAnsi="宋体" w:cs="宋体" w:eastAsia="宋体" w:hint="default"/>
                <w:sz w:val="21"/>
                <w:szCs w:val="21"/>
              </w:rPr>
            </w:pPr>
            <w:r>
              <w:rPr>
                <w:rFonts w:ascii="宋体" w:hAnsi="宋体" w:cs="宋体" w:eastAsia="宋体" w:hint="default"/>
                <w:spacing w:val="-3"/>
                <w:sz w:val="21"/>
                <w:szCs w:val="21"/>
              </w:rPr>
              <w:t>应收款项是指在活跃市场中没有报价、回收金额固定或可确定的非衍生金融资产，包括应收账款、</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其他应收款和长期应收款等。</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可供出售金融资产</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34"/>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金融资产。自资产负债表日起</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个月内将出售的可供出售金融资产在资产负债表中列示为一年内</w:t>
            </w:r>
            <w:r>
              <w:rPr>
                <w:rFonts w:ascii="宋体" w:hAnsi="宋体" w:cs="宋体" w:eastAsia="宋体" w:hint="default"/>
                <w:w w:val="100"/>
                <w:sz w:val="21"/>
                <w:szCs w:val="21"/>
              </w:rPr>
              <w:t> </w:t>
            </w:r>
            <w:r>
              <w:rPr>
                <w:rFonts w:ascii="宋体" w:hAnsi="宋体" w:cs="宋体" w:eastAsia="宋体" w:hint="default"/>
                <w:sz w:val="21"/>
                <w:szCs w:val="21"/>
              </w:rPr>
              <w:t>到期的非流动资产。</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持有至到期投资</w:t>
            </w:r>
          </w:p>
        </w:tc>
      </w:tr>
      <w:tr>
        <w:trPr>
          <w:trHeight w:val="922"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4"/>
              <w:ind w:left="136" w:right="134"/>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期的非衍生金融资产。自资产负债表日起</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个月内到期的持有至到期投资在资产负债表中列示为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一年内到期的非流动资产。</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78" w:right="0"/>
              <w:jc w:val="left"/>
              <w:rPr>
                <w:rFonts w:ascii="宋体" w:hAnsi="宋体" w:cs="宋体" w:eastAsia="宋体" w:hint="default"/>
                <w:sz w:val="21"/>
                <w:szCs w:val="21"/>
              </w:rPr>
            </w:pPr>
            <w:r>
              <w:rPr>
                <w:rFonts w:ascii="宋体"/>
                <w:sz w:val="21"/>
              </w:rPr>
              <w:t>3.7</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金融工具（续）</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3.7.3</w:t>
            </w:r>
            <w:r>
              <w:rPr>
                <w:rFonts w:ascii="宋体" w:hAnsi="宋体" w:cs="宋体" w:eastAsia="宋体" w:hint="default"/>
                <w:spacing w:val="-1"/>
                <w:sz w:val="21"/>
                <w:szCs w:val="21"/>
              </w:rPr>
              <w:t> </w:t>
            </w:r>
            <w:r>
              <w:rPr>
                <w:rFonts w:ascii="宋体" w:hAnsi="宋体" w:cs="宋体" w:eastAsia="宋体" w:hint="default"/>
                <w:sz w:val="21"/>
                <w:szCs w:val="21"/>
              </w:rPr>
              <w:t>金融资产的计量</w:t>
            </w:r>
          </w:p>
        </w:tc>
      </w:tr>
      <w:tr>
        <w:trPr>
          <w:trHeight w:val="1088"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4"/>
              <w:ind w:left="136" w:right="158" w:firstLine="28"/>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量且其变动计入当期损益的金融资产，取得时发生的相关交易费用直接计入当期损益。其他金融</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资产的相关交易费用计入初始确认金额。</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34"/>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款项以及持有至到期投资采用实际利率法，以摊余成本计量。</w:t>
            </w:r>
          </w:p>
        </w:tc>
      </w:tr>
      <w:tr>
        <w:trPr>
          <w:trHeight w:val="819"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14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产持有期间所取得的利息或现金股利以及在处置时产生的处置损益，计入当期损益。</w:t>
            </w:r>
          </w:p>
        </w:tc>
      </w:tr>
      <w:tr>
        <w:trPr>
          <w:trHeight w:val="1361"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除减值损失及外币货币性金融资产形成的汇兑损益外，可供出售金融资产公允价值变动计入股东</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权益，待该金融资产终止确认时，原直接计入权益的公允价值变动累计额转入当期损益。可供出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售债务工具投资在持有期间按实际利率法计算利息，计入投资收益；可供出售权益工具投资的现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金股利，于被投资单位宣告发放股利时计入投资收益。</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3.7.4</w:t>
            </w:r>
            <w:r>
              <w:rPr>
                <w:rFonts w:ascii="宋体" w:hAnsi="宋体" w:cs="宋体" w:eastAsia="宋体" w:hint="default"/>
                <w:spacing w:val="-1"/>
                <w:sz w:val="21"/>
                <w:szCs w:val="21"/>
              </w:rPr>
              <w:t> </w:t>
            </w:r>
            <w:r>
              <w:rPr>
                <w:rFonts w:ascii="宋体" w:hAnsi="宋体" w:cs="宋体" w:eastAsia="宋体" w:hint="default"/>
                <w:sz w:val="21"/>
                <w:szCs w:val="21"/>
              </w:rPr>
              <w:t>金融负债的分类</w:t>
            </w:r>
          </w:p>
        </w:tc>
      </w:tr>
      <w:tr>
        <w:trPr>
          <w:trHeight w:val="923"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为以公允价值计量且其变动计入当期损益的金融负债。</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72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78" w:right="0"/>
              <w:jc w:val="left"/>
              <w:rPr>
                <w:rFonts w:ascii="宋体" w:hAnsi="宋体" w:cs="宋体" w:eastAsia="宋体" w:hint="default"/>
                <w:sz w:val="21"/>
                <w:szCs w:val="21"/>
              </w:rPr>
            </w:pPr>
            <w:r>
              <w:rPr>
                <w:rFonts w:ascii="宋体"/>
                <w:sz w:val="21"/>
              </w:rPr>
              <w:t>3.7</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金融工具（续）</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3.7.5 </w:t>
            </w:r>
            <w:r>
              <w:rPr>
                <w:rFonts w:ascii="宋体" w:hAnsi="宋体" w:cs="宋体" w:eastAsia="宋体" w:hint="default"/>
                <w:sz w:val="21"/>
                <w:szCs w:val="21"/>
              </w:rPr>
              <w:t>金融负债的计量</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42"/>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负债的相关交易费用计入初始确认金额。</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42"/>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金融负债时可能发生的交易费用。</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3.7.6</w:t>
            </w:r>
            <w:r>
              <w:rPr>
                <w:rFonts w:ascii="宋体" w:hAnsi="宋体" w:cs="宋体" w:eastAsia="宋体" w:hint="default"/>
                <w:spacing w:val="-1"/>
                <w:sz w:val="21"/>
                <w:szCs w:val="21"/>
              </w:rPr>
              <w:t> </w:t>
            </w:r>
            <w:r>
              <w:rPr>
                <w:rFonts w:ascii="宋体" w:hAnsi="宋体" w:cs="宋体" w:eastAsia="宋体" w:hint="default"/>
                <w:sz w:val="21"/>
                <w:szCs w:val="21"/>
              </w:rPr>
              <w:t>金融工具的公允价值</w:t>
            </w:r>
          </w:p>
        </w:tc>
      </w:tr>
      <w:tr>
        <w:trPr>
          <w:trHeight w:val="1363"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42"/>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法和期权定价模型等。</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3.7.7</w:t>
            </w:r>
            <w:r>
              <w:rPr>
                <w:rFonts w:ascii="宋体" w:hAnsi="宋体" w:cs="宋体" w:eastAsia="宋体" w:hint="default"/>
                <w:spacing w:val="2"/>
                <w:sz w:val="21"/>
                <w:szCs w:val="21"/>
              </w:rPr>
              <w:t> </w:t>
            </w:r>
            <w:r>
              <w:rPr>
                <w:rFonts w:ascii="宋体" w:hAnsi="宋体" w:cs="宋体" w:eastAsia="宋体" w:hint="default"/>
                <w:sz w:val="21"/>
                <w:szCs w:val="21"/>
              </w:rPr>
              <w:t>金融资产减值</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42"/>
              <w:jc w:val="left"/>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面价值进行检查，如果有客观证据表明某项金融资产发生减值的，计提减值准备。</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37"/>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w:t>
            </w:r>
            <w:r>
              <w:rPr>
                <w:rFonts w:ascii="宋体" w:hAnsi="宋体" w:cs="宋体" w:eastAsia="宋体" w:hint="default"/>
                <w:sz w:val="21"/>
                <w:szCs w:val="21"/>
              </w:rPr>
              <w:t>(</w:t>
            </w:r>
            <w:r>
              <w:rPr>
                <w:rFonts w:ascii="宋体" w:hAnsi="宋体" w:cs="宋体" w:eastAsia="宋体" w:hint="default"/>
                <w:sz w:val="21"/>
                <w:szCs w:val="21"/>
              </w:rPr>
              <w:t>不包括尚未发生的未来信用损失</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现值低于账面价值的差额，计提减值准备。如果有客观证据表明该金融资产价值已恢复，且客观</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上与确认该损失后发生的事项有关，原确认的减值损失予以转回，计入当期损益。</w:t>
            </w:r>
          </w:p>
        </w:tc>
      </w:tr>
      <w:tr>
        <w:trPr>
          <w:trHeight w:val="2012"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41"/>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以恢复，也不予转回。</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p>
      <w:pPr>
        <w:spacing w:line="20" w:lineRule="exact"/>
        <w:ind w:left="6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p>
      <w:pPr>
        <w:tabs>
          <w:tab w:pos="808" w:val="left" w:leader="none"/>
        </w:tabs>
        <w:spacing w:before="36"/>
        <w:ind w:left="100"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808" w:val="left" w:leader="none"/>
        </w:tabs>
        <w:spacing w:before="0"/>
        <w:ind w:left="278" w:right="0" w:firstLine="0"/>
        <w:jc w:val="left"/>
        <w:rPr>
          <w:rFonts w:ascii="宋体" w:hAnsi="宋体" w:cs="宋体" w:eastAsia="宋体" w:hint="default"/>
          <w:sz w:val="21"/>
          <w:szCs w:val="21"/>
        </w:rPr>
      </w:pPr>
      <w:r>
        <w:rPr>
          <w:rFonts w:ascii="宋体" w:hAnsi="宋体" w:cs="宋体" w:eastAsia="宋体" w:hint="default"/>
          <w:sz w:val="21"/>
          <w:szCs w:val="21"/>
        </w:rPr>
        <w:t>3.8</w:t>
        <w:tab/>
      </w:r>
      <w:r>
        <w:rPr>
          <w:rFonts w:ascii="宋体" w:hAnsi="宋体" w:cs="宋体" w:eastAsia="宋体" w:hint="default"/>
          <w:sz w:val="21"/>
          <w:szCs w:val="21"/>
        </w:rPr>
        <w:t>应收款项</w:t>
      </w:r>
    </w:p>
    <w:p>
      <w:pPr>
        <w:spacing w:line="240" w:lineRule="auto" w:before="8"/>
        <w:rPr>
          <w:rFonts w:ascii="宋体" w:hAnsi="宋体" w:cs="宋体" w:eastAsia="宋体" w:hint="default"/>
          <w:sz w:val="20"/>
          <w:szCs w:val="20"/>
        </w:rPr>
      </w:pPr>
    </w:p>
    <w:p>
      <w:pPr>
        <w:spacing w:before="0"/>
        <w:ind w:left="808" w:right="0" w:firstLine="0"/>
        <w:jc w:val="left"/>
        <w:rPr>
          <w:rFonts w:ascii="宋体" w:hAnsi="宋体" w:cs="宋体" w:eastAsia="宋体" w:hint="default"/>
          <w:sz w:val="21"/>
          <w:szCs w:val="21"/>
        </w:rPr>
      </w:pPr>
      <w:r>
        <w:rPr>
          <w:rFonts w:ascii="宋体" w:hAnsi="宋体" w:cs="宋体" w:eastAsia="宋体" w:hint="default"/>
          <w:sz w:val="21"/>
          <w:szCs w:val="21"/>
        </w:rPr>
        <w:t>3.8.1</w:t>
      </w:r>
      <w:r>
        <w:rPr>
          <w:rFonts w:ascii="宋体" w:hAnsi="宋体" w:cs="宋体" w:eastAsia="宋体" w:hint="default"/>
          <w:spacing w:val="-54"/>
          <w:sz w:val="21"/>
          <w:szCs w:val="21"/>
        </w:rPr>
        <w:t> </w:t>
      </w:r>
      <w:r>
        <w:rPr>
          <w:rFonts w:ascii="宋体" w:hAnsi="宋体" w:cs="宋体" w:eastAsia="宋体" w:hint="default"/>
          <w:sz w:val="21"/>
          <w:szCs w:val="21"/>
        </w:rPr>
        <w:t>单项金额重大并单项计提坏账准备的应收款项：</w:t>
      </w:r>
    </w:p>
    <w:p>
      <w:pPr>
        <w:spacing w:line="240" w:lineRule="auto" w:before="1"/>
        <w:rPr>
          <w:rFonts w:ascii="宋体" w:hAnsi="宋体" w:cs="宋体" w:eastAsia="宋体" w:hint="default"/>
          <w:sz w:val="23"/>
          <w:szCs w:val="23"/>
        </w:rPr>
      </w:pPr>
    </w:p>
    <w:tbl>
      <w:tblPr>
        <w:tblW w:w="0" w:type="auto"/>
        <w:jc w:val="left"/>
        <w:tblInd w:w="695" w:type="dxa"/>
        <w:tblLayout w:type="fixed"/>
        <w:tblCellMar>
          <w:top w:w="0" w:type="dxa"/>
          <w:left w:w="0" w:type="dxa"/>
          <w:bottom w:w="0" w:type="dxa"/>
          <w:right w:w="0" w:type="dxa"/>
        </w:tblCellMar>
        <w:tblLook w:val="01E0"/>
      </w:tblPr>
      <w:tblGrid>
        <w:gridCol w:w="4537"/>
        <w:gridCol w:w="4537"/>
      </w:tblGrid>
      <w:tr>
        <w:trPr>
          <w:trHeight w:val="11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对于单项金额重大的应收款项（单项金额在</w:t>
            </w:r>
            <w:r>
              <w:rPr>
                <w:rFonts w:ascii="宋体" w:hAnsi="宋体" w:cs="宋体" w:eastAsia="宋体" w:hint="default"/>
                <w:spacing w:val="-29"/>
                <w:sz w:val="21"/>
                <w:szCs w:val="21"/>
              </w:rPr>
              <w:t> </w:t>
            </w:r>
            <w:r>
              <w:rPr>
                <w:rFonts w:ascii="宋体" w:hAnsi="宋体" w:cs="宋体" w:eastAsia="宋体" w:hint="default"/>
                <w:sz w:val="21"/>
                <w:szCs w:val="21"/>
              </w:rPr>
              <w:t>500</w:t>
            </w:r>
          </w:p>
          <w:p>
            <w:pPr>
              <w:pStyle w:val="TableParagraph"/>
              <w:spacing w:line="237" w:lineRule="auto"/>
              <w:ind w:left="103" w:right="72"/>
              <w:jc w:val="both"/>
              <w:rPr>
                <w:rFonts w:ascii="宋体" w:hAnsi="宋体" w:cs="宋体" w:eastAsia="宋体" w:hint="default"/>
                <w:sz w:val="21"/>
                <w:szCs w:val="21"/>
              </w:rPr>
            </w:pPr>
            <w:r>
              <w:rPr>
                <w:rFonts w:ascii="宋体" w:hAnsi="宋体" w:cs="宋体" w:eastAsia="宋体" w:hint="default"/>
                <w:spacing w:val="-1"/>
                <w:w w:val="100"/>
                <w:sz w:val="21"/>
                <w:szCs w:val="21"/>
              </w:rPr>
              <w:t>万元以上，含</w:t>
            </w:r>
            <w:r>
              <w:rPr>
                <w:rFonts w:ascii="宋体" w:hAnsi="宋体" w:cs="宋体" w:eastAsia="宋体" w:hint="default"/>
                <w:w w:val="100"/>
                <w:sz w:val="21"/>
                <w:szCs w:val="21"/>
              </w:rPr>
              <w:t> </w:t>
            </w:r>
            <w:r>
              <w:rPr>
                <w:rFonts w:ascii="宋体" w:hAnsi="宋体" w:cs="宋体" w:eastAsia="宋体" w:hint="default"/>
                <w:w w:val="100"/>
                <w:sz w:val="21"/>
                <w:szCs w:val="21"/>
              </w:rPr>
              <w:t>500</w:t>
            </w:r>
            <w:r>
              <w:rPr>
                <w:rFonts w:ascii="宋体" w:hAnsi="宋体" w:cs="宋体" w:eastAsia="宋体" w:hint="default"/>
                <w:spacing w:val="-64"/>
                <w:w w:val="100"/>
                <w:sz w:val="21"/>
                <w:szCs w:val="21"/>
              </w:rPr>
              <w:t> </w:t>
            </w:r>
            <w:r>
              <w:rPr>
                <w:rFonts w:ascii="宋体" w:hAnsi="宋体" w:cs="宋体" w:eastAsia="宋体" w:hint="default"/>
                <w:spacing w:val="-10"/>
                <w:w w:val="100"/>
                <w:sz w:val="21"/>
                <w:szCs w:val="21"/>
              </w:rPr>
              <w:t>万元），当存在客观证据表明</w:t>
            </w:r>
            <w:r>
              <w:rPr>
                <w:rFonts w:ascii="宋体" w:hAnsi="宋体" w:cs="宋体" w:eastAsia="宋体" w:hint="default"/>
                <w:w w:val="100"/>
                <w:sz w:val="21"/>
                <w:szCs w:val="21"/>
              </w:rPr>
              <w:t> </w:t>
            </w:r>
            <w:r>
              <w:rPr>
                <w:rFonts w:ascii="宋体" w:hAnsi="宋体" w:cs="宋体" w:eastAsia="宋体" w:hint="default"/>
                <w:spacing w:val="4"/>
                <w:sz w:val="21"/>
                <w:szCs w:val="21"/>
              </w:rPr>
              <w:t>本公司将无法按应收款项的原有条款收回所有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款项时，确认相应的坏账准备。</w:t>
            </w:r>
          </w:p>
        </w:tc>
      </w:tr>
      <w:tr>
        <w:trPr>
          <w:trHeight w:val="1100"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2"/>
              <w:jc w:val="left"/>
              <w:rPr>
                <w:rFonts w:ascii="宋体" w:hAnsi="宋体" w:cs="宋体" w:eastAsia="宋体" w:hint="default"/>
                <w:sz w:val="21"/>
                <w:szCs w:val="21"/>
              </w:rPr>
            </w:pPr>
            <w:r>
              <w:rPr>
                <w:rFonts w:ascii="宋体" w:hAnsi="宋体" w:cs="宋体" w:eastAsia="宋体" w:hint="default"/>
                <w:spacing w:val="4"/>
                <w:sz w:val="21"/>
                <w:szCs w:val="21"/>
              </w:rPr>
              <w:t>根据该款项预计未来现金流量现值低于其账面</w:t>
            </w:r>
          </w:p>
          <w:p>
            <w:pPr>
              <w:pStyle w:val="TableParagraph"/>
              <w:spacing w:line="237" w:lineRule="auto"/>
              <w:ind w:left="103" w:right="-32"/>
              <w:jc w:val="left"/>
              <w:rPr>
                <w:rFonts w:ascii="宋体" w:hAnsi="宋体" w:cs="宋体" w:eastAsia="宋体" w:hint="default"/>
                <w:sz w:val="21"/>
                <w:szCs w:val="21"/>
              </w:rPr>
            </w:pPr>
            <w:r>
              <w:rPr>
                <w:rFonts w:ascii="宋体" w:hAnsi="宋体" w:cs="宋体" w:eastAsia="宋体" w:hint="default"/>
                <w:spacing w:val="-10"/>
                <w:w w:val="100"/>
                <w:sz w:val="21"/>
                <w:szCs w:val="21"/>
              </w:rPr>
              <w:t>价值的差额，单独进行减值测试，计提坏账准备；</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5"/>
                <w:sz w:val="21"/>
                <w:szCs w:val="21"/>
              </w:rPr>
              <w:t>经单独测试未发生减值的，包括在具有类似信用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风险特征的应收款项组合中计提坏账准备。</w:t>
            </w:r>
          </w:p>
        </w:tc>
      </w:tr>
    </w:tbl>
    <w:p>
      <w:pPr>
        <w:spacing w:line="240" w:lineRule="auto" w:before="5"/>
        <w:rPr>
          <w:rFonts w:ascii="宋体" w:hAnsi="宋体" w:cs="宋体" w:eastAsia="宋体" w:hint="default"/>
          <w:sz w:val="15"/>
          <w:szCs w:val="15"/>
        </w:rPr>
      </w:pPr>
    </w:p>
    <w:p>
      <w:pPr>
        <w:spacing w:before="36"/>
        <w:ind w:left="808" w:right="0" w:firstLine="0"/>
        <w:jc w:val="left"/>
        <w:rPr>
          <w:rFonts w:ascii="宋体" w:hAnsi="宋体" w:cs="宋体" w:eastAsia="宋体" w:hint="default"/>
          <w:sz w:val="21"/>
          <w:szCs w:val="21"/>
        </w:rPr>
      </w:pPr>
      <w:r>
        <w:rPr>
          <w:rFonts w:ascii="宋体" w:hAnsi="宋体" w:cs="宋体" w:eastAsia="宋体" w:hint="default"/>
          <w:sz w:val="21"/>
          <w:szCs w:val="21"/>
        </w:rPr>
        <w:t>3.8.2</w:t>
      </w:r>
      <w:r>
        <w:rPr>
          <w:rFonts w:ascii="宋体" w:hAnsi="宋体" w:cs="宋体" w:eastAsia="宋体" w:hint="default"/>
          <w:spacing w:val="-1"/>
          <w:sz w:val="21"/>
          <w:szCs w:val="21"/>
        </w:rPr>
        <w:t> </w:t>
      </w:r>
      <w:r>
        <w:rPr>
          <w:rFonts w:ascii="宋体" w:hAnsi="宋体" w:cs="宋体" w:eastAsia="宋体" w:hint="default"/>
          <w:sz w:val="21"/>
          <w:szCs w:val="21"/>
        </w:rPr>
        <w:t>按组合计提坏账准备应收款项：</w:t>
      </w:r>
    </w:p>
    <w:p>
      <w:pPr>
        <w:spacing w:line="240" w:lineRule="auto" w:before="3"/>
        <w:rPr>
          <w:rFonts w:ascii="宋体" w:hAnsi="宋体" w:cs="宋体" w:eastAsia="宋体" w:hint="default"/>
          <w:sz w:val="23"/>
          <w:szCs w:val="23"/>
        </w:rPr>
      </w:pPr>
    </w:p>
    <w:tbl>
      <w:tblPr>
        <w:tblW w:w="0" w:type="auto"/>
        <w:jc w:val="left"/>
        <w:tblInd w:w="695" w:type="dxa"/>
        <w:tblLayout w:type="fixed"/>
        <w:tblCellMar>
          <w:top w:w="0" w:type="dxa"/>
          <w:left w:w="0" w:type="dxa"/>
          <w:bottom w:w="0" w:type="dxa"/>
          <w:right w:w="0" w:type="dxa"/>
        </w:tblCellMar>
        <w:tblLook w:val="01E0"/>
      </w:tblPr>
      <w:tblGrid>
        <w:gridCol w:w="4537"/>
        <w:gridCol w:w="4537"/>
      </w:tblGrid>
      <w:tr>
        <w:trPr>
          <w:trHeight w:val="283" w:hRule="exact"/>
        </w:trPr>
        <w:tc>
          <w:tcPr>
            <w:tcW w:w="9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c>
      </w:tr>
      <w:tr>
        <w:trPr>
          <w:trHeight w:val="28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应收保证金款项具有类似的信用风险特征</w:t>
            </w:r>
          </w:p>
        </w:tc>
      </w:tr>
      <w:tr>
        <w:trPr>
          <w:trHeight w:val="55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合并报表范围内的应收款项具有类似的信用风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险特征</w:t>
            </w:r>
          </w:p>
        </w:tc>
      </w:tr>
    </w:tbl>
    <w:p>
      <w:pPr>
        <w:spacing w:line="240" w:lineRule="auto" w:before="7"/>
        <w:rPr>
          <w:rFonts w:ascii="宋体" w:hAnsi="宋体" w:cs="宋体" w:eastAsia="宋体" w:hint="default"/>
          <w:sz w:val="15"/>
          <w:szCs w:val="15"/>
        </w:rPr>
      </w:pPr>
    </w:p>
    <w:p>
      <w:pPr>
        <w:spacing w:before="36"/>
        <w:ind w:left="808"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3"/>
        <w:rPr>
          <w:rFonts w:ascii="宋体" w:hAnsi="宋体" w:cs="宋体" w:eastAsia="宋体" w:hint="default"/>
          <w:sz w:val="23"/>
          <w:szCs w:val="23"/>
        </w:rPr>
      </w:pPr>
    </w:p>
    <w:tbl>
      <w:tblPr>
        <w:tblW w:w="0" w:type="auto"/>
        <w:jc w:val="left"/>
        <w:tblInd w:w="695" w:type="dxa"/>
        <w:tblLayout w:type="fixed"/>
        <w:tblCellMar>
          <w:top w:w="0" w:type="dxa"/>
          <w:left w:w="0" w:type="dxa"/>
          <w:bottom w:w="0" w:type="dxa"/>
          <w:right w:w="0" w:type="dxa"/>
        </w:tblCellMar>
        <w:tblLook w:val="01E0"/>
      </w:tblPr>
      <w:tblGrid>
        <w:gridCol w:w="3829"/>
        <w:gridCol w:w="2693"/>
        <w:gridCol w:w="2552"/>
      </w:tblGrid>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其他应收款计提比例（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w w:val="100"/>
                <w:sz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right"/>
              <w:rPr>
                <w:rFonts w:ascii="宋体" w:hAnsi="宋体" w:cs="宋体" w:eastAsia="宋体" w:hint="default"/>
                <w:sz w:val="21"/>
                <w:szCs w:val="21"/>
              </w:rPr>
            </w:pPr>
            <w:r>
              <w:rPr>
                <w:rFonts w:ascii="宋体"/>
                <w:w w:val="100"/>
                <w:sz w:val="21"/>
              </w:rPr>
              <w:t>-</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z w:val="21"/>
              </w:rPr>
              <w:t>25%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z w:val="21"/>
              </w:rPr>
              <w:t>25%</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z w:val="21"/>
              </w:rPr>
              <w:t>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z w:val="21"/>
              </w:rPr>
              <w:t>50%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sz w:val="21"/>
              </w:rPr>
              <w:t>100%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4"/>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spacing w:before="36"/>
        <w:ind w:left="794" w:right="0"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w:t>
      </w:r>
    </w:p>
    <w:p>
      <w:pPr>
        <w:spacing w:line="240" w:lineRule="auto" w:before="3"/>
        <w:rPr>
          <w:rFonts w:ascii="宋体" w:hAnsi="宋体" w:cs="宋体" w:eastAsia="宋体" w:hint="default"/>
          <w:sz w:val="23"/>
          <w:szCs w:val="23"/>
        </w:rPr>
      </w:pPr>
    </w:p>
    <w:tbl>
      <w:tblPr>
        <w:tblW w:w="0" w:type="auto"/>
        <w:jc w:val="left"/>
        <w:tblInd w:w="681" w:type="dxa"/>
        <w:tblLayout w:type="fixed"/>
        <w:tblCellMar>
          <w:top w:w="0" w:type="dxa"/>
          <w:left w:w="0" w:type="dxa"/>
          <w:bottom w:w="0" w:type="dxa"/>
          <w:right w:w="0" w:type="dxa"/>
        </w:tblCellMar>
        <w:tblLook w:val="01E0"/>
      </w:tblPr>
      <w:tblGrid>
        <w:gridCol w:w="2626"/>
        <w:gridCol w:w="6212"/>
      </w:tblGrid>
      <w:tr>
        <w:trPr>
          <w:trHeight w:val="281"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方法说明</w:t>
            </w:r>
          </w:p>
        </w:tc>
      </w:tr>
      <w:tr>
        <w:trPr>
          <w:trHeight w:val="828"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保证金组合</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单独进行减值测试，若有客观证据表明发生了减值，按预计未来现</w:t>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4"/>
                <w:sz w:val="21"/>
                <w:szCs w:val="21"/>
              </w:rPr>
              <w:t>金流量现值低于其账面价值的差额计提坏账准备；经单独测试未发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现减值，不计提坏账准备。</w:t>
            </w:r>
          </w:p>
        </w:tc>
      </w:tr>
      <w:tr>
        <w:trPr>
          <w:trHeight w:val="828"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合并范围内往来组合</w:t>
            </w:r>
          </w:p>
        </w:tc>
        <w:tc>
          <w:tcPr>
            <w:tcW w:w="6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单独进行减值测试，若有客观证据表明发生了减值，按预计未来现</w:t>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4"/>
                <w:sz w:val="21"/>
                <w:szCs w:val="21"/>
              </w:rPr>
              <w:t>金流量现值低于其账面价值的差额计提坏账准备；经单独测试未发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现减值，不计提坏账准备。</w:t>
            </w:r>
          </w:p>
        </w:tc>
      </w:tr>
    </w:tbl>
    <w:p>
      <w:pPr>
        <w:spacing w:after="0" w:line="272" w:lineRule="exact"/>
        <w:jc w:val="left"/>
        <w:rPr>
          <w:rFonts w:ascii="宋体" w:hAnsi="宋体" w:cs="宋体" w:eastAsia="宋体" w:hint="default"/>
          <w:sz w:val="21"/>
          <w:szCs w:val="21"/>
        </w:rPr>
        <w:sectPr>
          <w:pgSz w:w="11910" w:h="16840"/>
          <w:pgMar w:header="886" w:footer="980" w:top="1740" w:bottom="1160" w:left="11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800"/>
        <w:gridCol w:w="4537"/>
        <w:gridCol w:w="4537"/>
      </w:tblGrid>
      <w:tr>
        <w:trPr>
          <w:trHeight w:val="687"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453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4537"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3.8</w:t>
            </w:r>
          </w:p>
        </w:tc>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应收款项（续）</w:t>
            </w:r>
          </w:p>
        </w:tc>
        <w:tc>
          <w:tcPr>
            <w:tcW w:w="4537" w:type="dxa"/>
            <w:tcBorders>
              <w:top w:val="nil" w:sz="6" w:space="0" w:color="auto"/>
              <w:left w:val="nil" w:sz="6" w:space="0" w:color="auto"/>
              <w:bottom w:val="nil" w:sz="6" w:space="0" w:color="auto"/>
              <w:right w:val="nil" w:sz="6" w:space="0" w:color="auto"/>
            </w:tcBorders>
          </w:tcPr>
          <w:p>
            <w:pPr/>
          </w:p>
        </w:tc>
      </w:tr>
      <w:tr>
        <w:trPr>
          <w:trHeight w:val="684" w:hRule="exact"/>
        </w:trPr>
        <w:tc>
          <w:tcPr>
            <w:tcW w:w="98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908" w:right="0"/>
              <w:jc w:val="left"/>
              <w:rPr>
                <w:rFonts w:ascii="宋体" w:hAnsi="宋体" w:cs="宋体" w:eastAsia="宋体" w:hint="default"/>
                <w:sz w:val="21"/>
                <w:szCs w:val="21"/>
              </w:rPr>
            </w:pPr>
            <w:r>
              <w:rPr>
                <w:rFonts w:ascii="宋体" w:hAnsi="宋体" w:cs="宋体" w:eastAsia="宋体" w:hint="default"/>
                <w:sz w:val="21"/>
                <w:szCs w:val="21"/>
              </w:rPr>
              <w:t>3.8.3</w:t>
            </w:r>
            <w:r>
              <w:rPr>
                <w:rFonts w:ascii="宋体" w:hAnsi="宋体" w:cs="宋体" w:eastAsia="宋体" w:hint="default"/>
                <w:spacing w:val="-55"/>
                <w:sz w:val="21"/>
                <w:szCs w:val="21"/>
              </w:rPr>
              <w:t> </w:t>
            </w:r>
            <w:r>
              <w:rPr>
                <w:rFonts w:ascii="宋体" w:hAnsi="宋体" w:cs="宋体" w:eastAsia="宋体" w:hint="default"/>
                <w:sz w:val="21"/>
                <w:szCs w:val="21"/>
              </w:rPr>
              <w:t>单项金额虽不重大但单项计提坏账准备的应收账款：</w:t>
            </w:r>
          </w:p>
        </w:tc>
      </w:tr>
      <w:tr>
        <w:trPr>
          <w:trHeight w:val="283" w:hRule="exact"/>
        </w:trPr>
        <w:tc>
          <w:tcPr>
            <w:tcW w:w="800" w:type="dxa"/>
            <w:tcBorders>
              <w:top w:val="nil" w:sz="6" w:space="0" w:color="auto"/>
              <w:left w:val="nil" w:sz="6" w:space="0" w:color="auto"/>
              <w:bottom w:val="nil" w:sz="6" w:space="0" w:color="auto"/>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有确凿证据表明其可收回性存在明显差异</w:t>
            </w:r>
          </w:p>
        </w:tc>
      </w:tr>
      <w:tr>
        <w:trPr>
          <w:trHeight w:val="1099" w:hRule="exact"/>
        </w:trPr>
        <w:tc>
          <w:tcPr>
            <w:tcW w:w="800" w:type="dxa"/>
            <w:tcBorders>
              <w:top w:val="nil" w:sz="6" w:space="0" w:color="auto"/>
              <w:left w:val="nil" w:sz="6" w:space="0" w:color="auto"/>
              <w:bottom w:val="nil" w:sz="6" w:space="0" w:color="auto"/>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单独进行减值测试，根据其未来现金流量现值低</w:t>
            </w:r>
          </w:p>
          <w:p>
            <w:pPr>
              <w:pStyle w:val="TableParagraph"/>
              <w:spacing w:line="237" w:lineRule="auto" w:before="2"/>
              <w:ind w:left="103" w:right="72"/>
              <w:jc w:val="both"/>
              <w:rPr>
                <w:rFonts w:ascii="宋体" w:hAnsi="宋体" w:cs="宋体" w:eastAsia="宋体" w:hint="default"/>
                <w:sz w:val="21"/>
                <w:szCs w:val="21"/>
              </w:rPr>
            </w:pPr>
            <w:r>
              <w:rPr>
                <w:rFonts w:ascii="宋体" w:hAnsi="宋体" w:cs="宋体" w:eastAsia="宋体" w:hint="default"/>
                <w:spacing w:val="-5"/>
                <w:sz w:val="21"/>
                <w:szCs w:val="21"/>
              </w:rPr>
              <w:t>于其账面价值的差额计提坏账准备；经单独测试</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未发生减值的，包括在具有类似信用风险特征的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应收款项组合中计提坏账准备。</w:t>
            </w:r>
          </w:p>
        </w:tc>
      </w:tr>
      <w:tr>
        <w:trPr>
          <w:trHeight w:val="68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宋体"/>
                <w:sz w:val="21"/>
              </w:rPr>
              <w:t>3.9</w:t>
            </w:r>
          </w:p>
        </w:tc>
        <w:tc>
          <w:tcPr>
            <w:tcW w:w="453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4537"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3.9.1</w:t>
            </w:r>
            <w:r>
              <w:rPr>
                <w:rFonts w:ascii="宋体" w:hAnsi="宋体" w:cs="宋体" w:eastAsia="宋体" w:hint="default"/>
                <w:spacing w:val="1"/>
                <w:sz w:val="21"/>
                <w:szCs w:val="21"/>
              </w:rPr>
              <w:t> </w:t>
            </w:r>
            <w:r>
              <w:rPr>
                <w:rFonts w:ascii="宋体" w:hAnsi="宋体" w:cs="宋体" w:eastAsia="宋体" w:hint="default"/>
                <w:sz w:val="21"/>
                <w:szCs w:val="21"/>
              </w:rPr>
              <w:t>存货的分类</w:t>
            </w:r>
          </w:p>
        </w:tc>
        <w:tc>
          <w:tcPr>
            <w:tcW w:w="4537" w:type="dxa"/>
            <w:tcBorders>
              <w:top w:val="nil" w:sz="6" w:space="0" w:color="auto"/>
              <w:left w:val="nil" w:sz="6" w:space="0" w:color="auto"/>
              <w:bottom w:val="nil" w:sz="6" w:space="0" w:color="auto"/>
              <w:right w:val="nil" w:sz="6" w:space="0" w:color="auto"/>
            </w:tcBorders>
          </w:tcPr>
          <w:p>
            <w:pP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存货包括原材料、在产品、产成品和周转材料等，按成本与可变现净值孰低列示。</w:t>
            </w: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3.9.2</w:t>
            </w:r>
            <w:r>
              <w:rPr>
                <w:rFonts w:ascii="宋体" w:hAnsi="宋体" w:cs="宋体" w:eastAsia="宋体" w:hint="default"/>
                <w:spacing w:val="-1"/>
                <w:sz w:val="21"/>
                <w:szCs w:val="21"/>
              </w:rPr>
              <w:t> </w:t>
            </w:r>
            <w:r>
              <w:rPr>
                <w:rFonts w:ascii="宋体" w:hAnsi="宋体" w:cs="宋体" w:eastAsia="宋体" w:hint="default"/>
                <w:sz w:val="21"/>
                <w:szCs w:val="21"/>
              </w:rPr>
              <w:t>发出存货的计价方法</w:t>
            </w:r>
          </w:p>
        </w:tc>
        <w:tc>
          <w:tcPr>
            <w:tcW w:w="4537" w:type="dxa"/>
            <w:tcBorders>
              <w:top w:val="nil" w:sz="6" w:space="0" w:color="auto"/>
              <w:left w:val="nil" w:sz="6" w:space="0" w:color="auto"/>
              <w:bottom w:val="nil" w:sz="6" w:space="0" w:color="auto"/>
              <w:right w:val="nil" w:sz="6" w:space="0" w:color="auto"/>
            </w:tcBorders>
          </w:tcPr>
          <w:p>
            <w:pPr/>
          </w:p>
        </w:tc>
      </w:tr>
      <w:tr>
        <w:trPr>
          <w:trHeight w:val="816"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72" w:lineRule="exact" w:before="130"/>
              <w:ind w:left="108" w:right="-24"/>
              <w:jc w:val="left"/>
              <w:rPr>
                <w:rFonts w:ascii="宋体" w:hAnsi="宋体" w:cs="宋体" w:eastAsia="宋体" w:hint="default"/>
                <w:sz w:val="21"/>
                <w:szCs w:val="21"/>
              </w:rPr>
            </w:pPr>
            <w:r>
              <w:rPr>
                <w:rFonts w:ascii="宋体" w:hAnsi="宋体" w:cs="宋体" w:eastAsia="宋体" w:hint="default"/>
                <w:spacing w:val="-3"/>
                <w:sz w:val="21"/>
                <w:szCs w:val="21"/>
              </w:rPr>
              <w:t>存货发出时的成本按加权平均法核算，产成品和在产品成本包括原材料、直接人工以及在正常生产</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能力下按照一定方法分配的制造费用。周转材料包括低值易耗品和包装物等。</w:t>
            </w: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3.9.3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p>
        </w:tc>
      </w:tr>
      <w:tr>
        <w:trPr>
          <w:trHeight w:val="1361"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05"/>
              <w:ind w:left="108" w:right="102"/>
              <w:jc w:val="both"/>
              <w:rPr>
                <w:rFonts w:ascii="宋体" w:hAnsi="宋体" w:cs="宋体" w:eastAsia="宋体" w:hint="default"/>
                <w:sz w:val="21"/>
                <w:szCs w:val="21"/>
              </w:rPr>
            </w:pPr>
            <w:r>
              <w:rPr>
                <w:rFonts w:ascii="宋体" w:hAnsi="宋体" w:cs="宋体" w:eastAsia="宋体" w:hint="default"/>
                <w:spacing w:val="-1"/>
                <w:sz w:val="21"/>
                <w:szCs w:val="21"/>
              </w:rPr>
              <w:t>存货成本高于其可变现净值的，计提存货跌价准备，计入当期损益。可变现净值，是指在日常活</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动中，存货的估计售价减去至完工时估计将要发生的成本、估计的销售费用以及相关税费后的金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额。公司确定存货的可变现净值，以取得的确凿证据为基础，并且考虑持有存货的目的、资产负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债表日后事项的影响等因素。</w:t>
            </w: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3.9.4 </w:t>
            </w:r>
            <w:r>
              <w:rPr>
                <w:rFonts w:ascii="宋体" w:hAnsi="宋体" w:cs="宋体" w:eastAsia="宋体" w:hint="default"/>
                <w:sz w:val="21"/>
                <w:szCs w:val="21"/>
              </w:rPr>
              <w:t>存货的盘存制度</w:t>
            </w:r>
          </w:p>
        </w:tc>
        <w:tc>
          <w:tcPr>
            <w:tcW w:w="4537" w:type="dxa"/>
            <w:tcBorders>
              <w:top w:val="nil" w:sz="6" w:space="0" w:color="auto"/>
              <w:left w:val="nil" w:sz="6" w:space="0" w:color="auto"/>
              <w:bottom w:val="nil" w:sz="6" w:space="0" w:color="auto"/>
              <w:right w:val="nil" w:sz="6" w:space="0" w:color="auto"/>
            </w:tcBorders>
          </w:tcPr>
          <w:p>
            <w:pP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存货盘存制度采用永续盘存制。</w:t>
            </w:r>
          </w:p>
        </w:tc>
        <w:tc>
          <w:tcPr>
            <w:tcW w:w="4537" w:type="dxa"/>
            <w:tcBorders>
              <w:top w:val="nil" w:sz="6" w:space="0" w:color="auto"/>
              <w:left w:val="nil" w:sz="6" w:space="0" w:color="auto"/>
              <w:bottom w:val="nil" w:sz="6" w:space="0" w:color="auto"/>
              <w:right w:val="nil" w:sz="6" w:space="0" w:color="auto"/>
            </w:tcBorders>
          </w:tcPr>
          <w:p>
            <w:pP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3.9.5</w:t>
            </w:r>
            <w:r>
              <w:rPr>
                <w:rFonts w:ascii="宋体" w:hAnsi="宋体" w:cs="宋体" w:eastAsia="宋体" w:hint="default"/>
                <w:spacing w:val="-1"/>
                <w:sz w:val="21"/>
                <w:szCs w:val="21"/>
              </w:rPr>
              <w:t> </w:t>
            </w:r>
            <w:r>
              <w:rPr>
                <w:rFonts w:ascii="宋体" w:hAnsi="宋体" w:cs="宋体" w:eastAsia="宋体" w:hint="default"/>
                <w:sz w:val="21"/>
                <w:szCs w:val="21"/>
              </w:rPr>
              <w:t>低值易耗品和包装物的摊销方法</w:t>
            </w:r>
          </w:p>
        </w:tc>
      </w:tr>
      <w:tr>
        <w:trPr>
          <w:trHeight w:val="545"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低值易耗品在领用时采用一次转销法核算成本。</w:t>
            </w:r>
          </w:p>
        </w:tc>
      </w:tr>
      <w:tr>
        <w:trPr>
          <w:trHeight w:val="378"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包装物在领用时采用一次转销法核算成本。</w:t>
            </w:r>
          </w:p>
        </w:tc>
      </w:tr>
    </w:tbl>
    <w:p>
      <w:pPr>
        <w:spacing w:after="0" w:line="240" w:lineRule="auto"/>
        <w:jc w:val="left"/>
        <w:rPr>
          <w:rFonts w:ascii="宋体" w:hAnsi="宋体" w:cs="宋体" w:eastAsia="宋体" w:hint="default"/>
          <w:sz w:val="21"/>
          <w:szCs w:val="21"/>
        </w:rPr>
        <w:sectPr>
          <w:pgSz w:w="11910" w:h="16840"/>
          <w:pgMar w:header="886" w:footer="980" w:top="1740" w:bottom="1160" w:left="900" w:right="92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3.10</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3.10.1 </w:t>
            </w:r>
            <w:r>
              <w:rPr>
                <w:rFonts w:ascii="宋体" w:hAnsi="宋体" w:cs="宋体" w:eastAsia="宋体" w:hint="default"/>
                <w:sz w:val="21"/>
                <w:szCs w:val="21"/>
              </w:rPr>
              <w:t>投资成本的确定</w:t>
            </w:r>
          </w:p>
        </w:tc>
      </w:tr>
      <w:tr>
        <w:trPr>
          <w:trHeight w:val="3542"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4"/>
              <w:ind w:left="136" w:right="159"/>
              <w:jc w:val="left"/>
              <w:rPr>
                <w:rFonts w:ascii="宋体" w:hAnsi="宋体" w:cs="宋体" w:eastAsia="宋体" w:hint="default"/>
                <w:sz w:val="21"/>
                <w:szCs w:val="21"/>
              </w:rPr>
            </w:pPr>
            <w:r>
              <w:rPr>
                <w:rFonts w:ascii="宋体" w:hAnsi="宋体" w:cs="宋体" w:eastAsia="宋体" w:hint="default"/>
                <w:sz w:val="21"/>
                <w:szCs w:val="21"/>
              </w:rPr>
              <w:t>企业合并形成的长期股权投资，按照本附注“</w:t>
            </w:r>
            <w:r>
              <w:rPr>
                <w:rFonts w:ascii="宋体" w:hAnsi="宋体" w:cs="宋体" w:eastAsia="宋体" w:hint="default"/>
                <w:sz w:val="21"/>
                <w:szCs w:val="21"/>
              </w:rPr>
              <w:t>3.3</w:t>
            </w:r>
            <w:r>
              <w:rPr>
                <w:rFonts w:ascii="宋体" w:hAnsi="宋体" w:cs="宋体" w:eastAsia="宋体" w:hint="default"/>
                <w:spacing w:val="36"/>
                <w:sz w:val="21"/>
                <w:szCs w:val="21"/>
              </w:rPr>
              <w:t> </w:t>
            </w:r>
            <w:r>
              <w:rPr>
                <w:rFonts w:ascii="宋体" w:hAnsi="宋体" w:cs="宋体" w:eastAsia="宋体" w:hint="default"/>
                <w:sz w:val="21"/>
                <w:szCs w:val="21"/>
              </w:rPr>
              <w:t>同一控制下和非同一控制下企业合并的会计处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理方法”的相关内容确认初始投资成本；除企业合并形成的长期股权投资以外，其他方式取得的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长期股权投资，按照下述方法确认其初始投资成本：</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）以支付现金方式取得的长期股权投资，按照实际支付的购买价款作为初始投资成本。</w:t>
            </w:r>
          </w:p>
          <w:p>
            <w:pPr>
              <w:pStyle w:val="TableParagraph"/>
              <w:spacing w:line="271" w:lineRule="exact"/>
              <w:ind w:left="13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）以发行权益性证券取得的长期股权投资，按照发行权益性证券的公允价值作为初始投资成本。</w:t>
            </w:r>
          </w:p>
          <w:p>
            <w:pPr>
              <w:pStyle w:val="TableParagraph"/>
              <w:spacing w:line="237" w:lineRule="auto" w:before="2"/>
              <w:ind w:left="136" w:right="89"/>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）投资者投入的长期股权投资，按照投资合同或协议约定的价值作为初始投资成本，但合同或协</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议约定价值不公允的除外。</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）在非货币性资产交换具备商业实质和换入资产或换出资产的公允价值能够可靠计量的前提下，</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非货币性资产交换换入的长期股权投资以换出资产的公允价值为基础确定其初始投资成本，除非</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有确凿证据表明换入资产的公允价值更加可靠；不满足上述前提的非货币性资产交换，以换出资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产的账面价值和应支付的相关税费作为换入长期股权投资的初始投资成本。</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）通过债务重组取得的长期股权投资，其初始投资成本按照公允价值为基础确定。</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3.10.2</w:t>
            </w:r>
            <w:r>
              <w:rPr>
                <w:rFonts w:ascii="宋体" w:hAnsi="宋体" w:cs="宋体" w:eastAsia="宋体" w:hint="default"/>
                <w:spacing w:val="-2"/>
                <w:sz w:val="21"/>
                <w:szCs w:val="21"/>
              </w:rPr>
              <w:t> </w:t>
            </w:r>
            <w:r>
              <w:rPr>
                <w:rFonts w:ascii="宋体" w:hAnsi="宋体" w:cs="宋体" w:eastAsia="宋体" w:hint="default"/>
                <w:sz w:val="21"/>
                <w:szCs w:val="21"/>
              </w:rPr>
              <w:t>后续计量及损益确认方法</w:t>
            </w:r>
          </w:p>
        </w:tc>
      </w:tr>
      <w:tr>
        <w:trPr>
          <w:trHeight w:val="1361"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59"/>
              <w:jc w:val="both"/>
              <w:rPr>
                <w:rFonts w:ascii="宋体" w:hAnsi="宋体" w:cs="宋体" w:eastAsia="宋体" w:hint="default"/>
                <w:sz w:val="21"/>
                <w:szCs w:val="21"/>
              </w:rPr>
            </w:pPr>
            <w:r>
              <w:rPr>
                <w:rFonts w:ascii="宋体" w:hAnsi="宋体" w:cs="宋体" w:eastAsia="宋体" w:hint="default"/>
                <w:spacing w:val="-1"/>
                <w:sz w:val="21"/>
                <w:szCs w:val="21"/>
              </w:rPr>
              <w:t>公司对子公司的长期股权投资，采用成本法核算，编制合并财务报表时按照权益法进行调整。对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被投资单位不具有共同控制或重大影响，并且在活跃市场中没有报价、公允价值不能可靠计量的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长期股权投资，采用成本法核算。对被投资单位具有共同控制或重大影响的长期股权投资，采用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权益法核算。</w:t>
            </w:r>
          </w:p>
        </w:tc>
      </w:tr>
      <w:tr>
        <w:trPr>
          <w:trHeight w:val="190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59"/>
              <w:jc w:val="both"/>
              <w:rPr>
                <w:rFonts w:ascii="宋体" w:hAnsi="宋体" w:cs="宋体" w:eastAsia="宋体" w:hint="default"/>
                <w:sz w:val="21"/>
                <w:szCs w:val="21"/>
              </w:rPr>
            </w:pPr>
            <w:r>
              <w:rPr>
                <w:rFonts w:ascii="宋体" w:hAnsi="宋体" w:cs="宋体" w:eastAsia="宋体" w:hint="default"/>
                <w:spacing w:val="-1"/>
                <w:sz w:val="21"/>
                <w:szCs w:val="21"/>
              </w:rPr>
              <w:t>采用成本法核算的长期股权投资，除取得投资时实际支付的价款或对价中包含的已宣告但尚未发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放的现金股利或利润外，投资企业应当按照享有被投资单位宣告发放的现金股利或利润确认投资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sz w:val="21"/>
                <w:szCs w:val="21"/>
              </w:rPr>
              <w:t>收益。采用权益法核算的长期股权投资，初始投资成本大于投资时应享有被投资单位可辨认净资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sz w:val="21"/>
                <w:szCs w:val="21"/>
              </w:rPr>
              <w:t>产公允价值份额的，其差额包含在初始投资成本中；初始投资成本小于投资时应享有被投资单位</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可辨认净资产公允价值份额且经复核两者差额仍存在时，该差额计入当期损益，同时调整长期股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权投资成本。</w:t>
            </w:r>
          </w:p>
        </w:tc>
      </w:tr>
      <w:tr>
        <w:trPr>
          <w:trHeight w:val="2286"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59"/>
              <w:jc w:val="both"/>
              <w:rPr>
                <w:rFonts w:ascii="宋体" w:hAnsi="宋体" w:cs="宋体" w:eastAsia="宋体" w:hint="default"/>
                <w:sz w:val="21"/>
                <w:szCs w:val="21"/>
              </w:rPr>
            </w:pPr>
            <w:r>
              <w:rPr>
                <w:rFonts w:ascii="宋体" w:hAnsi="宋体" w:cs="宋体" w:eastAsia="宋体" w:hint="default"/>
                <w:spacing w:val="-1"/>
                <w:sz w:val="21"/>
                <w:szCs w:val="21"/>
              </w:rPr>
              <w:t>采用权益法核算时，按应享有或应分担的被投资单位的净损益份额确认当期投资损益。确认被投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资单位发生的净亏损，以长期股权投资的账面价值以及其他实质上构成对被投资单位净投资的长</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
                <w:sz w:val="21"/>
                <w:szCs w:val="21"/>
              </w:rPr>
              <w:t>期权益减记至零为限，但本公司负有承担额外损失义务且符合或有事项准则所规定的预计负债确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认条件的，继续确认投资损失和预计负债。被投资单位除净损益以外股东权益的其他变动，本公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司按照持股比例计算应享有或承担的部分直接计入资本公积。被投资单位分派的利润或现金股利</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于宣告分派时按照本公司应分得的部分，相应减少长期股权投资的账面价值。本公司与被投资单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位之间的交易产生的未实现损益在本公司拥有被投资单位的权益范围内予以抵销，惟该交易所转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让的资产发生减值的，则相应的未实现损益不予抵销。</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p>
      <w:pPr>
        <w:spacing w:line="20" w:lineRule="exact"/>
        <w:ind w:left="6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p>
      <w:pPr>
        <w:tabs>
          <w:tab w:pos="808" w:val="left" w:leader="none"/>
        </w:tabs>
        <w:spacing w:before="36"/>
        <w:ind w:left="100"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3.10.3</w:t>
      </w:r>
      <w:r>
        <w:rPr>
          <w:rFonts w:ascii="宋体" w:hAnsi="宋体" w:cs="宋体" w:eastAsia="宋体" w:hint="default"/>
          <w:spacing w:val="-56"/>
          <w:sz w:val="21"/>
          <w:szCs w:val="21"/>
        </w:rPr>
        <w:t> </w:t>
      </w:r>
      <w:r>
        <w:rPr>
          <w:rFonts w:ascii="宋体" w:hAnsi="宋体" w:cs="宋体" w:eastAsia="宋体" w:hint="default"/>
          <w:sz w:val="21"/>
          <w:szCs w:val="21"/>
        </w:rPr>
        <w:t>确定对被投资单位具有共同控制、重大影响的依据</w:t>
      </w:r>
    </w:p>
    <w:p>
      <w:pPr>
        <w:spacing w:line="240" w:lineRule="auto" w:before="11"/>
        <w:rPr>
          <w:rFonts w:ascii="宋体" w:hAnsi="宋体" w:cs="宋体" w:eastAsia="宋体" w:hint="default"/>
          <w:sz w:val="20"/>
          <w:szCs w:val="20"/>
        </w:rPr>
      </w:pPr>
    </w:p>
    <w:p>
      <w:pPr>
        <w:spacing w:line="237" w:lineRule="auto"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按照合同约定对某项经济活动所共有的控制，仅在与该项经济活动相关的重要财务和经营决策需</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要分享控制权的投资方一致同意时存在，则视为与其他方对被投资单位实施共同控制；对一个企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业的财务和经营决策有参与决策的权力，但并不能够控制或者与其他方一起共同控制这些政策的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制定，则视为对被投资单位施加重大影响。</w:t>
      </w:r>
    </w:p>
    <w:p>
      <w:pPr>
        <w:spacing w:line="240" w:lineRule="auto" w:before="9"/>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3.10.4</w:t>
      </w:r>
      <w:r>
        <w:rPr>
          <w:rFonts w:ascii="宋体" w:hAnsi="宋体" w:cs="宋体" w:eastAsia="宋体" w:hint="default"/>
          <w:spacing w:val="-56"/>
          <w:sz w:val="21"/>
          <w:szCs w:val="21"/>
        </w:rPr>
        <w:t> </w:t>
      </w:r>
      <w:r>
        <w:rPr>
          <w:rFonts w:ascii="宋体" w:hAnsi="宋体" w:cs="宋体" w:eastAsia="宋体" w:hint="default"/>
          <w:sz w:val="21"/>
          <w:szCs w:val="21"/>
        </w:rPr>
        <w:t>减值测试方法及减值准备计提方法</w:t>
      </w:r>
    </w:p>
    <w:p>
      <w:pPr>
        <w:spacing w:line="240" w:lineRule="auto" w:before="11"/>
        <w:rPr>
          <w:rFonts w:ascii="宋体" w:hAnsi="宋体" w:cs="宋体" w:eastAsia="宋体" w:hint="default"/>
          <w:sz w:val="20"/>
          <w:szCs w:val="20"/>
        </w:rPr>
      </w:pPr>
    </w:p>
    <w:p>
      <w:pPr>
        <w:spacing w:line="237" w:lineRule="auto" w:before="0"/>
        <w:ind w:left="808" w:right="273" w:firstLine="0"/>
        <w:jc w:val="both"/>
        <w:rPr>
          <w:rFonts w:ascii="宋体" w:hAnsi="宋体" w:cs="宋体" w:eastAsia="宋体" w:hint="default"/>
          <w:sz w:val="21"/>
          <w:szCs w:val="21"/>
        </w:rPr>
      </w:pPr>
      <w:r>
        <w:rPr>
          <w:rFonts w:ascii="宋体" w:hAnsi="宋体" w:cs="宋体" w:eastAsia="宋体" w:hint="default"/>
          <w:spacing w:val="-1"/>
          <w:sz w:val="21"/>
          <w:szCs w:val="21"/>
        </w:rPr>
        <w:t>采用成本法核算的、在活跃市场中没有报价、公允价值不能可靠计量的长期股权投资，其账面价</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1"/>
          <w:sz w:val="21"/>
          <w:szCs w:val="21"/>
        </w:rPr>
        <w:t>值高于按照类似投资当时市场收益率对未来现金流量折现确定的现值，确认该项投资存在减值。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采用权益法核算的联营企业和合营企业以及采用成本法核算的子公司的长期股权投资，当长期股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权投资的账面价值高于可收回金额时，确认该项投资存在减值。长期股权投资存在减值迹象的，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其账面价值减记至可收回金额。可收回金额根据长期股权投资的公允价值减去处置费用后的净额</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与长期股权投资预计未来现金流量的现值两者之间较高者确定。</w:t>
      </w:r>
    </w:p>
    <w:p>
      <w:pPr>
        <w:spacing w:line="240" w:lineRule="auto" w:before="9"/>
        <w:rPr>
          <w:rFonts w:ascii="宋体" w:hAnsi="宋体" w:cs="宋体" w:eastAsia="宋体" w:hint="default"/>
          <w:sz w:val="20"/>
          <w:szCs w:val="20"/>
        </w:rPr>
      </w:pPr>
    </w:p>
    <w:p>
      <w:pPr>
        <w:tabs>
          <w:tab w:pos="808" w:val="left" w:leader="none"/>
        </w:tabs>
        <w:spacing w:before="0"/>
        <w:ind w:left="172" w:right="0" w:firstLine="0"/>
        <w:jc w:val="left"/>
        <w:rPr>
          <w:rFonts w:ascii="宋体" w:hAnsi="宋体" w:cs="宋体" w:eastAsia="宋体" w:hint="default"/>
          <w:sz w:val="21"/>
          <w:szCs w:val="21"/>
        </w:rPr>
      </w:pPr>
      <w:r>
        <w:rPr>
          <w:rFonts w:ascii="宋体" w:hAnsi="宋体" w:cs="宋体" w:eastAsia="宋体" w:hint="default"/>
          <w:sz w:val="21"/>
          <w:szCs w:val="21"/>
        </w:rPr>
        <w:t>3.11</w:t>
        <w:tab/>
      </w:r>
      <w:r>
        <w:rPr>
          <w:rFonts w:ascii="宋体" w:hAnsi="宋体" w:cs="宋体" w:eastAsia="宋体" w:hint="default"/>
          <w:sz w:val="21"/>
          <w:szCs w:val="21"/>
        </w:rPr>
        <w:t>投资性房地产</w:t>
      </w:r>
    </w:p>
    <w:p>
      <w:pPr>
        <w:spacing w:line="240" w:lineRule="auto" w:before="11"/>
        <w:rPr>
          <w:rFonts w:ascii="宋体" w:hAnsi="宋体" w:cs="宋体" w:eastAsia="宋体" w:hint="default"/>
          <w:sz w:val="20"/>
          <w:szCs w:val="20"/>
        </w:rPr>
      </w:pPr>
    </w:p>
    <w:p>
      <w:pPr>
        <w:spacing w:line="237" w:lineRule="auto"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投资性房地产包括已出租持有并准备增值后转让的土地使用权以及已出租的建筑物，以实际成本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进行初始计量。与投资性房地产有关的后续支出，在相关的经济利益很可能流入本公司且其成本</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能够可靠的计量时，计入投资性房地产成本；否则，在发生时计入当期损益。</w:t>
      </w:r>
    </w:p>
    <w:p>
      <w:pPr>
        <w:spacing w:line="240" w:lineRule="auto" w:before="11"/>
        <w:rPr>
          <w:rFonts w:ascii="宋体" w:hAnsi="宋体" w:cs="宋体" w:eastAsia="宋体" w:hint="default"/>
          <w:sz w:val="20"/>
          <w:szCs w:val="20"/>
        </w:rPr>
      </w:pPr>
    </w:p>
    <w:p>
      <w:pPr>
        <w:spacing w:line="237" w:lineRule="auto" w:before="0"/>
        <w:ind w:left="808" w:right="273" w:firstLine="0"/>
        <w:jc w:val="both"/>
        <w:rPr>
          <w:rFonts w:ascii="宋体" w:hAnsi="宋体" w:cs="宋体" w:eastAsia="宋体" w:hint="default"/>
          <w:sz w:val="21"/>
          <w:szCs w:val="21"/>
        </w:rPr>
      </w:pPr>
      <w:r>
        <w:rPr>
          <w:rFonts w:ascii="宋体" w:hAnsi="宋体" w:cs="宋体" w:eastAsia="宋体" w:hint="default"/>
          <w:spacing w:val="-1"/>
          <w:sz w:val="21"/>
          <w:szCs w:val="21"/>
        </w:rPr>
        <w:t>本公司采用成本模式对所有投资性房地产进行后续计量，按其预计使用寿命及净残值率对建筑物</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和土地使用权计提折旧或摊销。投资性房地产的预计使用寿命、净残值率及年折旧</w:t>
      </w:r>
      <w:r>
        <w:rPr>
          <w:rFonts w:ascii="宋体" w:hAnsi="宋体" w:cs="宋体" w:eastAsia="宋体" w:hint="default"/>
          <w:spacing w:val="-1"/>
          <w:sz w:val="21"/>
          <w:szCs w:val="21"/>
        </w:rPr>
        <w:t>(</w:t>
      </w:r>
      <w:r>
        <w:rPr>
          <w:rFonts w:ascii="宋体" w:hAnsi="宋体" w:cs="宋体" w:eastAsia="宋体" w:hint="default"/>
          <w:spacing w:val="-1"/>
          <w:sz w:val="21"/>
          <w:szCs w:val="21"/>
        </w:rPr>
        <w:t>摊销</w:t>
      </w:r>
      <w:r>
        <w:rPr>
          <w:rFonts w:ascii="宋体" w:hAnsi="宋体" w:cs="宋体" w:eastAsia="宋体" w:hint="default"/>
          <w:spacing w:val="-1"/>
          <w:sz w:val="21"/>
          <w:szCs w:val="21"/>
        </w:rPr>
        <w:t>)</w:t>
      </w:r>
      <w:r>
        <w:rPr>
          <w:rFonts w:ascii="宋体" w:hAnsi="宋体" w:cs="宋体" w:eastAsia="宋体" w:hint="default"/>
          <w:spacing w:val="-1"/>
          <w:sz w:val="21"/>
          <w:szCs w:val="21"/>
        </w:rPr>
        <w:t>率列示</w:t>
      </w:r>
      <w:r>
        <w:rPr>
          <w:rFonts w:ascii="宋体" w:hAnsi="宋体" w:cs="宋体" w:eastAsia="宋体" w:hint="default"/>
          <w:spacing w:val="-24"/>
          <w:sz w:val="21"/>
          <w:szCs w:val="21"/>
        </w:rPr>
        <w:t> </w:t>
      </w:r>
      <w:r>
        <w:rPr>
          <w:rFonts w:ascii="宋体" w:hAnsi="宋体" w:cs="宋体" w:eastAsia="宋体" w:hint="default"/>
          <w:sz w:val="21"/>
          <w:szCs w:val="21"/>
        </w:rPr>
        <w:t>如下：</w:t>
      </w:r>
    </w:p>
    <w:p>
      <w:pPr>
        <w:spacing w:line="240" w:lineRule="auto" w:before="4"/>
        <w:rPr>
          <w:rFonts w:ascii="宋体" w:hAnsi="宋体" w:cs="宋体" w:eastAsia="宋体" w:hint="default"/>
          <w:sz w:val="23"/>
          <w:szCs w:val="23"/>
        </w:rPr>
      </w:pPr>
    </w:p>
    <w:tbl>
      <w:tblPr>
        <w:tblW w:w="0" w:type="auto"/>
        <w:jc w:val="left"/>
        <w:tblInd w:w="695" w:type="dxa"/>
        <w:tblLayout w:type="fixed"/>
        <w:tblCellMar>
          <w:top w:w="0" w:type="dxa"/>
          <w:left w:w="0" w:type="dxa"/>
          <w:bottom w:w="0" w:type="dxa"/>
          <w:right w:w="0" w:type="dxa"/>
        </w:tblCellMar>
        <w:tblLook w:val="01E0"/>
      </w:tblPr>
      <w:tblGrid>
        <w:gridCol w:w="2134"/>
        <w:gridCol w:w="1994"/>
        <w:gridCol w:w="2393"/>
        <w:gridCol w:w="2552"/>
      </w:tblGrid>
      <w:tr>
        <w:trPr>
          <w:trHeight w:val="28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预计使用寿命（年）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预计净残值率（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宋体" w:hAnsi="宋体" w:cs="宋体" w:eastAsia="宋体" w:hint="default"/>
                <w:spacing w:val="-1"/>
                <w:sz w:val="21"/>
                <w:szCs w:val="21"/>
              </w:rPr>
              <w:t>(</w:t>
            </w:r>
            <w:r>
              <w:rPr>
                <w:rFonts w:ascii="宋体" w:hAnsi="宋体" w:cs="宋体" w:eastAsia="宋体" w:hint="default"/>
                <w:spacing w:val="-1"/>
                <w:sz w:val="21"/>
                <w:szCs w:val="21"/>
              </w:rPr>
              <w:t>摊销</w:t>
            </w:r>
            <w:r>
              <w:rPr>
                <w:rFonts w:ascii="宋体" w:hAnsi="宋体" w:cs="宋体" w:eastAsia="宋体" w:hint="default"/>
                <w:spacing w:val="-1"/>
                <w:sz w:val="21"/>
                <w:szCs w:val="21"/>
              </w:rPr>
              <w:t>)</w:t>
            </w:r>
            <w:r>
              <w:rPr>
                <w:rFonts w:ascii="宋体" w:hAnsi="宋体" w:cs="宋体" w:eastAsia="宋体" w:hint="default"/>
                <w:spacing w:val="-1"/>
                <w:sz w:val="21"/>
                <w:szCs w:val="21"/>
              </w:rPr>
              <w:t>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1.9%</w:t>
            </w:r>
          </w:p>
        </w:tc>
      </w:tr>
    </w:tbl>
    <w:p>
      <w:pPr>
        <w:spacing w:line="240" w:lineRule="auto" w:before="7"/>
        <w:rPr>
          <w:rFonts w:ascii="宋体" w:hAnsi="宋体" w:cs="宋体" w:eastAsia="宋体" w:hint="default"/>
          <w:sz w:val="15"/>
          <w:szCs w:val="15"/>
        </w:rPr>
      </w:pPr>
    </w:p>
    <w:p>
      <w:pPr>
        <w:spacing w:line="237" w:lineRule="auto" w:before="38"/>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投资性房地产的用途改变为自用时，自改变之日起，将该投资性房地产转换为固定资产或无形资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产。自用房地产的用途改变为赚取租金或资本增值时，自改变之日起，将固定资产或无形资产转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换为投资性房地产。发生转换时，以转换前的账面价值作为转换后的入账价值。</w:t>
      </w:r>
    </w:p>
    <w:p>
      <w:pPr>
        <w:spacing w:line="240" w:lineRule="auto" w:before="10"/>
        <w:rPr>
          <w:rFonts w:ascii="宋体" w:hAnsi="宋体" w:cs="宋体" w:eastAsia="宋体" w:hint="default"/>
          <w:sz w:val="22"/>
          <w:szCs w:val="22"/>
        </w:rPr>
      </w:pPr>
    </w:p>
    <w:p>
      <w:pPr>
        <w:spacing w:line="272" w:lineRule="exact"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对投资性房地产的预计使用寿命、预计净残值和折旧</w:t>
      </w:r>
      <w:r>
        <w:rPr>
          <w:rFonts w:ascii="宋体" w:hAnsi="宋体" w:cs="宋体" w:eastAsia="宋体" w:hint="default"/>
          <w:spacing w:val="-1"/>
          <w:sz w:val="21"/>
          <w:szCs w:val="21"/>
        </w:rPr>
        <w:t>(</w:t>
      </w:r>
      <w:r>
        <w:rPr>
          <w:rFonts w:ascii="宋体" w:hAnsi="宋体" w:cs="宋体" w:eastAsia="宋体" w:hint="default"/>
          <w:spacing w:val="-1"/>
          <w:sz w:val="21"/>
          <w:szCs w:val="21"/>
        </w:rPr>
        <w:t>摊销</w:t>
      </w:r>
      <w:r>
        <w:rPr>
          <w:rFonts w:ascii="宋体" w:hAnsi="宋体" w:cs="宋体" w:eastAsia="宋体" w:hint="default"/>
          <w:spacing w:val="-1"/>
          <w:sz w:val="21"/>
          <w:szCs w:val="21"/>
        </w:rPr>
        <w:t>)</w:t>
      </w:r>
      <w:r>
        <w:rPr>
          <w:rFonts w:ascii="宋体" w:hAnsi="宋体" w:cs="宋体" w:eastAsia="宋体" w:hint="default"/>
          <w:spacing w:val="-1"/>
          <w:sz w:val="21"/>
          <w:szCs w:val="21"/>
        </w:rPr>
        <w:t>方法于每年年度终了进行复核并作适</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当调整。</w:t>
      </w:r>
    </w:p>
    <w:p>
      <w:pPr>
        <w:spacing w:line="240" w:lineRule="auto" w:before="12"/>
        <w:rPr>
          <w:rFonts w:ascii="宋体" w:hAnsi="宋体" w:cs="宋体" w:eastAsia="宋体" w:hint="default"/>
          <w:sz w:val="18"/>
          <w:szCs w:val="18"/>
        </w:rPr>
      </w:pPr>
    </w:p>
    <w:p>
      <w:pPr>
        <w:spacing w:line="237" w:lineRule="auto" w:before="0"/>
        <w:ind w:left="808" w:right="273" w:firstLine="0"/>
        <w:jc w:val="both"/>
        <w:rPr>
          <w:rFonts w:ascii="宋体" w:hAnsi="宋体" w:cs="宋体" w:eastAsia="宋体" w:hint="default"/>
          <w:sz w:val="21"/>
          <w:szCs w:val="21"/>
        </w:rPr>
      </w:pPr>
      <w:r>
        <w:rPr>
          <w:rFonts w:ascii="宋体" w:hAnsi="宋体" w:cs="宋体" w:eastAsia="宋体" w:hint="default"/>
          <w:spacing w:val="-1"/>
          <w:sz w:val="21"/>
          <w:szCs w:val="21"/>
        </w:rPr>
        <w:t>当投资性房地产被处置、或者永久退出使用且预计不能从其处置中取得经济利益时，终止确认该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项投资性房地产。投资性房地产出售、转让、报废或毁损的处置收入扣除其账面价值和相关税费</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后的金额计入当期损益。</w:t>
      </w:r>
    </w:p>
    <w:p>
      <w:pPr>
        <w:spacing w:line="240" w:lineRule="auto" w:before="9"/>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p>
      <w:pPr>
        <w:spacing w:after="0"/>
        <w:jc w:val="both"/>
        <w:rPr>
          <w:rFonts w:ascii="宋体" w:hAnsi="宋体" w:cs="宋体" w:eastAsia="宋体" w:hint="default"/>
          <w:sz w:val="21"/>
          <w:szCs w:val="21"/>
        </w:rPr>
        <w:sectPr>
          <w:pgSz w:w="11910" w:h="16840"/>
          <w:pgMar w:header="886" w:footer="980" w:top="1740" w:bottom="1160" w:left="1100" w:right="860"/>
        </w:sectPr>
      </w:pPr>
    </w:p>
    <w:p>
      <w:pPr>
        <w:spacing w:line="240" w:lineRule="auto" w:before="7"/>
        <w:rPr>
          <w:rFonts w:ascii="宋体" w:hAnsi="宋体" w:cs="宋体" w:eastAsia="宋体" w:hint="default"/>
          <w:sz w:val="20"/>
          <w:szCs w:val="20"/>
        </w:rPr>
      </w:pPr>
    </w:p>
    <w:p>
      <w:pPr>
        <w:tabs>
          <w:tab w:pos="808" w:val="left" w:leader="none"/>
        </w:tabs>
        <w:spacing w:before="36"/>
        <w:ind w:left="100"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808" w:val="left" w:leader="none"/>
        </w:tabs>
        <w:spacing w:before="0"/>
        <w:ind w:left="100" w:right="0" w:firstLine="0"/>
        <w:jc w:val="left"/>
        <w:rPr>
          <w:rFonts w:ascii="宋体" w:hAnsi="宋体" w:cs="宋体" w:eastAsia="宋体" w:hint="default"/>
          <w:sz w:val="21"/>
          <w:szCs w:val="21"/>
        </w:rPr>
      </w:pPr>
      <w:r>
        <w:rPr>
          <w:rFonts w:ascii="宋体" w:hAnsi="宋体" w:cs="宋体" w:eastAsia="宋体" w:hint="default"/>
          <w:sz w:val="21"/>
          <w:szCs w:val="21"/>
        </w:rPr>
        <w:t>3.12</w:t>
        <w:tab/>
      </w:r>
      <w:r>
        <w:rPr>
          <w:rFonts w:ascii="宋体" w:hAnsi="宋体" w:cs="宋体" w:eastAsia="宋体" w:hint="default"/>
          <w:sz w:val="21"/>
          <w:szCs w:val="21"/>
        </w:rPr>
        <w:t>固定资产</w:t>
      </w:r>
    </w:p>
    <w:p>
      <w:pPr>
        <w:spacing w:line="240" w:lineRule="auto" w:before="8"/>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3.12.1</w:t>
      </w:r>
      <w:r>
        <w:rPr>
          <w:rFonts w:ascii="宋体" w:hAnsi="宋体" w:cs="宋体" w:eastAsia="宋体" w:hint="default"/>
          <w:spacing w:val="-1"/>
          <w:sz w:val="21"/>
          <w:szCs w:val="21"/>
        </w:rPr>
        <w:t> </w:t>
      </w:r>
      <w:r>
        <w:rPr>
          <w:rFonts w:ascii="宋体" w:hAnsi="宋体" w:cs="宋体" w:eastAsia="宋体" w:hint="default"/>
          <w:sz w:val="21"/>
          <w:szCs w:val="21"/>
        </w:rPr>
        <w:t>固定资产确认条件</w:t>
      </w:r>
    </w:p>
    <w:p>
      <w:pPr>
        <w:spacing w:line="240" w:lineRule="auto" w:before="6"/>
        <w:rPr>
          <w:rFonts w:ascii="宋体" w:hAnsi="宋体" w:cs="宋体" w:eastAsia="宋体" w:hint="default"/>
          <w:sz w:val="20"/>
          <w:szCs w:val="20"/>
        </w:rPr>
      </w:pPr>
    </w:p>
    <w:p>
      <w:pPr>
        <w:spacing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固定资产是指为生产商品、提供劳务、出租或经营管理而持有的，使用寿命超过一个会计年度的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有形资产。固定资产同时满足下列条件的，才能予以确认：</w:t>
      </w:r>
    </w:p>
    <w:p>
      <w:pPr>
        <w:spacing w:line="271"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与该固定资产有关的经济利益很可能流入企业；</w:t>
      </w:r>
    </w:p>
    <w:p>
      <w:pPr>
        <w:spacing w:line="274"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该固定资产的成本能够可靠地计量。</w:t>
      </w:r>
    </w:p>
    <w:p>
      <w:pPr>
        <w:spacing w:line="240" w:lineRule="auto" w:before="8"/>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3.12.2</w:t>
      </w:r>
      <w:r>
        <w:rPr>
          <w:rFonts w:ascii="宋体" w:hAnsi="宋体" w:cs="宋体" w:eastAsia="宋体" w:hint="default"/>
          <w:spacing w:val="-1"/>
          <w:sz w:val="21"/>
          <w:szCs w:val="21"/>
        </w:rPr>
        <w:t> </w:t>
      </w:r>
      <w:r>
        <w:rPr>
          <w:rFonts w:ascii="宋体" w:hAnsi="宋体" w:cs="宋体" w:eastAsia="宋体" w:hint="default"/>
          <w:sz w:val="21"/>
          <w:szCs w:val="21"/>
        </w:rPr>
        <w:t>固定资产初始计量和后续计量</w:t>
      </w:r>
    </w:p>
    <w:p>
      <w:pPr>
        <w:spacing w:line="240" w:lineRule="auto" w:before="11"/>
        <w:rPr>
          <w:rFonts w:ascii="宋体" w:hAnsi="宋体" w:cs="宋体" w:eastAsia="宋体" w:hint="default"/>
          <w:sz w:val="20"/>
          <w:szCs w:val="20"/>
        </w:rPr>
      </w:pPr>
    </w:p>
    <w:p>
      <w:pPr>
        <w:spacing w:line="237" w:lineRule="auto"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购置或新建的固定资产按取得时的实际成本进行初始计量。本公司在进行公司制改建时，国有股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股东投入的固定资产，按国有资产管理部门确认的评估值作为入账价值。与固定资产有关的后续</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支出，在相关的经济利益很可能流入本公司且其成本能够可靠的计量时，计入固定资产成本；对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于被替换的部分，终止确认其账面价值；所有其他后续支出于发生时计入当期损益。当固定资产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被处置、或者预期通过使用或处置不能产生经济利益时，终止确认该固定资产。固定资产出售、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转让、报废或毁损的处置收入扣除其账面价值和相关税费后的金额计入当期损益。</w:t>
      </w:r>
    </w:p>
    <w:p>
      <w:pPr>
        <w:spacing w:line="240" w:lineRule="auto" w:before="9"/>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3.12.3</w:t>
      </w:r>
      <w:r>
        <w:rPr>
          <w:rFonts w:ascii="宋体" w:hAnsi="宋体" w:cs="宋体" w:eastAsia="宋体" w:hint="default"/>
          <w:spacing w:val="-1"/>
          <w:sz w:val="21"/>
          <w:szCs w:val="21"/>
        </w:rPr>
        <w:t> </w:t>
      </w:r>
      <w:r>
        <w:rPr>
          <w:rFonts w:ascii="宋体" w:hAnsi="宋体" w:cs="宋体" w:eastAsia="宋体" w:hint="default"/>
          <w:sz w:val="21"/>
          <w:szCs w:val="21"/>
        </w:rPr>
        <w:t>各类固定资产的折旧方法</w:t>
      </w:r>
    </w:p>
    <w:p>
      <w:pPr>
        <w:spacing w:line="240" w:lineRule="auto" w:before="7"/>
        <w:rPr>
          <w:rFonts w:ascii="宋体" w:hAnsi="宋体" w:cs="宋体" w:eastAsia="宋体" w:hint="default"/>
          <w:sz w:val="2"/>
          <w:szCs w:val="2"/>
        </w:rPr>
      </w:pPr>
    </w:p>
    <w:tbl>
      <w:tblPr>
        <w:tblW w:w="0" w:type="auto"/>
        <w:jc w:val="left"/>
        <w:tblInd w:w="695" w:type="dxa"/>
        <w:tblLayout w:type="fixed"/>
        <w:tblCellMar>
          <w:top w:w="0" w:type="dxa"/>
          <w:left w:w="0" w:type="dxa"/>
          <w:bottom w:w="0" w:type="dxa"/>
          <w:right w:w="0" w:type="dxa"/>
        </w:tblCellMar>
        <w:tblLook w:val="01E0"/>
      </w:tblPr>
      <w:tblGrid>
        <w:gridCol w:w="3685"/>
        <w:gridCol w:w="1824"/>
        <w:gridCol w:w="1757"/>
        <w:gridCol w:w="1807"/>
      </w:tblGrid>
      <w:tr>
        <w:trPr>
          <w:trHeight w:val="281" w:hRule="exact"/>
        </w:trPr>
        <w:tc>
          <w:tcPr>
            <w:tcW w:w="3685" w:type="dxa"/>
            <w:tcBorders>
              <w:top w:val="single" w:sz="4" w:space="0" w:color="000000"/>
              <w:left w:val="single" w:sz="4" w:space="0" w:color="000000"/>
              <w:bottom w:val="single" w:sz="5"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24" w:type="dxa"/>
            <w:tcBorders>
              <w:top w:val="single" w:sz="4" w:space="0" w:color="000000"/>
              <w:left w:val="single" w:sz="4" w:space="0" w:color="000000"/>
              <w:bottom w:val="single" w:sz="16"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757" w:type="dxa"/>
            <w:tcBorders>
              <w:top w:val="single" w:sz="4" w:space="0" w:color="000000"/>
              <w:left w:val="single" w:sz="4" w:space="0" w:color="000000"/>
              <w:bottom w:val="single" w:sz="1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残值率（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807" w:type="dxa"/>
            <w:tcBorders>
              <w:top w:val="single" w:sz="4" w:space="0" w:color="000000"/>
              <w:left w:val="single" w:sz="4" w:space="0" w:color="000000"/>
              <w:bottom w:val="single" w:sz="1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年折旧率（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3" w:hRule="exact"/>
        </w:trPr>
        <w:tc>
          <w:tcPr>
            <w:tcW w:w="3685" w:type="dxa"/>
            <w:tcBorders>
              <w:top w:val="single" w:sz="5"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24" w:type="dxa"/>
            <w:tcBorders>
              <w:top w:val="single" w:sz="16" w:space="0" w:color="000000"/>
              <w:left w:val="single" w:sz="4" w:space="0" w:color="000000"/>
              <w:bottom w:val="single" w:sz="4" w:space="0" w:color="000000"/>
              <w:right w:val="single" w:sz="4" w:space="0" w:color="000000"/>
            </w:tcBorders>
          </w:tcPr>
          <w:p>
            <w:pPr>
              <w:pStyle w:val="TableParagraph"/>
              <w:spacing w:line="225" w:lineRule="exact"/>
              <w:ind w:right="125"/>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57" w:type="dxa"/>
            <w:tcBorders>
              <w:top w:val="single" w:sz="16"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07" w:type="dxa"/>
            <w:tcBorders>
              <w:top w:val="single" w:sz="16"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1.9%</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20%</w:t>
            </w:r>
          </w:p>
        </w:tc>
      </w:tr>
      <w:tr>
        <w:trPr>
          <w:trHeight w:val="281"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办公设备及电子设备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33.33%</w:t>
            </w:r>
          </w:p>
        </w:tc>
      </w:tr>
    </w:tbl>
    <w:p>
      <w:pPr>
        <w:spacing w:line="240" w:lineRule="auto" w:before="7"/>
        <w:rPr>
          <w:rFonts w:ascii="宋体" w:hAnsi="宋体" w:cs="宋体" w:eastAsia="宋体" w:hint="default"/>
          <w:sz w:val="15"/>
          <w:szCs w:val="15"/>
        </w:rPr>
      </w:pPr>
    </w:p>
    <w:p>
      <w:pPr>
        <w:spacing w:before="36"/>
        <w:ind w:left="808" w:right="0" w:firstLine="0"/>
        <w:jc w:val="both"/>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w:t>
      </w:r>
    </w:p>
    <w:p>
      <w:pPr>
        <w:spacing w:line="240" w:lineRule="auto" w:before="9"/>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3.12.4</w:t>
      </w:r>
      <w:r>
        <w:rPr>
          <w:rFonts w:ascii="宋体" w:hAnsi="宋体" w:cs="宋体" w:eastAsia="宋体" w:hint="default"/>
          <w:spacing w:val="-5"/>
          <w:sz w:val="21"/>
          <w:szCs w:val="21"/>
        </w:rPr>
        <w:t> </w:t>
      </w:r>
      <w:r>
        <w:rPr>
          <w:rFonts w:ascii="宋体" w:hAnsi="宋体" w:cs="宋体" w:eastAsia="宋体" w:hint="default"/>
          <w:sz w:val="21"/>
          <w:szCs w:val="21"/>
        </w:rPr>
        <w:t>固定资产的减值测试方法、减值准备计提方法</w:t>
      </w:r>
    </w:p>
    <w:p>
      <w:pPr>
        <w:spacing w:line="240" w:lineRule="auto" w:before="11"/>
        <w:rPr>
          <w:rFonts w:ascii="宋体" w:hAnsi="宋体" w:cs="宋体" w:eastAsia="宋体" w:hint="default"/>
          <w:sz w:val="20"/>
          <w:szCs w:val="20"/>
        </w:rPr>
      </w:pPr>
    </w:p>
    <w:p>
      <w:pPr>
        <w:spacing w:line="237" w:lineRule="auto"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当固定资产的公允价值减去处置费用后的净额和资产预计未来现金流量的现值均低于固定资产账</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面价值时，确认固定资产存在减值迹象。固定资产存在减值迹象的，其账面价值减记至可收回金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额。可收回金额根据固定资产的公允价值减去处置费用后的净额与固定资产预计未来现金流量的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现值两者之间较高者确定。</w:t>
      </w:r>
    </w:p>
    <w:p>
      <w:pPr>
        <w:spacing w:line="240" w:lineRule="auto" w:before="9"/>
        <w:rPr>
          <w:rFonts w:ascii="宋体" w:hAnsi="宋体" w:cs="宋体" w:eastAsia="宋体" w:hint="default"/>
          <w:sz w:val="20"/>
          <w:szCs w:val="20"/>
        </w:rPr>
      </w:pPr>
    </w:p>
    <w:p>
      <w:pPr>
        <w:spacing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符合持有待售条件的固定资产，以账面价值与公允价值减去处置费用孰低的金额列示。公允价值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减去处置费用低于原账面价值的金额，确认为资产减值损失。</w:t>
      </w:r>
    </w:p>
    <w:p>
      <w:pPr>
        <w:spacing w:after="0"/>
        <w:jc w:val="both"/>
        <w:rPr>
          <w:rFonts w:ascii="宋体" w:hAnsi="宋体" w:cs="宋体" w:eastAsia="宋体" w:hint="default"/>
          <w:sz w:val="21"/>
          <w:szCs w:val="21"/>
        </w:rPr>
        <w:sectPr>
          <w:pgSz w:w="11910" w:h="16840"/>
          <w:pgMar w:header="886" w:footer="980" w:top="1740" w:bottom="1160" w:left="11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550"/>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55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sz w:val="21"/>
              </w:rPr>
              <w:t>3.13</w:t>
            </w: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在建工程</w:t>
            </w:r>
          </w:p>
        </w:tc>
      </w:tr>
      <w:tr>
        <w:trPr>
          <w:trHeight w:val="1087"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312"/>
              <w:jc w:val="both"/>
              <w:rPr>
                <w:rFonts w:ascii="宋体" w:hAnsi="宋体" w:cs="宋体" w:eastAsia="宋体" w:hint="default"/>
                <w:sz w:val="21"/>
                <w:szCs w:val="21"/>
              </w:rPr>
            </w:pPr>
            <w:r>
              <w:rPr>
                <w:rFonts w:ascii="宋体" w:hAnsi="宋体" w:cs="宋体" w:eastAsia="宋体" w:hint="default"/>
                <w:sz w:val="21"/>
                <w:szCs w:val="21"/>
              </w:rPr>
              <w:t>在建工程按实际发生的成本计量。实际成本包括建筑费用、其他为使在建工程达到预定可使用状态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所发生的必要支出以及在资产达到预定可使用状态之前所发生的符合资本化条件的借款费用。在建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工程在达到预定可使用状态时，转入固定资产并自次月起开始计提折旧。</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当在建工程的可收回金额低于其账面价值时，账面价值减记至可收回金额。</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sz w:val="21"/>
              </w:rPr>
              <w:t>3.14</w:t>
            </w: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借款费用</w:t>
            </w:r>
          </w:p>
        </w:tc>
      </w:tr>
      <w:tr>
        <w:trPr>
          <w:trHeight w:val="1635"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98"/>
              <w:jc w:val="left"/>
              <w:rPr>
                <w:rFonts w:ascii="宋体" w:hAnsi="宋体" w:cs="宋体" w:eastAsia="宋体" w:hint="default"/>
                <w:sz w:val="21"/>
                <w:szCs w:val="21"/>
              </w:rPr>
            </w:pPr>
            <w:r>
              <w:rPr>
                <w:rFonts w:ascii="宋体" w:hAnsi="宋体" w:cs="宋体" w:eastAsia="宋体" w:hint="default"/>
                <w:sz w:val="21"/>
                <w:szCs w:val="21"/>
              </w:rPr>
              <w:t>发生的可直接归属于需要经过相当长时间的购建活动才能达到预定可使用状态之固定资产的购建的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借款费用，在资产支出及借款费用已经发生、为使资产达到预定可使用状态所必要的购建活动已经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开始时，开始资本化并计入该资产的成本。当购建的资产达到预定可使用状态时停止资本化，其后</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5"/>
                <w:sz w:val="21"/>
                <w:szCs w:val="21"/>
              </w:rPr>
              <w:t>发生的借款费用计入当期损益。如果资产的购建活动发生非正常中断，并且中断时间连续超过</w:t>
            </w:r>
            <w:r>
              <w:rPr>
                <w:rFonts w:ascii="宋体" w:hAnsi="宋体" w:cs="宋体" w:eastAsia="宋体" w:hint="default"/>
                <w:spacing w:val="-5"/>
                <w:sz w:val="21"/>
                <w:szCs w:val="21"/>
              </w:rPr>
              <w:t>3</w:t>
            </w:r>
            <w:r>
              <w:rPr>
                <w:rFonts w:ascii="宋体" w:hAnsi="宋体" w:cs="宋体" w:eastAsia="宋体" w:hint="default"/>
                <w:spacing w:val="-5"/>
                <w:sz w:val="21"/>
                <w:szCs w:val="21"/>
              </w:rPr>
              <w:t>个月，</w:t>
            </w:r>
            <w:r>
              <w:rPr>
                <w:rFonts w:ascii="宋体" w:hAnsi="宋体" w:cs="宋体" w:eastAsia="宋体" w:hint="default"/>
                <w:spacing w:val="-26"/>
                <w:sz w:val="21"/>
                <w:szCs w:val="21"/>
              </w:rPr>
              <w:t> </w:t>
            </w:r>
            <w:r>
              <w:rPr>
                <w:rFonts w:ascii="宋体" w:hAnsi="宋体" w:cs="宋体" w:eastAsia="宋体" w:hint="default"/>
                <w:sz w:val="21"/>
                <w:szCs w:val="21"/>
              </w:rPr>
              <w:t>暂停借款费用的资本化，直至资产的购建活动重新开始。</w:t>
            </w:r>
          </w:p>
        </w:tc>
      </w:tr>
      <w:tr>
        <w:trPr>
          <w:trHeight w:val="1634"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98"/>
              <w:jc w:val="left"/>
              <w:rPr>
                <w:rFonts w:ascii="宋体" w:hAnsi="宋体" w:cs="宋体" w:eastAsia="宋体" w:hint="default"/>
                <w:sz w:val="21"/>
                <w:szCs w:val="21"/>
              </w:rPr>
            </w:pPr>
            <w:r>
              <w:rPr>
                <w:rFonts w:ascii="宋体" w:hAnsi="宋体" w:cs="宋体" w:eastAsia="宋体" w:hint="default"/>
                <w:sz w:val="21"/>
                <w:szCs w:val="21"/>
              </w:rPr>
              <w:t>在资本化期间内，专门借款</w:t>
            </w:r>
            <w:r>
              <w:rPr>
                <w:rFonts w:ascii="宋体" w:hAnsi="宋体" w:cs="宋体" w:eastAsia="宋体" w:hint="default"/>
                <w:sz w:val="21"/>
                <w:szCs w:val="21"/>
              </w:rPr>
              <w:t>(</w:t>
            </w:r>
            <w:r>
              <w:rPr>
                <w:rFonts w:ascii="宋体" w:hAnsi="宋体" w:cs="宋体" w:eastAsia="宋体" w:hint="default"/>
                <w:sz w:val="21"/>
                <w:szCs w:val="21"/>
              </w:rPr>
              <w:t>指为购建或者生产符合资本化条件的资产而专门借入的款项</w:t>
            </w:r>
            <w:r>
              <w:rPr>
                <w:rFonts w:ascii="宋体" w:hAnsi="宋体" w:cs="宋体" w:eastAsia="宋体" w:hint="default"/>
                <w:sz w:val="21"/>
                <w:szCs w:val="21"/>
              </w:rPr>
              <w:t>)</w:t>
            </w:r>
            <w:r>
              <w:rPr>
                <w:rFonts w:ascii="宋体" w:hAnsi="宋体" w:cs="宋体" w:eastAsia="宋体" w:hint="default"/>
                <w:sz w:val="21"/>
                <w:szCs w:val="21"/>
              </w:rPr>
              <w:t>以专门借</w:t>
            </w:r>
            <w:r>
              <w:rPr>
                <w:rFonts w:ascii="宋体" w:hAnsi="宋体" w:cs="宋体" w:eastAsia="宋体" w:hint="default"/>
                <w:spacing w:val="-35"/>
                <w:sz w:val="21"/>
                <w:szCs w:val="21"/>
              </w:rPr>
              <w:t> </w:t>
            </w:r>
            <w:r>
              <w:rPr>
                <w:rFonts w:ascii="宋体" w:hAnsi="宋体" w:cs="宋体" w:eastAsia="宋体" w:hint="default"/>
                <w:sz w:val="21"/>
                <w:szCs w:val="21"/>
              </w:rPr>
              <w:t>款当期实际发生的利息费用，减去将尚未动用的借款资金存入银行取得的利息收入或进行暂时性投</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资取得的投资收益后确定应予资本化的利息金额；一般借款则根据累计资产支出超过专门借款部分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的资产支出加权平均数乘以所占用一般借款的资本化率，计算确定一般借款应予资本化的利息金额。</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资本化率根据一般借款加权平均利率计算确定。</w:t>
            </w:r>
          </w:p>
        </w:tc>
      </w:tr>
      <w:tr>
        <w:trPr>
          <w:trHeight w:val="817"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312"/>
              <w:jc w:val="left"/>
              <w:rPr>
                <w:rFonts w:ascii="宋体" w:hAnsi="宋体" w:cs="宋体" w:eastAsia="宋体" w:hint="default"/>
                <w:sz w:val="21"/>
                <w:szCs w:val="21"/>
              </w:rPr>
            </w:pPr>
            <w:r>
              <w:rPr>
                <w:rFonts w:ascii="宋体" w:hAnsi="宋体" w:cs="宋体" w:eastAsia="宋体" w:hint="default"/>
                <w:sz w:val="21"/>
                <w:szCs w:val="21"/>
              </w:rPr>
              <w:t>借款存在折价或者溢价的，按照实际利率法确定每一会计期间应摊销的折价或者溢价金额，调整每</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期利息金额。</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sz w:val="21"/>
              </w:rPr>
              <w:t>3.15</w:t>
            </w: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无形资产</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无形资产包括高尔夫权证、外购软件、专利权等。无形资产以实际成本计量。</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外购软件和专利权按</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年平均摊销，高尔夫权证为使用寿命不确定的无形资产。</w:t>
            </w:r>
          </w:p>
        </w:tc>
      </w:tr>
      <w:tr>
        <w:trPr>
          <w:trHeight w:val="1363"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308"/>
              <w:jc w:val="both"/>
              <w:rPr>
                <w:rFonts w:ascii="宋体" w:hAnsi="宋体" w:cs="宋体" w:eastAsia="宋体" w:hint="default"/>
                <w:sz w:val="21"/>
                <w:szCs w:val="21"/>
              </w:rPr>
            </w:pPr>
            <w:r>
              <w:rPr>
                <w:rFonts w:ascii="宋体" w:hAnsi="宋体" w:cs="宋体" w:eastAsia="宋体" w:hint="default"/>
                <w:sz w:val="21"/>
                <w:szCs w:val="21"/>
              </w:rPr>
              <w:t>当无形资产的公允价值减去处置费用后的净额和资产预计未来现金流量的现值均低于无形资产账面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价值时，确认无形资产存在减值迹象。无形资产存在减值迹象的，其账面价值减记至可收回金额。</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可收回金额根据无形资产的公允价值减去处置费用后的净额与无形资产预计未来现金流量的现值两</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者之间较高者确定。</w:t>
            </w:r>
          </w:p>
        </w:tc>
      </w:tr>
      <w:tr>
        <w:trPr>
          <w:trHeight w:val="923" w:hRule="exact"/>
        </w:trPr>
        <w:tc>
          <w:tcPr>
            <w:tcW w:w="772" w:type="dxa"/>
            <w:tcBorders>
              <w:top w:val="nil" w:sz="6" w:space="0" w:color="auto"/>
              <w:left w:val="nil" w:sz="6" w:space="0" w:color="auto"/>
              <w:bottom w:val="nil" w:sz="6" w:space="0" w:color="auto"/>
              <w:right w:val="nil" w:sz="6" w:space="0" w:color="auto"/>
            </w:tcBorders>
          </w:tcPr>
          <w:p>
            <w:pPr/>
          </w:p>
        </w:tc>
        <w:tc>
          <w:tcPr>
            <w:tcW w:w="955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308"/>
              <w:jc w:val="both"/>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使用寿命不确定的无形资产，于每一个会计期间对该无形资产使用寿命进行复核，进行减值测试并</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做适当调整。</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48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222"/>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2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3.16</w:t>
            </w:r>
          </w:p>
        </w:tc>
        <w:tc>
          <w:tcPr>
            <w:tcW w:w="92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研究与开发</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
              <w:jc w:val="left"/>
              <w:rPr>
                <w:rFonts w:ascii="宋体" w:hAnsi="宋体" w:cs="宋体" w:eastAsia="宋体" w:hint="default"/>
                <w:sz w:val="21"/>
                <w:szCs w:val="21"/>
              </w:rPr>
            </w:pPr>
            <w:r>
              <w:rPr>
                <w:rFonts w:ascii="宋体" w:hAnsi="宋体" w:cs="宋体" w:eastAsia="宋体" w:hint="default"/>
                <w:sz w:val="21"/>
                <w:szCs w:val="21"/>
              </w:rPr>
              <w:t>根据内部研究开发项目支出的性质以及研发活动最终形成无形资产是否具有较大不确定性，分为研</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究阶段支出和开发阶段支出。</w:t>
            </w:r>
          </w:p>
        </w:tc>
      </w:tr>
      <w:tr>
        <w:trPr>
          <w:trHeight w:val="2451"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
              <w:jc w:val="left"/>
              <w:rPr>
                <w:rFonts w:ascii="宋体" w:hAnsi="宋体" w:cs="宋体" w:eastAsia="宋体" w:hint="default"/>
                <w:sz w:val="21"/>
                <w:szCs w:val="21"/>
              </w:rPr>
            </w:pPr>
            <w:r>
              <w:rPr>
                <w:rFonts w:ascii="宋体" w:hAnsi="宋体" w:cs="宋体" w:eastAsia="宋体" w:hint="default"/>
                <w:sz w:val="21"/>
                <w:szCs w:val="21"/>
              </w:rPr>
              <w:t>研究阶段的支出，于发生时计入当期损益；开发阶段的支出，同时满足下列条件的，确认为无形资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产：</w:t>
            </w:r>
          </w:p>
          <w:p>
            <w:pPr>
              <w:pStyle w:val="TableParagraph"/>
              <w:spacing w:line="272" w:lineRule="exact" w:before="1"/>
              <w:ind w:left="136" w:right="3094"/>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完成该无形资产以使其能够使用或出售在技术上具有可行性；</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(2)</w:t>
            </w:r>
            <w:r>
              <w:rPr>
                <w:rFonts w:ascii="宋体" w:hAnsi="宋体" w:cs="宋体" w:eastAsia="宋体" w:hint="default"/>
                <w:sz w:val="21"/>
                <w:szCs w:val="21"/>
              </w:rPr>
              <w:t>管理层具有完成该无形资产并使用或出售的意图；</w:t>
            </w:r>
          </w:p>
          <w:p>
            <w:pPr>
              <w:pStyle w:val="TableParagraph"/>
              <w:spacing w:line="272" w:lineRule="exact" w:before="1"/>
              <w:ind w:left="13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能够证明该无形资产将如何产生经济利益；</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有足够的技术、财务资源和其他资源支持，以完成该无形资产的开发，并有能力使用或出售该无</w:t>
            </w:r>
          </w:p>
          <w:p>
            <w:pPr>
              <w:pStyle w:val="TableParagraph"/>
              <w:spacing w:line="272" w:lineRule="exact" w:before="2"/>
              <w:ind w:left="136" w:right="3934"/>
              <w:jc w:val="left"/>
              <w:rPr>
                <w:rFonts w:ascii="宋体" w:hAnsi="宋体" w:cs="宋体" w:eastAsia="宋体" w:hint="default"/>
                <w:sz w:val="21"/>
                <w:szCs w:val="21"/>
              </w:rPr>
            </w:pPr>
            <w:r>
              <w:rPr>
                <w:rFonts w:ascii="宋体" w:hAnsi="宋体" w:cs="宋体" w:eastAsia="宋体" w:hint="default"/>
                <w:sz w:val="21"/>
                <w:szCs w:val="21"/>
              </w:rPr>
              <w:t>形资产；</w:t>
            </w:r>
            <w:r>
              <w:rPr>
                <w:rFonts w:ascii="宋体" w:hAnsi="宋体" w:cs="宋体" w:eastAsia="宋体" w:hint="default"/>
                <w:w w:val="100"/>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
              <w:jc w:val="both"/>
              <w:rPr>
                <w:rFonts w:ascii="宋体" w:hAnsi="宋体" w:cs="宋体" w:eastAsia="宋体" w:hint="default"/>
                <w:sz w:val="21"/>
                <w:szCs w:val="21"/>
              </w:rPr>
            </w:pPr>
            <w:r>
              <w:rPr>
                <w:rFonts w:ascii="宋体" w:hAnsi="宋体" w:cs="宋体" w:eastAsia="宋体" w:hint="default"/>
                <w:sz w:val="21"/>
                <w:szCs w:val="21"/>
              </w:rPr>
              <w:t>不满足上述条件的开发阶段的支出，于发生时计入当期损益。前期已计入损益的开发支出不在以后</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期间确认为资产。已资本化的开发阶段的支出在资产负债表上列示为开发支出，自该项目达到预定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可使用状态之日起转为无形资产。</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tc>
      </w:tr>
      <w:tr>
        <w:trPr>
          <w:trHeight w:val="56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3.17</w:t>
            </w:r>
          </w:p>
        </w:tc>
        <w:tc>
          <w:tcPr>
            <w:tcW w:w="92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商誉</w:t>
            </w:r>
          </w:p>
        </w:tc>
      </w:tr>
      <w:tr>
        <w:trPr>
          <w:trHeight w:val="1128"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37" w:lineRule="auto" w:before="124"/>
              <w:ind w:left="136" w:right="1"/>
              <w:jc w:val="both"/>
              <w:rPr>
                <w:rFonts w:ascii="宋体" w:hAnsi="宋体" w:cs="宋体" w:eastAsia="宋体" w:hint="default"/>
                <w:sz w:val="21"/>
                <w:szCs w:val="21"/>
              </w:rPr>
            </w:pPr>
            <w:r>
              <w:rPr>
                <w:rFonts w:ascii="宋体" w:hAnsi="宋体" w:cs="宋体" w:eastAsia="宋体" w:hint="default"/>
                <w:sz w:val="21"/>
                <w:szCs w:val="21"/>
              </w:rPr>
              <w:t>商誉为股权投资成本超过应享有的被投资单位于投资取得日的公允价值份额的差额，或者为非同一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控制下企业合并成本超过企业合并中取得的被购买方可辨认净资产于购买日的公允价值份额的差</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额。</w:t>
            </w:r>
          </w:p>
        </w:tc>
      </w:tr>
      <w:tr>
        <w:trPr>
          <w:trHeight w:val="857"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6" w:right="1"/>
              <w:jc w:val="left"/>
              <w:rPr>
                <w:rFonts w:ascii="宋体" w:hAnsi="宋体" w:cs="宋体" w:eastAsia="宋体" w:hint="default"/>
                <w:sz w:val="21"/>
                <w:szCs w:val="21"/>
              </w:rPr>
            </w:pPr>
            <w:r>
              <w:rPr>
                <w:rFonts w:ascii="宋体" w:hAnsi="宋体" w:cs="宋体" w:eastAsia="宋体" w:hint="default"/>
                <w:sz w:val="21"/>
                <w:szCs w:val="21"/>
              </w:rPr>
              <w:t>企业合并形成的商誉在合并财务报表上单独列示。购买联营企业和合营企业股权投资成本超过投资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时应享有被投资单位的公允价值份额的差额，包含于长期股权投资。</w:t>
            </w:r>
          </w:p>
        </w:tc>
      </w:tr>
      <w:tr>
        <w:trPr>
          <w:trHeight w:val="857"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6" w:right="1"/>
              <w:jc w:val="left"/>
              <w:rPr>
                <w:rFonts w:ascii="宋体" w:hAnsi="宋体" w:cs="宋体" w:eastAsia="宋体" w:hint="default"/>
                <w:sz w:val="21"/>
                <w:szCs w:val="21"/>
              </w:rPr>
            </w:pPr>
            <w:r>
              <w:rPr>
                <w:rFonts w:ascii="宋体" w:hAnsi="宋体" w:cs="宋体" w:eastAsia="宋体" w:hint="default"/>
                <w:sz w:val="21"/>
                <w:szCs w:val="21"/>
              </w:rPr>
              <w:t>企业合并形成的商誉每年进行减值测试。减值测试时，商誉的账面价值根据企业合并的协同效应分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摊至受益的资产组或资产组组合。期末商誉按成本减去累计减值损失后的净额列示。</w:t>
            </w:r>
          </w:p>
        </w:tc>
      </w:tr>
      <w:tr>
        <w:trPr>
          <w:trHeight w:val="56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72" w:right="0"/>
              <w:jc w:val="left"/>
              <w:rPr>
                <w:rFonts w:ascii="宋体" w:hAnsi="宋体" w:cs="宋体" w:eastAsia="宋体" w:hint="default"/>
                <w:sz w:val="21"/>
                <w:szCs w:val="21"/>
              </w:rPr>
            </w:pPr>
            <w:r>
              <w:rPr>
                <w:rFonts w:ascii="宋体"/>
                <w:sz w:val="21"/>
              </w:rPr>
              <w:t>3.18</w:t>
            </w:r>
          </w:p>
        </w:tc>
        <w:tc>
          <w:tcPr>
            <w:tcW w:w="922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r>
      <w:tr>
        <w:trPr>
          <w:trHeight w:val="649" w:hRule="exact"/>
        </w:trPr>
        <w:tc>
          <w:tcPr>
            <w:tcW w:w="772" w:type="dxa"/>
            <w:tcBorders>
              <w:top w:val="nil" w:sz="6" w:space="0" w:color="auto"/>
              <w:left w:val="nil" w:sz="6" w:space="0" w:color="auto"/>
              <w:bottom w:val="nil" w:sz="6" w:space="0" w:color="auto"/>
              <w:right w:val="nil" w:sz="6" w:space="0" w:color="auto"/>
            </w:tcBorders>
          </w:tcPr>
          <w:p>
            <w:pPr/>
          </w:p>
        </w:tc>
        <w:tc>
          <w:tcPr>
            <w:tcW w:w="9222"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
              <w:jc w:val="left"/>
              <w:rPr>
                <w:rFonts w:ascii="宋体" w:hAnsi="宋体" w:cs="宋体" w:eastAsia="宋体" w:hint="default"/>
                <w:sz w:val="21"/>
                <w:szCs w:val="21"/>
              </w:rPr>
            </w:pPr>
            <w:r>
              <w:rPr>
                <w:rFonts w:ascii="宋体" w:hAnsi="宋体" w:cs="宋体" w:eastAsia="宋体" w:hint="default"/>
                <w:sz w:val="21"/>
                <w:szCs w:val="21"/>
              </w:rPr>
              <w:t>长期待摊费用包括经营租入固定资产改良及其他已经发生但应由本期和以后各期负担的分摊期限在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一年以上的各项费用，按预计受益期间分期平均摊销，并以实际支出减去累计摊销后的净额列示。</w:t>
            </w:r>
          </w:p>
        </w:tc>
      </w:tr>
    </w:tbl>
    <w:p>
      <w:pPr>
        <w:spacing w:after="0" w:line="272" w:lineRule="exact"/>
        <w:jc w:val="left"/>
        <w:rPr>
          <w:rFonts w:ascii="宋体" w:hAnsi="宋体" w:cs="宋体" w:eastAsia="宋体" w:hint="default"/>
          <w:sz w:val="21"/>
          <w:szCs w:val="21"/>
        </w:rPr>
        <w:sectPr>
          <w:footerReference w:type="default" r:id="rId28"/>
          <w:pgSz w:w="11910" w:h="16840"/>
          <w:pgMar w:footer="980" w:header="886" w:top="1740" w:bottom="1160" w:left="900" w:right="80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249"/>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24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0" w:right="0"/>
              <w:jc w:val="left"/>
              <w:rPr>
                <w:rFonts w:ascii="宋体" w:hAnsi="宋体" w:cs="宋体" w:eastAsia="宋体" w:hint="default"/>
                <w:sz w:val="21"/>
                <w:szCs w:val="21"/>
              </w:rPr>
            </w:pPr>
            <w:r>
              <w:rPr>
                <w:rFonts w:ascii="宋体"/>
                <w:sz w:val="21"/>
              </w:rPr>
              <w:t>3.19</w:t>
            </w: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预计负债</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05"/>
              <w:jc w:val="left"/>
              <w:rPr>
                <w:rFonts w:ascii="宋体" w:hAnsi="宋体" w:cs="宋体" w:eastAsia="宋体" w:hint="default"/>
                <w:sz w:val="21"/>
                <w:szCs w:val="21"/>
              </w:rPr>
            </w:pPr>
            <w:r>
              <w:rPr>
                <w:rFonts w:ascii="宋体" w:hAnsi="宋体" w:cs="宋体" w:eastAsia="宋体" w:hint="default"/>
                <w:spacing w:val="-3"/>
                <w:sz w:val="21"/>
                <w:szCs w:val="21"/>
              </w:rPr>
              <w:t>对因产品质量保证、亏损合同等形成的现时义务，其履行很可能导致经济利益的流出，在该义务的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金额能够可靠计量时，确认为预计负债。对于未来经营亏损，不确认预计负债。</w:t>
            </w:r>
          </w:p>
        </w:tc>
      </w:tr>
      <w:tr>
        <w:trPr>
          <w:trHeight w:val="1361"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03"/>
              <w:jc w:val="both"/>
              <w:rPr>
                <w:rFonts w:ascii="宋体" w:hAnsi="宋体" w:cs="宋体" w:eastAsia="宋体" w:hint="default"/>
                <w:sz w:val="21"/>
                <w:szCs w:val="21"/>
              </w:rPr>
            </w:pPr>
            <w:r>
              <w:rPr>
                <w:rFonts w:ascii="宋体" w:hAnsi="宋体" w:cs="宋体" w:eastAsia="宋体" w:hint="default"/>
                <w:spacing w:val="-3"/>
                <w:sz w:val="21"/>
                <w:szCs w:val="21"/>
              </w:rPr>
              <w:t>预计负债按照履行相关现时义务所需支出的最佳估计数进行初始计量，并综合考虑与或有事项有关</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的风险、不确定性和货币时间价值等因素。货币时间价值影响重大的，通过对相关未来现金流出进</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行折现后确定最佳估计数；因随着时间推移所进行的折现还原而导致的预计负债账面价值的增加金</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额，确认为利息费用。</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3.20</w:t>
            </w: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股份支付及权益工具</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3.20.1</w:t>
            </w:r>
            <w:r>
              <w:rPr>
                <w:rFonts w:ascii="宋体" w:hAnsi="宋体" w:cs="宋体" w:eastAsia="宋体" w:hint="default"/>
                <w:spacing w:val="1"/>
                <w:sz w:val="21"/>
                <w:szCs w:val="21"/>
              </w:rPr>
              <w:t> </w:t>
            </w:r>
            <w:r>
              <w:rPr>
                <w:rFonts w:ascii="宋体" w:hAnsi="宋体" w:cs="宋体" w:eastAsia="宋体" w:hint="default"/>
                <w:sz w:val="21"/>
                <w:szCs w:val="21"/>
              </w:rPr>
              <w:t>股份支付的种类</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根据结算方式分为以权益结算的涉及职工的股份支付、以现金结算的涉及职工的股份支付</w:t>
            </w:r>
          </w:p>
        </w:tc>
      </w:tr>
      <w:tr>
        <w:trPr>
          <w:trHeight w:val="556"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3.20.2</w:t>
            </w:r>
            <w:r>
              <w:rPr>
                <w:rFonts w:ascii="宋体" w:hAnsi="宋体" w:cs="宋体" w:eastAsia="宋体" w:hint="default"/>
                <w:spacing w:val="-1"/>
                <w:sz w:val="21"/>
                <w:szCs w:val="21"/>
              </w:rPr>
              <w:t> </w:t>
            </w:r>
            <w:r>
              <w:rPr>
                <w:rFonts w:ascii="宋体" w:hAnsi="宋体" w:cs="宋体" w:eastAsia="宋体" w:hint="default"/>
                <w:sz w:val="21"/>
                <w:szCs w:val="21"/>
              </w:rPr>
              <w:t>权益工具公允价值的确定方法</w:t>
            </w:r>
          </w:p>
        </w:tc>
      </w:tr>
      <w:tr>
        <w:trPr>
          <w:trHeight w:val="565"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6" w:right="0"/>
              <w:jc w:val="left"/>
              <w:rPr>
                <w:rFonts w:ascii="宋体" w:hAnsi="宋体" w:cs="宋体" w:eastAsia="宋体" w:hint="default"/>
                <w:sz w:val="21"/>
                <w:szCs w:val="21"/>
              </w:rPr>
            </w:pPr>
            <w:r>
              <w:rPr>
                <w:rFonts w:ascii="宋体" w:hAnsi="宋体" w:cs="宋体" w:eastAsia="宋体" w:hint="default"/>
                <w:sz w:val="21"/>
                <w:szCs w:val="21"/>
              </w:rPr>
              <w:t>本公司授予的限制性股票公允价值采用估值技术予以确定，一般参考二级市场的股票价格。</w:t>
            </w:r>
          </w:p>
        </w:tc>
      </w:tr>
      <w:tr>
        <w:trPr>
          <w:trHeight w:val="565"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36" w:right="0"/>
              <w:jc w:val="left"/>
              <w:rPr>
                <w:rFonts w:ascii="宋体" w:hAnsi="宋体" w:cs="宋体" w:eastAsia="宋体" w:hint="default"/>
                <w:sz w:val="21"/>
                <w:szCs w:val="21"/>
              </w:rPr>
            </w:pPr>
            <w:r>
              <w:rPr>
                <w:rFonts w:ascii="宋体" w:hAnsi="宋体" w:cs="宋体" w:eastAsia="宋体" w:hint="default"/>
                <w:sz w:val="21"/>
                <w:szCs w:val="21"/>
              </w:rPr>
              <w:t>3.20.3</w:t>
            </w:r>
            <w:r>
              <w:rPr>
                <w:rFonts w:ascii="宋体" w:hAnsi="宋体" w:cs="宋体" w:eastAsia="宋体" w:hint="default"/>
                <w:spacing w:val="-4"/>
                <w:sz w:val="21"/>
                <w:szCs w:val="21"/>
              </w:rPr>
              <w:t> </w:t>
            </w:r>
            <w:r>
              <w:rPr>
                <w:rFonts w:ascii="宋体" w:hAnsi="宋体" w:cs="宋体" w:eastAsia="宋体" w:hint="default"/>
                <w:sz w:val="21"/>
                <w:szCs w:val="21"/>
              </w:rPr>
              <w:t>确认可行权权益工具最佳估计的依据</w:t>
            </w:r>
          </w:p>
        </w:tc>
      </w:tr>
      <w:tr>
        <w:trPr>
          <w:trHeight w:val="876"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73" w:lineRule="auto" w:before="114"/>
              <w:ind w:left="136" w:right="72"/>
              <w:jc w:val="left"/>
              <w:rPr>
                <w:rFonts w:ascii="宋体" w:hAnsi="宋体" w:cs="宋体" w:eastAsia="宋体" w:hint="default"/>
                <w:sz w:val="21"/>
                <w:szCs w:val="21"/>
              </w:rPr>
            </w:pPr>
            <w:r>
              <w:rPr>
                <w:rFonts w:ascii="宋体" w:hAnsi="宋体" w:cs="宋体" w:eastAsia="宋体" w:hint="default"/>
                <w:spacing w:val="-2"/>
                <w:sz w:val="21"/>
                <w:szCs w:val="21"/>
              </w:rPr>
              <w:t>在等待期内的每个资产负债表日，根据最新取得的可行权职工人数变动等后续信息做出最佳估计，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修正预计可行权的权益工具数量。</w:t>
            </w:r>
          </w:p>
        </w:tc>
      </w:tr>
      <w:tr>
        <w:trPr>
          <w:trHeight w:val="553"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6" w:right="0"/>
              <w:jc w:val="left"/>
              <w:rPr>
                <w:rFonts w:ascii="宋体" w:hAnsi="宋体" w:cs="宋体" w:eastAsia="宋体" w:hint="default"/>
                <w:sz w:val="21"/>
                <w:szCs w:val="21"/>
              </w:rPr>
            </w:pPr>
            <w:r>
              <w:rPr>
                <w:rFonts w:ascii="宋体" w:hAnsi="宋体" w:cs="宋体" w:eastAsia="宋体" w:hint="default"/>
                <w:sz w:val="21"/>
                <w:szCs w:val="21"/>
              </w:rPr>
              <w:t>3.20.4</w:t>
            </w:r>
            <w:r>
              <w:rPr>
                <w:rFonts w:ascii="宋体" w:hAnsi="宋体" w:cs="宋体" w:eastAsia="宋体" w:hint="default"/>
                <w:spacing w:val="-4"/>
                <w:sz w:val="21"/>
                <w:szCs w:val="21"/>
              </w:rPr>
              <w:t> </w:t>
            </w:r>
            <w:r>
              <w:rPr>
                <w:rFonts w:ascii="宋体" w:hAnsi="宋体" w:cs="宋体" w:eastAsia="宋体" w:hint="default"/>
                <w:sz w:val="21"/>
                <w:szCs w:val="21"/>
              </w:rPr>
              <w:t>实施、修改、终止股份支付计划的相关会计处理</w:t>
            </w:r>
          </w:p>
        </w:tc>
      </w:tr>
      <w:tr>
        <w:trPr>
          <w:trHeight w:val="1361"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left"/>
              <w:rPr>
                <w:rFonts w:ascii="宋体" w:hAnsi="宋体" w:cs="宋体" w:eastAsia="宋体" w:hint="default"/>
                <w:sz w:val="21"/>
                <w:szCs w:val="21"/>
              </w:rPr>
            </w:pPr>
            <w:r>
              <w:rPr>
                <w:rFonts w:ascii="宋体" w:hAnsi="宋体" w:cs="宋体" w:eastAsia="宋体" w:hint="default"/>
                <w:spacing w:val="-3"/>
                <w:sz w:val="21"/>
                <w:szCs w:val="21"/>
              </w:rPr>
              <w:t>以权益结算的涉及职工的股份支付，授予后立即可行权的，按照授予日权益工具的公允价值计入成</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本费用和资本公积；授予后须完成等待期内的服务或达到规定业绩条件才可行权的，在等待期内的</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5"/>
                <w:sz w:val="21"/>
                <w:szCs w:val="21"/>
              </w:rPr>
              <w:t>每个资产负债表日，以对可行权权益工具数量的最佳估计为基础，按照权益工具授予日的公允价值，</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将当期取得的服务计入相关成本或费用和资本公积。</w:t>
            </w:r>
          </w:p>
        </w:tc>
      </w:tr>
      <w:tr>
        <w:trPr>
          <w:trHeight w:val="1364"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72"/>
              <w:jc w:val="both"/>
              <w:rPr>
                <w:rFonts w:ascii="宋体" w:hAnsi="宋体" w:cs="宋体" w:eastAsia="宋体" w:hint="default"/>
                <w:sz w:val="21"/>
                <w:szCs w:val="21"/>
              </w:rPr>
            </w:pPr>
            <w:r>
              <w:rPr>
                <w:rFonts w:ascii="宋体" w:hAnsi="宋体" w:cs="宋体" w:eastAsia="宋体" w:hint="default"/>
                <w:spacing w:val="-3"/>
                <w:sz w:val="21"/>
                <w:szCs w:val="21"/>
              </w:rPr>
              <w:t>以现金结算的涉及职工的股份支付，授予后立即可行权的，按照授予日本公司承担负债的公允价值</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计入相关成本或费用和相应负债；授予后须完成等待期内的服务或达到规定业绩条件才可行权的，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在等待期内的每个资产负债表日，以对可行权情况的最佳估计为基础，按照本公司承担负债的公允</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价值金额，将当期取得的服务计入相关成本或费用和相应负债。</w:t>
            </w:r>
          </w:p>
        </w:tc>
      </w:tr>
      <w:tr>
        <w:trPr>
          <w:trHeight w:val="649" w:hRule="exact"/>
        </w:trPr>
        <w:tc>
          <w:tcPr>
            <w:tcW w:w="772" w:type="dxa"/>
            <w:tcBorders>
              <w:top w:val="nil" w:sz="6" w:space="0" w:color="auto"/>
              <w:left w:val="nil" w:sz="6" w:space="0" w:color="auto"/>
              <w:bottom w:val="nil" w:sz="6" w:space="0" w:color="auto"/>
              <w:right w:val="nil" w:sz="6" w:space="0" w:color="auto"/>
            </w:tcBorders>
          </w:tcPr>
          <w:p>
            <w:pPr/>
          </w:p>
        </w:tc>
        <w:tc>
          <w:tcPr>
            <w:tcW w:w="9249" w:type="dxa"/>
            <w:tcBorders>
              <w:top w:val="nil" w:sz="6" w:space="0" w:color="auto"/>
              <w:left w:val="nil" w:sz="6" w:space="0" w:color="auto"/>
              <w:bottom w:val="nil" w:sz="6" w:space="0" w:color="auto"/>
              <w:right w:val="nil" w:sz="6" w:space="0" w:color="auto"/>
            </w:tcBorders>
          </w:tcPr>
          <w:p>
            <w:pPr>
              <w:pStyle w:val="TableParagraph"/>
              <w:spacing w:line="272" w:lineRule="exact" w:before="131"/>
              <w:ind w:left="136" w:right="103"/>
              <w:jc w:val="left"/>
              <w:rPr>
                <w:rFonts w:ascii="宋体" w:hAnsi="宋体" w:cs="宋体" w:eastAsia="宋体" w:hint="default"/>
                <w:sz w:val="21"/>
                <w:szCs w:val="21"/>
              </w:rPr>
            </w:pPr>
            <w:r>
              <w:rPr>
                <w:rFonts w:ascii="宋体" w:hAnsi="宋体" w:cs="宋体" w:eastAsia="宋体" w:hint="default"/>
                <w:spacing w:val="-3"/>
                <w:sz w:val="21"/>
                <w:szCs w:val="21"/>
              </w:rPr>
              <w:t>公司股份支付计划发生修改或终止的，激励对象根据激励计划获授但未解锁的股票由公司按照授予</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价格回购注销。</w:t>
            </w:r>
          </w:p>
        </w:tc>
      </w:tr>
    </w:tbl>
    <w:p>
      <w:pPr>
        <w:spacing w:after="0" w:line="272" w:lineRule="exact"/>
        <w:jc w:val="left"/>
        <w:rPr>
          <w:rFonts w:ascii="宋体" w:hAnsi="宋体" w:cs="宋体" w:eastAsia="宋体" w:hint="default"/>
          <w:sz w:val="21"/>
          <w:szCs w:val="21"/>
        </w:rPr>
        <w:sectPr>
          <w:footerReference w:type="default" r:id="rId29"/>
          <w:pgSz w:w="11910" w:h="16840"/>
          <w:pgMar w:footer="980" w:header="886" w:top="1740" w:bottom="1160" w:left="900" w:right="780"/>
          <w:pgNumType w:start="101"/>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74"/>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3.21</w:t>
            </w:r>
          </w:p>
        </w:tc>
        <w:tc>
          <w:tcPr>
            <w:tcW w:w="91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资产减值</w:t>
            </w:r>
          </w:p>
        </w:tc>
      </w:tr>
      <w:tr>
        <w:trPr>
          <w:trHeight w:val="2177"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both"/>
              <w:rPr>
                <w:rFonts w:ascii="宋体" w:hAnsi="宋体" w:cs="宋体" w:eastAsia="宋体" w:hint="default"/>
                <w:sz w:val="21"/>
                <w:szCs w:val="21"/>
              </w:rPr>
            </w:pPr>
            <w:r>
              <w:rPr>
                <w:rFonts w:ascii="宋体" w:hAnsi="宋体" w:cs="宋体" w:eastAsia="宋体" w:hint="default"/>
                <w:spacing w:val="-3"/>
                <w:sz w:val="21"/>
                <w:szCs w:val="21"/>
              </w:rPr>
              <w:t>在财务报表中单独列示的商誉和使用寿命不确定的无形资产，无论是否存在减值迹象，至少每年进</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行减值测试。固定资产、无形资产、以成本模式计量的投资性房地产及长期股权投资等，于资产负</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债表日存在减值迹象的，进行减值测试。减值测试结果表明资产的可收回金额低于其账面价值的，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按其差额计提减值准备并计入减值损失。可收回金额为资产的公允价值减去处置费用后的净额与资</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产预计未来现金流量的现值两者之间的较高者。资产减值准备按单项资产为基础计算并确认，如果</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难以对单项资产的可收回金额进行估计的，以该资产所属的资产组确定资产组的可收回金额。资产</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组是能够独立产生现金流入的最小资产组合。</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3.22</w:t>
            </w:r>
          </w:p>
        </w:tc>
        <w:tc>
          <w:tcPr>
            <w:tcW w:w="91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资产组</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both"/>
              <w:rPr>
                <w:rFonts w:ascii="宋体" w:hAnsi="宋体" w:cs="宋体" w:eastAsia="宋体" w:hint="default"/>
                <w:sz w:val="21"/>
                <w:szCs w:val="21"/>
              </w:rPr>
            </w:pPr>
            <w:r>
              <w:rPr>
                <w:rFonts w:ascii="宋体" w:hAnsi="宋体" w:cs="宋体" w:eastAsia="宋体" w:hint="default"/>
                <w:spacing w:val="-2"/>
                <w:sz w:val="21"/>
                <w:szCs w:val="21"/>
              </w:rPr>
              <w:t>资产组的认定，以资产组产生的主要现金流入是否独立于其他资产或者资产组的现金流入为依据。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同时，在认定资产组时，考虑公司管理层管理生产经营活动的方式和对资产的持续使用或者处置的</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决策方式等。</w:t>
            </w:r>
          </w:p>
        </w:tc>
      </w:tr>
      <w:tr>
        <w:trPr>
          <w:trHeight w:val="1907"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both"/>
              <w:rPr>
                <w:rFonts w:ascii="宋体" w:hAnsi="宋体" w:cs="宋体" w:eastAsia="宋体" w:hint="default"/>
                <w:sz w:val="21"/>
                <w:szCs w:val="21"/>
              </w:rPr>
            </w:pPr>
            <w:r>
              <w:rPr>
                <w:rFonts w:ascii="宋体" w:hAnsi="宋体" w:cs="宋体" w:eastAsia="宋体" w:hint="default"/>
                <w:spacing w:val="-3"/>
                <w:sz w:val="21"/>
                <w:szCs w:val="21"/>
              </w:rPr>
              <w:t>资产组的可收回金额低于其账面价值的，确认相应的减值损失。资产组的可收回金额按该资产组的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公允价值减去处置费用后的净额与其预计未来现金流量的现值两者之间较高者确定。在合并财务报</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表中反映的商誉，不包括子公司归属于少数股东权益的商誉。但对相关的资产组进行减值测试时，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将归属于少数股东权益的商誉包括在内，调整资产组的账面价值，然后根据调整后的资产组账面价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值与其可收回金额进行比较。如上述资产组发生减值的，该损失按比例扣除少数股东权益份额后，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确认归属于公司的商誉减值损失。</w:t>
            </w: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72" w:right="0"/>
              <w:jc w:val="left"/>
              <w:rPr>
                <w:rFonts w:ascii="宋体" w:hAnsi="宋体" w:cs="宋体" w:eastAsia="宋体" w:hint="default"/>
                <w:sz w:val="21"/>
                <w:szCs w:val="21"/>
              </w:rPr>
            </w:pPr>
            <w:r>
              <w:rPr>
                <w:rFonts w:ascii="宋体"/>
                <w:sz w:val="21"/>
              </w:rPr>
              <w:t>3.23</w:t>
            </w:r>
          </w:p>
        </w:tc>
        <w:tc>
          <w:tcPr>
            <w:tcW w:w="917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职工薪酬</w:t>
            </w:r>
          </w:p>
        </w:tc>
      </w:tr>
      <w:tr>
        <w:trPr>
          <w:trHeight w:val="923"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29"/>
              <w:jc w:val="both"/>
              <w:rPr>
                <w:rFonts w:ascii="宋体" w:hAnsi="宋体" w:cs="宋体" w:eastAsia="宋体" w:hint="default"/>
                <w:sz w:val="21"/>
                <w:szCs w:val="21"/>
              </w:rPr>
            </w:pPr>
            <w:r>
              <w:rPr>
                <w:rFonts w:ascii="宋体" w:hAnsi="宋体" w:cs="宋体" w:eastAsia="宋体" w:hint="default"/>
                <w:spacing w:val="-3"/>
                <w:sz w:val="21"/>
                <w:szCs w:val="21"/>
              </w:rPr>
              <w:t>于职工提供服务的期间确认应付的职工薪酬，并根据职工提供服务的受益对象计入相关资产成本和</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费用。职工薪酬主要包括工资、奖金、津贴和补贴、职工福利费、社会保险费及住房公积金、工会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经费和职工教育经费等其他与获得职工提供的服务相关的支出。</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244"/>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24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sz w:val="21"/>
              </w:rPr>
              <w:t>3.24</w:t>
            </w: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收入确认</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01" w:hanging="17"/>
              <w:jc w:val="left"/>
              <w:rPr>
                <w:rFonts w:ascii="宋体" w:hAnsi="宋体" w:cs="宋体" w:eastAsia="宋体" w:hint="default"/>
                <w:sz w:val="21"/>
                <w:szCs w:val="21"/>
              </w:rPr>
            </w:pPr>
            <w:r>
              <w:rPr>
                <w:rFonts w:ascii="宋体" w:hAnsi="宋体" w:cs="宋体" w:eastAsia="宋体" w:hint="default"/>
                <w:spacing w:val="-2"/>
                <w:sz w:val="21"/>
                <w:szCs w:val="21"/>
              </w:rPr>
              <w:t>收入的金额按照本公司在日常经营活动中销售商品和提供劳务时，已收或应收合同或协议价款的公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允价值确定。收入按扣除增值税、商业折扣、销售折让及销售退回的净额列示。</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01" w:hanging="17"/>
              <w:jc w:val="left"/>
              <w:rPr>
                <w:rFonts w:ascii="宋体" w:hAnsi="宋体" w:cs="宋体" w:eastAsia="宋体" w:hint="default"/>
                <w:sz w:val="21"/>
                <w:szCs w:val="21"/>
              </w:rPr>
            </w:pPr>
            <w:r>
              <w:rPr>
                <w:rFonts w:ascii="宋体" w:hAnsi="宋体" w:cs="宋体" w:eastAsia="宋体" w:hint="default"/>
                <w:spacing w:val="-2"/>
                <w:sz w:val="21"/>
                <w:szCs w:val="21"/>
              </w:rPr>
              <w:t>与交易相关的经济利益能够流入本公司，相关的收入能够可靠计量且满足下列各项经营活动的特定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收入确认标准时，确认相关的收入。</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0" w:right="0"/>
              <w:jc w:val="left"/>
              <w:rPr>
                <w:rFonts w:ascii="宋体" w:hAnsi="宋体" w:cs="宋体" w:eastAsia="宋体" w:hint="default"/>
                <w:sz w:val="21"/>
                <w:szCs w:val="21"/>
              </w:rPr>
            </w:pPr>
            <w:r>
              <w:rPr>
                <w:rFonts w:ascii="宋体" w:hAnsi="宋体" w:cs="宋体" w:eastAsia="宋体" w:hint="default"/>
                <w:sz w:val="21"/>
                <w:szCs w:val="21"/>
              </w:rPr>
              <w:t>3.24.1</w:t>
            </w:r>
            <w:r>
              <w:rPr>
                <w:rFonts w:ascii="宋体" w:hAnsi="宋体" w:cs="宋体" w:eastAsia="宋体" w:hint="default"/>
                <w:spacing w:val="-1"/>
                <w:sz w:val="21"/>
                <w:szCs w:val="21"/>
              </w:rPr>
              <w:t> </w:t>
            </w:r>
            <w:r>
              <w:rPr>
                <w:rFonts w:ascii="宋体" w:hAnsi="宋体" w:cs="宋体" w:eastAsia="宋体" w:hint="default"/>
                <w:sz w:val="21"/>
                <w:szCs w:val="21"/>
              </w:rPr>
              <w:t>销售商品</w:t>
            </w:r>
          </w:p>
        </w:tc>
      </w:tr>
      <w:tr>
        <w:trPr>
          <w:trHeight w:val="1090"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101"/>
              <w:jc w:val="both"/>
              <w:rPr>
                <w:rFonts w:ascii="宋体" w:hAnsi="宋体" w:cs="宋体" w:eastAsia="宋体" w:hint="default"/>
                <w:sz w:val="21"/>
                <w:szCs w:val="21"/>
              </w:rPr>
            </w:pPr>
            <w:r>
              <w:rPr>
                <w:rFonts w:ascii="宋体" w:hAnsi="宋体" w:cs="宋体" w:eastAsia="宋体" w:hint="default"/>
                <w:spacing w:val="-3"/>
                <w:sz w:val="21"/>
                <w:szCs w:val="21"/>
              </w:rPr>
              <w:t>商品销售在商品所有权上的主要风险和报酬已转移给买方，本公司不再对该商品实施继续管理权和</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实际控制权，与交易相关的经济利益很可能流入企业，并且与销售该商品相关的收入和成本能够可</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靠地计量时，确认营业收入的实现。</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0" w:right="0"/>
              <w:jc w:val="left"/>
              <w:rPr>
                <w:rFonts w:ascii="宋体" w:hAnsi="宋体" w:cs="宋体" w:eastAsia="宋体" w:hint="default"/>
                <w:sz w:val="21"/>
                <w:szCs w:val="21"/>
              </w:rPr>
            </w:pPr>
            <w:r>
              <w:rPr>
                <w:rFonts w:ascii="宋体" w:hAnsi="宋体" w:cs="宋体" w:eastAsia="宋体" w:hint="default"/>
                <w:sz w:val="21"/>
                <w:szCs w:val="21"/>
              </w:rPr>
              <w:t>3.24.2</w:t>
            </w:r>
            <w:r>
              <w:rPr>
                <w:rFonts w:ascii="宋体" w:hAnsi="宋体" w:cs="宋体" w:eastAsia="宋体" w:hint="default"/>
                <w:spacing w:val="-1"/>
                <w:sz w:val="21"/>
                <w:szCs w:val="21"/>
              </w:rPr>
              <w:t> </w:t>
            </w:r>
            <w:r>
              <w:rPr>
                <w:rFonts w:ascii="宋体" w:hAnsi="宋体" w:cs="宋体" w:eastAsia="宋体" w:hint="default"/>
                <w:sz w:val="21"/>
                <w:szCs w:val="21"/>
              </w:rPr>
              <w:t>提供劳务</w:t>
            </w:r>
          </w:p>
        </w:tc>
      </w:tr>
      <w:tr>
        <w:trPr>
          <w:trHeight w:val="1634"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67"/>
              <w:jc w:val="both"/>
              <w:rPr>
                <w:rFonts w:ascii="宋体" w:hAnsi="宋体" w:cs="宋体" w:eastAsia="宋体" w:hint="default"/>
                <w:sz w:val="21"/>
                <w:szCs w:val="21"/>
              </w:rPr>
            </w:pPr>
            <w:r>
              <w:rPr>
                <w:rFonts w:ascii="宋体" w:hAnsi="宋体" w:cs="宋体" w:eastAsia="宋体" w:hint="default"/>
                <w:spacing w:val="-2"/>
                <w:sz w:val="21"/>
                <w:szCs w:val="21"/>
              </w:rPr>
              <w:t>提供的劳务在同一会计年度开始并完成的，在劳务已经提供，收到价款或取得收取价款的证据时，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确认营业收入的实现；劳务的开始和完成分属不同会计年度的，在劳务合同的总收入、劳务的完成</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程度能够可靠地确定，与交易相关的价款能够流入，已经发生的成本和为完成劳务将要发生的成本</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能够可靠地计量时，按完工百分比法确认营业收入的实现；长期合同工程在合同结果已经能够合理</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地预见时，按结账时已完成工程进度的百分比法确认营业收入的实现。</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3.24.3 </w:t>
            </w:r>
            <w:r>
              <w:rPr>
                <w:rFonts w:ascii="宋体" w:hAnsi="宋体" w:cs="宋体" w:eastAsia="宋体" w:hint="default"/>
                <w:sz w:val="21"/>
                <w:szCs w:val="21"/>
              </w:rPr>
              <w:t>让渡资产使用权</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6" w:right="101"/>
              <w:jc w:val="left"/>
              <w:rPr>
                <w:rFonts w:ascii="宋体" w:hAnsi="宋体" w:cs="宋体" w:eastAsia="宋体" w:hint="default"/>
                <w:sz w:val="21"/>
                <w:szCs w:val="21"/>
              </w:rPr>
            </w:pPr>
            <w:r>
              <w:rPr>
                <w:rFonts w:ascii="宋体" w:hAnsi="宋体" w:cs="宋体" w:eastAsia="宋体" w:hint="default"/>
                <w:spacing w:val="-3"/>
                <w:sz w:val="21"/>
                <w:szCs w:val="21"/>
              </w:rPr>
              <w:t>让渡资产使用权取得的利息收入和使用费收入，在与交易相关的经济利益能够流入企业，且收入的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金额能够可靠地计量时，确认收入的实现。</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4" w:right="0"/>
              <w:jc w:val="left"/>
              <w:rPr>
                <w:rFonts w:ascii="宋体" w:hAnsi="宋体" w:cs="宋体" w:eastAsia="宋体" w:hint="default"/>
                <w:sz w:val="21"/>
                <w:szCs w:val="21"/>
              </w:rPr>
            </w:pPr>
            <w:r>
              <w:rPr>
                <w:rFonts w:ascii="宋体"/>
                <w:sz w:val="21"/>
              </w:rPr>
              <w:t>3.25</w:t>
            </w: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818"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117"/>
              <w:jc w:val="left"/>
              <w:rPr>
                <w:rFonts w:ascii="宋体" w:hAnsi="宋体" w:cs="宋体" w:eastAsia="宋体" w:hint="default"/>
                <w:sz w:val="21"/>
                <w:szCs w:val="21"/>
              </w:rPr>
            </w:pPr>
            <w:r>
              <w:rPr>
                <w:rFonts w:ascii="宋体" w:hAnsi="宋体" w:cs="宋体" w:eastAsia="宋体" w:hint="default"/>
                <w:spacing w:val="2"/>
                <w:sz w:val="21"/>
                <w:szCs w:val="21"/>
              </w:rPr>
              <w:t>借款按公允价值扣除交易成本后的金额进行初始计量，并采用实际利率法按摊余成本进行后续计</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量。于资产负债表日起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z w:val="21"/>
                <w:szCs w:val="21"/>
              </w:rPr>
              <w:t>)</w:t>
            </w:r>
            <w:r>
              <w:rPr>
                <w:rFonts w:ascii="宋体" w:hAnsi="宋体" w:cs="宋体" w:eastAsia="宋体" w:hint="default"/>
                <w:sz w:val="21"/>
                <w:szCs w:val="21"/>
              </w:rPr>
              <w:t>内偿还的借款为短期借款，其余借款为长期借款。</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4" w:right="0"/>
              <w:jc w:val="left"/>
              <w:rPr>
                <w:rFonts w:ascii="宋体" w:hAnsi="宋体" w:cs="宋体" w:eastAsia="宋体" w:hint="default"/>
                <w:sz w:val="21"/>
                <w:szCs w:val="21"/>
              </w:rPr>
            </w:pPr>
            <w:r>
              <w:rPr>
                <w:rFonts w:ascii="宋体"/>
                <w:sz w:val="21"/>
              </w:rPr>
              <w:t>3.26</w:t>
            </w: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1361"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left"/>
              <w:rPr>
                <w:rFonts w:ascii="宋体" w:hAnsi="宋体" w:cs="宋体" w:eastAsia="宋体" w:hint="default"/>
                <w:sz w:val="21"/>
                <w:szCs w:val="21"/>
              </w:rPr>
            </w:pPr>
            <w:r>
              <w:rPr>
                <w:rFonts w:ascii="宋体" w:hAnsi="宋体" w:cs="宋体" w:eastAsia="宋体" w:hint="default"/>
                <w:spacing w:val="-3"/>
                <w:sz w:val="21"/>
                <w:szCs w:val="21"/>
              </w:rPr>
              <w:t>政府补助，是指公司从政府无偿取得货币性资产或非货币性资产，但不包括政府作为公司所有者投</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5"/>
                <w:sz w:val="21"/>
                <w:szCs w:val="21"/>
              </w:rPr>
              <w:t>入的资本。政府补助分为与资产相关的政府补助和与收益相关的政府补助。与资产相关的政府补助，</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是指公司取得的、用于购建或以其他方式形成长期资产的政府补助。与收益相关的政府补助，是指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除与资产相关的政府补助之外的政府补助。</w:t>
            </w:r>
          </w:p>
        </w:tc>
      </w:tr>
      <w:tr>
        <w:trPr>
          <w:trHeight w:val="819"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103"/>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政府补助为货币性资产的，按照收到或应收的金额计量。政府补助为非货币性资产的，按照公允价</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值计量；公允价值不能可靠取得的，按照名义金额计量。</w:t>
            </w:r>
          </w:p>
        </w:tc>
      </w:tr>
      <w:tr>
        <w:trPr>
          <w:trHeight w:val="1194" w:hRule="exact"/>
        </w:trPr>
        <w:tc>
          <w:tcPr>
            <w:tcW w:w="772" w:type="dxa"/>
            <w:tcBorders>
              <w:top w:val="nil" w:sz="6" w:space="0" w:color="auto"/>
              <w:left w:val="nil" w:sz="6" w:space="0" w:color="auto"/>
              <w:bottom w:val="nil" w:sz="6" w:space="0" w:color="auto"/>
              <w:right w:val="nil" w:sz="6" w:space="0" w:color="auto"/>
            </w:tcBorders>
          </w:tcPr>
          <w:p>
            <w:pPr/>
          </w:p>
        </w:tc>
        <w:tc>
          <w:tcPr>
            <w:tcW w:w="924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left"/>
              <w:rPr>
                <w:rFonts w:ascii="宋体" w:hAnsi="宋体" w:cs="宋体" w:eastAsia="宋体" w:hint="default"/>
                <w:sz w:val="21"/>
                <w:szCs w:val="21"/>
              </w:rPr>
            </w:pPr>
            <w:r>
              <w:rPr>
                <w:rFonts w:ascii="宋体" w:hAnsi="宋体" w:cs="宋体" w:eastAsia="宋体" w:hint="default"/>
                <w:spacing w:val="-5"/>
                <w:sz w:val="21"/>
                <w:szCs w:val="21"/>
              </w:rPr>
              <w:t>与资产相关的政府补助，应当确认为递延收益，并在相关资产使用寿命内平均分配，计入当期损益。</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按照名义金额计量的政府补助，直接计入当期损益。与收益相关的政府补助，用于补偿公司以后期</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间的相关费用或损失的，确认为递延收益，并在确认相关费用的期间，计入当期损益；用于补偿公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司已发生的相关费用或损失的，直接计入当期损益。</w:t>
            </w:r>
          </w:p>
        </w:tc>
      </w:tr>
    </w:tbl>
    <w:p>
      <w:pPr>
        <w:spacing w:after="0" w:line="237" w:lineRule="auto"/>
        <w:jc w:val="left"/>
        <w:rPr>
          <w:rFonts w:ascii="宋体" w:hAnsi="宋体" w:cs="宋体" w:eastAsia="宋体" w:hint="default"/>
          <w:sz w:val="21"/>
          <w:szCs w:val="21"/>
        </w:rPr>
        <w:sectPr>
          <w:pgSz w:w="11910" w:h="16840"/>
          <w:pgMar w:header="886" w:footer="980" w:top="1740" w:bottom="1160" w:left="900" w:right="78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9174"/>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3</w:t>
            </w:r>
            <w:r>
              <w:rPr>
                <w:rFonts w:ascii="宋体"/>
                <w:sz w:val="21"/>
              </w:rPr>
            </w:r>
          </w:p>
        </w:tc>
        <w:tc>
          <w:tcPr>
            <w:tcW w:w="91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2" w:right="0"/>
              <w:jc w:val="left"/>
              <w:rPr>
                <w:rFonts w:ascii="宋体" w:hAnsi="宋体" w:cs="宋体" w:eastAsia="宋体" w:hint="default"/>
                <w:sz w:val="21"/>
                <w:szCs w:val="21"/>
              </w:rPr>
            </w:pPr>
            <w:r>
              <w:rPr>
                <w:rFonts w:ascii="宋体"/>
                <w:sz w:val="21"/>
              </w:rPr>
              <w:t>3.27</w:t>
            </w:r>
          </w:p>
        </w:tc>
        <w:tc>
          <w:tcPr>
            <w:tcW w:w="91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w:t>
            </w:r>
          </w:p>
        </w:tc>
      </w:tr>
      <w:tr>
        <w:trPr>
          <w:trHeight w:val="2177"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31"/>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w:t>
            </w:r>
            <w:r>
              <w:rPr>
                <w:rFonts w:ascii="宋体" w:hAnsi="宋体" w:cs="宋体" w:eastAsia="宋体" w:hint="default"/>
                <w:sz w:val="21"/>
                <w:szCs w:val="21"/>
              </w:rPr>
              <w:t>(</w:t>
            </w:r>
            <w:r>
              <w:rPr>
                <w:rFonts w:ascii="宋体" w:hAnsi="宋体" w:cs="宋体" w:eastAsia="宋体" w:hint="default"/>
                <w:sz w:val="21"/>
                <w:szCs w:val="21"/>
              </w:rPr>
              <w:t>包括应纳税暂</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时性差异和可抵扣暂时性差异</w:t>
            </w:r>
            <w:r>
              <w:rPr>
                <w:rFonts w:ascii="宋体" w:hAnsi="宋体" w:cs="宋体" w:eastAsia="宋体" w:hint="default"/>
                <w:sz w:val="21"/>
                <w:szCs w:val="21"/>
              </w:rPr>
              <w:t>)</w:t>
            </w:r>
            <w:r>
              <w:rPr>
                <w:rFonts w:ascii="宋体" w:hAnsi="宋体" w:cs="宋体" w:eastAsia="宋体" w:hint="default"/>
                <w:sz w:val="21"/>
                <w:szCs w:val="21"/>
              </w:rPr>
              <w:t>计算确认。对于按照税法规定能够于以后年度抵减应纳税所得额的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可抵扣亏损，视同可抵扣暂时性差异。对于商誉的初始确认产生的暂时性差异，不确认相应的递延</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所得税负债。对于既不影响会计利润也不影响应纳税所得额</w:t>
            </w:r>
            <w:r>
              <w:rPr>
                <w:rFonts w:ascii="宋体" w:hAnsi="宋体" w:cs="宋体" w:eastAsia="宋体" w:hint="default"/>
                <w:spacing w:val="-3"/>
                <w:sz w:val="21"/>
                <w:szCs w:val="21"/>
              </w:rPr>
              <w:t>(</w:t>
            </w:r>
            <w:r>
              <w:rPr>
                <w:rFonts w:ascii="宋体" w:hAnsi="宋体" w:cs="宋体" w:eastAsia="宋体" w:hint="default"/>
                <w:spacing w:val="-3"/>
                <w:sz w:val="21"/>
                <w:szCs w:val="21"/>
              </w:rPr>
              <w:t>或可抵扣亏损</w:t>
            </w:r>
            <w:r>
              <w:rPr>
                <w:rFonts w:ascii="宋体" w:hAnsi="宋体" w:cs="宋体" w:eastAsia="宋体" w:hint="default"/>
                <w:spacing w:val="-3"/>
                <w:sz w:val="21"/>
                <w:szCs w:val="21"/>
              </w:rPr>
              <w:t>)</w:t>
            </w:r>
            <w:r>
              <w:rPr>
                <w:rFonts w:ascii="宋体" w:hAnsi="宋体" w:cs="宋体" w:eastAsia="宋体" w:hint="default"/>
                <w:spacing w:val="-3"/>
                <w:sz w:val="21"/>
                <w:szCs w:val="21"/>
              </w:rPr>
              <w:t>的非企业合并的交易中</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sz w:val="21"/>
                <w:szCs w:val="21"/>
              </w:rPr>
              <w:t>产生的资产或负债的初始确认形成的暂时性差异，不确认相应的递延所得税资产和递延所得税负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债。于资产负债表日，递延所得税资产和递延所得税负债，按照预期收回该资产或清偿该负债期间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的适用税率计量。</w:t>
            </w:r>
          </w:p>
        </w:tc>
      </w:tr>
      <w:tr>
        <w:trPr>
          <w:trHeight w:val="819"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31"/>
              <w:jc w:val="left"/>
              <w:rPr>
                <w:rFonts w:ascii="宋体" w:hAnsi="宋体" w:cs="宋体" w:eastAsia="宋体" w:hint="default"/>
                <w:sz w:val="21"/>
                <w:szCs w:val="21"/>
              </w:rPr>
            </w:pPr>
            <w:r>
              <w:rPr>
                <w:rFonts w:ascii="宋体" w:hAnsi="宋体" w:cs="宋体" w:eastAsia="宋体" w:hint="default"/>
                <w:spacing w:val="-3"/>
                <w:sz w:val="21"/>
                <w:szCs w:val="21"/>
              </w:rPr>
              <w:t>递延所得税资产的确认以本公司很可能取得用来抵扣可抵扣暂时性差异、可抵扣亏损和税款抵减的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应纳税所得额为限。</w:t>
            </w:r>
          </w:p>
        </w:tc>
      </w:tr>
      <w:tr>
        <w:trPr>
          <w:trHeight w:val="923" w:hRule="exact"/>
        </w:trPr>
        <w:tc>
          <w:tcPr>
            <w:tcW w:w="772" w:type="dxa"/>
            <w:tcBorders>
              <w:top w:val="nil" w:sz="6" w:space="0" w:color="auto"/>
              <w:left w:val="nil" w:sz="6" w:space="0" w:color="auto"/>
              <w:bottom w:val="nil" w:sz="6" w:space="0" w:color="auto"/>
              <w:right w:val="nil" w:sz="6" w:space="0" w:color="auto"/>
            </w:tcBorders>
          </w:tcPr>
          <w:p>
            <w:pPr/>
          </w:p>
        </w:tc>
        <w:tc>
          <w:tcPr>
            <w:tcW w:w="9174"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36" w:right="0"/>
              <w:jc w:val="both"/>
              <w:rPr>
                <w:rFonts w:ascii="宋体" w:hAnsi="宋体" w:cs="宋体" w:eastAsia="宋体" w:hint="default"/>
                <w:sz w:val="21"/>
                <w:szCs w:val="21"/>
              </w:rPr>
            </w:pPr>
            <w:r>
              <w:rPr>
                <w:rFonts w:ascii="宋体" w:hAnsi="宋体" w:cs="宋体" w:eastAsia="宋体" w:hint="default"/>
                <w:spacing w:val="-2"/>
                <w:sz w:val="21"/>
                <w:szCs w:val="21"/>
              </w:rPr>
              <w:t>对子公司、联营企业及合营企业投资相关的暂时性差异产生的递延所得税资产和递延所得税负债，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予以确认。但本公司能够控制暂时性差异转回的时间且该暂时性差异在可预见的未来很可能不会转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回的，不予确认。</w:t>
            </w:r>
          </w:p>
        </w:tc>
      </w:tr>
    </w:tbl>
    <w:p>
      <w:pPr>
        <w:spacing w:after="0" w:line="237"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p>
      <w:pPr>
        <w:spacing w:line="20" w:lineRule="exact"/>
        <w:ind w:left="6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p>
      <w:pPr>
        <w:tabs>
          <w:tab w:pos="808" w:val="left" w:leader="none"/>
        </w:tabs>
        <w:spacing w:before="36"/>
        <w:ind w:left="100"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税项</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0"/>
        <w:ind w:left="808" w:right="0" w:firstLine="0"/>
        <w:jc w:val="left"/>
        <w:rPr>
          <w:rFonts w:ascii="宋体" w:hAnsi="宋体" w:cs="宋体" w:eastAsia="宋体" w:hint="default"/>
          <w:sz w:val="21"/>
          <w:szCs w:val="21"/>
        </w:rPr>
      </w:pPr>
      <w:r>
        <w:rPr>
          <w:rFonts w:ascii="宋体" w:hAnsi="宋体" w:cs="宋体" w:eastAsia="宋体" w:hint="default"/>
          <w:sz w:val="21"/>
          <w:szCs w:val="21"/>
        </w:rPr>
        <w:t>4.1</w:t>
      </w:r>
      <w:r>
        <w:rPr>
          <w:rFonts w:ascii="宋体" w:hAnsi="宋体" w:cs="宋体" w:eastAsia="宋体" w:hint="default"/>
          <w:spacing w:val="1"/>
          <w:sz w:val="21"/>
          <w:szCs w:val="21"/>
        </w:rPr>
        <w:t> </w:t>
      </w:r>
      <w:r>
        <w:rPr>
          <w:rFonts w:ascii="宋体" w:hAnsi="宋体" w:cs="宋体" w:eastAsia="宋体" w:hint="default"/>
          <w:sz w:val="21"/>
          <w:szCs w:val="21"/>
        </w:rPr>
        <w:t>主要税种及税率</w:t>
      </w:r>
    </w:p>
    <w:p>
      <w:pPr>
        <w:spacing w:line="240" w:lineRule="auto" w:before="3"/>
        <w:rPr>
          <w:rFonts w:ascii="宋体" w:hAnsi="宋体" w:cs="宋体" w:eastAsia="宋体" w:hint="default"/>
          <w:sz w:val="23"/>
          <w:szCs w:val="23"/>
        </w:rPr>
      </w:pPr>
    </w:p>
    <w:tbl>
      <w:tblPr>
        <w:tblW w:w="0" w:type="auto"/>
        <w:jc w:val="left"/>
        <w:tblInd w:w="695" w:type="dxa"/>
        <w:tblLayout w:type="fixed"/>
        <w:tblCellMar>
          <w:top w:w="0" w:type="dxa"/>
          <w:left w:w="0" w:type="dxa"/>
          <w:bottom w:w="0" w:type="dxa"/>
          <w:right w:w="0" w:type="dxa"/>
        </w:tblCellMar>
        <w:tblLook w:val="01E0"/>
      </w:tblPr>
      <w:tblGrid>
        <w:gridCol w:w="1800"/>
        <w:gridCol w:w="2972"/>
        <w:gridCol w:w="4301"/>
      </w:tblGrid>
      <w:tr>
        <w:trPr>
          <w:trHeight w:val="281" w:hRule="exact"/>
        </w:trPr>
        <w:tc>
          <w:tcPr>
            <w:tcW w:w="1800" w:type="dxa"/>
            <w:tcBorders>
              <w:top w:val="single" w:sz="4" w:space="0" w:color="000000"/>
              <w:left w:val="single" w:sz="4" w:space="0" w:color="000000"/>
              <w:bottom w:val="single" w:sz="5"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972" w:type="dxa"/>
            <w:tcBorders>
              <w:top w:val="single" w:sz="4" w:space="0" w:color="000000"/>
              <w:left w:val="single" w:sz="4" w:space="0" w:color="000000"/>
              <w:bottom w:val="single" w:sz="1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4301" w:type="dxa"/>
            <w:tcBorders>
              <w:top w:val="single" w:sz="4" w:space="0" w:color="000000"/>
              <w:left w:val="single" w:sz="4" w:space="0" w:color="000000"/>
              <w:bottom w:val="single" w:sz="5"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1099" w:hRule="exact"/>
        </w:trPr>
        <w:tc>
          <w:tcPr>
            <w:tcW w:w="1800" w:type="dxa"/>
            <w:tcBorders>
              <w:top w:val="single" w:sz="5"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72" w:type="dxa"/>
            <w:tcBorders>
              <w:top w:val="single" w:sz="16" w:space="0" w:color="000000"/>
              <w:left w:val="single" w:sz="4" w:space="0" w:color="000000"/>
              <w:bottom w:val="single" w:sz="4" w:space="0" w:color="000000"/>
              <w:right w:val="single" w:sz="4" w:space="0" w:color="000000"/>
            </w:tcBorders>
          </w:tcPr>
          <w:p>
            <w:pPr>
              <w:pStyle w:val="TableParagraph"/>
              <w:spacing w:line="225"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应纳税增值额</w:t>
            </w:r>
            <w:r>
              <w:rPr>
                <w:rFonts w:ascii="宋体" w:hAnsi="宋体" w:cs="宋体" w:eastAsia="宋体" w:hint="default"/>
                <w:spacing w:val="7"/>
                <w:sz w:val="21"/>
                <w:szCs w:val="21"/>
              </w:rPr>
              <w:t>(</w:t>
            </w:r>
            <w:r>
              <w:rPr>
                <w:rFonts w:ascii="宋体" w:hAnsi="宋体" w:cs="宋体" w:eastAsia="宋体" w:hint="default"/>
                <w:spacing w:val="7"/>
                <w:sz w:val="21"/>
                <w:szCs w:val="21"/>
              </w:rPr>
              <w:t>应纳税额按应</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纳税销售额乘以适用税率扣除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当期允计抵扣的进项税后的余</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额计算</w:t>
            </w:r>
            <w:r>
              <w:rPr>
                <w:rFonts w:ascii="宋体" w:hAnsi="宋体" w:cs="宋体" w:eastAsia="宋体" w:hint="default"/>
                <w:sz w:val="21"/>
                <w:szCs w:val="21"/>
              </w:rPr>
              <w:t>)</w:t>
            </w:r>
          </w:p>
        </w:tc>
        <w:tc>
          <w:tcPr>
            <w:tcW w:w="4301" w:type="dxa"/>
            <w:tcBorders>
              <w:top w:val="single" w:sz="5"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17%</w:t>
            </w:r>
          </w:p>
        </w:tc>
      </w:tr>
      <w:tr>
        <w:trPr>
          <w:trHeight w:val="110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消费税（日本）</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应纳税销售额（日本地区消费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税，应纳税额按应纳税消费额</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乘以适用税率扣除当期允许抵</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扣的进项税后的余额计算）</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应纳营业税</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42.05%</w:t>
            </w:r>
          </w:p>
        </w:tc>
      </w:tr>
    </w:tbl>
    <w:p>
      <w:pPr>
        <w:spacing w:line="240" w:lineRule="auto" w:before="7"/>
        <w:rPr>
          <w:rFonts w:ascii="宋体" w:hAnsi="宋体" w:cs="宋体" w:eastAsia="宋体" w:hint="default"/>
          <w:sz w:val="15"/>
          <w:szCs w:val="15"/>
        </w:rPr>
      </w:pPr>
    </w:p>
    <w:p>
      <w:pPr>
        <w:spacing w:before="36"/>
        <w:ind w:left="808" w:right="0" w:firstLine="0"/>
        <w:jc w:val="both"/>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1"/>
          <w:sz w:val="21"/>
          <w:szCs w:val="21"/>
        </w:rPr>
        <w:t> </w:t>
      </w:r>
      <w:r>
        <w:rPr>
          <w:rFonts w:ascii="宋体" w:hAnsi="宋体" w:cs="宋体" w:eastAsia="宋体" w:hint="default"/>
          <w:sz w:val="21"/>
          <w:szCs w:val="21"/>
        </w:rPr>
        <w:t>税收优惠及批文</w:t>
      </w:r>
    </w:p>
    <w:p>
      <w:pPr>
        <w:spacing w:line="240" w:lineRule="auto" w:before="11"/>
        <w:rPr>
          <w:rFonts w:ascii="宋体" w:hAnsi="宋体" w:cs="宋体" w:eastAsia="宋体" w:hint="default"/>
          <w:sz w:val="20"/>
          <w:szCs w:val="20"/>
        </w:rPr>
      </w:pPr>
    </w:p>
    <w:p>
      <w:pPr>
        <w:spacing w:line="237" w:lineRule="auto" w:before="0"/>
        <w:ind w:left="808" w:right="273" w:firstLine="0"/>
        <w:jc w:val="both"/>
        <w:rPr>
          <w:rFonts w:ascii="宋体" w:hAnsi="宋体" w:cs="宋体" w:eastAsia="宋体" w:hint="default"/>
          <w:sz w:val="21"/>
          <w:szCs w:val="21"/>
        </w:rPr>
      </w:pPr>
      <w:r>
        <w:rPr>
          <w:rFonts w:ascii="宋体" w:hAnsi="宋体" w:cs="宋体" w:eastAsia="宋体" w:hint="default"/>
          <w:spacing w:val="15"/>
          <w:sz w:val="21"/>
          <w:szCs w:val="21"/>
        </w:rPr>
        <w:t>上海海隆软件股份有限公司于</w:t>
      </w:r>
      <w:r>
        <w:rPr>
          <w:rFonts w:ascii="宋体" w:hAnsi="宋体" w:cs="宋体" w:eastAsia="宋体" w:hint="default"/>
          <w:spacing w:val="35"/>
          <w:sz w:val="21"/>
          <w:szCs w:val="21"/>
        </w:rPr>
        <w:t> </w:t>
      </w:r>
      <w:r>
        <w:rPr>
          <w:rFonts w:ascii="宋体" w:hAnsi="宋体" w:cs="宋体" w:eastAsia="宋体" w:hint="default"/>
          <w:sz w:val="21"/>
          <w:szCs w:val="21"/>
        </w:rPr>
        <w:t>2011</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10</w:t>
      </w:r>
      <w:r>
        <w:rPr>
          <w:rFonts w:ascii="宋体" w:hAnsi="宋体" w:cs="宋体" w:eastAsia="宋体" w:hint="default"/>
          <w:spacing w:val="30"/>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20</w:t>
      </w:r>
      <w:r>
        <w:rPr>
          <w:rFonts w:ascii="宋体" w:hAnsi="宋体" w:cs="宋体" w:eastAsia="宋体" w:hint="default"/>
          <w:spacing w:val="32"/>
          <w:sz w:val="21"/>
          <w:szCs w:val="21"/>
        </w:rPr>
        <w:t> </w:t>
      </w:r>
      <w:r>
        <w:rPr>
          <w:rFonts w:ascii="宋体" w:hAnsi="宋体" w:cs="宋体" w:eastAsia="宋体" w:hint="default"/>
          <w:spacing w:val="15"/>
          <w:sz w:val="21"/>
          <w:szCs w:val="21"/>
        </w:rPr>
        <w:t>日被评定为高新技术企业（</w:t>
      </w:r>
      <w:r>
        <w:rPr>
          <w:rFonts w:ascii="宋体" w:hAnsi="宋体" w:cs="宋体" w:eastAsia="宋体" w:hint="default"/>
          <w:spacing w:val="-84"/>
          <w:sz w:val="21"/>
          <w:szCs w:val="21"/>
        </w:rPr>
        <w:t> </w:t>
      </w:r>
      <w:r>
        <w:rPr>
          <w:rFonts w:ascii="宋体" w:hAnsi="宋体" w:cs="宋体" w:eastAsia="宋体" w:hint="default"/>
          <w:spacing w:val="13"/>
          <w:sz w:val="21"/>
          <w:szCs w:val="21"/>
        </w:rPr>
        <w:t>证书编号为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GF201131000488</w:t>
      </w:r>
      <w:r>
        <w:rPr>
          <w:rFonts w:ascii="宋体" w:hAnsi="宋体" w:cs="宋体" w:eastAsia="宋体" w:hint="default"/>
          <w:spacing w:val="-7"/>
          <w:w w:val="100"/>
          <w:sz w:val="21"/>
          <w:szCs w:val="21"/>
        </w:rPr>
        <w:t>），有效期三年，本期所得税税率为</w:t>
      </w:r>
      <w:r>
        <w:rPr>
          <w:rFonts w:ascii="宋体" w:hAnsi="宋体" w:cs="宋体" w:eastAsia="宋体" w:hint="default"/>
          <w:spacing w:val="-37"/>
          <w:w w:val="100"/>
          <w:sz w:val="21"/>
          <w:szCs w:val="21"/>
        </w:rPr>
        <w:t> </w:t>
      </w:r>
      <w:r>
        <w:rPr>
          <w:rFonts w:ascii="宋体" w:hAnsi="宋体" w:cs="宋体" w:eastAsia="宋体" w:hint="default"/>
          <w:spacing w:val="-4"/>
          <w:w w:val="100"/>
          <w:sz w:val="21"/>
          <w:szCs w:val="21"/>
        </w:rPr>
        <w:t>15%</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2010</w:t>
      </w:r>
      <w:r>
        <w:rPr>
          <w:rFonts w:ascii="宋体" w:hAnsi="宋体" w:cs="宋体" w:eastAsia="宋体" w:hint="default"/>
          <w:spacing w:val="-38"/>
          <w:w w:val="100"/>
          <w:sz w:val="21"/>
          <w:szCs w:val="21"/>
        </w:rPr>
        <w:t> </w:t>
      </w:r>
      <w:r>
        <w:rPr>
          <w:rFonts w:ascii="宋体" w:hAnsi="宋体" w:cs="宋体" w:eastAsia="宋体" w:hint="default"/>
          <w:spacing w:val="-2"/>
          <w:w w:val="100"/>
          <w:sz w:val="21"/>
          <w:szCs w:val="21"/>
        </w:rPr>
        <w:t>年度本公司被认定为国家布局内的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重点软件企业，</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年度企业所得税减按</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z w:val="21"/>
          <w:szCs w:val="21"/>
        </w:rPr>
        <w:t>的税率征收，</w:t>
      </w: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年内上述国家布局内的重点软件</w:t>
      </w:r>
      <w:r>
        <w:rPr>
          <w:rFonts w:ascii="宋体" w:hAnsi="宋体" w:cs="宋体" w:eastAsia="宋体" w:hint="default"/>
          <w:w w:val="100"/>
          <w:sz w:val="21"/>
          <w:szCs w:val="21"/>
        </w:rPr>
        <w:t> </w:t>
      </w:r>
      <w:r>
        <w:rPr>
          <w:rFonts w:ascii="宋体" w:hAnsi="宋体" w:cs="宋体" w:eastAsia="宋体" w:hint="default"/>
          <w:sz w:val="21"/>
          <w:szCs w:val="21"/>
        </w:rPr>
        <w:t>企业的申报认定工作</w:t>
      </w:r>
      <w:r>
        <w:rPr>
          <w:rFonts w:ascii="MS UI Gothic" w:hAnsi="MS UI Gothic" w:cs="MS UI Gothic" w:eastAsia="MS UI Gothic" w:hint="default"/>
          <w:sz w:val="21"/>
          <w:szCs w:val="21"/>
        </w:rPr>
        <w:t>本</w:t>
      </w:r>
      <w:r>
        <w:rPr>
          <w:rFonts w:ascii="宋体" w:hAnsi="宋体" w:cs="宋体" w:eastAsia="宋体" w:hint="default"/>
          <w:sz w:val="21"/>
          <w:szCs w:val="21"/>
        </w:rPr>
        <w:t>审计报</w:t>
      </w:r>
      <w:r>
        <w:rPr>
          <w:rFonts w:ascii="MS UI Gothic" w:hAnsi="MS UI Gothic" w:cs="MS UI Gothic" w:eastAsia="MS UI Gothic" w:hint="default"/>
          <w:sz w:val="21"/>
          <w:szCs w:val="21"/>
        </w:rPr>
        <w:t>告日</w:t>
      </w:r>
      <w:r>
        <w:rPr>
          <w:rFonts w:ascii="宋体" w:hAnsi="宋体" w:cs="宋体" w:eastAsia="宋体" w:hint="default"/>
          <w:sz w:val="21"/>
          <w:szCs w:val="21"/>
        </w:rPr>
        <w:t>前尚未开始。</w:t>
      </w:r>
    </w:p>
    <w:p>
      <w:pPr>
        <w:spacing w:line="240" w:lineRule="auto" w:before="11"/>
        <w:rPr>
          <w:rFonts w:ascii="宋体" w:hAnsi="宋体" w:cs="宋体" w:eastAsia="宋体" w:hint="default"/>
          <w:sz w:val="20"/>
          <w:szCs w:val="20"/>
        </w:rPr>
      </w:pPr>
    </w:p>
    <w:p>
      <w:pPr>
        <w:spacing w:line="237" w:lineRule="auto" w:before="0"/>
        <w:ind w:left="808" w:right="273" w:firstLine="0"/>
        <w:jc w:val="both"/>
        <w:rPr>
          <w:rFonts w:ascii="宋体" w:hAnsi="宋体" w:cs="宋体" w:eastAsia="宋体" w:hint="default"/>
          <w:sz w:val="21"/>
          <w:szCs w:val="21"/>
        </w:rPr>
      </w:pPr>
      <w:r>
        <w:rPr>
          <w:rFonts w:ascii="宋体" w:hAnsi="宋体" w:cs="宋体" w:eastAsia="宋体" w:hint="default"/>
          <w:sz w:val="21"/>
          <w:szCs w:val="21"/>
        </w:rPr>
        <w:t>本公司之子公司江苏海隆软件技术有限公司于</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日被认定为软件企业（证书编号为</w:t>
      </w:r>
      <w:r>
        <w:rPr>
          <w:rFonts w:ascii="宋体" w:hAnsi="宋体" w:cs="宋体" w:eastAsia="宋体" w:hint="default"/>
          <w:w w:val="100"/>
          <w:sz w:val="21"/>
          <w:szCs w:val="21"/>
        </w:rPr>
        <w:t> 苏</w:t>
      </w:r>
      <w:r>
        <w:rPr>
          <w:rFonts w:ascii="宋体" w:hAnsi="宋体" w:cs="宋体" w:eastAsia="宋体" w:hint="default"/>
          <w:spacing w:val="-40"/>
          <w:w w:val="100"/>
          <w:sz w:val="21"/>
          <w:szCs w:val="21"/>
        </w:rPr>
        <w:t> </w:t>
      </w:r>
      <w:r>
        <w:rPr>
          <w:rFonts w:ascii="宋体" w:hAnsi="宋体" w:cs="宋体" w:eastAsia="宋体" w:hint="default"/>
          <w:spacing w:val="-6"/>
          <w:w w:val="100"/>
          <w:sz w:val="21"/>
          <w:szCs w:val="21"/>
        </w:rPr>
        <w:t>R-2011-0077</w:t>
      </w:r>
      <w:r>
        <w:rPr>
          <w:rFonts w:ascii="宋体" w:hAnsi="宋体" w:cs="宋体" w:eastAsia="宋体" w:hint="default"/>
          <w:spacing w:val="-6"/>
          <w:w w:val="100"/>
          <w:sz w:val="21"/>
          <w:szCs w:val="21"/>
        </w:rPr>
        <w:t>），自获利年度起，享受企业所得税“两免三减半”优惠政策，</w:t>
      </w:r>
      <w:r>
        <w:rPr>
          <w:rFonts w:ascii="宋体" w:hAnsi="宋体" w:cs="宋体" w:eastAsia="宋体" w:hint="default"/>
          <w:spacing w:val="-6"/>
          <w:w w:val="100"/>
          <w:sz w:val="21"/>
          <w:szCs w:val="21"/>
        </w:rPr>
        <w:t>2011</w:t>
      </w:r>
      <w:r>
        <w:rPr>
          <w:rFonts w:ascii="宋体" w:hAnsi="宋体" w:cs="宋体" w:eastAsia="宋体" w:hint="default"/>
          <w:spacing w:val="-43"/>
          <w:w w:val="100"/>
          <w:sz w:val="21"/>
          <w:szCs w:val="21"/>
        </w:rPr>
        <w:t> </w:t>
      </w:r>
      <w:r>
        <w:rPr>
          <w:rFonts w:ascii="宋体" w:hAnsi="宋体" w:cs="宋体" w:eastAsia="宋体" w:hint="default"/>
          <w:spacing w:val="-1"/>
          <w:w w:val="100"/>
          <w:sz w:val="21"/>
          <w:szCs w:val="21"/>
        </w:rPr>
        <w:t>年度免征企业</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所得税。</w:t>
      </w:r>
    </w:p>
    <w:p>
      <w:pPr>
        <w:spacing w:line="240" w:lineRule="auto" w:before="9"/>
        <w:rPr>
          <w:rFonts w:ascii="宋体" w:hAnsi="宋体" w:cs="宋体" w:eastAsia="宋体" w:hint="default"/>
          <w:sz w:val="20"/>
          <w:szCs w:val="20"/>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4"/>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sz w:val="20"/>
          <w:szCs w:val="20"/>
        </w:rPr>
      </w:pPr>
    </w:p>
    <w:p>
      <w:pPr>
        <w:spacing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本公司之子公司上海华钟计算机软件开发有限公司和上海海隆宜通信息技术有限公司企业所得税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按</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z w:val="21"/>
          <w:szCs w:val="21"/>
        </w:rPr>
        <w:t>的税率征收。</w:t>
      </w:r>
    </w:p>
    <w:p>
      <w:pPr>
        <w:spacing w:line="240" w:lineRule="auto" w:before="10"/>
        <w:rPr>
          <w:rFonts w:ascii="宋体" w:hAnsi="宋体" w:cs="宋体" w:eastAsia="宋体" w:hint="default"/>
          <w:sz w:val="22"/>
          <w:szCs w:val="22"/>
        </w:rPr>
      </w:pPr>
    </w:p>
    <w:p>
      <w:pPr>
        <w:spacing w:line="272" w:lineRule="exact" w:before="0"/>
        <w:ind w:left="808" w:right="274" w:firstLine="0"/>
        <w:jc w:val="both"/>
        <w:rPr>
          <w:rFonts w:ascii="宋体" w:hAnsi="宋体" w:cs="宋体" w:eastAsia="宋体" w:hint="default"/>
          <w:sz w:val="21"/>
          <w:szCs w:val="21"/>
        </w:rPr>
      </w:pPr>
      <w:r>
        <w:rPr>
          <w:rFonts w:ascii="宋体" w:hAnsi="宋体" w:cs="宋体" w:eastAsia="宋体" w:hint="default"/>
          <w:spacing w:val="-1"/>
          <w:sz w:val="21"/>
          <w:szCs w:val="21"/>
        </w:rPr>
        <w:t>本公司之子公司日本海隆株式会社注册地为日本国，该公司企业所得税按当地税法规定，应纳企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业所得税税率</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年为</w:t>
      </w:r>
      <w:r>
        <w:rPr>
          <w:rFonts w:ascii="宋体" w:hAnsi="宋体" w:cs="宋体" w:eastAsia="宋体" w:hint="default"/>
          <w:spacing w:val="-55"/>
          <w:sz w:val="21"/>
          <w:szCs w:val="21"/>
        </w:rPr>
        <w:t> </w:t>
      </w:r>
      <w:r>
        <w:rPr>
          <w:rFonts w:ascii="宋体" w:hAnsi="宋体" w:cs="宋体" w:eastAsia="宋体" w:hint="default"/>
          <w:sz w:val="21"/>
          <w:szCs w:val="21"/>
        </w:rPr>
        <w:t>42.05%</w:t>
      </w:r>
      <w:r>
        <w:rPr>
          <w:rFonts w:ascii="宋体" w:hAnsi="宋体" w:cs="宋体" w:eastAsia="宋体" w:hint="default"/>
          <w:spacing w:val="-2"/>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年度为</w:t>
      </w:r>
      <w:r>
        <w:rPr>
          <w:rFonts w:ascii="宋体" w:hAnsi="宋体" w:cs="宋体" w:eastAsia="宋体" w:hint="default"/>
          <w:spacing w:val="-55"/>
          <w:sz w:val="21"/>
          <w:szCs w:val="21"/>
        </w:rPr>
        <w:t> </w:t>
      </w:r>
      <w:r>
        <w:rPr>
          <w:rFonts w:ascii="宋体" w:hAnsi="宋体" w:cs="宋体" w:eastAsia="宋体" w:hint="default"/>
          <w:sz w:val="21"/>
          <w:szCs w:val="21"/>
        </w:rPr>
        <w:t>42.048%)</w:t>
      </w:r>
      <w:r>
        <w:rPr>
          <w:rFonts w:ascii="宋体" w:hAnsi="宋体" w:cs="宋体" w:eastAsia="宋体" w:hint="default"/>
          <w:sz w:val="21"/>
          <w:szCs w:val="21"/>
        </w:rPr>
        <w:t>。</w:t>
      </w:r>
    </w:p>
    <w:p>
      <w:pPr>
        <w:spacing w:after="0" w:line="272" w:lineRule="exact"/>
        <w:jc w:val="both"/>
        <w:rPr>
          <w:rFonts w:ascii="宋体" w:hAnsi="宋体" w:cs="宋体" w:eastAsia="宋体" w:hint="default"/>
          <w:sz w:val="21"/>
          <w:szCs w:val="21"/>
        </w:rPr>
        <w:sectPr>
          <w:pgSz w:w="11910" w:h="16840"/>
          <w:pgMar w:header="886" w:footer="980" w:top="1740" w:bottom="1160" w:left="1100" w:right="860"/>
        </w:sectPr>
      </w:pPr>
    </w:p>
    <w:p>
      <w:pPr>
        <w:spacing w:line="240" w:lineRule="auto" w:before="3"/>
        <w:rPr>
          <w:rFonts w:ascii="宋体" w:hAnsi="宋体" w:cs="宋体" w:eastAsia="宋体" w:hint="default"/>
          <w:sz w:val="4"/>
          <w:szCs w:val="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4"/>
          <w:szCs w:val="14"/>
        </w:rPr>
      </w:pPr>
    </w:p>
    <w:p>
      <w:pPr>
        <w:tabs>
          <w:tab w:pos="765" w:val="left" w:leader="none"/>
        </w:tabs>
        <w:spacing w:before="36"/>
        <w:ind w:left="0" w:right="8869" w:firstLine="0"/>
        <w:jc w:val="center"/>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企业合并及合并财务报表</w:t>
      </w:r>
      <w:r>
        <w:rPr>
          <w:rFonts w:ascii="宋体" w:hAnsi="宋体" w:cs="宋体" w:eastAsia="宋体" w:hint="default"/>
          <w:sz w:val="21"/>
          <w:szCs w:val="21"/>
        </w:rPr>
        <w:t>（金额单位为人民币万元）</w:t>
      </w:r>
    </w:p>
    <w:p>
      <w:pPr>
        <w:spacing w:line="240" w:lineRule="auto" w:before="8"/>
        <w:rPr>
          <w:rFonts w:ascii="宋体" w:hAnsi="宋体" w:cs="宋体" w:eastAsia="宋体" w:hint="default"/>
          <w:sz w:val="20"/>
          <w:szCs w:val="20"/>
        </w:rPr>
      </w:pPr>
    </w:p>
    <w:p>
      <w:pPr>
        <w:tabs>
          <w:tab w:pos="905" w:val="left" w:leader="none"/>
        </w:tabs>
        <w:spacing w:before="0"/>
        <w:ind w:left="344" w:right="0" w:firstLine="0"/>
        <w:jc w:val="left"/>
        <w:rPr>
          <w:rFonts w:ascii="宋体" w:hAnsi="宋体" w:cs="宋体" w:eastAsia="宋体" w:hint="default"/>
          <w:sz w:val="21"/>
          <w:szCs w:val="21"/>
        </w:rPr>
      </w:pPr>
      <w:r>
        <w:rPr>
          <w:rFonts w:ascii="宋体" w:hAnsi="宋体" w:cs="宋体" w:eastAsia="宋体" w:hint="default"/>
          <w:sz w:val="21"/>
          <w:szCs w:val="21"/>
        </w:rPr>
        <w:t>5.1</w:t>
        <w:tab/>
      </w:r>
      <w:r>
        <w:rPr>
          <w:rFonts w:ascii="宋体" w:hAnsi="宋体" w:cs="宋体" w:eastAsia="宋体" w:hint="default"/>
          <w:sz w:val="21"/>
          <w:szCs w:val="21"/>
        </w:rPr>
        <w:t>子公司情况</w:t>
      </w:r>
    </w:p>
    <w:p>
      <w:pPr>
        <w:spacing w:line="240" w:lineRule="auto" w:before="8"/>
        <w:rPr>
          <w:rFonts w:ascii="宋体" w:hAnsi="宋体" w:cs="宋体" w:eastAsia="宋体" w:hint="default"/>
          <w:sz w:val="20"/>
          <w:szCs w:val="20"/>
        </w:rPr>
      </w:pPr>
    </w:p>
    <w:p>
      <w:pPr>
        <w:spacing w:before="0"/>
        <w:ind w:left="0" w:right="9003" w:firstLine="0"/>
        <w:jc w:val="center"/>
        <w:rPr>
          <w:rFonts w:ascii="宋体" w:hAnsi="宋体" w:cs="宋体" w:eastAsia="宋体" w:hint="default"/>
          <w:sz w:val="21"/>
          <w:szCs w:val="21"/>
        </w:rPr>
      </w:pPr>
      <w:r>
        <w:rPr>
          <w:rFonts w:ascii="宋体" w:hAnsi="宋体" w:cs="宋体" w:eastAsia="宋体" w:hint="default"/>
          <w:sz w:val="21"/>
          <w:szCs w:val="21"/>
        </w:rPr>
        <w:t>5.1.1</w:t>
      </w:r>
      <w:r>
        <w:rPr>
          <w:rFonts w:ascii="宋体" w:hAnsi="宋体" w:cs="宋体" w:eastAsia="宋体" w:hint="default"/>
          <w:spacing w:val="-54"/>
          <w:sz w:val="21"/>
          <w:szCs w:val="21"/>
        </w:rPr>
        <w:t> </w:t>
      </w:r>
      <w:r>
        <w:rPr>
          <w:rFonts w:ascii="宋体" w:hAnsi="宋体" w:cs="宋体" w:eastAsia="宋体" w:hint="default"/>
          <w:sz w:val="21"/>
          <w:szCs w:val="21"/>
        </w:rPr>
        <w:t>通过设立或投资等方式取得的子公司</w:t>
      </w:r>
    </w:p>
    <w:p>
      <w:pPr>
        <w:spacing w:line="240" w:lineRule="auto" w:before="1"/>
        <w:rPr>
          <w:rFonts w:ascii="宋体" w:hAnsi="宋体" w:cs="宋体" w:eastAsia="宋体" w:hint="default"/>
          <w:sz w:val="23"/>
          <w:szCs w:val="23"/>
        </w:rPr>
      </w:pPr>
    </w:p>
    <w:tbl>
      <w:tblPr>
        <w:tblW w:w="0" w:type="auto"/>
        <w:jc w:val="left"/>
        <w:tblInd w:w="793" w:type="dxa"/>
        <w:tblLayout w:type="fixed"/>
        <w:tblCellMar>
          <w:top w:w="0" w:type="dxa"/>
          <w:left w:w="0" w:type="dxa"/>
          <w:bottom w:w="0" w:type="dxa"/>
          <w:right w:w="0" w:type="dxa"/>
        </w:tblCellMar>
        <w:tblLook w:val="01E0"/>
      </w:tblPr>
      <w:tblGrid>
        <w:gridCol w:w="3286"/>
        <w:gridCol w:w="1393"/>
        <w:gridCol w:w="1301"/>
        <w:gridCol w:w="1419"/>
        <w:gridCol w:w="1843"/>
        <w:gridCol w:w="2266"/>
        <w:gridCol w:w="2326"/>
      </w:tblGrid>
      <w:tr>
        <w:trPr>
          <w:trHeight w:val="634"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3"/>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2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r>
      <w:tr>
        <w:trPr>
          <w:trHeight w:val="283"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日本海隆株式会社</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全资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日本东京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pacing w:val="-52"/>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软件设计开发销售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3,756,819.40</w:t>
            </w:r>
          </w:p>
        </w:tc>
      </w:tr>
      <w:tr>
        <w:trPr>
          <w:trHeight w:val="281"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上海海隆宜通信息技术有限公司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非全资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中国上海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宋体" w:hAnsi="宋体" w:cs="宋体" w:eastAsia="宋体" w:hint="default"/>
                <w:sz w:val="21"/>
                <w:szCs w:val="21"/>
              </w:rPr>
              <w:t>750</w:t>
            </w:r>
            <w:r>
              <w:rPr>
                <w:rFonts w:ascii="宋体" w:hAnsi="宋体" w:cs="宋体" w:eastAsia="宋体" w:hint="default"/>
                <w:spacing w:val="-54"/>
                <w:sz w:val="21"/>
                <w:szCs w:val="21"/>
              </w:rPr>
              <w:t> </w:t>
            </w:r>
            <w:r>
              <w:rPr>
                <w:rFonts w:ascii="宋体" w:hAnsi="宋体" w:cs="宋体" w:eastAsia="宋体" w:hint="default"/>
                <w:sz w:val="21"/>
                <w:szCs w:val="21"/>
              </w:rPr>
              <w:t>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软件设计开发销售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4,125,000.00</w:t>
            </w:r>
          </w:p>
        </w:tc>
      </w:tr>
      <w:tr>
        <w:trPr>
          <w:trHeight w:val="283"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江苏海隆软件技术有限公司</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全资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1"/>
                <w:sz w:val="21"/>
                <w:szCs w:val="21"/>
              </w:rPr>
              <w:t>中国南京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软件设计开发销售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10,000,000.00</w:t>
            </w:r>
          </w:p>
        </w:tc>
      </w:tr>
    </w:tbl>
    <w:p>
      <w:pPr>
        <w:spacing w:line="240" w:lineRule="auto" w:before="6"/>
        <w:rPr>
          <w:rFonts w:ascii="宋体" w:hAnsi="宋体" w:cs="宋体" w:eastAsia="宋体" w:hint="default"/>
          <w:sz w:val="18"/>
          <w:szCs w:val="18"/>
        </w:rPr>
      </w:pPr>
    </w:p>
    <w:p>
      <w:pPr>
        <w:spacing w:before="36"/>
        <w:ind w:left="891" w:right="0" w:firstLine="0"/>
        <w:jc w:val="left"/>
        <w:rPr>
          <w:rFonts w:ascii="宋体" w:hAnsi="宋体" w:cs="宋体" w:eastAsia="宋体" w:hint="default"/>
          <w:sz w:val="21"/>
          <w:szCs w:val="21"/>
        </w:rPr>
      </w:pPr>
      <w:r>
        <w:rPr>
          <w:rFonts w:ascii="宋体" w:hAnsi="宋体" w:cs="宋体" w:eastAsia="宋体" w:hint="default"/>
          <w:sz w:val="21"/>
          <w:szCs w:val="21"/>
        </w:rPr>
        <w:t>5.1.1</w:t>
      </w:r>
      <w:r>
        <w:rPr>
          <w:rFonts w:ascii="宋体" w:hAnsi="宋体" w:cs="宋体" w:eastAsia="宋体" w:hint="default"/>
          <w:spacing w:val="-54"/>
          <w:sz w:val="21"/>
          <w:szCs w:val="21"/>
        </w:rPr>
        <w:t> </w:t>
      </w:r>
      <w:r>
        <w:rPr>
          <w:rFonts w:ascii="宋体" w:hAnsi="宋体" w:cs="宋体" w:eastAsia="宋体" w:hint="default"/>
          <w:sz w:val="21"/>
          <w:szCs w:val="21"/>
        </w:rPr>
        <w:t>通过设立或投资等方式取得的子公司（续）</w:t>
      </w:r>
    </w:p>
    <w:p>
      <w:pPr>
        <w:spacing w:line="240" w:lineRule="auto" w:before="3"/>
        <w:rPr>
          <w:rFonts w:ascii="宋体" w:hAnsi="宋体" w:cs="宋体" w:eastAsia="宋体" w:hint="default"/>
          <w:sz w:val="23"/>
          <w:szCs w:val="23"/>
        </w:rPr>
      </w:pPr>
    </w:p>
    <w:tbl>
      <w:tblPr>
        <w:tblW w:w="0" w:type="auto"/>
        <w:jc w:val="left"/>
        <w:tblInd w:w="778" w:type="dxa"/>
        <w:tblLayout w:type="fixed"/>
        <w:tblCellMar>
          <w:top w:w="0" w:type="dxa"/>
          <w:left w:w="0" w:type="dxa"/>
          <w:bottom w:w="0" w:type="dxa"/>
          <w:right w:w="0" w:type="dxa"/>
        </w:tblCellMar>
        <w:tblLook w:val="01E0"/>
      </w:tblPr>
      <w:tblGrid>
        <w:gridCol w:w="3305"/>
        <w:gridCol w:w="1709"/>
        <w:gridCol w:w="823"/>
        <w:gridCol w:w="1176"/>
        <w:gridCol w:w="850"/>
        <w:gridCol w:w="1574"/>
        <w:gridCol w:w="2113"/>
        <w:gridCol w:w="2297"/>
      </w:tblGrid>
      <w:tr>
        <w:trPr>
          <w:trHeight w:val="164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2" w:right="111"/>
              <w:jc w:val="center"/>
              <w:rPr>
                <w:rFonts w:ascii="宋体" w:hAnsi="宋体" w:cs="宋体" w:eastAsia="宋体" w:hint="default"/>
                <w:sz w:val="21"/>
                <w:szCs w:val="21"/>
              </w:rPr>
            </w:pPr>
            <w:r>
              <w:rPr>
                <w:rFonts w:ascii="宋体" w:hAnsi="宋体" w:cs="宋体" w:eastAsia="宋体" w:hint="default"/>
                <w:spacing w:val="-1"/>
                <w:sz w:val="21"/>
                <w:szCs w:val="21"/>
              </w:rPr>
              <w:t>实质上构成对子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公司净投资的其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他项目余额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0" w:right="209"/>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5" w:right="281" w:hanging="106"/>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71" w:lineRule="exact"/>
              <w:ind w:left="30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是否合</w:t>
            </w:r>
            <w:r>
              <w:rPr>
                <w:rFonts w:ascii="宋体" w:hAnsi="宋体" w:cs="宋体" w:eastAsia="宋体" w:hint="default"/>
                <w:spacing w:val="-102"/>
                <w:sz w:val="21"/>
                <w:szCs w:val="21"/>
              </w:rPr>
              <w:t> </w:t>
            </w:r>
            <w:r>
              <w:rPr>
                <w:rFonts w:ascii="宋体" w:hAnsi="宋体" w:cs="宋体" w:eastAsia="宋体" w:hint="default"/>
                <w:sz w:val="21"/>
                <w:szCs w:val="21"/>
              </w:rPr>
              <w:t>并报表</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pacing w:val="-1"/>
                <w:sz w:val="21"/>
                <w:szCs w:val="21"/>
              </w:rPr>
              <w:t>少数股东权益中用于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冲减少数股东损益的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从公司所有者权益冲</w:t>
            </w:r>
          </w:p>
          <w:p>
            <w:pPr>
              <w:pStyle w:val="TableParagraph"/>
              <w:spacing w:line="237" w:lineRule="auto" w:before="2"/>
              <w:ind w:left="196" w:right="194"/>
              <w:jc w:val="center"/>
              <w:rPr>
                <w:rFonts w:ascii="宋体" w:hAnsi="宋体" w:cs="宋体" w:eastAsia="宋体" w:hint="default"/>
                <w:sz w:val="21"/>
                <w:szCs w:val="21"/>
              </w:rPr>
            </w:pPr>
            <w:r>
              <w:rPr>
                <w:rFonts w:ascii="宋体" w:hAnsi="宋体" w:cs="宋体" w:eastAsia="宋体" w:hint="default"/>
                <w:spacing w:val="-1"/>
                <w:sz w:val="21"/>
                <w:szCs w:val="21"/>
              </w:rPr>
              <w:t>减子公司少数股东分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担的本期亏损超过少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数股东在该子公司期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初所有者权益中所享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有份额后的余额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28"/>
              <w:jc w:val="right"/>
              <w:rPr>
                <w:rFonts w:ascii="宋体" w:hAnsi="宋体" w:cs="宋体" w:eastAsia="宋体" w:hint="default"/>
                <w:sz w:val="15"/>
                <w:szCs w:val="15"/>
              </w:rPr>
            </w:pPr>
            <w:r>
              <w:rPr>
                <w:rFonts w:ascii="宋体"/>
                <w:w w:val="100"/>
                <w:sz w:val="15"/>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1"/>
              <w:jc w:val="right"/>
              <w:rPr>
                <w:rFonts w:ascii="宋体" w:hAnsi="宋体" w:cs="宋体" w:eastAsia="宋体" w:hint="default"/>
                <w:sz w:val="21"/>
                <w:szCs w:val="21"/>
              </w:rPr>
            </w:pPr>
            <w:r>
              <w:rPr>
                <w:rFonts w:ascii="宋体"/>
                <w:sz w:val="21"/>
              </w:rPr>
              <w:t>100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宋体"/>
                <w:sz w:val="21"/>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1"/>
              <w:jc w:val="center"/>
              <w:rPr>
                <w:rFonts w:ascii="宋体" w:hAnsi="宋体" w:cs="宋体" w:eastAsia="宋体" w:hint="default"/>
                <w:sz w:val="21"/>
                <w:szCs w:val="21"/>
              </w:rPr>
            </w:pPr>
            <w:r>
              <w:rPr>
                <w:rFonts w:ascii="宋体"/>
                <w:w w:val="100"/>
                <w:sz w:val="21"/>
              </w:rPr>
              <w:t>-</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2"/>
              <w:jc w:val="center"/>
              <w:rPr>
                <w:rFonts w:ascii="宋体" w:hAnsi="宋体" w:cs="宋体" w:eastAsia="宋体" w:hint="default"/>
                <w:sz w:val="21"/>
                <w:szCs w:val="21"/>
              </w:rPr>
            </w:pPr>
            <w:r>
              <w:rPr>
                <w:rFonts w:ascii="宋体"/>
                <w:w w:val="100"/>
                <w:sz w:val="21"/>
              </w:rPr>
              <w:t>-</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6"/>
              <w:jc w:val="right"/>
              <w:rPr>
                <w:rFonts w:ascii="宋体" w:hAnsi="宋体" w:cs="宋体" w:eastAsia="宋体" w:hint="default"/>
                <w:sz w:val="21"/>
                <w:szCs w:val="21"/>
              </w:rPr>
            </w:pPr>
            <w:r>
              <w:rPr>
                <w:rFonts w:ascii="宋体"/>
                <w:w w:val="100"/>
                <w:sz w:val="21"/>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上海海隆宜通信息技术有限公司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28"/>
              <w:jc w:val="right"/>
              <w:rPr>
                <w:rFonts w:ascii="宋体" w:hAnsi="宋体" w:cs="宋体" w:eastAsia="宋体" w:hint="default"/>
                <w:sz w:val="15"/>
                <w:szCs w:val="15"/>
              </w:rPr>
            </w:pPr>
            <w:r>
              <w:rPr>
                <w:rFonts w:ascii="宋体"/>
                <w:w w:val="100"/>
                <w:sz w:val="15"/>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2"/>
              <w:jc w:val="right"/>
              <w:rPr>
                <w:rFonts w:ascii="宋体" w:hAnsi="宋体" w:cs="宋体" w:eastAsia="宋体" w:hint="default"/>
                <w:sz w:val="21"/>
                <w:szCs w:val="21"/>
              </w:rPr>
            </w:pPr>
            <w:r>
              <w:rPr>
                <w:rFonts w:ascii="宋体"/>
                <w:sz w:val="21"/>
              </w:rPr>
              <w:t>55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7"/>
              <w:jc w:val="right"/>
              <w:rPr>
                <w:rFonts w:ascii="宋体" w:hAnsi="宋体" w:cs="宋体" w:eastAsia="宋体" w:hint="default"/>
                <w:sz w:val="21"/>
                <w:szCs w:val="21"/>
              </w:rPr>
            </w:pPr>
            <w:r>
              <w:rPr>
                <w:rFonts w:ascii="宋体"/>
                <w:sz w:val="21"/>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 w:right="0"/>
              <w:jc w:val="center"/>
              <w:rPr>
                <w:rFonts w:ascii="宋体" w:hAnsi="宋体" w:cs="宋体" w:eastAsia="宋体" w:hint="default"/>
                <w:sz w:val="21"/>
                <w:szCs w:val="21"/>
              </w:rPr>
            </w:pPr>
            <w:r>
              <w:rPr>
                <w:rFonts w:ascii="宋体"/>
                <w:sz w:val="21"/>
              </w:rPr>
              <w:t>1,687,599.31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0" w:right="0"/>
              <w:jc w:val="left"/>
              <w:rPr>
                <w:rFonts w:ascii="宋体" w:hAnsi="宋体" w:cs="宋体" w:eastAsia="宋体" w:hint="default"/>
                <w:sz w:val="21"/>
                <w:szCs w:val="21"/>
              </w:rPr>
            </w:pPr>
            <w:r>
              <w:rPr>
                <w:rFonts w:ascii="宋体"/>
                <w:sz w:val="21"/>
              </w:rPr>
              <w:t>-1,510,304.35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6"/>
              <w:jc w:val="right"/>
              <w:rPr>
                <w:rFonts w:ascii="宋体" w:hAnsi="宋体" w:cs="宋体" w:eastAsia="宋体" w:hint="default"/>
                <w:sz w:val="21"/>
                <w:szCs w:val="21"/>
              </w:rPr>
            </w:pPr>
            <w:r>
              <w:rPr>
                <w:rFonts w:ascii="宋体"/>
                <w:w w:val="100"/>
                <w:sz w:val="21"/>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江苏海隆软件技术有限公司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28"/>
              <w:jc w:val="right"/>
              <w:rPr>
                <w:rFonts w:ascii="宋体" w:hAnsi="宋体" w:cs="宋体" w:eastAsia="宋体" w:hint="default"/>
                <w:sz w:val="15"/>
                <w:szCs w:val="15"/>
              </w:rPr>
            </w:pPr>
            <w:r>
              <w:rPr>
                <w:rFonts w:ascii="宋体"/>
                <w:w w:val="100"/>
                <w:sz w:val="15"/>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1"/>
              <w:jc w:val="right"/>
              <w:rPr>
                <w:rFonts w:ascii="宋体" w:hAnsi="宋体" w:cs="宋体" w:eastAsia="宋体" w:hint="default"/>
                <w:sz w:val="21"/>
                <w:szCs w:val="21"/>
              </w:rPr>
            </w:pPr>
            <w:r>
              <w:rPr>
                <w:rFonts w:ascii="宋体"/>
                <w:sz w:val="21"/>
              </w:rPr>
              <w:t>100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宋体"/>
                <w:sz w:val="21"/>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1"/>
              <w:jc w:val="center"/>
              <w:rPr>
                <w:rFonts w:ascii="宋体" w:hAnsi="宋体" w:cs="宋体" w:eastAsia="宋体" w:hint="default"/>
                <w:sz w:val="21"/>
                <w:szCs w:val="21"/>
              </w:rPr>
            </w:pPr>
            <w:r>
              <w:rPr>
                <w:rFonts w:ascii="宋体"/>
                <w:w w:val="100"/>
                <w:sz w:val="21"/>
              </w:rPr>
              <w:t>-</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2"/>
              <w:jc w:val="center"/>
              <w:rPr>
                <w:rFonts w:ascii="宋体" w:hAnsi="宋体" w:cs="宋体" w:eastAsia="宋体" w:hint="default"/>
                <w:sz w:val="21"/>
                <w:szCs w:val="21"/>
              </w:rPr>
            </w:pPr>
            <w:r>
              <w:rPr>
                <w:rFonts w:ascii="宋体"/>
                <w:w w:val="100"/>
                <w:sz w:val="21"/>
              </w:rPr>
              <w:t>-</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6"/>
              <w:jc w:val="right"/>
              <w:rPr>
                <w:rFonts w:ascii="宋体" w:hAnsi="宋体" w:cs="宋体" w:eastAsia="宋体" w:hint="default"/>
                <w:sz w:val="21"/>
                <w:szCs w:val="21"/>
              </w:rPr>
            </w:pPr>
            <w:r>
              <w:rPr>
                <w:rFonts w:ascii="宋体"/>
                <w:w w:val="100"/>
                <w:sz w:val="21"/>
              </w:rPr>
              <w:t>-</w:t>
            </w:r>
          </w:p>
        </w:tc>
      </w:tr>
    </w:tbl>
    <w:p>
      <w:pPr>
        <w:spacing w:after="0" w:line="260" w:lineRule="exact"/>
        <w:jc w:val="right"/>
        <w:rPr>
          <w:rFonts w:ascii="宋体" w:hAnsi="宋体" w:cs="宋体" w:eastAsia="宋体" w:hint="default"/>
          <w:sz w:val="21"/>
          <w:szCs w:val="21"/>
        </w:rPr>
        <w:sectPr>
          <w:headerReference w:type="default" r:id="rId30"/>
          <w:footerReference w:type="default" r:id="rId31"/>
          <w:pgSz w:w="16840" w:h="11910" w:orient="landscape"/>
          <w:pgMar w:header="886" w:footer="980" w:top="1740" w:bottom="1160" w:left="1300" w:right="780"/>
          <w:pgNumType w:start="106"/>
        </w:sectPr>
      </w:pPr>
    </w:p>
    <w:p>
      <w:pPr>
        <w:spacing w:line="240" w:lineRule="auto" w:before="8"/>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672"/>
        <w:gridCol w:w="5692"/>
      </w:tblGrid>
      <w:tr>
        <w:trPr>
          <w:trHeight w:val="686" w:hRule="exact"/>
        </w:trPr>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b/>
                <w:w w:val="99"/>
                <w:sz w:val="21"/>
              </w:rPr>
              <w:t>5</w:t>
            </w:r>
            <w:r>
              <w:rPr>
                <w:rFonts w:ascii="宋体"/>
                <w:sz w:val="21"/>
              </w:rPr>
            </w:r>
          </w:p>
        </w:tc>
        <w:tc>
          <w:tcPr>
            <w:tcW w:w="56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w w:val="100"/>
                <w:sz w:val="21"/>
                <w:szCs w:val="21"/>
              </w:rPr>
              <w:t>企业合并及合并财</w:t>
            </w:r>
            <w:r>
              <w:rPr>
                <w:rFonts w:ascii="宋体" w:hAnsi="宋体" w:cs="宋体" w:eastAsia="宋体" w:hint="default"/>
                <w:b/>
                <w:bCs/>
                <w:spacing w:val="-3"/>
                <w:w w:val="100"/>
                <w:sz w:val="21"/>
                <w:szCs w:val="21"/>
              </w:rPr>
              <w:t>务</w:t>
            </w:r>
            <w:r>
              <w:rPr>
                <w:rFonts w:ascii="宋体" w:hAnsi="宋体" w:cs="宋体" w:eastAsia="宋体" w:hint="default"/>
                <w:b/>
                <w:bCs/>
                <w:w w:val="100"/>
                <w:sz w:val="21"/>
                <w:szCs w:val="21"/>
              </w:rPr>
              <w:t>报</w:t>
            </w:r>
            <w:r>
              <w:rPr>
                <w:rFonts w:ascii="宋体" w:hAnsi="宋体" w:cs="宋体" w:eastAsia="宋体" w:hint="default"/>
                <w:b/>
                <w:bCs/>
                <w:spacing w:val="-3"/>
                <w:w w:val="100"/>
                <w:sz w:val="21"/>
                <w:szCs w:val="21"/>
              </w:rPr>
              <w:t>表</w:t>
            </w:r>
            <w:r>
              <w:rPr>
                <w:rFonts w:ascii="宋体" w:hAnsi="宋体" w:cs="宋体" w:eastAsia="宋体" w:hint="default"/>
                <w:b/>
                <w:bCs/>
                <w:w w:val="100"/>
                <w:sz w:val="21"/>
                <w:szCs w:val="21"/>
              </w:rPr>
              <w:t>（续</w:t>
            </w:r>
            <w:r>
              <w:rPr>
                <w:rFonts w:ascii="宋体" w:hAnsi="宋体" w:cs="宋体" w:eastAsia="宋体" w:hint="default"/>
                <w:b/>
                <w:bCs/>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民币</w:t>
            </w:r>
            <w:r>
              <w:rPr>
                <w:rFonts w:ascii="宋体" w:hAnsi="宋体" w:cs="宋体" w:eastAsia="宋体" w:hint="default"/>
                <w:w w:val="100"/>
                <w:sz w:val="21"/>
                <w:szCs w:val="21"/>
              </w:rPr>
              <w:t>万元）</w:t>
            </w:r>
          </w:p>
        </w:tc>
      </w:tr>
      <w:tr>
        <w:trPr>
          <w:trHeight w:val="378" w:hRule="exact"/>
        </w:trPr>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32" w:right="0"/>
              <w:jc w:val="left"/>
              <w:rPr>
                <w:rFonts w:ascii="宋体" w:hAnsi="宋体" w:cs="宋体" w:eastAsia="宋体" w:hint="default"/>
                <w:sz w:val="21"/>
                <w:szCs w:val="21"/>
              </w:rPr>
            </w:pPr>
            <w:r>
              <w:rPr>
                <w:rFonts w:ascii="宋体"/>
                <w:sz w:val="21"/>
              </w:rPr>
              <w:t>5.1</w:t>
            </w:r>
          </w:p>
        </w:tc>
        <w:tc>
          <w:tcPr>
            <w:tcW w:w="569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子公司情况（续）</w:t>
            </w:r>
          </w:p>
        </w:tc>
      </w:tr>
    </w:tbl>
    <w:p>
      <w:pPr>
        <w:spacing w:line="240" w:lineRule="auto" w:before="11"/>
        <w:rPr>
          <w:rFonts w:ascii="宋体" w:hAnsi="宋体" w:cs="宋体" w:eastAsia="宋体" w:hint="default"/>
          <w:sz w:val="17"/>
          <w:szCs w:val="17"/>
        </w:rPr>
      </w:pPr>
    </w:p>
    <w:p>
      <w:pPr>
        <w:spacing w:before="36"/>
        <w:ind w:left="810" w:right="0" w:firstLine="0"/>
        <w:jc w:val="left"/>
        <w:rPr>
          <w:rFonts w:ascii="宋体" w:hAnsi="宋体" w:cs="宋体" w:eastAsia="宋体" w:hint="default"/>
          <w:sz w:val="21"/>
          <w:szCs w:val="21"/>
        </w:rPr>
      </w:pPr>
      <w:r>
        <w:rPr/>
        <w:pict>
          <v:group style="position:absolute;margin-left:70.559998pt;margin-top:-64.896339pt;width:700.9pt;height:.1pt;mso-position-horizontal-relative:page;mso-position-vertical-relative:paragraph;z-index:-796768" coordorigin="1411,-1298" coordsize="14018,2">
            <v:shape style="position:absolute;left:1411;top:-1298;width:14018;height:2" coordorigin="1411,-1298" coordsize="14018,0" path="m1411,-1298l15429,-1298e" filled="false" stroked="true" strokeweight=".48pt" strokecolor="#000000">
              <v:path arrowok="t"/>
            </v:shape>
            <w10:wrap type="none"/>
          </v:group>
        </w:pict>
      </w:r>
      <w:r>
        <w:rPr>
          <w:rFonts w:ascii="宋体" w:hAnsi="宋体" w:cs="宋体" w:eastAsia="宋体" w:hint="default"/>
          <w:sz w:val="21"/>
          <w:szCs w:val="21"/>
        </w:rPr>
        <w:t>5.1.2</w:t>
      </w:r>
      <w:r>
        <w:rPr>
          <w:rFonts w:ascii="宋体" w:hAnsi="宋体" w:cs="宋体" w:eastAsia="宋体" w:hint="default"/>
          <w:spacing w:val="-54"/>
          <w:sz w:val="21"/>
          <w:szCs w:val="21"/>
        </w:rPr>
        <w:t> </w:t>
      </w:r>
      <w:r>
        <w:rPr>
          <w:rFonts w:ascii="宋体" w:hAnsi="宋体" w:cs="宋体" w:eastAsia="宋体" w:hint="default"/>
          <w:sz w:val="21"/>
          <w:szCs w:val="21"/>
        </w:rPr>
        <w:t>非同一控制下企业合并取得的子公司</w:t>
      </w:r>
    </w:p>
    <w:p>
      <w:pPr>
        <w:spacing w:line="240" w:lineRule="auto" w:before="1"/>
        <w:rPr>
          <w:rFonts w:ascii="宋体" w:hAnsi="宋体" w:cs="宋体" w:eastAsia="宋体" w:hint="default"/>
          <w:sz w:val="23"/>
          <w:szCs w:val="23"/>
        </w:rPr>
      </w:pPr>
    </w:p>
    <w:tbl>
      <w:tblPr>
        <w:tblW w:w="0" w:type="auto"/>
        <w:jc w:val="left"/>
        <w:tblInd w:w="697" w:type="dxa"/>
        <w:tblLayout w:type="fixed"/>
        <w:tblCellMar>
          <w:top w:w="0" w:type="dxa"/>
          <w:left w:w="0" w:type="dxa"/>
          <w:bottom w:w="0" w:type="dxa"/>
          <w:right w:w="0" w:type="dxa"/>
        </w:tblCellMar>
        <w:tblLook w:val="01E0"/>
      </w:tblPr>
      <w:tblGrid>
        <w:gridCol w:w="3377"/>
        <w:gridCol w:w="1467"/>
        <w:gridCol w:w="1327"/>
        <w:gridCol w:w="1318"/>
        <w:gridCol w:w="1843"/>
        <w:gridCol w:w="2439"/>
        <w:gridCol w:w="2088"/>
      </w:tblGrid>
      <w:tr>
        <w:trPr>
          <w:trHeight w:val="634"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2"/>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55"/>
              <w:jc w:val="right"/>
              <w:rPr>
                <w:rFonts w:ascii="宋体" w:hAnsi="宋体" w:cs="宋体" w:eastAsia="宋体" w:hint="default"/>
                <w:sz w:val="21"/>
                <w:szCs w:val="21"/>
              </w:rPr>
            </w:pPr>
            <w:r>
              <w:rPr>
                <w:rFonts w:ascii="宋体" w:hAnsi="宋体" w:cs="宋体" w:eastAsia="宋体" w:hint="default"/>
                <w:sz w:val="21"/>
                <w:szCs w:val="21"/>
              </w:rPr>
              <w:t>注册地</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9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4"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2" w:right="0"/>
              <w:jc w:val="left"/>
              <w:rPr>
                <w:rFonts w:ascii="宋体" w:hAnsi="宋体" w:cs="宋体" w:eastAsia="宋体" w:hint="default"/>
                <w:sz w:val="21"/>
                <w:szCs w:val="21"/>
              </w:rPr>
            </w:pPr>
            <w:r>
              <w:rPr>
                <w:rFonts w:ascii="宋体" w:hAnsi="宋体" w:cs="宋体" w:eastAsia="宋体" w:hint="default"/>
                <w:sz w:val="21"/>
                <w:szCs w:val="21"/>
              </w:rPr>
              <w:t>期末实际出资额</w:t>
            </w:r>
          </w:p>
        </w:tc>
      </w:tr>
      <w:tr>
        <w:trPr>
          <w:trHeight w:val="28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非全资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9"/>
              <w:jc w:val="right"/>
              <w:rPr>
                <w:rFonts w:ascii="宋体" w:hAnsi="宋体" w:cs="宋体" w:eastAsia="宋体" w:hint="default"/>
                <w:sz w:val="21"/>
                <w:szCs w:val="21"/>
              </w:rPr>
            </w:pPr>
            <w:r>
              <w:rPr>
                <w:rFonts w:ascii="宋体" w:hAnsi="宋体" w:cs="宋体" w:eastAsia="宋体" w:hint="default"/>
                <w:spacing w:val="-1"/>
                <w:sz w:val="21"/>
                <w:szCs w:val="21"/>
              </w:rPr>
              <w:t>中国上海</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硬件、软件开发销售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5"/>
              <w:jc w:val="left"/>
              <w:rPr>
                <w:rFonts w:ascii="宋体" w:hAnsi="宋体" w:cs="宋体" w:eastAsia="宋体" w:hint="default"/>
                <w:sz w:val="21"/>
                <w:szCs w:val="21"/>
              </w:rPr>
            </w:pPr>
            <w:r>
              <w:rPr>
                <w:rFonts w:ascii="宋体"/>
                <w:sz w:val="21"/>
              </w:rPr>
              <w:t>2,690,542.61</w:t>
            </w:r>
          </w:p>
        </w:tc>
      </w:tr>
    </w:tbl>
    <w:p>
      <w:pPr>
        <w:spacing w:line="240" w:lineRule="auto" w:before="5"/>
        <w:rPr>
          <w:rFonts w:ascii="宋体" w:hAnsi="宋体" w:cs="宋体" w:eastAsia="宋体" w:hint="default"/>
          <w:sz w:val="15"/>
          <w:szCs w:val="15"/>
        </w:rPr>
      </w:pPr>
    </w:p>
    <w:p>
      <w:pPr>
        <w:spacing w:before="36"/>
        <w:ind w:left="810" w:right="0" w:firstLine="0"/>
        <w:jc w:val="left"/>
        <w:rPr>
          <w:rFonts w:ascii="宋体" w:hAnsi="宋体" w:cs="宋体" w:eastAsia="宋体" w:hint="default"/>
          <w:sz w:val="21"/>
          <w:szCs w:val="21"/>
        </w:rPr>
      </w:pPr>
      <w:r>
        <w:rPr>
          <w:rFonts w:ascii="宋体" w:hAnsi="宋体" w:cs="宋体" w:eastAsia="宋体" w:hint="default"/>
          <w:sz w:val="21"/>
          <w:szCs w:val="21"/>
        </w:rPr>
        <w:t>5.1.2</w:t>
      </w:r>
      <w:r>
        <w:rPr>
          <w:rFonts w:ascii="宋体" w:hAnsi="宋体" w:cs="宋体" w:eastAsia="宋体" w:hint="default"/>
          <w:spacing w:val="-54"/>
          <w:sz w:val="21"/>
          <w:szCs w:val="21"/>
        </w:rPr>
        <w:t> </w:t>
      </w:r>
      <w:r>
        <w:rPr>
          <w:rFonts w:ascii="宋体" w:hAnsi="宋体" w:cs="宋体" w:eastAsia="宋体" w:hint="default"/>
          <w:sz w:val="21"/>
          <w:szCs w:val="21"/>
        </w:rPr>
        <w:t>非同一控制下企业合并取得的子公司（续）</w:t>
      </w:r>
    </w:p>
    <w:p>
      <w:pPr>
        <w:spacing w:line="240" w:lineRule="auto" w:before="3"/>
        <w:rPr>
          <w:rFonts w:ascii="宋体" w:hAnsi="宋体" w:cs="宋体" w:eastAsia="宋体" w:hint="default"/>
          <w:sz w:val="23"/>
          <w:szCs w:val="23"/>
        </w:rPr>
      </w:pPr>
    </w:p>
    <w:tbl>
      <w:tblPr>
        <w:tblW w:w="0" w:type="auto"/>
        <w:jc w:val="left"/>
        <w:tblInd w:w="697" w:type="dxa"/>
        <w:tblLayout w:type="fixed"/>
        <w:tblCellMar>
          <w:top w:w="0" w:type="dxa"/>
          <w:left w:w="0" w:type="dxa"/>
          <w:bottom w:w="0" w:type="dxa"/>
          <w:right w:w="0" w:type="dxa"/>
        </w:tblCellMar>
        <w:tblLook w:val="01E0"/>
      </w:tblPr>
      <w:tblGrid>
        <w:gridCol w:w="3288"/>
        <w:gridCol w:w="1709"/>
        <w:gridCol w:w="1118"/>
        <w:gridCol w:w="1106"/>
        <w:gridCol w:w="728"/>
        <w:gridCol w:w="1680"/>
        <w:gridCol w:w="2000"/>
        <w:gridCol w:w="2554"/>
      </w:tblGrid>
      <w:tr>
        <w:trPr>
          <w:trHeight w:val="1373"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9"/>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2" w:right="111"/>
              <w:jc w:val="center"/>
              <w:rPr>
                <w:rFonts w:ascii="宋体" w:hAnsi="宋体" w:cs="宋体" w:eastAsia="宋体" w:hint="default"/>
                <w:sz w:val="21"/>
                <w:szCs w:val="21"/>
              </w:rPr>
            </w:pPr>
            <w:r>
              <w:rPr>
                <w:rFonts w:ascii="宋体" w:hAnsi="宋体" w:cs="宋体" w:eastAsia="宋体" w:hint="default"/>
                <w:spacing w:val="-1"/>
                <w:sz w:val="21"/>
                <w:szCs w:val="21"/>
              </w:rPr>
              <w:t>实质上构成对子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公司净投资的其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他项目余额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right="29"/>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3" w:lineRule="exact"/>
              <w:ind w:right="26"/>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3" w:right="141" w:hanging="53"/>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623" w:right="410" w:hanging="209"/>
              <w:jc w:val="left"/>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1"/>
              <w:jc w:val="center"/>
              <w:rPr>
                <w:rFonts w:ascii="宋体" w:hAnsi="宋体" w:cs="宋体" w:eastAsia="宋体" w:hint="default"/>
                <w:sz w:val="21"/>
                <w:szCs w:val="21"/>
              </w:rPr>
            </w:pPr>
            <w:r>
              <w:rPr>
                <w:rFonts w:ascii="宋体" w:hAnsi="宋体" w:cs="宋体" w:eastAsia="宋体" w:hint="default"/>
                <w:spacing w:val="-2"/>
                <w:sz w:val="21"/>
                <w:szCs w:val="21"/>
              </w:rPr>
              <w:t>少数股东权益中用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于冲减少数股东损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益的金额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从公司所有者权益冲减子</w:t>
            </w:r>
          </w:p>
          <w:p>
            <w:pPr>
              <w:pStyle w:val="TableParagraph"/>
              <w:spacing w:line="237" w:lineRule="auto" w:before="2"/>
              <w:ind w:left="115" w:right="112"/>
              <w:jc w:val="center"/>
              <w:rPr>
                <w:rFonts w:ascii="宋体" w:hAnsi="宋体" w:cs="宋体" w:eastAsia="宋体" w:hint="default"/>
                <w:sz w:val="21"/>
                <w:szCs w:val="21"/>
              </w:rPr>
            </w:pPr>
            <w:r>
              <w:rPr>
                <w:rFonts w:ascii="宋体" w:hAnsi="宋体" w:cs="宋体" w:eastAsia="宋体" w:hint="default"/>
                <w:spacing w:val="-2"/>
                <w:sz w:val="21"/>
                <w:szCs w:val="21"/>
              </w:rPr>
              <w:t>公司少数股东分担的本期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亏损超过少数股东在该子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公司期初所有者权益中所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享有份额后的余额</w:t>
            </w:r>
          </w:p>
        </w:tc>
      </w:tr>
      <w:tr>
        <w:trPr>
          <w:trHeight w:val="322" w:hRule="exact"/>
        </w:trPr>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127"/>
              <w:jc w:val="center"/>
              <w:rPr>
                <w:rFonts w:ascii="宋体" w:hAnsi="宋体" w:cs="宋体" w:eastAsia="宋体" w:hint="default"/>
                <w:sz w:val="21"/>
                <w:szCs w:val="21"/>
              </w:rPr>
            </w:pPr>
            <w:r>
              <w:rPr>
                <w:rFonts w:ascii="宋体" w:hAnsi="宋体" w:cs="宋体" w:eastAsia="宋体" w:hint="default"/>
                <w:spacing w:val="-2"/>
                <w:sz w:val="21"/>
                <w:szCs w:val="21"/>
              </w:rPr>
              <w:t>上海华钟计算机软件开发有限公司</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jc w:val="center"/>
              <w:rPr>
                <w:rFonts w:ascii="宋体" w:hAnsi="宋体" w:cs="宋体" w:eastAsia="宋体" w:hint="default"/>
                <w:sz w:val="21"/>
                <w:szCs w:val="21"/>
              </w:rPr>
            </w:pPr>
            <w:r>
              <w:rPr>
                <w:rFonts w:ascii="宋体"/>
                <w:sz w:val="21"/>
              </w:rPr>
              <w:t>51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center"/>
              <w:rPr>
                <w:rFonts w:ascii="宋体" w:hAnsi="宋体" w:cs="宋体" w:eastAsia="宋体" w:hint="default"/>
                <w:sz w:val="21"/>
                <w:szCs w:val="21"/>
              </w:rPr>
            </w:pPr>
            <w:r>
              <w:rPr>
                <w:rFonts w:ascii="宋体"/>
                <w:sz w:val="21"/>
              </w:rPr>
              <w:t>51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2" w:right="0"/>
              <w:jc w:val="left"/>
              <w:rPr>
                <w:rFonts w:ascii="宋体" w:hAnsi="宋体" w:cs="宋体" w:eastAsia="宋体" w:hint="default"/>
                <w:sz w:val="21"/>
                <w:szCs w:val="21"/>
              </w:rPr>
            </w:pPr>
            <w:r>
              <w:rPr>
                <w:rFonts w:ascii="宋体"/>
                <w:sz w:val="21"/>
              </w:rPr>
              <w:t>14,367,726.85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1" w:right="0"/>
              <w:jc w:val="left"/>
              <w:rPr>
                <w:rFonts w:ascii="宋体" w:hAnsi="宋体" w:cs="宋体" w:eastAsia="宋体" w:hint="default"/>
                <w:sz w:val="21"/>
                <w:szCs w:val="21"/>
              </w:rPr>
            </w:pPr>
            <w:r>
              <w:rPr>
                <w:rFonts w:ascii="宋体"/>
                <w:sz w:val="21"/>
              </w:rPr>
              <w:t>2,634,558.40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8" w:right="0"/>
              <w:jc w:val="center"/>
              <w:rPr>
                <w:rFonts w:ascii="宋体" w:hAnsi="宋体" w:cs="宋体" w:eastAsia="宋体" w:hint="default"/>
                <w:sz w:val="15"/>
                <w:szCs w:val="15"/>
              </w:rPr>
            </w:pPr>
            <w:r>
              <w:rPr>
                <w:rFonts w:ascii="宋体"/>
                <w:w w:val="100"/>
                <w:sz w:val="15"/>
              </w:rPr>
              <w:t>-</w:t>
            </w:r>
          </w:p>
        </w:tc>
      </w:tr>
    </w:tbl>
    <w:p>
      <w:pPr>
        <w:spacing w:after="0" w:line="240" w:lineRule="auto"/>
        <w:jc w:val="center"/>
        <w:rPr>
          <w:rFonts w:ascii="宋体" w:hAnsi="宋体" w:cs="宋体" w:eastAsia="宋体" w:hint="default"/>
          <w:sz w:val="15"/>
          <w:szCs w:val="15"/>
        </w:rPr>
        <w:sectPr>
          <w:pgSz w:w="16840" w:h="11910" w:orient="landscape"/>
          <w:pgMar w:header="886" w:footer="980" w:top="1740" w:bottom="1160" w:left="1300" w:right="540"/>
        </w:sectPr>
      </w:pPr>
    </w:p>
    <w:p>
      <w:pPr>
        <w:spacing w:line="240" w:lineRule="auto" w:before="3"/>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668"/>
        <w:gridCol w:w="91"/>
        <w:gridCol w:w="739"/>
        <w:gridCol w:w="245"/>
        <w:gridCol w:w="1478"/>
        <w:gridCol w:w="935"/>
        <w:gridCol w:w="1476"/>
        <w:gridCol w:w="245"/>
        <w:gridCol w:w="1487"/>
        <w:gridCol w:w="945"/>
        <w:gridCol w:w="1721"/>
      </w:tblGrid>
      <w:tr>
        <w:trPr>
          <w:trHeight w:val="413"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2553" w:type="dxa"/>
            <w:gridSpan w:val="4"/>
            <w:tcBorders>
              <w:top w:val="single" w:sz="4" w:space="0" w:color="000000"/>
              <w:left w:val="nil" w:sz="6" w:space="0" w:color="auto"/>
              <w:bottom w:val="nil" w:sz="6" w:space="0" w:color="auto"/>
              <w:right w:val="nil" w:sz="6" w:space="0" w:color="auto"/>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sz w:val="21"/>
                <w:szCs w:val="21"/>
              </w:rPr>
            </w:r>
          </w:p>
        </w:tc>
        <w:tc>
          <w:tcPr>
            <w:tcW w:w="935" w:type="dxa"/>
            <w:tcBorders>
              <w:top w:val="single" w:sz="4" w:space="0" w:color="000000"/>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
        </w:tc>
        <w:tc>
          <w:tcPr>
            <w:tcW w:w="945" w:type="dxa"/>
            <w:tcBorders>
              <w:top w:val="single" w:sz="4" w:space="0" w:color="000000"/>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
        </w:tc>
      </w:tr>
      <w:tr>
        <w:trPr>
          <w:trHeight w:val="545" w:hRule="exact"/>
        </w:trPr>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47" w:right="0"/>
              <w:jc w:val="left"/>
              <w:rPr>
                <w:rFonts w:ascii="宋体" w:hAnsi="宋体" w:cs="宋体" w:eastAsia="宋体" w:hint="default"/>
                <w:sz w:val="21"/>
                <w:szCs w:val="21"/>
              </w:rPr>
            </w:pPr>
            <w:r>
              <w:rPr>
                <w:rFonts w:ascii="宋体"/>
                <w:sz w:val="21"/>
              </w:rPr>
              <w:t>6.1</w:t>
            </w: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left"/>
              <w:rPr>
                <w:rFonts w:ascii="宋体" w:hAnsi="宋体" w:cs="宋体" w:eastAsia="宋体" w:hint="default"/>
                <w:sz w:val="21"/>
                <w:szCs w:val="21"/>
              </w:rPr>
            </w:pPr>
            <w:r>
              <w:rPr>
                <w:rFonts w:ascii="宋体" w:hAnsi="宋体" w:cs="宋体" w:eastAsia="宋体" w:hint="default"/>
                <w:sz w:val="21"/>
                <w:szCs w:val="21"/>
              </w:rPr>
              <w:t>货币资</w:t>
            </w:r>
          </w:p>
        </w:tc>
        <w:tc>
          <w:tcPr>
            <w:tcW w:w="24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r>
      <w:tr>
        <w:trPr>
          <w:trHeight w:val="416"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single" w:sz="8" w:space="0" w:color="000000"/>
              <w:right w:val="nil" w:sz="6" w:space="0" w:color="auto"/>
            </w:tcBorders>
          </w:tcPr>
          <w:p>
            <w:pPr/>
          </w:p>
        </w:tc>
        <w:tc>
          <w:tcPr>
            <w:tcW w:w="739"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6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
        </w:tc>
        <w:tc>
          <w:tcPr>
            <w:tcW w:w="241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3"/>
              <w:ind w:left="5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
        </w:tc>
        <w:tc>
          <w:tcPr>
            <w:tcW w:w="26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59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04"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single" w:sz="8" w:space="0" w:color="000000"/>
              <w:left w:val="nil" w:sz="6" w:space="0" w:color="auto"/>
              <w:bottom w:val="nil" w:sz="6" w:space="0" w:color="auto"/>
              <w:right w:val="nil" w:sz="6" w:space="0" w:color="auto"/>
            </w:tcBorders>
          </w:tcPr>
          <w:p>
            <w:pPr/>
          </w:p>
        </w:tc>
        <w:tc>
          <w:tcPr>
            <w:tcW w:w="739" w:type="dxa"/>
            <w:tcBorders>
              <w:top w:val="single" w:sz="8"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nil" w:sz="6" w:space="0" w:color="auto"/>
              <w:right w:val="nil" w:sz="6" w:space="0" w:color="auto"/>
            </w:tcBorders>
          </w:tcPr>
          <w:p>
            <w:pPr>
              <w:pStyle w:val="TableParagraph"/>
              <w:spacing w:line="250"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50" w:lineRule="exact"/>
              <w:ind w:left="90"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50"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人民币金额</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Style w:val="TableParagraph"/>
              <w:spacing w:line="250" w:lineRule="exact"/>
              <w:ind w:right="114"/>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945" w:type="dxa"/>
            <w:tcBorders>
              <w:top w:val="single" w:sz="4" w:space="0" w:color="000000"/>
              <w:left w:val="nil" w:sz="6" w:space="0" w:color="auto"/>
              <w:bottom w:val="nil" w:sz="6" w:space="0" w:color="auto"/>
              <w:right w:val="nil" w:sz="6" w:space="0" w:color="auto"/>
            </w:tcBorders>
          </w:tcPr>
          <w:p>
            <w:pPr>
              <w:pStyle w:val="TableParagraph"/>
              <w:spacing w:line="250" w:lineRule="exact"/>
              <w:ind w:left="98"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721" w:type="dxa"/>
            <w:tcBorders>
              <w:top w:val="single" w:sz="4" w:space="0" w:color="000000"/>
              <w:left w:val="nil" w:sz="6" w:space="0" w:color="auto"/>
              <w:bottom w:val="nil" w:sz="6" w:space="0" w:color="auto"/>
              <w:right w:val="nil" w:sz="6" w:space="0" w:color="auto"/>
            </w:tcBorders>
          </w:tcPr>
          <w:p>
            <w:pPr>
              <w:pStyle w:val="TableParagraph"/>
              <w:spacing w:line="250" w:lineRule="exact"/>
              <w:ind w:right="329"/>
              <w:jc w:val="right"/>
              <w:rPr>
                <w:rFonts w:ascii="宋体" w:hAnsi="宋体" w:cs="宋体" w:eastAsia="宋体" w:hint="default"/>
                <w:sz w:val="21"/>
                <w:szCs w:val="21"/>
              </w:rPr>
            </w:pPr>
            <w:r>
              <w:rPr>
                <w:rFonts w:ascii="宋体" w:hAnsi="宋体" w:cs="宋体" w:eastAsia="宋体" w:hint="default"/>
                <w:spacing w:val="-1"/>
                <w:sz w:val="21"/>
                <w:szCs w:val="21"/>
              </w:rPr>
              <w:t>人民币金额</w:t>
            </w:r>
          </w:p>
        </w:tc>
      </w:tr>
      <w:tr>
        <w:trPr>
          <w:trHeight w:val="274"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8" w:lineRule="exact"/>
              <w:ind w:left="16"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r>
      <w:tr>
        <w:trPr>
          <w:trHeight w:val="272"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6" w:lineRule="exact"/>
              <w:ind w:right="0"/>
              <w:jc w:val="right"/>
              <w:rPr>
                <w:rFonts w:ascii="宋体" w:hAnsi="宋体" w:cs="宋体" w:eastAsia="宋体" w:hint="default"/>
                <w:sz w:val="18"/>
                <w:szCs w:val="18"/>
              </w:rPr>
            </w:pPr>
            <w:r>
              <w:rPr>
                <w:rFonts w:ascii="宋体" w:hAnsi="宋体" w:cs="宋体" w:eastAsia="宋体" w:hint="default"/>
                <w:sz w:val="18"/>
                <w:szCs w:val="18"/>
              </w:rPr>
              <w:t>人民币</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pacing w:val="-1"/>
                <w:sz w:val="18"/>
              </w:rPr>
              <w:t>71,036.49</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6" w:lineRule="exact"/>
              <w:ind w:right="331"/>
              <w:jc w:val="right"/>
              <w:rPr>
                <w:rFonts w:ascii="宋体" w:hAnsi="宋体" w:cs="宋体" w:eastAsia="宋体" w:hint="default"/>
                <w:sz w:val="18"/>
                <w:szCs w:val="18"/>
              </w:rPr>
            </w:pPr>
            <w:r>
              <w:rPr>
                <w:rFonts w:ascii="宋体"/>
                <w:spacing w:val="-1"/>
                <w:sz w:val="18"/>
              </w:rPr>
              <w:t>199,795.16</w:t>
            </w:r>
          </w:p>
        </w:tc>
      </w:tr>
      <w:tr>
        <w:trPr>
          <w:trHeight w:val="259"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7" w:lineRule="exact"/>
              <w:ind w:left="19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pacing w:val="-1"/>
                <w:sz w:val="18"/>
              </w:rPr>
              <w:t>1,440,782.00</w:t>
            </w:r>
          </w:p>
        </w:tc>
        <w:tc>
          <w:tcPr>
            <w:tcW w:w="935"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sz w:val="18"/>
              </w:rPr>
              <w:t>0.081103</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pacing w:val="-1"/>
                <w:sz w:val="18"/>
              </w:rPr>
              <w:t>116,851.74</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27" w:lineRule="exact"/>
              <w:ind w:right="118"/>
              <w:jc w:val="right"/>
              <w:rPr>
                <w:rFonts w:ascii="宋体" w:hAnsi="宋体" w:cs="宋体" w:eastAsia="宋体" w:hint="default"/>
                <w:sz w:val="18"/>
                <w:szCs w:val="18"/>
              </w:rPr>
            </w:pPr>
            <w:r>
              <w:rPr>
                <w:rFonts w:ascii="宋体"/>
                <w:sz w:val="18"/>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27" w:lineRule="exact"/>
              <w:ind w:left="8" w:right="0"/>
              <w:jc w:val="center"/>
              <w:rPr>
                <w:rFonts w:ascii="宋体" w:hAnsi="宋体" w:cs="宋体" w:eastAsia="宋体" w:hint="default"/>
                <w:sz w:val="18"/>
                <w:szCs w:val="18"/>
              </w:rPr>
            </w:pPr>
            <w:r>
              <w:rPr>
                <w:rFonts w:ascii="宋体"/>
                <w:sz w:val="18"/>
              </w:rPr>
              <w:t>0.081260</w:t>
            </w:r>
          </w:p>
        </w:tc>
        <w:tc>
          <w:tcPr>
            <w:tcW w:w="1721" w:type="dxa"/>
            <w:tcBorders>
              <w:top w:val="nil" w:sz="6" w:space="0" w:color="auto"/>
              <w:left w:val="nil" w:sz="6" w:space="0" w:color="auto"/>
              <w:bottom w:val="single" w:sz="4" w:space="0" w:color="000000"/>
              <w:right w:val="nil" w:sz="6" w:space="0" w:color="auto"/>
            </w:tcBorders>
          </w:tcPr>
          <w:p>
            <w:pPr>
              <w:pStyle w:val="TableParagraph"/>
              <w:spacing w:line="227" w:lineRule="exact"/>
              <w:ind w:right="332"/>
              <w:jc w:val="right"/>
              <w:rPr>
                <w:rFonts w:ascii="宋体" w:hAnsi="宋体" w:cs="宋体" w:eastAsia="宋体" w:hint="default"/>
                <w:sz w:val="18"/>
                <w:szCs w:val="18"/>
              </w:rPr>
            </w:pPr>
            <w:r>
              <w:rPr>
                <w:rFonts w:ascii="宋体"/>
                <w:sz w:val="18"/>
              </w:rPr>
              <w:t>-</w:t>
            </w:r>
          </w:p>
        </w:tc>
      </w:tr>
      <w:tr>
        <w:trPr>
          <w:trHeight w:val="295"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187,888.23</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331"/>
              <w:jc w:val="right"/>
              <w:rPr>
                <w:rFonts w:ascii="宋体" w:hAnsi="宋体" w:cs="宋体" w:eastAsia="宋体" w:hint="default"/>
                <w:sz w:val="18"/>
                <w:szCs w:val="18"/>
              </w:rPr>
            </w:pPr>
            <w:r>
              <w:rPr>
                <w:rFonts w:ascii="宋体"/>
                <w:spacing w:val="-1"/>
                <w:sz w:val="18"/>
              </w:rPr>
              <w:t>199,795.16</w:t>
            </w:r>
          </w:p>
        </w:tc>
      </w:tr>
      <w:tr>
        <w:trPr>
          <w:trHeight w:val="272"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7" w:lineRule="exact"/>
              <w:ind w:left="1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r>
      <w:tr>
        <w:trPr>
          <w:trHeight w:val="272"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6" w:lineRule="exact"/>
              <w:ind w:right="0"/>
              <w:jc w:val="right"/>
              <w:rPr>
                <w:rFonts w:ascii="宋体" w:hAnsi="宋体" w:cs="宋体" w:eastAsia="宋体" w:hint="default"/>
                <w:sz w:val="18"/>
                <w:szCs w:val="18"/>
              </w:rPr>
            </w:pPr>
            <w:r>
              <w:rPr>
                <w:rFonts w:ascii="宋体" w:hAnsi="宋体" w:cs="宋体" w:eastAsia="宋体" w:hint="default"/>
                <w:sz w:val="18"/>
                <w:szCs w:val="18"/>
              </w:rPr>
              <w:t>人民币</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pacing w:val="-1"/>
                <w:sz w:val="18"/>
              </w:rPr>
              <w:t>200,298,680.16</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26" w:lineRule="exact"/>
              <w:ind w:right="331"/>
              <w:jc w:val="right"/>
              <w:rPr>
                <w:rFonts w:ascii="宋体" w:hAnsi="宋体" w:cs="宋体" w:eastAsia="宋体" w:hint="default"/>
                <w:sz w:val="18"/>
                <w:szCs w:val="18"/>
              </w:rPr>
            </w:pPr>
            <w:r>
              <w:rPr>
                <w:rFonts w:ascii="宋体"/>
                <w:spacing w:val="-1"/>
                <w:sz w:val="18"/>
              </w:rPr>
              <w:t>259,031,233.11</w:t>
            </w:r>
          </w:p>
        </w:tc>
      </w:tr>
      <w:tr>
        <w:trPr>
          <w:trHeight w:val="272"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7" w:lineRule="exact"/>
              <w:ind w:left="199"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pacing w:val="-1"/>
                <w:sz w:val="18"/>
              </w:rPr>
              <w:t>1,330,431.75</w:t>
            </w:r>
          </w:p>
        </w:tc>
        <w:tc>
          <w:tcPr>
            <w:tcW w:w="935" w:type="dxa"/>
            <w:tcBorders>
              <w:top w:val="nil" w:sz="6" w:space="0" w:color="auto"/>
              <w:left w:val="nil" w:sz="6" w:space="0" w:color="auto"/>
              <w:bottom w:val="nil" w:sz="6" w:space="0" w:color="auto"/>
              <w:right w:val="nil" w:sz="6" w:space="0" w:color="auto"/>
            </w:tcBorders>
          </w:tcPr>
          <w:p>
            <w:pPr>
              <w:pStyle w:val="TableParagraph"/>
              <w:spacing w:line="227" w:lineRule="exact"/>
              <w:ind w:left="179" w:right="0"/>
              <w:jc w:val="center"/>
              <w:rPr>
                <w:rFonts w:ascii="宋体" w:hAnsi="宋体" w:cs="宋体" w:eastAsia="宋体" w:hint="default"/>
                <w:sz w:val="18"/>
                <w:szCs w:val="18"/>
              </w:rPr>
            </w:pPr>
            <w:r>
              <w:rPr>
                <w:rFonts w:ascii="宋体"/>
                <w:sz w:val="18"/>
              </w:rPr>
              <w:t>6.3009</w:t>
            </w:r>
          </w:p>
        </w:tc>
        <w:tc>
          <w:tcPr>
            <w:tcW w:w="1476" w:type="dxa"/>
            <w:tcBorders>
              <w:top w:val="nil" w:sz="6" w:space="0" w:color="auto"/>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pacing w:val="-1"/>
                <w:sz w:val="18"/>
              </w:rPr>
              <w:t>8,382,917.41</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27" w:lineRule="exact"/>
              <w:ind w:right="116"/>
              <w:jc w:val="right"/>
              <w:rPr>
                <w:rFonts w:ascii="宋体" w:hAnsi="宋体" w:cs="宋体" w:eastAsia="宋体" w:hint="default"/>
                <w:sz w:val="18"/>
                <w:szCs w:val="18"/>
              </w:rPr>
            </w:pPr>
            <w:r>
              <w:rPr>
                <w:rFonts w:ascii="宋体"/>
                <w:spacing w:val="-1"/>
                <w:sz w:val="18"/>
              </w:rPr>
              <w:t>328,204.84</w:t>
            </w:r>
          </w:p>
        </w:tc>
        <w:tc>
          <w:tcPr>
            <w:tcW w:w="945" w:type="dxa"/>
            <w:tcBorders>
              <w:top w:val="nil" w:sz="6" w:space="0" w:color="auto"/>
              <w:left w:val="nil" w:sz="6" w:space="0" w:color="auto"/>
              <w:bottom w:val="nil" w:sz="6" w:space="0" w:color="auto"/>
              <w:right w:val="nil" w:sz="6" w:space="0" w:color="auto"/>
            </w:tcBorders>
          </w:tcPr>
          <w:p>
            <w:pPr>
              <w:pStyle w:val="TableParagraph"/>
              <w:spacing w:line="227" w:lineRule="exact"/>
              <w:ind w:left="188" w:right="0"/>
              <w:jc w:val="center"/>
              <w:rPr>
                <w:rFonts w:ascii="宋体" w:hAnsi="宋体" w:cs="宋体" w:eastAsia="宋体" w:hint="default"/>
                <w:sz w:val="18"/>
                <w:szCs w:val="18"/>
              </w:rPr>
            </w:pPr>
            <w:r>
              <w:rPr>
                <w:rFonts w:ascii="宋体"/>
                <w:sz w:val="18"/>
              </w:rPr>
              <w:t>6.6227</w:t>
            </w:r>
          </w:p>
        </w:tc>
        <w:tc>
          <w:tcPr>
            <w:tcW w:w="1721" w:type="dxa"/>
            <w:tcBorders>
              <w:top w:val="nil" w:sz="6" w:space="0" w:color="auto"/>
              <w:left w:val="nil" w:sz="6" w:space="0" w:color="auto"/>
              <w:bottom w:val="nil" w:sz="6" w:space="0" w:color="auto"/>
              <w:right w:val="nil" w:sz="6" w:space="0" w:color="auto"/>
            </w:tcBorders>
          </w:tcPr>
          <w:p>
            <w:pPr>
              <w:pStyle w:val="TableParagraph"/>
              <w:spacing w:line="227" w:lineRule="exact"/>
              <w:ind w:right="331"/>
              <w:jc w:val="right"/>
              <w:rPr>
                <w:rFonts w:ascii="宋体" w:hAnsi="宋体" w:cs="宋体" w:eastAsia="宋体" w:hint="default"/>
                <w:sz w:val="18"/>
                <w:szCs w:val="18"/>
              </w:rPr>
            </w:pPr>
            <w:r>
              <w:rPr>
                <w:rFonts w:ascii="宋体"/>
                <w:spacing w:val="-1"/>
                <w:sz w:val="18"/>
              </w:rPr>
              <w:t>2,173,602.19</w:t>
            </w:r>
          </w:p>
        </w:tc>
      </w:tr>
      <w:tr>
        <w:trPr>
          <w:trHeight w:val="258"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26" w:lineRule="exact"/>
              <w:ind w:left="199"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479,110,641.00</w:t>
            </w:r>
          </w:p>
        </w:tc>
        <w:tc>
          <w:tcPr>
            <w:tcW w:w="935" w:type="dxa"/>
            <w:tcBorders>
              <w:top w:val="nil" w:sz="6" w:space="0" w:color="auto"/>
              <w:left w:val="nil" w:sz="6" w:space="0" w:color="auto"/>
              <w:bottom w:val="nil" w:sz="6" w:space="0" w:color="auto"/>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sz w:val="18"/>
              </w:rPr>
              <w:t>0.081103</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pacing w:val="-1"/>
                <w:sz w:val="18"/>
              </w:rPr>
              <w:t>38,857,310.32</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26" w:lineRule="exact"/>
              <w:ind w:right="116"/>
              <w:jc w:val="right"/>
              <w:rPr>
                <w:rFonts w:ascii="宋体" w:hAnsi="宋体" w:cs="宋体" w:eastAsia="宋体" w:hint="default"/>
                <w:sz w:val="18"/>
                <w:szCs w:val="18"/>
              </w:rPr>
            </w:pPr>
            <w:r>
              <w:rPr>
                <w:rFonts w:ascii="宋体"/>
                <w:spacing w:val="-1"/>
                <w:sz w:val="18"/>
              </w:rPr>
              <w:t>427,996,766.00</w:t>
            </w:r>
          </w:p>
        </w:tc>
        <w:tc>
          <w:tcPr>
            <w:tcW w:w="945" w:type="dxa"/>
            <w:tcBorders>
              <w:top w:val="nil" w:sz="6" w:space="0" w:color="auto"/>
              <w:left w:val="nil" w:sz="6" w:space="0" w:color="auto"/>
              <w:bottom w:val="nil" w:sz="6" w:space="0" w:color="auto"/>
              <w:right w:val="nil" w:sz="6" w:space="0" w:color="auto"/>
            </w:tcBorders>
          </w:tcPr>
          <w:p>
            <w:pPr>
              <w:pStyle w:val="TableParagraph"/>
              <w:spacing w:line="226" w:lineRule="exact"/>
              <w:ind w:left="8" w:right="0"/>
              <w:jc w:val="center"/>
              <w:rPr>
                <w:rFonts w:ascii="宋体" w:hAnsi="宋体" w:cs="宋体" w:eastAsia="宋体" w:hint="default"/>
                <w:sz w:val="18"/>
                <w:szCs w:val="18"/>
              </w:rPr>
            </w:pPr>
            <w:r>
              <w:rPr>
                <w:rFonts w:ascii="宋体"/>
                <w:sz w:val="18"/>
              </w:rPr>
              <w:t>0.081260</w:t>
            </w:r>
          </w:p>
        </w:tc>
        <w:tc>
          <w:tcPr>
            <w:tcW w:w="1721" w:type="dxa"/>
            <w:tcBorders>
              <w:top w:val="nil" w:sz="6" w:space="0" w:color="auto"/>
              <w:left w:val="nil" w:sz="6" w:space="0" w:color="auto"/>
              <w:bottom w:val="single" w:sz="4" w:space="0" w:color="000000"/>
              <w:right w:val="nil" w:sz="6" w:space="0" w:color="auto"/>
            </w:tcBorders>
          </w:tcPr>
          <w:p>
            <w:pPr>
              <w:pStyle w:val="TableParagraph"/>
              <w:spacing w:line="226" w:lineRule="exact"/>
              <w:ind w:right="331"/>
              <w:jc w:val="right"/>
              <w:rPr>
                <w:rFonts w:ascii="宋体" w:hAnsi="宋体" w:cs="宋体" w:eastAsia="宋体" w:hint="default"/>
                <w:sz w:val="18"/>
                <w:szCs w:val="18"/>
              </w:rPr>
            </w:pPr>
            <w:r>
              <w:rPr>
                <w:rFonts w:ascii="宋体"/>
                <w:spacing w:val="-1"/>
                <w:sz w:val="18"/>
              </w:rPr>
              <w:t>34,779,017.21</w:t>
            </w:r>
          </w:p>
        </w:tc>
      </w:tr>
      <w:tr>
        <w:trPr>
          <w:trHeight w:val="283"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247,538,907.89</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331"/>
              <w:jc w:val="right"/>
              <w:rPr>
                <w:rFonts w:ascii="宋体" w:hAnsi="宋体" w:cs="宋体" w:eastAsia="宋体" w:hint="default"/>
                <w:sz w:val="18"/>
                <w:szCs w:val="18"/>
              </w:rPr>
            </w:pPr>
            <w:r>
              <w:rPr>
                <w:rFonts w:ascii="宋体"/>
                <w:spacing w:val="-1"/>
                <w:sz w:val="18"/>
              </w:rPr>
              <w:t>295,983,852.51</w:t>
            </w:r>
          </w:p>
        </w:tc>
      </w:tr>
      <w:tr>
        <w:trPr>
          <w:trHeight w:val="293" w:hRule="exact"/>
        </w:trPr>
        <w:tc>
          <w:tcPr>
            <w:tcW w:w="668"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6"/>
              <w:jc w:val="right"/>
              <w:rPr>
                <w:rFonts w:ascii="宋体" w:hAnsi="宋体" w:cs="宋体" w:eastAsia="宋体" w:hint="default"/>
                <w:sz w:val="18"/>
                <w:szCs w:val="18"/>
              </w:rPr>
            </w:pPr>
            <w:r>
              <w:rPr>
                <w:rFonts w:ascii="宋体"/>
                <w:spacing w:val="-1"/>
                <w:sz w:val="18"/>
              </w:rPr>
              <w:t>247,726,796.12</w:t>
            </w:r>
          </w:p>
        </w:tc>
        <w:tc>
          <w:tcPr>
            <w:tcW w:w="24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331"/>
              <w:jc w:val="right"/>
              <w:rPr>
                <w:rFonts w:ascii="宋体" w:hAnsi="宋体" w:cs="宋体" w:eastAsia="宋体" w:hint="default"/>
                <w:sz w:val="18"/>
                <w:szCs w:val="18"/>
              </w:rPr>
            </w:pPr>
            <w:r>
              <w:rPr>
                <w:rFonts w:ascii="宋体"/>
                <w:spacing w:val="-1"/>
                <w:sz w:val="18"/>
              </w:rPr>
              <w:t>296,183,647.67</w:t>
            </w:r>
          </w:p>
        </w:tc>
      </w:tr>
    </w:tbl>
    <w:p>
      <w:pPr>
        <w:spacing w:line="240" w:lineRule="auto" w:before="6"/>
        <w:rPr>
          <w:rFonts w:ascii="宋体" w:hAnsi="宋体" w:cs="宋体" w:eastAsia="宋体" w:hint="default"/>
          <w:sz w:val="18"/>
          <w:szCs w:val="18"/>
        </w:rPr>
      </w:pPr>
    </w:p>
    <w:p>
      <w:pPr>
        <w:spacing w:before="36"/>
        <w:ind w:left="866" w:right="230" w:firstLine="0"/>
        <w:jc w:val="left"/>
        <w:rPr>
          <w:rFonts w:ascii="宋体" w:hAnsi="宋体" w:cs="宋体" w:eastAsia="宋体" w:hint="default"/>
          <w:sz w:val="21"/>
          <w:szCs w:val="21"/>
        </w:rPr>
      </w:pPr>
      <w:r>
        <w:rPr>
          <w:rFonts w:ascii="宋体" w:hAnsi="宋体" w:cs="宋体" w:eastAsia="宋体" w:hint="default"/>
          <w:sz w:val="21"/>
          <w:szCs w:val="21"/>
        </w:rPr>
        <w:t>货币资金年末数比年初数减少</w:t>
      </w:r>
      <w:r>
        <w:rPr>
          <w:rFonts w:ascii="宋体" w:hAnsi="宋体" w:cs="宋体" w:eastAsia="宋体" w:hint="default"/>
          <w:spacing w:val="-2"/>
          <w:sz w:val="21"/>
          <w:szCs w:val="21"/>
        </w:rPr>
        <w:t> </w:t>
      </w:r>
      <w:r>
        <w:rPr>
          <w:rFonts w:ascii="宋体" w:hAnsi="宋体" w:cs="宋体" w:eastAsia="宋体" w:hint="default"/>
          <w:sz w:val="21"/>
          <w:szCs w:val="21"/>
        </w:rPr>
        <w:t>48,456,851.55</w:t>
      </w:r>
      <w:r>
        <w:rPr>
          <w:rFonts w:ascii="宋体" w:hAnsi="宋体" w:cs="宋体" w:eastAsia="宋体" w:hint="default"/>
          <w:spacing w:val="-52"/>
          <w:sz w:val="21"/>
          <w:szCs w:val="21"/>
        </w:rPr>
        <w:t> </w:t>
      </w:r>
      <w:r>
        <w:rPr>
          <w:rFonts w:ascii="宋体" w:hAnsi="宋体" w:cs="宋体" w:eastAsia="宋体" w:hint="default"/>
          <w:sz w:val="21"/>
          <w:szCs w:val="21"/>
        </w:rPr>
        <w:t>元，减少比例为</w:t>
      </w:r>
      <w:r>
        <w:rPr>
          <w:rFonts w:ascii="宋体" w:hAnsi="宋体" w:cs="宋体" w:eastAsia="宋体" w:hint="default"/>
          <w:spacing w:val="-4"/>
          <w:sz w:val="21"/>
          <w:szCs w:val="21"/>
        </w:rPr>
        <w:t> </w:t>
      </w:r>
      <w:r>
        <w:rPr>
          <w:rFonts w:ascii="宋体" w:hAnsi="宋体" w:cs="宋体" w:eastAsia="宋体" w:hint="default"/>
          <w:sz w:val="21"/>
          <w:szCs w:val="21"/>
        </w:rPr>
        <w:t>16.36</w:t>
      </w:r>
      <w:r>
        <w:rPr>
          <w:rFonts w:ascii="宋体" w:hAnsi="宋体" w:cs="宋体" w:eastAsia="宋体" w:hint="default"/>
          <w:sz w:val="21"/>
          <w:szCs w:val="21"/>
        </w:rPr>
        <w:t>％，主要原因为：本公司</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w w:val="100"/>
          <w:sz w:val="21"/>
          <w:szCs w:val="21"/>
        </w:rPr>
        <w:t> </w:t>
      </w:r>
      <w:r>
        <w:rPr>
          <w:rFonts w:ascii="宋体" w:hAnsi="宋体" w:cs="宋体" w:eastAsia="宋体" w:hint="default"/>
          <w:sz w:val="21"/>
          <w:szCs w:val="21"/>
        </w:rPr>
        <w:t>年内为购买办公楼</w:t>
      </w:r>
      <w:r>
        <w:rPr>
          <w:rFonts w:ascii="MS UI Gothic" w:hAnsi="MS UI Gothic" w:cs="MS UI Gothic" w:eastAsia="MS UI Gothic" w:hint="default"/>
          <w:sz w:val="21"/>
          <w:szCs w:val="21"/>
        </w:rPr>
        <w:t>付款</w:t>
      </w:r>
      <w:r>
        <w:rPr>
          <w:rFonts w:ascii="宋体" w:hAnsi="宋体" w:cs="宋体" w:eastAsia="宋体" w:hint="default"/>
          <w:sz w:val="21"/>
          <w:szCs w:val="21"/>
        </w:rPr>
        <w:t>所致。</w:t>
      </w:r>
    </w:p>
    <w:p>
      <w:pPr>
        <w:spacing w:after="0"/>
        <w:jc w:val="left"/>
        <w:rPr>
          <w:rFonts w:ascii="宋体" w:hAnsi="宋体" w:cs="宋体" w:eastAsia="宋体" w:hint="default"/>
          <w:sz w:val="21"/>
          <w:szCs w:val="21"/>
        </w:rPr>
        <w:sectPr>
          <w:headerReference w:type="default" r:id="rId32"/>
          <w:footerReference w:type="default" r:id="rId33"/>
          <w:pgSz w:w="11910" w:h="16840"/>
          <w:pgMar w:header="886" w:footer="980" w:top="1740" w:bottom="1160" w:left="900" w:right="760"/>
          <w:pgNumType w:start="108"/>
        </w:sectPr>
      </w:pPr>
    </w:p>
    <w:p>
      <w:pPr>
        <w:spacing w:line="240" w:lineRule="auto" w:before="3"/>
        <w:rPr>
          <w:rFonts w:ascii="宋体" w:hAnsi="宋体" w:cs="宋体" w:eastAsia="宋体" w:hint="default"/>
          <w:sz w:val="4"/>
          <w:szCs w:val="4"/>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463.4pt;height:.5pt;mso-position-horizontal-relative:char;mso-position-vertical-relative:line" coordorigin="0,0" coordsize="9268,10">
            <v:group style="position:absolute;left:5;top:5;width:9259;height:2" coordorigin="5,5" coordsize="9259,2">
              <v:shape style="position:absolute;left:5;top:5;width:9259;height:2" coordorigin="5,5" coordsize="9259,0" path="m5,5l9263,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tabs>
          <w:tab w:pos="650" w:val="left" w:leader="none"/>
        </w:tabs>
        <w:spacing w:before="36"/>
        <w:ind w:left="100"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666"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6.2</w:t>
        <w:tab/>
      </w:r>
      <w:r>
        <w:rPr>
          <w:rFonts w:ascii="宋体" w:hAnsi="宋体" w:cs="宋体" w:eastAsia="宋体" w:hint="default"/>
          <w:sz w:val="21"/>
          <w:szCs w:val="21"/>
        </w:rPr>
        <w:t>应收账款</w:t>
      </w:r>
    </w:p>
    <w:p>
      <w:pPr>
        <w:spacing w:line="240" w:lineRule="auto" w:before="8"/>
        <w:rPr>
          <w:rFonts w:ascii="宋体" w:hAnsi="宋体" w:cs="宋体" w:eastAsia="宋体" w:hint="default"/>
          <w:sz w:val="20"/>
          <w:szCs w:val="20"/>
        </w:rPr>
      </w:pPr>
    </w:p>
    <w:p>
      <w:pPr>
        <w:spacing w:before="0"/>
        <w:ind w:left="666" w:right="0" w:firstLine="0"/>
        <w:jc w:val="left"/>
        <w:rPr>
          <w:rFonts w:ascii="宋体" w:hAnsi="宋体" w:cs="宋体" w:eastAsia="宋体" w:hint="default"/>
          <w:sz w:val="21"/>
          <w:szCs w:val="21"/>
        </w:rPr>
      </w:pPr>
      <w:r>
        <w:rPr>
          <w:rFonts w:ascii="宋体" w:hAnsi="宋体" w:cs="宋体" w:eastAsia="宋体" w:hint="default"/>
          <w:sz w:val="21"/>
          <w:szCs w:val="21"/>
        </w:rPr>
        <w:t>6.2.1</w:t>
      </w:r>
      <w:r>
        <w:rPr>
          <w:rFonts w:ascii="宋体" w:hAnsi="宋体" w:cs="宋体" w:eastAsia="宋体" w:hint="default"/>
          <w:spacing w:val="-2"/>
          <w:sz w:val="21"/>
          <w:szCs w:val="21"/>
        </w:rPr>
        <w:t> </w:t>
      </w:r>
      <w:r>
        <w:rPr>
          <w:rFonts w:ascii="宋体" w:hAnsi="宋体" w:cs="宋体" w:eastAsia="宋体" w:hint="default"/>
          <w:sz w:val="21"/>
          <w:szCs w:val="21"/>
        </w:rPr>
        <w:t>应收账款按种类分析如下：</w:t>
      </w:r>
    </w:p>
    <w:p>
      <w:pPr>
        <w:spacing w:line="240" w:lineRule="auto" w:before="4"/>
        <w:rPr>
          <w:rFonts w:ascii="宋体" w:hAnsi="宋体" w:cs="宋体" w:eastAsia="宋体" w:hint="default"/>
          <w:sz w:val="17"/>
          <w:szCs w:val="17"/>
        </w:rPr>
      </w:pPr>
    </w:p>
    <w:p>
      <w:pPr>
        <w:tabs>
          <w:tab w:pos="7697" w:val="left" w:leader="none"/>
        </w:tabs>
        <w:spacing w:before="51"/>
        <w:ind w:left="3629" w:right="0" w:firstLine="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tab/>
      </w:r>
      <w:r>
        <w:rPr>
          <w:rFonts w:ascii="宋体" w:hAnsi="宋体" w:cs="宋体" w:eastAsia="宋体" w:hint="default"/>
          <w:sz w:val="16"/>
          <w:szCs w:val="16"/>
        </w:rPr>
        <w:t>2010</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spacing w:line="240" w:lineRule="auto" w:before="9"/>
        <w:rPr>
          <w:rFonts w:ascii="宋体" w:hAnsi="宋体" w:cs="宋体" w:eastAsia="宋体" w:hint="default"/>
          <w:sz w:val="6"/>
          <w:szCs w:val="6"/>
        </w:rPr>
      </w:pPr>
    </w:p>
    <w:p>
      <w:pPr>
        <w:tabs>
          <w:tab w:pos="6420" w:val="left" w:leader="none"/>
        </w:tabs>
        <w:spacing w:line="20" w:lineRule="exact"/>
        <w:ind w:left="2382" w:right="0" w:firstLine="0"/>
        <w:rPr>
          <w:rFonts w:ascii="宋体" w:hAnsi="宋体" w:cs="宋体" w:eastAsia="宋体" w:hint="default"/>
          <w:sz w:val="2"/>
          <w:szCs w:val="2"/>
        </w:rPr>
      </w:pPr>
      <w:r>
        <w:rPr>
          <w:rFonts w:ascii="宋体"/>
          <w:sz w:val="2"/>
        </w:rPr>
        <w:pict>
          <v:group style="width:190.75pt;height:1pt;mso-position-horizontal-relative:char;mso-position-vertical-relative:line" coordorigin="0,0" coordsize="3815,20">
            <v:group style="position:absolute;left:10;top:10;width:2170;height:2" coordorigin="10,10" coordsize="2170,2">
              <v:shape style="position:absolute;left:10;top:10;width:2170;height:2" coordorigin="10,10" coordsize="2170,0" path="m10,10l2180,10e" filled="false" stroked="true" strokeweight=".95999pt" strokecolor="#000000">
                <v:path arrowok="t"/>
              </v:shape>
            </v:group>
            <v:group style="position:absolute;left:2180;top:10;width:20;height:2" coordorigin="2180,10" coordsize="20,2">
              <v:shape style="position:absolute;left:2180;top:10;width:20;height:2" coordorigin="2180,10" coordsize="20,0" path="m2180,10l2199,10e" filled="false" stroked="true" strokeweight=".95999pt" strokecolor="#000000">
                <v:path arrowok="t"/>
              </v:shape>
            </v:group>
            <v:group style="position:absolute;left:2199;top:10;width:219;height:2" coordorigin="2199,10" coordsize="219,2">
              <v:shape style="position:absolute;left:2199;top:10;width:219;height:2" coordorigin="2199,10" coordsize="219,0" path="m2199,10l2417,10e" filled="false" stroked="true" strokeweight=".95999pt" strokecolor="#000000">
                <v:path arrowok="t"/>
              </v:shape>
            </v:group>
            <v:group style="position:absolute;left:2417;top:10;width:20;height:2" coordorigin="2417,10" coordsize="20,2">
              <v:shape style="position:absolute;left:2417;top:10;width:20;height:2" coordorigin="2417,10" coordsize="20,0" path="m2417,10l2437,10e" filled="false" stroked="true" strokeweight=".95999pt" strokecolor="#000000">
                <v:path arrowok="t"/>
              </v:shape>
            </v:group>
            <v:group style="position:absolute;left:2437;top:10;width:1369;height:2" coordorigin="2437,10" coordsize="1369,2">
              <v:shape style="position:absolute;left:2437;top:10;width:1369;height:2" coordorigin="2437,10" coordsize="1369,0" path="m2437,10l3805,10e" filled="false" stroked="true" strokeweight=".95999pt" strokecolor="#000000">
                <v:path arrowok="t"/>
              </v:shape>
            </v:group>
          </v:group>
        </w:pict>
      </w:r>
      <w:r>
        <w:rPr>
          <w:rFonts w:ascii="宋体"/>
          <w:sz w:val="2"/>
        </w:rPr>
      </w:r>
      <w:r>
        <w:rPr>
          <w:rFonts w:ascii="宋体"/>
          <w:sz w:val="2"/>
        </w:rPr>
        <w:tab/>
      </w:r>
      <w:r>
        <w:rPr>
          <w:rFonts w:ascii="宋体"/>
          <w:position w:val="1"/>
          <w:sz w:val="2"/>
        </w:rPr>
        <w:pict>
          <v:group style="width:193.75pt;height:.5pt;mso-position-horizontal-relative:char;mso-position-vertical-relative:line" coordorigin="0,0" coordsize="3875,10">
            <v:group style="position:absolute;left:5;top:5;width:2173;height:2" coordorigin="5,5" coordsize="2173,2">
              <v:shape style="position:absolute;left:5;top:5;width:2173;height:2" coordorigin="5,5" coordsize="2173,0" path="m5,5l2177,5e" filled="false" stroked="true" strokeweight=".48pt" strokecolor="#000000">
                <v:path arrowok="t"/>
              </v:shape>
            </v:group>
            <v:group style="position:absolute;left:2177;top:5;width:10;height:2" coordorigin="2177,5" coordsize="10,2">
              <v:shape style="position:absolute;left:2177;top:5;width:10;height:2" coordorigin="2177,5" coordsize="10,0" path="m2177,5l2187,5e" filled="false" stroked="true" strokeweight=".48pt" strokecolor="#000000">
                <v:path arrowok="t"/>
              </v:shape>
            </v:group>
            <v:group style="position:absolute;left:2187;top:5;width:228;height:2" coordorigin="2187,5" coordsize="228,2">
              <v:shape style="position:absolute;left:2187;top:5;width:228;height:2" coordorigin="2187,5" coordsize="228,0" path="m2187,5l2415,5e" filled="false" stroked="true" strokeweight=".48pt" strokecolor="#000000">
                <v:path arrowok="t"/>
              </v:shape>
            </v:group>
            <v:group style="position:absolute;left:2415;top:5;width:10;height:2" coordorigin="2415,5" coordsize="10,2">
              <v:shape style="position:absolute;left:2415;top:5;width:10;height:2" coordorigin="2415,5" coordsize="10,0" path="m2415,5l2425,5e" filled="false" stroked="true" strokeweight=".48pt" strokecolor="#000000">
                <v:path arrowok="t"/>
              </v:shape>
            </v:group>
            <v:group style="position:absolute;left:2425;top:5;width:1445;height:2" coordorigin="2425,5" coordsize="1445,2">
              <v:shape style="position:absolute;left:2425;top:5;width:1445;height:2" coordorigin="2425,5" coordsize="1445,0" path="m2425,5l3869,5e" filled="false" stroked="true" strokeweight=".48pt" strokecolor="#000000">
                <v:path arrowok="t"/>
              </v:shape>
            </v:group>
          </v:group>
        </w:pict>
      </w:r>
      <w:r>
        <w:rPr>
          <w:rFonts w:ascii="宋体"/>
          <w:position w:val="1"/>
          <w:sz w:val="2"/>
        </w:rPr>
      </w:r>
    </w:p>
    <w:p>
      <w:pPr>
        <w:tabs>
          <w:tab w:pos="5172" w:val="left" w:leader="none"/>
          <w:tab w:pos="7190" w:val="left" w:leader="none"/>
          <w:tab w:pos="9243" w:val="left" w:leader="none"/>
        </w:tabs>
        <w:spacing w:line="234" w:lineRule="exact" w:before="0"/>
        <w:ind w:left="3156" w:right="0" w:firstLine="0"/>
        <w:jc w:val="left"/>
        <w:rPr>
          <w:rFonts w:ascii="宋体" w:hAnsi="宋体" w:cs="宋体" w:eastAsia="宋体" w:hint="default"/>
          <w:sz w:val="16"/>
          <w:szCs w:val="16"/>
        </w:rPr>
      </w:pPr>
      <w:r>
        <w:rPr>
          <w:rFonts w:ascii="宋体" w:hAnsi="宋体" w:cs="宋体" w:eastAsia="宋体" w:hint="default"/>
          <w:position w:val="-5"/>
          <w:sz w:val="16"/>
          <w:szCs w:val="16"/>
        </w:rPr>
        <w:t>账面余额</w:t>
        <w:tab/>
      </w:r>
      <w:r>
        <w:rPr>
          <w:rFonts w:ascii="宋体" w:hAnsi="宋体" w:cs="宋体" w:eastAsia="宋体" w:hint="default"/>
          <w:sz w:val="16"/>
          <w:szCs w:val="16"/>
        </w:rPr>
        <w:t>坏账准备</w:t>
        <w:tab/>
      </w:r>
      <w:r>
        <w:rPr>
          <w:rFonts w:ascii="宋体" w:hAnsi="宋体" w:cs="宋体" w:eastAsia="宋体" w:hint="default"/>
          <w:position w:val="-5"/>
          <w:sz w:val="16"/>
          <w:szCs w:val="16"/>
        </w:rPr>
        <w:t>账面余额</w:t>
        <w:tab/>
      </w:r>
      <w:r>
        <w:rPr>
          <w:rFonts w:ascii="宋体" w:hAnsi="宋体" w:cs="宋体" w:eastAsia="宋体" w:hint="default"/>
          <w:sz w:val="16"/>
          <w:szCs w:val="16"/>
        </w:rPr>
        <w:t>坏账准备</w:t>
      </w:r>
    </w:p>
    <w:p>
      <w:pPr>
        <w:spacing w:line="82" w:lineRule="exact" w:before="0"/>
        <w:ind w:left="1197" w:right="0" w:firstLine="0"/>
        <w:jc w:val="left"/>
        <w:rPr>
          <w:rFonts w:ascii="宋体" w:hAnsi="宋体" w:cs="宋体" w:eastAsia="宋体" w:hint="default"/>
          <w:sz w:val="16"/>
          <w:szCs w:val="16"/>
        </w:rPr>
      </w:pPr>
      <w:r>
        <w:rPr/>
        <w:pict>
          <v:group style="position:absolute;margin-left:174.139999pt;margin-top:1.889387pt;width:109.5pt;height:1pt;mso-position-horizontal-relative:page;mso-position-vertical-relative:paragraph;z-index:1840" coordorigin="3483,38" coordsize="2190,20">
            <v:group style="position:absolute;left:3492;top:47;width:1232;height:2" coordorigin="3492,47" coordsize="1232,2">
              <v:shape style="position:absolute;left:3492;top:47;width:1232;height:2" coordorigin="3492,47" coordsize="1232,0" path="m3492,47l4724,47e" filled="false" stroked="true" strokeweight=".95999pt" strokecolor="#000000">
                <v:path arrowok="t"/>
              </v:shape>
            </v:group>
            <v:group style="position:absolute;left:4724;top:47;width:20;height:2" coordorigin="4724,47" coordsize="20,2">
              <v:shape style="position:absolute;left:4724;top:47;width:20;height:2" coordorigin="4724,47" coordsize="20,0" path="m4724,47l4743,47e" filled="false" stroked="true" strokeweight=".95999pt" strokecolor="#000000">
                <v:path arrowok="t"/>
              </v:shape>
            </v:group>
            <v:group style="position:absolute;left:4743;top:47;width:221;height:2" coordorigin="4743,47" coordsize="221,2">
              <v:shape style="position:absolute;left:4743;top:47;width:221;height:2" coordorigin="4743,47" coordsize="221,0" path="m4743,47l4964,47e" filled="false" stroked="true" strokeweight=".95999pt" strokecolor="#000000">
                <v:path arrowok="t"/>
              </v:shape>
            </v:group>
            <v:group style="position:absolute;left:4964;top:47;width:20;height:2" coordorigin="4964,47" coordsize="20,2">
              <v:shape style="position:absolute;left:4964;top:47;width:20;height:2" coordorigin="4964,47" coordsize="20,0" path="m4964,47l4983,47e" filled="false" stroked="true" strokeweight=".95999pt" strokecolor="#000000">
                <v:path arrowok="t"/>
              </v:shape>
            </v:group>
            <v:group style="position:absolute;left:4983;top:47;width:680;height:2" coordorigin="4983,47" coordsize="680,2">
              <v:shape style="position:absolute;left:4983;top:47;width:680;height:2" coordorigin="4983,47" coordsize="680,0" path="m4983,47l5663,47e" filled="false" stroked="true" strokeweight=".95999pt" strokecolor="#000000">
                <v:path arrowok="t"/>
              </v:shape>
            </v:group>
            <w10:wrap type="none"/>
          </v:group>
        </w:pict>
      </w:r>
      <w:r>
        <w:rPr/>
        <w:pict>
          <v:group style="position:absolute;margin-left:294.529999pt;margin-top:1.889387pt;width:70.350pt;height:1pt;mso-position-horizontal-relative:page;mso-position-vertical-relative:paragraph;z-index:1864" coordorigin="5891,38" coordsize="1407,20">
            <v:group style="position:absolute;left:5900;top:47;width:563;height:2" coordorigin="5900,47" coordsize="563,2">
              <v:shape style="position:absolute;left:5900;top:47;width:563;height:2" coordorigin="5900,47" coordsize="563,0" path="m5900,47l6462,47e" filled="false" stroked="true" strokeweight=".95999pt" strokecolor="#000000">
                <v:path arrowok="t"/>
              </v:shape>
            </v:group>
            <v:group style="position:absolute;left:6462;top:47;width:20;height:2" coordorigin="6462,47" coordsize="20,2">
              <v:shape style="position:absolute;left:6462;top:47;width:20;height:2" coordorigin="6462,47" coordsize="20,0" path="m6462,47l6481,47e" filled="false" stroked="true" strokeweight=".95999pt" strokecolor="#000000">
                <v:path arrowok="t"/>
              </v:shape>
            </v:group>
            <v:group style="position:absolute;left:6481;top:47;width:219;height:2" coordorigin="6481,47" coordsize="219,2">
              <v:shape style="position:absolute;left:6481;top:47;width:219;height:2" coordorigin="6481,47" coordsize="219,0" path="m6481,47l6700,47e" filled="false" stroked="true" strokeweight=".95999pt" strokecolor="#000000">
                <v:path arrowok="t"/>
              </v:shape>
            </v:group>
            <v:group style="position:absolute;left:6700;top:47;width:20;height:2" coordorigin="6700,47" coordsize="20,2">
              <v:shape style="position:absolute;left:6700;top:47;width:20;height:2" coordorigin="6700,47" coordsize="20,0" path="m6700,47l6719,47e" filled="false" stroked="true" strokeweight=".95999pt" strokecolor="#000000">
                <v:path arrowok="t"/>
              </v:shape>
            </v:group>
            <v:group style="position:absolute;left:6719;top:47;width:569;height:2" coordorigin="6719,47" coordsize="569,2">
              <v:shape style="position:absolute;left:6719;top:47;width:569;height:2" coordorigin="6719,47" coordsize="569,0" path="m6719,47l7288,47e" filled="false" stroked="true" strokeweight=".95999pt" strokecolor="#000000">
                <v:path arrowok="t"/>
              </v:shape>
            </v:group>
            <w10:wrap type="none"/>
          </v:group>
        </w:pict>
      </w:r>
      <w:r>
        <w:rPr/>
        <w:pict>
          <v:group style="position:absolute;margin-left:375.790009pt;margin-top:1.889387pt;width:109.6pt;height:1pt;mso-position-horizontal-relative:page;mso-position-vertical-relative:paragraph;z-index:1888" coordorigin="7516,38" coordsize="2192,20">
            <v:group style="position:absolute;left:7525;top:47;width:1220;height:2" coordorigin="7525,47" coordsize="1220,2">
              <v:shape style="position:absolute;left:7525;top:47;width:1220;height:2" coordorigin="7525,47" coordsize="1220,0" path="m7525,47l8745,47e" filled="false" stroked="true" strokeweight=".95999pt" strokecolor="#000000">
                <v:path arrowok="t"/>
              </v:shape>
            </v:group>
            <v:group style="position:absolute;left:8745;top:47;width:20;height:2" coordorigin="8745,47" coordsize="20,2">
              <v:shape style="position:absolute;left:8745;top:47;width:20;height:2" coordorigin="8745,47" coordsize="20,0" path="m8745,47l8764,47e" filled="false" stroked="true" strokeweight=".95999pt" strokecolor="#000000">
                <v:path arrowok="t"/>
              </v:shape>
            </v:group>
            <v:group style="position:absolute;left:8764;top:47;width:219;height:2" coordorigin="8764,47" coordsize="219,2">
              <v:shape style="position:absolute;left:8764;top:47;width:219;height:2" coordorigin="8764,47" coordsize="219,0" path="m8764,47l8983,47e" filled="false" stroked="true" strokeweight=".95999pt" strokecolor="#000000">
                <v:path arrowok="t"/>
              </v:shape>
            </v:group>
            <v:group style="position:absolute;left:8983;top:47;width:20;height:2" coordorigin="8983,47" coordsize="20,2">
              <v:shape style="position:absolute;left:8983;top:47;width:20;height:2" coordorigin="8983,47" coordsize="20,0" path="m8983,47l9002,47e" filled="false" stroked="true" strokeweight=".95999pt" strokecolor="#000000">
                <v:path arrowok="t"/>
              </v:shape>
            </v:group>
            <v:group style="position:absolute;left:9002;top:47;width:696;height:2" coordorigin="9002,47" coordsize="696,2">
              <v:shape style="position:absolute;left:9002;top:47;width:696;height:2" coordorigin="9002,47" coordsize="696,0" path="m9002,47l9698,47e" filled="false" stroked="true" strokeweight=".95999pt" strokecolor="#000000">
                <v:path arrowok="t"/>
              </v:shape>
            </v:group>
            <w10:wrap type="none"/>
          </v:group>
        </w:pict>
      </w:r>
      <w:r>
        <w:rPr/>
        <w:pict>
          <v:group style="position:absolute;margin-left:496.300018pt;margin-top:1.889387pt;width:73.7pt;height:1pt;mso-position-horizontal-relative:page;mso-position-vertical-relative:paragraph;z-index:1912" coordorigin="9926,38" coordsize="1474,20">
            <v:group style="position:absolute;left:9936;top:47;width:615;height:2" coordorigin="9936,47" coordsize="615,2">
              <v:shape style="position:absolute;left:9936;top:47;width:615;height:2" coordorigin="9936,47" coordsize="615,0" path="m9936,47l10550,47e" filled="false" stroked="true" strokeweight=".95999pt" strokecolor="#000000">
                <v:path arrowok="t"/>
              </v:shape>
            </v:group>
            <v:group style="position:absolute;left:10550;top:47;width:20;height:2" coordorigin="10550,47" coordsize="20,2">
              <v:shape style="position:absolute;left:10550;top:47;width:20;height:2" coordorigin="10550,47" coordsize="20,0" path="m10550,47l10569,47e" filled="false" stroked="true" strokeweight=".95999pt" strokecolor="#000000">
                <v:path arrowok="t"/>
              </v:shape>
            </v:group>
            <v:group style="position:absolute;left:10569;top:47;width:221;height:2" coordorigin="10569,47" coordsize="221,2">
              <v:shape style="position:absolute;left:10569;top:47;width:221;height:2" coordorigin="10569,47" coordsize="221,0" path="m10569,47l10790,47e" filled="false" stroked="true" strokeweight=".95999pt" strokecolor="#000000">
                <v:path arrowok="t"/>
              </v:shape>
            </v:group>
            <v:group style="position:absolute;left:10790;top:47;width:20;height:2" coordorigin="10790,47" coordsize="20,2">
              <v:shape style="position:absolute;left:10790;top:47;width:20;height:2" coordorigin="10790,47" coordsize="20,0" path="m10790,47l10809,47e" filled="false" stroked="true" strokeweight=".95999pt" strokecolor="#000000">
                <v:path arrowok="t"/>
              </v:shape>
            </v:group>
            <v:group style="position:absolute;left:10809;top:47;width:581;height:2" coordorigin="10809,47" coordsize="581,2">
              <v:shape style="position:absolute;left:10809;top:47;width:581;height:2" coordorigin="10809,47" coordsize="581,0" path="m10809,47l11390,47e" filled="false" stroked="true" strokeweight=".95999pt" strokecolor="#000000">
                <v:path arrowok="t"/>
              </v:shape>
            </v:group>
            <w10:wrap type="none"/>
          </v:group>
        </w:pict>
      </w:r>
      <w:r>
        <w:rPr>
          <w:rFonts w:ascii="宋体" w:hAnsi="宋体" w:cs="宋体" w:eastAsia="宋体" w:hint="default"/>
          <w:sz w:val="16"/>
          <w:szCs w:val="16"/>
        </w:rPr>
        <w:t>种类</w:t>
      </w:r>
    </w:p>
    <w:p>
      <w:pPr>
        <w:spacing w:after="0" w:line="82" w:lineRule="exact"/>
        <w:jc w:val="left"/>
        <w:rPr>
          <w:rFonts w:ascii="宋体" w:hAnsi="宋体" w:cs="宋体" w:eastAsia="宋体" w:hint="default"/>
          <w:sz w:val="16"/>
          <w:szCs w:val="16"/>
        </w:rPr>
        <w:sectPr>
          <w:pgSz w:w="11910" w:h="16840"/>
          <w:pgMar w:header="886" w:footer="980" w:top="1740" w:bottom="1160" w:left="1100" w:right="400"/>
        </w:sectPr>
      </w:pPr>
    </w:p>
    <w:p>
      <w:pPr>
        <w:tabs>
          <w:tab w:pos="4053" w:val="left" w:leader="none"/>
          <w:tab w:pos="5734" w:val="left" w:leader="none"/>
        </w:tabs>
        <w:spacing w:line="261" w:lineRule="exact" w:before="0"/>
        <w:ind w:left="2849" w:right="-19" w:firstLine="0"/>
        <w:jc w:val="left"/>
        <w:rPr>
          <w:rFonts w:ascii="宋体" w:hAnsi="宋体" w:cs="宋体" w:eastAsia="宋体" w:hint="default"/>
          <w:sz w:val="16"/>
          <w:szCs w:val="16"/>
        </w:rPr>
      </w:pPr>
      <w:r>
        <w:rPr/>
        <w:pict>
          <v:shape style="position:absolute;margin-left:82.944pt;margin-top:10.32pt;width:486.6pt;height:135.3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4"/>
                    <w:gridCol w:w="238"/>
                    <w:gridCol w:w="3798"/>
                    <w:gridCol w:w="238"/>
                    <w:gridCol w:w="1454"/>
                  </w:tblGrid>
                  <w:tr>
                    <w:trPr>
                      <w:trHeight w:val="196" w:hRule="exact"/>
                    </w:trPr>
                    <w:tc>
                      <w:tcPr>
                        <w:tcW w:w="4004" w:type="dxa"/>
                        <w:tcBorders>
                          <w:top w:val="nil" w:sz="6" w:space="0" w:color="auto"/>
                          <w:left w:val="nil" w:sz="6" w:space="0" w:color="auto"/>
                          <w:bottom w:val="single" w:sz="8" w:space="0" w:color="000000"/>
                          <w:right w:val="nil" w:sz="6" w:space="0" w:color="auto"/>
                        </w:tcBorders>
                      </w:tcPr>
                      <w:p>
                        <w:pPr>
                          <w:pStyle w:val="TableParagraph"/>
                          <w:spacing w:line="161" w:lineRule="exact"/>
                          <w:ind w:right="144"/>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r>
                      </w:p>
                    </w:tc>
                    <w:tc>
                      <w:tcPr>
                        <w:tcW w:w="238" w:type="dxa"/>
                        <w:tcBorders>
                          <w:top w:val="nil" w:sz="6" w:space="0" w:color="auto"/>
                          <w:left w:val="nil" w:sz="6" w:space="0" w:color="auto"/>
                          <w:bottom w:val="nil" w:sz="6" w:space="0" w:color="auto"/>
                          <w:right w:val="nil" w:sz="6" w:space="0" w:color="auto"/>
                        </w:tcBorders>
                      </w:tcPr>
                      <w:p>
                        <w:pPr/>
                      </w:p>
                    </w:tc>
                    <w:tc>
                      <w:tcPr>
                        <w:tcW w:w="3798" w:type="dxa"/>
                        <w:tcBorders>
                          <w:top w:val="nil" w:sz="6" w:space="0" w:color="auto"/>
                          <w:left w:val="nil" w:sz="6" w:space="0" w:color="auto"/>
                          <w:bottom w:val="single" w:sz="8" w:space="0" w:color="000000"/>
                          <w:right w:val="nil" w:sz="6" w:space="0" w:color="auto"/>
                        </w:tcBorders>
                      </w:tcPr>
                      <w:p>
                        <w:pPr>
                          <w:pStyle w:val="TableParagraph"/>
                          <w:tabs>
                            <w:tab w:pos="787" w:val="left" w:leader="none"/>
                            <w:tab w:pos="1953" w:val="left" w:leader="none"/>
                            <w:tab w:pos="3118" w:val="left" w:leader="none"/>
                          </w:tabs>
                          <w:spacing w:line="161" w:lineRule="exact"/>
                          <w:ind w:right="155"/>
                          <w:jc w:val="right"/>
                          <w:rPr>
                            <w:rFonts w:ascii="宋体" w:hAnsi="宋体" w:cs="宋体" w:eastAsia="宋体" w:hint="default"/>
                            <w:sz w:val="16"/>
                            <w:szCs w:val="16"/>
                          </w:rPr>
                        </w:pPr>
                        <w:r>
                          <w:rPr>
                            <w:rFonts w:ascii="宋体" w:hAnsi="宋体" w:cs="宋体" w:eastAsia="宋体" w:hint="default"/>
                            <w:position w:val="10"/>
                            <w:sz w:val="16"/>
                            <w:szCs w:val="16"/>
                          </w:rPr>
                          <w:t>金额</w:t>
                          <w:tab/>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tab/>
                        </w:r>
                        <w:r>
                          <w:rPr>
                            <w:rFonts w:ascii="宋体" w:hAnsi="宋体" w:cs="宋体" w:eastAsia="宋体" w:hint="default"/>
                            <w:position w:val="10"/>
                            <w:sz w:val="16"/>
                            <w:szCs w:val="16"/>
                          </w:rPr>
                          <w:t>金额</w:t>
                          <w:tab/>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8" w:space="0" w:color="000000"/>
                          <w:right w:val="nil" w:sz="6" w:space="0" w:color="auto"/>
                        </w:tcBorders>
                      </w:tcPr>
                      <w:p>
                        <w:pPr>
                          <w:pStyle w:val="TableParagraph"/>
                          <w:tabs>
                            <w:tab w:pos="813" w:val="left" w:leader="none"/>
                          </w:tabs>
                          <w:spacing w:line="161" w:lineRule="exact"/>
                          <w:ind w:right="86"/>
                          <w:jc w:val="right"/>
                          <w:rPr>
                            <w:rFonts w:ascii="宋体" w:hAnsi="宋体" w:cs="宋体" w:eastAsia="宋体" w:hint="default"/>
                            <w:sz w:val="16"/>
                            <w:szCs w:val="16"/>
                          </w:rPr>
                        </w:pPr>
                        <w:r>
                          <w:rPr>
                            <w:rFonts w:ascii="宋体" w:hAnsi="宋体" w:cs="宋体" w:eastAsia="宋体" w:hint="default"/>
                            <w:position w:val="10"/>
                            <w:sz w:val="16"/>
                            <w:szCs w:val="16"/>
                          </w:rPr>
                          <w:t>金额</w:t>
                          <w:tab/>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r>
                      </w:p>
                    </w:tc>
                  </w:tr>
                  <w:tr>
                    <w:trPr>
                      <w:trHeight w:val="648" w:hRule="exact"/>
                    </w:trPr>
                    <w:tc>
                      <w:tcPr>
                        <w:tcW w:w="4004" w:type="dxa"/>
                        <w:tcBorders>
                          <w:top w:val="single" w:sz="8" w:space="0" w:color="000000"/>
                          <w:left w:val="nil" w:sz="6" w:space="0" w:color="auto"/>
                          <w:bottom w:val="nil" w:sz="6" w:space="0" w:color="auto"/>
                          <w:right w:val="nil" w:sz="6" w:space="0" w:color="auto"/>
                        </w:tcBorders>
                      </w:tcPr>
                      <w:p>
                        <w:pPr>
                          <w:pStyle w:val="TableParagraph"/>
                          <w:spacing w:line="182" w:lineRule="exact"/>
                          <w:ind w:left="107" w:right="0"/>
                          <w:jc w:val="left"/>
                          <w:rPr>
                            <w:rFonts w:ascii="宋体" w:hAnsi="宋体" w:cs="宋体" w:eastAsia="宋体" w:hint="default"/>
                            <w:sz w:val="16"/>
                            <w:szCs w:val="16"/>
                          </w:rPr>
                        </w:pPr>
                        <w:r>
                          <w:rPr>
                            <w:rFonts w:ascii="宋体" w:hAnsi="宋体" w:cs="宋体" w:eastAsia="宋体" w:hint="default"/>
                            <w:spacing w:val="10"/>
                            <w:sz w:val="16"/>
                            <w:szCs w:val="16"/>
                          </w:rPr>
                          <w:t>单项金额重大并单</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tabs>
                            <w:tab w:pos="2878" w:val="left" w:leader="none"/>
                            <w:tab w:pos="3818" w:val="left" w:leader="none"/>
                          </w:tabs>
                          <w:spacing w:line="240" w:lineRule="auto"/>
                          <w:ind w:left="107" w:right="102"/>
                          <w:jc w:val="left"/>
                          <w:rPr>
                            <w:rFonts w:ascii="宋体" w:hAnsi="宋体" w:cs="宋体" w:eastAsia="宋体" w:hint="default"/>
                            <w:sz w:val="16"/>
                            <w:szCs w:val="16"/>
                          </w:rPr>
                        </w:pPr>
                        <w:r>
                          <w:rPr>
                            <w:rFonts w:ascii="宋体" w:hAnsi="宋体" w:cs="宋体" w:eastAsia="宋体" w:hint="default"/>
                            <w:spacing w:val="10"/>
                            <w:sz w:val="16"/>
                            <w:szCs w:val="16"/>
                          </w:rPr>
                          <w:t>项计提坏账准备的</w:t>
                          <w:tab/>
                        </w:r>
                        <w:r>
                          <w:rPr>
                            <w:rFonts w:ascii="宋体" w:hAnsi="宋体" w:cs="宋体" w:eastAsia="宋体" w:hint="default"/>
                            <w:sz w:val="16"/>
                            <w:szCs w:val="16"/>
                          </w:rPr>
                          <w:t>-</w:t>
                          <w:tab/>
                          <w:t>-</w:t>
                        </w:r>
                        <w:r>
                          <w:rPr>
                            <w:rFonts w:ascii="宋体" w:hAnsi="宋体" w:cs="宋体" w:eastAsia="宋体" w:hint="default"/>
                            <w:w w:val="100"/>
                            <w:sz w:val="16"/>
                            <w:szCs w:val="16"/>
                          </w:rPr>
                          <w:t> </w:t>
                        </w:r>
                        <w:r>
                          <w:rPr>
                            <w:rFonts w:ascii="宋体" w:hAnsi="宋体" w:cs="宋体" w:eastAsia="宋体" w:hint="default"/>
                            <w:sz w:val="16"/>
                            <w:szCs w:val="16"/>
                          </w:rPr>
                          <w:t>应收账款</w:t>
                        </w:r>
                      </w:p>
                    </w:tc>
                    <w:tc>
                      <w:tcPr>
                        <w:tcW w:w="238" w:type="dxa"/>
                        <w:tcBorders>
                          <w:top w:val="nil" w:sz="6" w:space="0" w:color="auto"/>
                          <w:left w:val="nil" w:sz="6" w:space="0" w:color="auto"/>
                          <w:bottom w:val="nil" w:sz="6" w:space="0" w:color="auto"/>
                          <w:right w:val="nil" w:sz="6" w:space="0" w:color="auto"/>
                        </w:tcBorders>
                      </w:tcPr>
                      <w:p>
                        <w:pPr/>
                      </w:p>
                    </w:tc>
                    <w:tc>
                      <w:tcPr>
                        <w:tcW w:w="3798"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828" w:val="left" w:leader="none"/>
                            <w:tab w:pos="2285" w:val="left" w:leader="none"/>
                            <w:tab w:pos="3236" w:val="left" w:leader="none"/>
                          </w:tabs>
                          <w:spacing w:line="240" w:lineRule="auto"/>
                          <w:ind w:right="107"/>
                          <w:jc w:val="right"/>
                          <w:rPr>
                            <w:rFonts w:ascii="宋体" w:hAnsi="宋体" w:cs="宋体" w:eastAsia="宋体" w:hint="default"/>
                            <w:sz w:val="16"/>
                            <w:szCs w:val="16"/>
                          </w:rPr>
                        </w:pPr>
                        <w:r>
                          <w:rPr>
                            <w:rFonts w:ascii="宋体"/>
                            <w:sz w:val="16"/>
                          </w:rPr>
                          <w:t>-</w:t>
                          <w:tab/>
                          <w:t>-</w:t>
                          <w:tab/>
                          <w:t>-</w:t>
                          <w:tab/>
                          <w:t>-</w:t>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839" w:val="left" w:leader="none"/>
                          </w:tabs>
                          <w:spacing w:line="240" w:lineRule="auto"/>
                          <w:ind w:right="102"/>
                          <w:jc w:val="right"/>
                          <w:rPr>
                            <w:rFonts w:ascii="宋体" w:hAnsi="宋体" w:cs="宋体" w:eastAsia="宋体" w:hint="default"/>
                            <w:sz w:val="16"/>
                            <w:szCs w:val="16"/>
                          </w:rPr>
                        </w:pPr>
                        <w:r>
                          <w:rPr>
                            <w:rFonts w:ascii="宋体"/>
                            <w:sz w:val="16"/>
                          </w:rPr>
                          <w:t>-</w:t>
                          <w:tab/>
                          <w:t>-</w:t>
                        </w:r>
                      </w:p>
                    </w:tc>
                  </w:tr>
                  <w:tr>
                    <w:trPr>
                      <w:trHeight w:val="273" w:hRule="exact"/>
                    </w:trPr>
                    <w:tc>
                      <w:tcPr>
                        <w:tcW w:w="4004"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按组合计提坏账准备的应收账款：</w:t>
                        </w:r>
                      </w:p>
                    </w:tc>
                    <w:tc>
                      <w:tcPr>
                        <w:tcW w:w="238" w:type="dxa"/>
                        <w:tcBorders>
                          <w:top w:val="nil" w:sz="6" w:space="0" w:color="auto"/>
                          <w:left w:val="nil" w:sz="6" w:space="0" w:color="auto"/>
                          <w:bottom w:val="nil" w:sz="6" w:space="0" w:color="auto"/>
                          <w:right w:val="nil" w:sz="6" w:space="0" w:color="auto"/>
                        </w:tcBorders>
                      </w:tcPr>
                      <w:p>
                        <w:pPr/>
                      </w:p>
                    </w:tc>
                    <w:tc>
                      <w:tcPr>
                        <w:tcW w:w="37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r>
                  <w:tr>
                    <w:trPr>
                      <w:trHeight w:val="288" w:hRule="exact"/>
                    </w:trPr>
                    <w:tc>
                      <w:tcPr>
                        <w:tcW w:w="4004" w:type="dxa"/>
                        <w:tcBorders>
                          <w:top w:val="nil" w:sz="6" w:space="0" w:color="auto"/>
                          <w:left w:val="nil" w:sz="6" w:space="0" w:color="auto"/>
                          <w:bottom w:val="nil" w:sz="6" w:space="0" w:color="auto"/>
                          <w:right w:val="nil" w:sz="6" w:space="0" w:color="auto"/>
                        </w:tcBorders>
                      </w:tcPr>
                      <w:p>
                        <w:pPr>
                          <w:pStyle w:val="TableParagraph"/>
                          <w:tabs>
                            <w:tab w:pos="1984" w:val="left" w:leader="none"/>
                            <w:tab w:pos="3418" w:val="left" w:leader="none"/>
                          </w:tabs>
                          <w:spacing w:line="240" w:lineRule="auto" w:before="23"/>
                          <w:ind w:left="107" w:right="0"/>
                          <w:jc w:val="left"/>
                          <w:rPr>
                            <w:rFonts w:ascii="宋体" w:hAnsi="宋体" w:cs="宋体" w:eastAsia="宋体" w:hint="default"/>
                            <w:sz w:val="16"/>
                            <w:szCs w:val="16"/>
                          </w:rPr>
                        </w:pPr>
                        <w:r>
                          <w:rPr>
                            <w:rFonts w:ascii="宋体" w:hAnsi="宋体" w:cs="宋体" w:eastAsia="宋体" w:hint="default"/>
                            <w:spacing w:val="-1"/>
                            <w:sz w:val="16"/>
                            <w:szCs w:val="16"/>
                          </w:rPr>
                          <w:t>账龄分析法组合</w:t>
                          <w:tab/>
                        </w:r>
                        <w:r>
                          <w:rPr>
                            <w:rFonts w:ascii="宋体" w:hAnsi="宋体" w:cs="宋体" w:eastAsia="宋体" w:hint="default"/>
                            <w:spacing w:val="-2"/>
                            <w:sz w:val="16"/>
                            <w:szCs w:val="16"/>
                          </w:rPr>
                          <w:t>30,849,856.34</w:t>
                          <w:tab/>
                        </w:r>
                        <w:r>
                          <w:rPr>
                            <w:rFonts w:ascii="宋体" w:hAnsi="宋体" w:cs="宋体" w:eastAsia="宋体" w:hint="default"/>
                            <w:spacing w:val="-1"/>
                            <w:sz w:val="16"/>
                            <w:szCs w:val="16"/>
                          </w:rPr>
                          <w:t>100.00</w:t>
                        </w:r>
                      </w:p>
                    </w:tc>
                    <w:tc>
                      <w:tcPr>
                        <w:tcW w:w="238" w:type="dxa"/>
                        <w:tcBorders>
                          <w:top w:val="nil" w:sz="6" w:space="0" w:color="auto"/>
                          <w:left w:val="nil" w:sz="6" w:space="0" w:color="auto"/>
                          <w:bottom w:val="nil" w:sz="6" w:space="0" w:color="auto"/>
                          <w:right w:val="nil" w:sz="6" w:space="0" w:color="auto"/>
                        </w:tcBorders>
                      </w:tcPr>
                      <w:p>
                        <w:pPr/>
                      </w:p>
                    </w:tc>
                    <w:tc>
                      <w:tcPr>
                        <w:tcW w:w="3798" w:type="dxa"/>
                        <w:tcBorders>
                          <w:top w:val="nil" w:sz="6" w:space="0" w:color="auto"/>
                          <w:left w:val="nil" w:sz="6" w:space="0" w:color="auto"/>
                          <w:bottom w:val="nil" w:sz="6" w:space="0" w:color="auto"/>
                          <w:right w:val="nil" w:sz="6" w:space="0" w:color="auto"/>
                        </w:tcBorders>
                      </w:tcPr>
                      <w:p>
                        <w:pPr>
                          <w:pStyle w:val="TableParagraph"/>
                          <w:tabs>
                            <w:tab w:pos="828" w:val="left" w:leader="none"/>
                            <w:tab w:pos="1389" w:val="left" w:leader="none"/>
                            <w:tab w:pos="2835" w:val="left" w:leader="none"/>
                          </w:tabs>
                          <w:spacing w:line="240" w:lineRule="auto" w:before="23"/>
                          <w:ind w:right="107"/>
                          <w:jc w:val="right"/>
                          <w:rPr>
                            <w:rFonts w:ascii="宋体" w:hAnsi="宋体" w:cs="宋体" w:eastAsia="宋体" w:hint="default"/>
                            <w:sz w:val="16"/>
                            <w:szCs w:val="16"/>
                          </w:rPr>
                        </w:pPr>
                        <w:r>
                          <w:rPr>
                            <w:rFonts w:ascii="宋体"/>
                            <w:sz w:val="16"/>
                          </w:rPr>
                          <w:t>-</w:t>
                          <w:tab/>
                          <w:t>-</w:t>
                          <w:tab/>
                        </w:r>
                        <w:r>
                          <w:rPr>
                            <w:rFonts w:ascii="宋体"/>
                            <w:spacing w:val="-2"/>
                            <w:sz w:val="16"/>
                          </w:rPr>
                          <w:t>25,388,054.15</w:t>
                          <w:tab/>
                        </w:r>
                        <w:r>
                          <w:rPr>
                            <w:rFonts w:ascii="宋体"/>
                            <w:spacing w:val="-1"/>
                            <w:sz w:val="16"/>
                          </w:rPr>
                          <w:t>100.00</w:t>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23"/>
                          <w:ind w:right="102"/>
                          <w:jc w:val="right"/>
                          <w:rPr>
                            <w:rFonts w:ascii="宋体" w:hAnsi="宋体" w:cs="宋体" w:eastAsia="宋体" w:hint="default"/>
                            <w:sz w:val="16"/>
                            <w:szCs w:val="16"/>
                          </w:rPr>
                        </w:pPr>
                        <w:r>
                          <w:rPr>
                            <w:rFonts w:ascii="宋体"/>
                            <w:sz w:val="16"/>
                          </w:rPr>
                          <w:t>-</w:t>
                          <w:tab/>
                          <w:t>-</w:t>
                        </w:r>
                      </w:p>
                    </w:tc>
                  </w:tr>
                  <w:tr>
                    <w:trPr>
                      <w:trHeight w:val="873" w:hRule="exact"/>
                    </w:trPr>
                    <w:tc>
                      <w:tcPr>
                        <w:tcW w:w="4004" w:type="dxa"/>
                        <w:tcBorders>
                          <w:top w:val="nil" w:sz="6" w:space="0" w:color="auto"/>
                          <w:left w:val="nil" w:sz="6" w:space="0" w:color="auto"/>
                          <w:bottom w:val="single" w:sz="8" w:space="0" w:color="000000"/>
                          <w:right w:val="nil" w:sz="6" w:space="0" w:color="auto"/>
                        </w:tcBorders>
                      </w:tcPr>
                      <w:p>
                        <w:pPr>
                          <w:pStyle w:val="TableParagraph"/>
                          <w:tabs>
                            <w:tab w:pos="1955" w:val="left" w:leader="none"/>
                            <w:tab w:pos="3418" w:val="left" w:leader="none"/>
                          </w:tabs>
                          <w:spacing w:line="209" w:lineRule="exact" w:before="6"/>
                          <w:ind w:left="107" w:right="0"/>
                          <w:jc w:val="left"/>
                          <w:rPr>
                            <w:rFonts w:ascii="宋体" w:hAnsi="宋体" w:cs="宋体" w:eastAsia="宋体" w:hint="default"/>
                            <w:sz w:val="16"/>
                            <w:szCs w:val="16"/>
                          </w:rPr>
                        </w:pPr>
                        <w:r>
                          <w:rPr>
                            <w:rFonts w:ascii="宋体" w:hAnsi="宋体" w:cs="宋体" w:eastAsia="宋体" w:hint="default"/>
                            <w:sz w:val="16"/>
                            <w:szCs w:val="16"/>
                          </w:rPr>
                          <w:t>组合小计</w:t>
                          <w:tab/>
                        </w:r>
                        <w:r>
                          <w:rPr>
                            <w:rFonts w:ascii="宋体" w:hAnsi="宋体" w:cs="宋体" w:eastAsia="宋体" w:hint="default"/>
                            <w:spacing w:val="-2"/>
                            <w:sz w:val="16"/>
                            <w:szCs w:val="16"/>
                          </w:rPr>
                          <w:t>30,849,856.34</w:t>
                          <w:tab/>
                        </w:r>
                        <w:r>
                          <w:rPr>
                            <w:rFonts w:ascii="宋体" w:hAnsi="宋体" w:cs="宋体" w:eastAsia="宋体" w:hint="default"/>
                            <w:spacing w:val="-1"/>
                            <w:sz w:val="16"/>
                            <w:szCs w:val="16"/>
                          </w:rPr>
                          <w:t>100.00</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pacing w:val="12"/>
                            <w:sz w:val="16"/>
                            <w:szCs w:val="16"/>
                          </w:rPr>
                          <w:t>单项金额虽不重大</w:t>
                        </w:r>
                      </w:p>
                      <w:p>
                        <w:pPr>
                          <w:pStyle w:val="TableParagraph"/>
                          <w:tabs>
                            <w:tab w:pos="2880" w:val="left" w:leader="none"/>
                            <w:tab w:pos="3818" w:val="left" w:leader="none"/>
                          </w:tabs>
                          <w:spacing w:line="240" w:lineRule="auto"/>
                          <w:ind w:left="107" w:right="102"/>
                          <w:jc w:val="left"/>
                          <w:rPr>
                            <w:rFonts w:ascii="宋体" w:hAnsi="宋体" w:cs="宋体" w:eastAsia="宋体" w:hint="default"/>
                            <w:sz w:val="16"/>
                            <w:szCs w:val="16"/>
                          </w:rPr>
                        </w:pPr>
                        <w:r>
                          <w:rPr>
                            <w:rFonts w:ascii="宋体" w:hAnsi="宋体" w:cs="宋体" w:eastAsia="宋体" w:hint="default"/>
                            <w:spacing w:val="12"/>
                            <w:sz w:val="16"/>
                            <w:szCs w:val="16"/>
                          </w:rPr>
                          <w:t>但单项计提坏账准</w:t>
                          <w:tab/>
                        </w:r>
                        <w:r>
                          <w:rPr>
                            <w:rFonts w:ascii="宋体" w:hAnsi="宋体" w:cs="宋体" w:eastAsia="宋体" w:hint="default"/>
                            <w:sz w:val="16"/>
                            <w:szCs w:val="16"/>
                          </w:rPr>
                          <w:t>-</w:t>
                          <w:tab/>
                          <w:t>-</w:t>
                        </w:r>
                        <w:r>
                          <w:rPr>
                            <w:rFonts w:ascii="宋体" w:hAnsi="宋体" w:cs="宋体" w:eastAsia="宋体" w:hint="default"/>
                            <w:w w:val="100"/>
                            <w:sz w:val="16"/>
                            <w:szCs w:val="16"/>
                          </w:rPr>
                          <w:t> </w:t>
                        </w:r>
                        <w:r>
                          <w:rPr>
                            <w:rFonts w:ascii="宋体" w:hAnsi="宋体" w:cs="宋体" w:eastAsia="宋体" w:hint="default"/>
                            <w:sz w:val="16"/>
                            <w:szCs w:val="16"/>
                          </w:rPr>
                          <w:t>备的应收账款</w:t>
                        </w:r>
                      </w:p>
                    </w:tc>
                    <w:tc>
                      <w:tcPr>
                        <w:tcW w:w="238" w:type="dxa"/>
                        <w:tcBorders>
                          <w:top w:val="nil" w:sz="6" w:space="0" w:color="auto"/>
                          <w:left w:val="nil" w:sz="6" w:space="0" w:color="auto"/>
                          <w:bottom w:val="nil" w:sz="6" w:space="0" w:color="auto"/>
                          <w:right w:val="nil" w:sz="6" w:space="0" w:color="auto"/>
                        </w:tcBorders>
                      </w:tcPr>
                      <w:p>
                        <w:pPr/>
                      </w:p>
                    </w:tc>
                    <w:tc>
                      <w:tcPr>
                        <w:tcW w:w="3798" w:type="dxa"/>
                        <w:tcBorders>
                          <w:top w:val="nil" w:sz="6" w:space="0" w:color="auto"/>
                          <w:left w:val="nil" w:sz="6" w:space="0" w:color="auto"/>
                          <w:bottom w:val="single" w:sz="8" w:space="0" w:color="000000"/>
                          <w:right w:val="nil" w:sz="6" w:space="0" w:color="auto"/>
                        </w:tcBorders>
                      </w:tcPr>
                      <w:p>
                        <w:pPr>
                          <w:pStyle w:val="TableParagraph"/>
                          <w:tabs>
                            <w:tab w:pos="1761" w:val="left" w:leader="none"/>
                            <w:tab w:pos="3207" w:val="left" w:leader="none"/>
                          </w:tabs>
                          <w:spacing w:line="240" w:lineRule="auto" w:before="6"/>
                          <w:ind w:left="372" w:right="0"/>
                          <w:jc w:val="left"/>
                          <w:rPr>
                            <w:rFonts w:ascii="宋体" w:hAnsi="宋体" w:cs="宋体" w:eastAsia="宋体" w:hint="default"/>
                            <w:sz w:val="16"/>
                            <w:szCs w:val="16"/>
                          </w:rPr>
                        </w:pPr>
                        <w:r>
                          <w:rPr>
                            <w:rFonts w:ascii="宋体"/>
                            <w:sz w:val="16"/>
                          </w:rPr>
                          <w:t>-</w:t>
                          <w:tab/>
                        </w:r>
                        <w:r>
                          <w:rPr>
                            <w:rFonts w:ascii="宋体"/>
                            <w:spacing w:val="-2"/>
                            <w:sz w:val="16"/>
                          </w:rPr>
                          <w:t>25,388,054.15</w:t>
                          <w:tab/>
                        </w:r>
                        <w:r>
                          <w:rPr>
                            <w:rFonts w:ascii="宋体"/>
                            <w:spacing w:val="-1"/>
                            <w:sz w:val="16"/>
                          </w:rPr>
                          <w:t>100.00</w:t>
                        </w:r>
                      </w:p>
                      <w:p>
                        <w:pPr>
                          <w:pStyle w:val="TableParagraph"/>
                          <w:spacing w:line="240" w:lineRule="auto" w:before="10"/>
                          <w:ind w:right="0"/>
                          <w:jc w:val="left"/>
                          <w:rPr>
                            <w:rFonts w:ascii="宋体" w:hAnsi="宋体" w:cs="宋体" w:eastAsia="宋体" w:hint="default"/>
                            <w:sz w:val="15"/>
                            <w:szCs w:val="15"/>
                          </w:rPr>
                        </w:pPr>
                      </w:p>
                      <w:p>
                        <w:pPr>
                          <w:pStyle w:val="TableParagraph"/>
                          <w:tabs>
                            <w:tab w:pos="1200" w:val="left" w:leader="none"/>
                            <w:tab w:pos="2721" w:val="left" w:leader="none"/>
                            <w:tab w:pos="3608" w:val="left" w:leader="none"/>
                          </w:tabs>
                          <w:spacing w:line="240" w:lineRule="auto"/>
                          <w:ind w:left="372" w:right="0"/>
                          <w:jc w:val="left"/>
                          <w:rPr>
                            <w:rFonts w:ascii="宋体" w:hAnsi="宋体" w:cs="宋体" w:eastAsia="宋体" w:hint="default"/>
                            <w:sz w:val="16"/>
                            <w:szCs w:val="16"/>
                          </w:rPr>
                        </w:pPr>
                        <w:r>
                          <w:rPr>
                            <w:rFonts w:ascii="宋体"/>
                            <w:sz w:val="16"/>
                          </w:rPr>
                          <w:t>-</w:t>
                          <w:tab/>
                          <w:t>-</w:t>
                          <w:tab/>
                          <w:t>-</w:t>
                          <w:tab/>
                          <w:t>-</w:t>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8" w:space="0" w:color="000000"/>
                          <w:right w:val="nil" w:sz="6" w:space="0" w:color="auto"/>
                        </w:tcBorders>
                      </w:tcPr>
                      <w:p>
                        <w:pPr>
                          <w:pStyle w:val="TableParagraph"/>
                          <w:spacing w:line="240" w:lineRule="auto" w:before="6"/>
                          <w:ind w:left="429" w:right="0"/>
                          <w:jc w:val="left"/>
                          <w:rPr>
                            <w:rFonts w:ascii="宋体" w:hAnsi="宋体" w:cs="宋体" w:eastAsia="宋体" w:hint="default"/>
                            <w:sz w:val="16"/>
                            <w:szCs w:val="16"/>
                          </w:rPr>
                        </w:pPr>
                        <w:r>
                          <w:rPr>
                            <w:rFonts w:ascii="宋体"/>
                            <w:w w:val="100"/>
                            <w:sz w:val="16"/>
                          </w:rPr>
                          <w:t>-</w:t>
                        </w:r>
                      </w:p>
                      <w:p>
                        <w:pPr>
                          <w:pStyle w:val="TableParagraph"/>
                          <w:spacing w:line="240" w:lineRule="auto" w:before="10"/>
                          <w:ind w:right="0"/>
                          <w:jc w:val="left"/>
                          <w:rPr>
                            <w:rFonts w:ascii="宋体" w:hAnsi="宋体" w:cs="宋体" w:eastAsia="宋体" w:hint="default"/>
                            <w:sz w:val="15"/>
                            <w:szCs w:val="15"/>
                          </w:rPr>
                        </w:pPr>
                      </w:p>
                      <w:p>
                        <w:pPr>
                          <w:pStyle w:val="TableParagraph"/>
                          <w:tabs>
                            <w:tab w:pos="1269" w:val="left" w:leader="none"/>
                          </w:tabs>
                          <w:spacing w:line="240" w:lineRule="auto"/>
                          <w:ind w:left="429" w:right="0"/>
                          <w:jc w:val="left"/>
                          <w:rPr>
                            <w:rFonts w:ascii="宋体" w:hAnsi="宋体" w:cs="宋体" w:eastAsia="宋体" w:hint="default"/>
                            <w:sz w:val="16"/>
                            <w:szCs w:val="16"/>
                          </w:rPr>
                        </w:pPr>
                        <w:r>
                          <w:rPr>
                            <w:rFonts w:ascii="宋体"/>
                            <w:sz w:val="16"/>
                          </w:rPr>
                          <w:t>-</w:t>
                          <w:tab/>
                          <w:t>-</w:t>
                        </w:r>
                      </w:p>
                    </w:tc>
                  </w:tr>
                  <w:tr>
                    <w:trPr>
                      <w:trHeight w:val="429" w:hRule="exact"/>
                    </w:trPr>
                    <w:tc>
                      <w:tcPr>
                        <w:tcW w:w="4004" w:type="dxa"/>
                        <w:tcBorders>
                          <w:top w:val="single" w:sz="8" w:space="0" w:color="000000"/>
                          <w:left w:val="nil" w:sz="6" w:space="0" w:color="auto"/>
                          <w:bottom w:val="nil" w:sz="6" w:space="0" w:color="auto"/>
                          <w:right w:val="nil" w:sz="6" w:space="0" w:color="auto"/>
                        </w:tcBorders>
                      </w:tcPr>
                      <w:p>
                        <w:pPr>
                          <w:pStyle w:val="TableParagraph"/>
                          <w:tabs>
                            <w:tab w:pos="2011" w:val="left" w:leader="none"/>
                            <w:tab w:pos="3418" w:val="left" w:leader="none"/>
                          </w:tabs>
                          <w:spacing w:line="240" w:lineRule="auto" w:before="38"/>
                          <w:ind w:left="107" w:right="0"/>
                          <w:jc w:val="left"/>
                          <w:rPr>
                            <w:rFonts w:ascii="宋体" w:hAnsi="宋体" w:cs="宋体" w:eastAsia="宋体" w:hint="default"/>
                            <w:sz w:val="16"/>
                            <w:szCs w:val="16"/>
                          </w:rPr>
                        </w:pPr>
                        <w:r>
                          <w:rPr>
                            <w:rFonts w:ascii="宋体" w:hAnsi="宋体" w:cs="宋体" w:eastAsia="宋体" w:hint="default"/>
                            <w:sz w:val="16"/>
                            <w:szCs w:val="16"/>
                          </w:rPr>
                          <w:t>合计</w:t>
                          <w:tab/>
                        </w:r>
                        <w:r>
                          <w:rPr>
                            <w:rFonts w:ascii="宋体" w:hAnsi="宋体" w:cs="宋体" w:eastAsia="宋体" w:hint="default"/>
                            <w:spacing w:val="-2"/>
                            <w:sz w:val="16"/>
                            <w:szCs w:val="16"/>
                          </w:rPr>
                          <w:t>30,849,856.34</w:t>
                          <w:tab/>
                        </w:r>
                        <w:r>
                          <w:rPr>
                            <w:rFonts w:ascii="宋体" w:hAnsi="宋体" w:cs="宋体" w:eastAsia="宋体" w:hint="default"/>
                            <w:spacing w:val="-1"/>
                            <w:sz w:val="16"/>
                            <w:szCs w:val="16"/>
                          </w:rPr>
                          <w:t>100.00</w:t>
                        </w:r>
                      </w:p>
                    </w:tc>
                    <w:tc>
                      <w:tcPr>
                        <w:tcW w:w="238" w:type="dxa"/>
                        <w:tcBorders>
                          <w:top w:val="nil" w:sz="6" w:space="0" w:color="auto"/>
                          <w:left w:val="nil" w:sz="6" w:space="0" w:color="auto"/>
                          <w:bottom w:val="nil" w:sz="6" w:space="0" w:color="auto"/>
                          <w:right w:val="nil" w:sz="6" w:space="0" w:color="auto"/>
                        </w:tcBorders>
                      </w:tcPr>
                      <w:p>
                        <w:pPr/>
                      </w:p>
                    </w:tc>
                    <w:tc>
                      <w:tcPr>
                        <w:tcW w:w="3798" w:type="dxa"/>
                        <w:tcBorders>
                          <w:top w:val="single" w:sz="8" w:space="0" w:color="000000"/>
                          <w:left w:val="nil" w:sz="6" w:space="0" w:color="auto"/>
                          <w:bottom w:val="nil" w:sz="6" w:space="0" w:color="auto"/>
                          <w:right w:val="nil" w:sz="6" w:space="0" w:color="auto"/>
                        </w:tcBorders>
                      </w:tcPr>
                      <w:p>
                        <w:pPr>
                          <w:pStyle w:val="TableParagraph"/>
                          <w:tabs>
                            <w:tab w:pos="1437" w:val="left" w:leader="none"/>
                            <w:tab w:pos="2835" w:val="left" w:leader="none"/>
                          </w:tabs>
                          <w:spacing w:line="240" w:lineRule="auto" w:before="7"/>
                          <w:ind w:right="107"/>
                          <w:jc w:val="right"/>
                          <w:rPr>
                            <w:rFonts w:ascii="宋体" w:hAnsi="宋体" w:cs="宋体" w:eastAsia="宋体" w:hint="default"/>
                            <w:sz w:val="16"/>
                            <w:szCs w:val="16"/>
                          </w:rPr>
                        </w:pPr>
                        <w:r>
                          <w:rPr>
                            <w:rFonts w:ascii="宋体"/>
                            <w:position w:val="-2"/>
                            <w:sz w:val="16"/>
                          </w:rPr>
                          <w:t>-</w:t>
                          <w:tab/>
                        </w:r>
                        <w:r>
                          <w:rPr>
                            <w:rFonts w:ascii="宋体"/>
                            <w:spacing w:val="-2"/>
                            <w:sz w:val="16"/>
                          </w:rPr>
                          <w:t>25,388,054.15</w:t>
                          <w:tab/>
                        </w:r>
                        <w:r>
                          <w:rPr>
                            <w:rFonts w:ascii="宋体"/>
                            <w:spacing w:val="-1"/>
                            <w:sz w:val="16"/>
                          </w:rPr>
                          <w:t>100.00</w:t>
                        </w:r>
                      </w:p>
                    </w:tc>
                    <w:tc>
                      <w:tcPr>
                        <w:tcW w:w="238" w:type="dxa"/>
                        <w:tcBorders>
                          <w:top w:val="nil" w:sz="6" w:space="0" w:color="auto"/>
                          <w:left w:val="nil" w:sz="6" w:space="0" w:color="auto"/>
                          <w:bottom w:val="nil" w:sz="6" w:space="0" w:color="auto"/>
                          <w:right w:val="nil" w:sz="6" w:space="0" w:color="auto"/>
                        </w:tcBorders>
                      </w:tcPr>
                      <w:p>
                        <w:pPr/>
                      </w:p>
                    </w:tc>
                    <w:tc>
                      <w:tcPr>
                        <w:tcW w:w="1454" w:type="dxa"/>
                        <w:tcBorders>
                          <w:top w:val="single" w:sz="8" w:space="0" w:color="000000"/>
                          <w:left w:val="nil" w:sz="6" w:space="0" w:color="auto"/>
                          <w:bottom w:val="nil" w:sz="6" w:space="0" w:color="auto"/>
                          <w:right w:val="nil" w:sz="6" w:space="0" w:color="auto"/>
                        </w:tcBorders>
                      </w:tcPr>
                      <w:p>
                        <w:pPr>
                          <w:pStyle w:val="TableParagraph"/>
                          <w:spacing w:line="240" w:lineRule="auto" w:before="7"/>
                          <w:ind w:left="429" w:right="0"/>
                          <w:jc w:val="left"/>
                          <w:rPr>
                            <w:rFonts w:ascii="宋体" w:hAnsi="宋体" w:cs="宋体" w:eastAsia="宋体" w:hint="default"/>
                            <w:sz w:val="16"/>
                            <w:szCs w:val="16"/>
                          </w:rPr>
                        </w:pPr>
                        <w:r>
                          <w:rPr>
                            <w:rFonts w:ascii="宋体"/>
                            <w:w w:val="100"/>
                            <w:sz w:val="16"/>
                          </w:rPr>
                          <w:t>-</w:t>
                        </w:r>
                      </w:p>
                    </w:tc>
                  </w:tr>
                </w:tbl>
                <w:p>
                  <w:pPr/>
                </w:p>
              </w:txbxContent>
            </v:textbox>
            <w10:wrap type="none"/>
          </v:shape>
        </w:pict>
      </w:r>
      <w:r>
        <w:rPr>
          <w:rFonts w:ascii="宋体" w:hAnsi="宋体" w:cs="宋体" w:eastAsia="宋体" w:hint="default"/>
          <w:position w:val="-9"/>
          <w:sz w:val="16"/>
          <w:szCs w:val="16"/>
        </w:rPr>
        <w:t>金额</w:t>
        <w:tab/>
      </w:r>
      <w:r>
        <w:rPr>
          <w:rFonts w:ascii="宋体" w:hAnsi="宋体" w:cs="宋体" w:eastAsia="宋体" w:hint="default"/>
          <w:sz w:val="16"/>
          <w:szCs w:val="16"/>
        </w:rPr>
        <w:t>比例</w:t>
        <w:tab/>
        <w:t>比例</w:t>
      </w:r>
    </w:p>
    <w:p>
      <w:pPr>
        <w:tabs>
          <w:tab w:pos="3735" w:val="left" w:leader="none"/>
        </w:tabs>
        <w:spacing w:line="161" w:lineRule="exact" w:before="0"/>
        <w:ind w:left="1983"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比例</w:t>
        <w:tab/>
        <w:t>比例</w:t>
      </w:r>
    </w:p>
    <w:p>
      <w:pPr>
        <w:spacing w:after="0" w:line="161" w:lineRule="exact"/>
        <w:jc w:val="left"/>
        <w:rPr>
          <w:rFonts w:ascii="宋体" w:hAnsi="宋体" w:cs="宋体" w:eastAsia="宋体" w:hint="default"/>
          <w:sz w:val="16"/>
          <w:szCs w:val="16"/>
        </w:rPr>
        <w:sectPr>
          <w:type w:val="continuous"/>
          <w:pgSz w:w="11910" w:h="16840"/>
          <w:pgMar w:top="1100" w:bottom="1380" w:left="1100" w:right="400"/>
          <w:cols w:num="2" w:equalWidth="0">
            <w:col w:w="6056" w:space="40"/>
            <w:col w:w="4314"/>
          </w:cols>
        </w:sectPr>
      </w:pPr>
    </w:p>
    <w:p>
      <w:pPr>
        <w:spacing w:line="240" w:lineRule="auto" w:before="1"/>
        <w:rPr>
          <w:rFonts w:ascii="宋体" w:hAnsi="宋体" w:cs="宋体" w:eastAsia="宋体" w:hint="default"/>
          <w:sz w:val="10"/>
          <w:szCs w:val="10"/>
        </w:rPr>
      </w:pPr>
    </w:p>
    <w:p>
      <w:pPr>
        <w:tabs>
          <w:tab w:pos="2382" w:val="left" w:leader="none"/>
          <w:tab w:pos="4790" w:val="left" w:leader="none"/>
          <w:tab w:pos="5590" w:val="left" w:leader="none"/>
          <w:tab w:pos="6415" w:val="left" w:leader="none"/>
          <w:tab w:pos="8826" w:val="left" w:leader="none"/>
        </w:tabs>
        <w:spacing w:line="20" w:lineRule="exact"/>
        <w:ind w:left="549" w:right="0" w:firstLine="0"/>
        <w:rPr>
          <w:rFonts w:ascii="宋体" w:hAnsi="宋体" w:cs="宋体" w:eastAsia="宋体" w:hint="default"/>
          <w:sz w:val="2"/>
          <w:szCs w:val="2"/>
        </w:rPr>
      </w:pPr>
      <w:r>
        <w:rPr>
          <w:rFonts w:ascii="宋体"/>
          <w:sz w:val="2"/>
        </w:rPr>
        <w:pict>
          <v:group style="width:80.8pt;height:1pt;mso-position-horizontal-relative:char;mso-position-vertical-relative:line" coordorigin="0,0" coordsize="1616,20">
            <v:group style="position:absolute;left:10;top:10;width:1596;height:2" coordorigin="10,10" coordsize="1596,2">
              <v:shape style="position:absolute;left:10;top:10;width:1596;height:2" coordorigin="10,10" coordsize="1596,0" path="m10,10l1606,10e" filled="false" stroked="true" strokeweight=".95999pt" strokecolor="#000000">
                <v:path arrowok="t"/>
              </v:shape>
            </v:group>
          </v:group>
        </w:pict>
      </w:r>
      <w:r>
        <w:rPr>
          <w:rFonts w:ascii="宋体"/>
          <w:sz w:val="2"/>
        </w:rPr>
      </w:r>
      <w:r>
        <w:rPr>
          <w:rFonts w:ascii="宋体"/>
          <w:sz w:val="2"/>
        </w:rPr>
        <w:tab/>
      </w:r>
      <w:r>
        <w:rPr>
          <w:rFonts w:ascii="宋体"/>
          <w:sz w:val="2"/>
        </w:rPr>
        <w:pict>
          <v:group style="width:62.55pt;height:1pt;mso-position-horizontal-relative:char;mso-position-vertical-relative:line" coordorigin="0,0" coordsize="1251,20">
            <v:group style="position:absolute;left:10;top:10;width:1232;height:2" coordorigin="10,10" coordsize="1232,2">
              <v:shape style="position:absolute;left:10;top:10;width:1232;height:2" coordorigin="10,10" coordsize="1232,0" path="m10,10l1241,10e" filled="false" stroked="true" strokeweight=".95999pt" strokecolor="#000000">
                <v:path arrowok="t"/>
              </v:shape>
            </v:group>
          </v:group>
        </w:pict>
      </w:r>
      <w:r>
        <w:rPr>
          <w:rFonts w:ascii="宋体"/>
          <w:sz w:val="2"/>
        </w:rPr>
      </w:r>
      <w:r>
        <w:rPr>
          <w:rFonts w:ascii="宋体"/>
          <w:sz w:val="2"/>
        </w:rPr>
        <w:tab/>
      </w:r>
      <w:r>
        <w:rPr>
          <w:rFonts w:ascii="宋体"/>
          <w:sz w:val="2"/>
        </w:rPr>
        <w:pict>
          <v:group style="width:29.1pt;height:1pt;mso-position-horizontal-relative:char;mso-position-vertical-relative:line" coordorigin="0,0" coordsize="582,20">
            <v:group style="position:absolute;left:10;top:10;width:563;height:2" coordorigin="10,10" coordsize="563,2">
              <v:shape style="position:absolute;left:10;top:10;width:563;height:2" coordorigin="10,10" coordsize="563,0" path="m10,10l572,10e" filled="false" stroked="true" strokeweight=".95999pt" strokecolor="#000000">
                <v:path arrowok="t"/>
              </v:shape>
            </v:group>
          </v:group>
        </w:pict>
      </w:r>
      <w:r>
        <w:rPr>
          <w:rFonts w:ascii="宋体"/>
          <w:sz w:val="2"/>
        </w:rPr>
      </w:r>
      <w:r>
        <w:rPr>
          <w:rFonts w:ascii="宋体"/>
          <w:sz w:val="2"/>
        </w:rPr>
        <w:tab/>
      </w:r>
      <w:r>
        <w:rPr>
          <w:rFonts w:ascii="宋体"/>
          <w:sz w:val="2"/>
        </w:rPr>
        <w:pict>
          <v:group style="width:30.4pt;height:1pt;mso-position-horizontal-relative:char;mso-position-vertical-relative:line" coordorigin="0,0" coordsize="608,20">
            <v:group style="position:absolute;left:10;top:10;width:588;height:2" coordorigin="10,10" coordsize="588,2">
              <v:shape style="position:absolute;left:10;top:10;width:588;height:2" coordorigin="10,10" coordsize="588,0" path="m10,10l598,10e" filled="false" stroked="true" strokeweight=".95999pt" strokecolor="#000000">
                <v:path arrowok="t"/>
              </v:shape>
            </v:group>
          </v:group>
        </w:pict>
      </w:r>
      <w:r>
        <w:rPr>
          <w:rFonts w:ascii="宋体"/>
          <w:sz w:val="2"/>
        </w:rPr>
      </w:r>
      <w:r>
        <w:rPr>
          <w:rFonts w:ascii="宋体"/>
          <w:sz w:val="2"/>
        </w:rPr>
        <w:tab/>
      </w:r>
      <w:r>
        <w:rPr>
          <w:rFonts w:ascii="宋体"/>
          <w:sz w:val="2"/>
        </w:rPr>
        <w:pict>
          <v:group style="width:61.95pt;height:1pt;mso-position-horizontal-relative:char;mso-position-vertical-relative:line" coordorigin="0,0" coordsize="1239,20">
            <v:group style="position:absolute;left:10;top:10;width:1220;height:2" coordorigin="10,10" coordsize="1220,2">
              <v:shape style="position:absolute;left:10;top:10;width:1220;height:2" coordorigin="10,10" coordsize="1220,0" path="m10,10l1229,10e" filled="false" stroked="true" strokeweight=".95999pt" strokecolor="#000000">
                <v:path arrowok="t"/>
              </v:shape>
            </v:group>
          </v:group>
        </w:pict>
      </w:r>
      <w:r>
        <w:rPr>
          <w:rFonts w:ascii="宋体"/>
          <w:sz w:val="2"/>
        </w:rPr>
      </w:r>
      <w:r>
        <w:rPr>
          <w:rFonts w:ascii="宋体"/>
          <w:sz w:val="2"/>
        </w:rPr>
        <w:tab/>
      </w:r>
      <w:r>
        <w:rPr>
          <w:rFonts w:ascii="宋体"/>
          <w:sz w:val="2"/>
        </w:rPr>
        <w:pict>
          <v:group style="width:31.7pt;height:1pt;mso-position-horizontal-relative:char;mso-position-vertical-relative:line" coordorigin="0,0" coordsize="634,20">
            <v:group style="position:absolute;left:10;top:10;width:615;height:2" coordorigin="10,10" coordsize="615,2">
              <v:shape style="position:absolute;left:10;top:10;width:615;height:2" coordorigin="10,10" coordsize="615,0" path="m10,10l624,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4790" w:val="left" w:leader="none"/>
          <w:tab w:pos="6415" w:val="left" w:leader="none"/>
        </w:tabs>
        <w:spacing w:line="20" w:lineRule="exact"/>
        <w:ind w:left="2397" w:right="0" w:firstLine="0"/>
        <w:rPr>
          <w:rFonts w:ascii="宋体" w:hAnsi="宋体" w:cs="宋体" w:eastAsia="宋体" w:hint="default"/>
          <w:sz w:val="2"/>
          <w:szCs w:val="2"/>
        </w:rPr>
      </w:pPr>
      <w:r>
        <w:rPr>
          <w:rFonts w:ascii="宋体"/>
          <w:sz w:val="2"/>
        </w:rPr>
        <w:pict>
          <v:group style="width:61.85pt;height:1pt;mso-position-horizontal-relative:char;mso-position-vertical-relative:line" coordorigin="0,0" coordsize="1237,20">
            <v:group style="position:absolute;left:10;top:10;width:1218;height:2" coordorigin="10,10" coordsize="1218,2">
              <v:shape style="position:absolute;left:10;top:10;width:1218;height:2" coordorigin="10,10" coordsize="1218,0" path="m10,10l1227,10e" filled="false" stroked="true" strokeweight=".95999pt" strokecolor="#000000">
                <v:path arrowok="t"/>
              </v:shape>
            </v:group>
          </v:group>
        </w:pict>
      </w:r>
      <w:r>
        <w:rPr>
          <w:rFonts w:ascii="宋体"/>
          <w:sz w:val="2"/>
        </w:rPr>
      </w:r>
      <w:r>
        <w:rPr>
          <w:rFonts w:ascii="宋体"/>
          <w:sz w:val="2"/>
        </w:rPr>
        <w:tab/>
      </w:r>
      <w:r>
        <w:rPr>
          <w:rFonts w:ascii="宋体"/>
          <w:sz w:val="2"/>
        </w:rPr>
        <w:pict>
          <v:group style="width:29.1pt;height:1pt;mso-position-horizontal-relative:char;mso-position-vertical-relative:line" coordorigin="0,0" coordsize="582,20">
            <v:group style="position:absolute;left:10;top:10;width:563;height:2" coordorigin="10,10" coordsize="563,2">
              <v:shape style="position:absolute;left:10;top:10;width:563;height:2" coordorigin="10,10" coordsize="563,0" path="m10,10l572,10e" filled="false" stroked="true" strokeweight=".95999pt" strokecolor="#000000">
                <v:path arrowok="t"/>
              </v:shape>
            </v:group>
          </v:group>
        </w:pict>
      </w:r>
      <w:r>
        <w:rPr>
          <w:rFonts w:ascii="宋体"/>
          <w:sz w:val="2"/>
        </w:rPr>
      </w:r>
      <w:r>
        <w:rPr>
          <w:rFonts w:ascii="宋体"/>
          <w:sz w:val="2"/>
        </w:rPr>
        <w:tab/>
      </w:r>
      <w:r>
        <w:rPr>
          <w:rFonts w:ascii="宋体"/>
          <w:sz w:val="2"/>
        </w:rPr>
        <w:pict>
          <v:group style="width:61.95pt;height:1pt;mso-position-horizontal-relative:char;mso-position-vertical-relative:line" coordorigin="0,0" coordsize="1239,20">
            <v:group style="position:absolute;left:10;top:10;width:1220;height:2" coordorigin="10,10" coordsize="1220,2">
              <v:shape style="position:absolute;left:10;top:10;width:1220;height:2" coordorigin="10,10" coordsize="1220,0" path="m10,10l1229,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1"/>
          <w:szCs w:val="21"/>
        </w:rPr>
      </w:pPr>
    </w:p>
    <w:p>
      <w:pPr>
        <w:tabs>
          <w:tab w:pos="3842" w:val="left" w:leader="none"/>
          <w:tab w:pos="4778" w:val="left" w:leader="none"/>
          <w:tab w:pos="6403" w:val="left" w:leader="none"/>
          <w:tab w:pos="7861" w:val="left" w:leader="none"/>
        </w:tabs>
        <w:spacing w:line="43" w:lineRule="exact"/>
        <w:ind w:left="2385" w:right="0" w:firstLine="0"/>
        <w:rPr>
          <w:rFonts w:ascii="宋体" w:hAnsi="宋体" w:cs="宋体" w:eastAsia="宋体" w:hint="default"/>
          <w:sz w:val="4"/>
          <w:szCs w:val="4"/>
        </w:rPr>
      </w:pPr>
      <w:r>
        <w:rPr>
          <w:rFonts w:ascii="宋体"/>
          <w:position w:val="0"/>
          <w:sz w:val="4"/>
        </w:rPr>
        <w:pict>
          <v:group style="width:62.35pt;height:2.2pt;mso-position-horizontal-relative:char;mso-position-vertical-relative:line" coordorigin="0,0" coordsize="1247,44">
            <v:group style="position:absolute;left:7;top:36;width:1232;height:2" coordorigin="7,36" coordsize="1232,2">
              <v:shape style="position:absolute;left:7;top:36;width:1232;height:2" coordorigin="7,36" coordsize="1232,0" path="m7,36l1239,36e" filled="false" stroked="true" strokeweight=".72pt" strokecolor="#000000">
                <v:path arrowok="t"/>
              </v:shape>
            </v:group>
            <v:group style="position:absolute;left:7;top:7;width:1232;height:2" coordorigin="7,7" coordsize="1232,2">
              <v:shape style="position:absolute;left:7;top:7;width:1232;height:2" coordorigin="7,7" coordsize="1232,0" path="m7,7l1239,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36.4pt;height:2.2pt;mso-position-horizontal-relative:char;mso-position-vertical-relative:line" coordorigin="0,0" coordsize="728,44">
            <v:group style="position:absolute;left:7;top:36;width:713;height:2" coordorigin="7,36" coordsize="713,2">
              <v:shape style="position:absolute;left:7;top:36;width:713;height:2" coordorigin="7,36" coordsize="713,0" path="m7,36l720,36e" filled="false" stroked="true" strokeweight=".72pt" strokecolor="#000000">
                <v:path arrowok="t"/>
              </v:shape>
            </v:group>
            <v:group style="position:absolute;left:7;top:7;width:713;height:2" coordorigin="7,7" coordsize="713,2">
              <v:shape style="position:absolute;left:7;top:7;width:713;height:2" coordorigin="7,7" coordsize="713,0" path="m7,7l72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29.55pt;height:2.2pt;mso-position-horizontal-relative:char;mso-position-vertical-relative:line" coordorigin="0,0" coordsize="591,44">
            <v:group style="position:absolute;left:7;top:36;width:577;height:2" coordorigin="7,36" coordsize="577,2">
              <v:shape style="position:absolute;left:7;top:36;width:577;height:2" coordorigin="7,36" coordsize="577,0" path="m7,36l584,36e" filled="false" stroked="true" strokeweight=".72pt" strokecolor="#000000">
                <v:path arrowok="t"/>
              </v:shape>
            </v:group>
            <v:group style="position:absolute;left:7;top:7;width:577;height:2" coordorigin="7,7" coordsize="577,2">
              <v:shape style="position:absolute;left:7;top:7;width:577;height:2" coordorigin="7,7" coordsize="577,0" path="m7,7l584,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2.4pt;height:2.2pt;mso-position-horizontal-relative:char;mso-position-vertical-relative:line" coordorigin="0,0" coordsize="1248,44">
            <v:group style="position:absolute;left:7;top:36;width:1234;height:2" coordorigin="7,36" coordsize="1234,2">
              <v:shape style="position:absolute;left:7;top:36;width:1234;height:2" coordorigin="7,36" coordsize="1234,0" path="m7,36l1241,36e" filled="false" stroked="true" strokeweight=".72pt" strokecolor="#000000">
                <v:path arrowok="t"/>
              </v:shape>
            </v:group>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37.2pt;height:2.2pt;mso-position-horizontal-relative:char;mso-position-vertical-relative:line" coordorigin="0,0" coordsize="744,44">
            <v:group style="position:absolute;left:7;top:36;width:730;height:2" coordorigin="7,36" coordsize="730,2">
              <v:shape style="position:absolute;left:7;top:36;width:730;height:2" coordorigin="7,36" coordsize="730,0" path="m7,36l737,36e" filled="false" stroked="true" strokeweight=".72pt" strokecolor="#000000">
                <v:path arrowok="t"/>
              </v:shape>
            </v:group>
            <v:group style="position:absolute;left:7;top:7;width:730;height:2" coordorigin="7,7" coordsize="730,2">
              <v:shape style="position:absolute;left:7;top:7;width:730;height:2" coordorigin="7,7" coordsize="730,0" path="m7,7l737,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51"/>
        <w:ind w:left="0" w:right="2685" w:firstLine="0"/>
        <w:jc w:val="right"/>
        <w:rPr>
          <w:rFonts w:ascii="宋体" w:hAnsi="宋体" w:cs="宋体" w:eastAsia="宋体" w:hint="default"/>
          <w:sz w:val="16"/>
          <w:szCs w:val="16"/>
        </w:rPr>
      </w:pPr>
      <w:r>
        <w:rPr/>
        <w:pict>
          <v:shape style="position:absolute;margin-left:83.064003pt;margin-top:-85.426239pt;width:482pt;height:376.5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8"/>
                    <w:gridCol w:w="77"/>
                    <w:gridCol w:w="1558"/>
                    <w:gridCol w:w="1133"/>
                    <w:gridCol w:w="125"/>
                    <w:gridCol w:w="197"/>
                    <w:gridCol w:w="943"/>
                    <w:gridCol w:w="12"/>
                    <w:gridCol w:w="852"/>
                    <w:gridCol w:w="318"/>
                    <w:gridCol w:w="185"/>
                    <w:gridCol w:w="206"/>
                    <w:gridCol w:w="264"/>
                    <w:gridCol w:w="473"/>
                    <w:gridCol w:w="1389"/>
                  </w:tblGrid>
                  <w:tr>
                    <w:trPr>
                      <w:trHeight w:val="741" w:hRule="exact"/>
                    </w:trPr>
                    <w:tc>
                      <w:tcPr>
                        <w:tcW w:w="964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6.2.2</w:t>
                        </w:r>
                        <w:r>
                          <w:rPr>
                            <w:rFonts w:ascii="宋体" w:hAnsi="宋体" w:cs="宋体" w:eastAsia="宋体" w:hint="default"/>
                            <w:spacing w:val="-54"/>
                            <w:sz w:val="21"/>
                            <w:szCs w:val="21"/>
                          </w:rPr>
                          <w:t> </w:t>
                        </w:r>
                        <w:r>
                          <w:rPr>
                            <w:rFonts w:ascii="宋体" w:hAnsi="宋体" w:cs="宋体" w:eastAsia="宋体" w:hint="default"/>
                            <w:sz w:val="21"/>
                            <w:szCs w:val="21"/>
                          </w:rPr>
                          <w:t>按组合计提坏账准备的应收账款</w:t>
                        </w:r>
                      </w:p>
                    </w:tc>
                  </w:tr>
                  <w:tr>
                    <w:trPr>
                      <w:trHeight w:val="541" w:hRule="exact"/>
                    </w:trPr>
                    <w:tc>
                      <w:tcPr>
                        <w:tcW w:w="964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tc>
                  </w:tr>
                  <w:tr>
                    <w:trPr>
                      <w:trHeight w:val="417" w:hRule="exact"/>
                    </w:trPr>
                    <w:tc>
                      <w:tcPr>
                        <w:tcW w:w="1908"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2816"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114"/>
                          <w:ind w:left="1181"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97" w:type="dxa"/>
                        <w:tcBorders>
                          <w:top w:val="nil" w:sz="6" w:space="0" w:color="auto"/>
                          <w:left w:val="nil" w:sz="6" w:space="0" w:color="auto"/>
                          <w:bottom w:val="single" w:sz="8" w:space="0" w:color="000000"/>
                          <w:right w:val="nil" w:sz="6" w:space="0" w:color="auto"/>
                        </w:tcBorders>
                      </w:tcPr>
                      <w:p>
                        <w:pPr/>
                      </w:p>
                    </w:tc>
                    <w:tc>
                      <w:tcPr>
                        <w:tcW w:w="943" w:type="dxa"/>
                        <w:tcBorders>
                          <w:top w:val="nil" w:sz="6" w:space="0" w:color="auto"/>
                          <w:left w:val="nil" w:sz="6" w:space="0" w:color="auto"/>
                          <w:bottom w:val="single" w:sz="8" w:space="0" w:color="000000"/>
                          <w:right w:val="nil" w:sz="6" w:space="0" w:color="auto"/>
                        </w:tcBorders>
                      </w:tcPr>
                      <w:p>
                        <w:pPr/>
                      </w:p>
                    </w:tc>
                    <w:tc>
                      <w:tcPr>
                        <w:tcW w:w="1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
                    </w:tc>
                    <w:tc>
                      <w:tcPr>
                        <w:tcW w:w="2835"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14"/>
                          <w:ind w:left="331" w:right="0"/>
                          <w:jc w:val="left"/>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r>
                  <w:tr>
                    <w:trPr>
                      <w:trHeight w:val="240" w:hRule="exact"/>
                    </w:trPr>
                    <w:tc>
                      <w:tcPr>
                        <w:tcW w:w="1908"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558"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883"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133" w:type="dxa"/>
                        <w:tcBorders>
                          <w:top w:val="single" w:sz="8" w:space="0" w:color="000000"/>
                          <w:left w:val="nil" w:sz="6" w:space="0" w:color="auto"/>
                          <w:bottom w:val="nil" w:sz="6" w:space="0" w:color="auto"/>
                          <w:right w:val="nil" w:sz="6" w:space="0" w:color="auto"/>
                        </w:tcBorders>
                      </w:tcPr>
                      <w:p>
                        <w:pPr/>
                      </w:p>
                    </w:tc>
                    <w:tc>
                      <w:tcPr>
                        <w:tcW w:w="125" w:type="dxa"/>
                        <w:tcBorders>
                          <w:top w:val="single" w:sz="8" w:space="0" w:color="000000"/>
                          <w:left w:val="nil" w:sz="6" w:space="0" w:color="auto"/>
                          <w:bottom w:val="nil" w:sz="6" w:space="0" w:color="auto"/>
                          <w:right w:val="nil" w:sz="6" w:space="0" w:color="auto"/>
                        </w:tcBorders>
                      </w:tcPr>
                      <w:p>
                        <w:pPr/>
                      </w:p>
                    </w:tc>
                    <w:tc>
                      <w:tcPr>
                        <w:tcW w:w="197" w:type="dxa"/>
                        <w:tcBorders>
                          <w:top w:val="single" w:sz="8" w:space="0" w:color="000000"/>
                          <w:left w:val="nil" w:sz="6" w:space="0" w:color="auto"/>
                          <w:bottom w:val="nil" w:sz="6" w:space="0" w:color="auto"/>
                          <w:right w:val="nil" w:sz="6" w:space="0" w:color="auto"/>
                        </w:tcBorders>
                      </w:tcPr>
                      <w:p>
                        <w:pPr/>
                      </w:p>
                    </w:tc>
                    <w:tc>
                      <w:tcPr>
                        <w:tcW w:w="943" w:type="dxa"/>
                        <w:tcBorders>
                          <w:top w:val="single" w:sz="8" w:space="0" w:color="000000"/>
                          <w:left w:val="nil" w:sz="6" w:space="0" w:color="auto"/>
                          <w:bottom w:val="nil" w:sz="6" w:space="0" w:color="auto"/>
                          <w:right w:val="nil" w:sz="6" w:space="0" w:color="auto"/>
                        </w:tcBorders>
                      </w:tcPr>
                      <w:p>
                        <w:pPr/>
                      </w:p>
                    </w:tc>
                    <w:tc>
                      <w:tcPr>
                        <w:tcW w:w="12"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
                    </w:tc>
                    <w:tc>
                      <w:tcPr>
                        <w:tcW w:w="31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1" w:right="0"/>
                          <w:jc w:val="left"/>
                          <w:rPr>
                            <w:rFonts w:ascii="宋体" w:hAnsi="宋体" w:cs="宋体" w:eastAsia="宋体" w:hint="default"/>
                            <w:sz w:val="16"/>
                            <w:szCs w:val="16"/>
                          </w:rPr>
                        </w:pPr>
                        <w:r>
                          <w:rPr>
                            <w:rFonts w:ascii="宋体" w:hAnsi="宋体" w:cs="宋体" w:eastAsia="宋体" w:hint="default"/>
                            <w:w w:val="100"/>
                            <w:sz w:val="16"/>
                            <w:szCs w:val="16"/>
                          </w:rPr>
                          <w:t>账</w:t>
                        </w:r>
                      </w:p>
                    </w:tc>
                    <w:tc>
                      <w:tcPr>
                        <w:tcW w:w="18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5" w:right="-12"/>
                          <w:jc w:val="left"/>
                          <w:rPr>
                            <w:rFonts w:ascii="宋体" w:hAnsi="宋体" w:cs="宋体" w:eastAsia="宋体" w:hint="default"/>
                            <w:sz w:val="16"/>
                            <w:szCs w:val="16"/>
                          </w:rPr>
                        </w:pPr>
                        <w:r>
                          <w:rPr>
                            <w:rFonts w:ascii="宋体" w:hAnsi="宋体" w:cs="宋体" w:eastAsia="宋体" w:hint="default"/>
                            <w:w w:val="100"/>
                            <w:sz w:val="16"/>
                            <w:szCs w:val="16"/>
                          </w:rPr>
                          <w:t>余</w:t>
                        </w:r>
                      </w:p>
                    </w:tc>
                    <w:tc>
                      <w:tcPr>
                        <w:tcW w:w="20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1" w:right="0"/>
                          <w:jc w:val="left"/>
                          <w:rPr>
                            <w:rFonts w:ascii="宋体" w:hAnsi="宋体" w:cs="宋体" w:eastAsia="宋体" w:hint="default"/>
                            <w:sz w:val="16"/>
                            <w:szCs w:val="16"/>
                          </w:rPr>
                        </w:pPr>
                        <w:r>
                          <w:rPr>
                            <w:rFonts w:ascii="宋体" w:hAnsi="宋体" w:cs="宋体" w:eastAsia="宋体" w:hint="default"/>
                            <w:w w:val="100"/>
                            <w:sz w:val="16"/>
                            <w:szCs w:val="16"/>
                          </w:rPr>
                          <w:t>额</w:t>
                        </w:r>
                      </w:p>
                    </w:tc>
                    <w:tc>
                      <w:tcPr>
                        <w:tcW w:w="264" w:type="dxa"/>
                        <w:tcBorders>
                          <w:top w:val="single" w:sz="4" w:space="0" w:color="000000"/>
                          <w:left w:val="nil" w:sz="6" w:space="0" w:color="auto"/>
                          <w:bottom w:val="nil" w:sz="6" w:space="0" w:color="auto"/>
                          <w:right w:val="nil" w:sz="6" w:space="0" w:color="auto"/>
                        </w:tcBorders>
                      </w:tcPr>
                      <w:p>
                        <w:pPr/>
                      </w:p>
                    </w:tc>
                    <w:tc>
                      <w:tcPr>
                        <w:tcW w:w="473" w:type="dxa"/>
                        <w:tcBorders>
                          <w:top w:val="single" w:sz="4" w:space="0" w:color="000000"/>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nil" w:sz="6" w:space="0" w:color="auto"/>
                          <w:right w:val="nil" w:sz="6" w:space="0" w:color="auto"/>
                        </w:tcBorders>
                      </w:tcPr>
                      <w:p>
                        <w:pPr/>
                      </w:p>
                    </w:tc>
                  </w:tr>
                  <w:tr>
                    <w:trPr>
                      <w:trHeight w:val="131"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138" w:lineRule="exact"/>
                          <w:ind w:right="211"/>
                          <w:jc w:val="center"/>
                          <w:rPr>
                            <w:rFonts w:ascii="宋体" w:hAnsi="宋体" w:cs="宋体" w:eastAsia="宋体" w:hint="default"/>
                            <w:sz w:val="16"/>
                            <w:szCs w:val="16"/>
                          </w:rPr>
                        </w:pPr>
                        <w:r>
                          <w:rPr>
                            <w:rFonts w:ascii="宋体" w:hAnsi="宋体" w:cs="宋体" w:eastAsia="宋体" w:hint="default"/>
                            <w:sz w:val="16"/>
                            <w:szCs w:val="16"/>
                          </w:rPr>
                          <w:t>账龄</w:t>
                        </w:r>
                      </w:p>
                    </w:tc>
                    <w:tc>
                      <w:tcPr>
                        <w:tcW w:w="77"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Style w:val="TableParagraph"/>
                          <w:spacing w:line="138" w:lineRule="exact"/>
                          <w:ind w:left="50" w:right="-15"/>
                          <w:jc w:val="left"/>
                          <w:rPr>
                            <w:rFonts w:ascii="宋体" w:hAnsi="宋体" w:cs="宋体" w:eastAsia="宋体" w:hint="default"/>
                            <w:sz w:val="16"/>
                            <w:szCs w:val="16"/>
                          </w:rPr>
                        </w:pPr>
                        <w:r>
                          <w:rPr>
                            <w:rFonts w:ascii="宋体" w:hAnsi="宋体" w:cs="宋体" w:eastAsia="宋体" w:hint="default"/>
                            <w:w w:val="100"/>
                            <w:sz w:val="16"/>
                            <w:szCs w:val="16"/>
                          </w:rPr>
                          <w:t>坏</w:t>
                        </w:r>
                      </w:p>
                    </w:tc>
                    <w:tc>
                      <w:tcPr>
                        <w:tcW w:w="943" w:type="dxa"/>
                        <w:tcBorders>
                          <w:top w:val="nil" w:sz="6" w:space="0" w:color="auto"/>
                          <w:left w:val="nil" w:sz="6" w:space="0" w:color="auto"/>
                          <w:bottom w:val="nil" w:sz="6" w:space="0" w:color="auto"/>
                          <w:right w:val="nil" w:sz="6" w:space="0" w:color="auto"/>
                        </w:tcBorders>
                      </w:tcPr>
                      <w:p>
                        <w:pPr>
                          <w:pStyle w:val="TableParagraph"/>
                          <w:spacing w:line="138" w:lineRule="exact"/>
                          <w:ind w:left="14" w:right="0"/>
                          <w:jc w:val="left"/>
                          <w:rPr>
                            <w:rFonts w:ascii="宋体" w:hAnsi="宋体" w:cs="宋体" w:eastAsia="宋体" w:hint="default"/>
                            <w:sz w:val="16"/>
                            <w:szCs w:val="16"/>
                          </w:rPr>
                        </w:pPr>
                        <w:r>
                          <w:rPr>
                            <w:rFonts w:ascii="宋体" w:hAnsi="宋体" w:cs="宋体" w:eastAsia="宋体" w:hint="default"/>
                            <w:sz w:val="16"/>
                            <w:szCs w:val="16"/>
                          </w:rPr>
                          <w:t>账准备</w:t>
                        </w:r>
                      </w:p>
                    </w:tc>
                    <w:tc>
                      <w:tcPr>
                        <w:tcW w:w="1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138" w:lineRule="exact"/>
                          <w:ind w:right="173"/>
                          <w:jc w:val="right"/>
                          <w:rPr>
                            <w:rFonts w:ascii="宋体" w:hAnsi="宋体" w:cs="宋体" w:eastAsia="宋体" w:hint="default"/>
                            <w:sz w:val="16"/>
                            <w:szCs w:val="16"/>
                          </w:rPr>
                        </w:pPr>
                        <w:r>
                          <w:rPr>
                            <w:rFonts w:ascii="宋体" w:hAnsi="宋体" w:cs="宋体" w:eastAsia="宋体" w:hint="default"/>
                            <w:sz w:val="16"/>
                            <w:szCs w:val="16"/>
                          </w:rPr>
                          <w:t>坏账准备</w:t>
                        </w:r>
                      </w:p>
                    </w:tc>
                  </w:tr>
                  <w:tr>
                    <w:trPr>
                      <w:trHeight w:val="220" w:hRule="exact"/>
                    </w:trPr>
                    <w:tc>
                      <w:tcPr>
                        <w:tcW w:w="1908" w:type="dxa"/>
                        <w:tcBorders>
                          <w:top w:val="nil" w:sz="6" w:space="0" w:color="auto"/>
                          <w:left w:val="nil" w:sz="6" w:space="0" w:color="auto"/>
                          <w:bottom w:val="single" w:sz="8" w:space="0" w:color="000000"/>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8" w:space="0" w:color="000000"/>
                          <w:right w:val="nil" w:sz="6" w:space="0" w:color="auto"/>
                        </w:tcBorders>
                      </w:tcPr>
                      <w:p>
                        <w:pPr>
                          <w:pStyle w:val="TableParagraph"/>
                          <w:spacing w:line="153" w:lineRule="exact"/>
                          <w:ind w:left="478"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1133" w:type="dxa"/>
                        <w:tcBorders>
                          <w:top w:val="nil" w:sz="6" w:space="0" w:color="auto"/>
                          <w:left w:val="nil" w:sz="6" w:space="0" w:color="auto"/>
                          <w:bottom w:val="single" w:sz="8" w:space="0" w:color="000000"/>
                          <w:right w:val="nil" w:sz="6" w:space="0" w:color="auto"/>
                        </w:tcBorders>
                      </w:tcPr>
                      <w:p>
                        <w:pPr>
                          <w:pStyle w:val="TableParagraph"/>
                          <w:spacing w:line="153" w:lineRule="exact"/>
                          <w:ind w:left="108" w:right="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sz w:val="16"/>
                            <w:szCs w:val="16"/>
                          </w:rPr>
                          <w:t>%</w:t>
                        </w:r>
                        <w:r>
                          <w:rPr>
                            <w:rFonts w:ascii="宋体" w:hAnsi="宋体" w:cs="宋体" w:eastAsia="宋体" w:hint="default"/>
                            <w:sz w:val="16"/>
                            <w:szCs w:val="16"/>
                          </w:rPr>
                          <w:t>）</w:t>
                        </w:r>
                      </w:p>
                    </w:tc>
                    <w:tc>
                      <w:tcPr>
                        <w:tcW w:w="125" w:type="dxa"/>
                        <w:tcBorders>
                          <w:top w:val="nil" w:sz="6" w:space="0" w:color="auto"/>
                          <w:left w:val="nil" w:sz="6" w:space="0" w:color="auto"/>
                          <w:bottom w:val="single" w:sz="8" w:space="0" w:color="000000"/>
                          <w:right w:val="nil" w:sz="6" w:space="0" w:color="auto"/>
                        </w:tcBorders>
                      </w:tcPr>
                      <w:p>
                        <w:pPr/>
                      </w:p>
                    </w:tc>
                    <w:tc>
                      <w:tcPr>
                        <w:tcW w:w="197" w:type="dxa"/>
                        <w:tcBorders>
                          <w:top w:val="nil" w:sz="6" w:space="0" w:color="auto"/>
                          <w:left w:val="nil" w:sz="6" w:space="0" w:color="auto"/>
                          <w:bottom w:val="single" w:sz="8" w:space="0" w:color="000000"/>
                          <w:right w:val="nil" w:sz="6" w:space="0" w:color="auto"/>
                        </w:tcBorders>
                      </w:tcPr>
                      <w:p>
                        <w:pPr/>
                      </w:p>
                    </w:tc>
                    <w:tc>
                      <w:tcPr>
                        <w:tcW w:w="943" w:type="dxa"/>
                        <w:tcBorders>
                          <w:top w:val="nil" w:sz="6" w:space="0" w:color="auto"/>
                          <w:left w:val="nil" w:sz="6" w:space="0" w:color="auto"/>
                          <w:bottom w:val="single" w:sz="8" w:space="0" w:color="000000"/>
                          <w:right w:val="nil" w:sz="6" w:space="0" w:color="auto"/>
                        </w:tcBorders>
                      </w:tcPr>
                      <w:p>
                        <w:pPr/>
                      </w:p>
                    </w:tc>
                    <w:tc>
                      <w:tcPr>
                        <w:tcW w:w="1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8" w:space="0" w:color="000000"/>
                          <w:right w:val="nil" w:sz="6" w:space="0" w:color="auto"/>
                        </w:tcBorders>
                      </w:tcPr>
                      <w:p>
                        <w:pPr>
                          <w:pStyle w:val="TableParagraph"/>
                          <w:spacing w:line="153" w:lineRule="exact"/>
                          <w:ind w:left="477"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318" w:type="dxa"/>
                        <w:tcBorders>
                          <w:top w:val="nil" w:sz="6" w:space="0" w:color="auto"/>
                          <w:left w:val="nil" w:sz="6" w:space="0" w:color="auto"/>
                          <w:bottom w:val="single" w:sz="8" w:space="0" w:color="000000"/>
                          <w:right w:val="nil" w:sz="6" w:space="0" w:color="auto"/>
                        </w:tcBorders>
                      </w:tcPr>
                      <w:p>
                        <w:pPr/>
                      </w:p>
                    </w:tc>
                    <w:tc>
                      <w:tcPr>
                        <w:tcW w:w="185" w:type="dxa"/>
                        <w:tcBorders>
                          <w:top w:val="nil" w:sz="6" w:space="0" w:color="auto"/>
                          <w:left w:val="nil" w:sz="6" w:space="0" w:color="auto"/>
                          <w:bottom w:val="single" w:sz="8" w:space="0" w:color="000000"/>
                          <w:right w:val="nil" w:sz="6" w:space="0" w:color="auto"/>
                        </w:tcBorders>
                      </w:tcPr>
                      <w:p>
                        <w:pPr/>
                      </w:p>
                    </w:tc>
                    <w:tc>
                      <w:tcPr>
                        <w:tcW w:w="2333" w:type="dxa"/>
                        <w:gridSpan w:val="4"/>
                        <w:tcBorders>
                          <w:top w:val="nil" w:sz="6" w:space="0" w:color="auto"/>
                          <w:left w:val="nil" w:sz="6" w:space="0" w:color="auto"/>
                          <w:bottom w:val="nil" w:sz="6" w:space="0" w:color="auto"/>
                          <w:right w:val="nil" w:sz="6" w:space="0" w:color="auto"/>
                        </w:tcBorders>
                      </w:tcPr>
                      <w:p>
                        <w:pPr>
                          <w:pStyle w:val="TableParagraph"/>
                          <w:spacing w:line="153" w:lineRule="exact"/>
                          <w:ind w:left="314" w:right="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sz w:val="16"/>
                            <w:szCs w:val="16"/>
                          </w:rPr>
                          <w:t>%</w:t>
                        </w:r>
                        <w:r>
                          <w:rPr>
                            <w:rFonts w:ascii="宋体" w:hAnsi="宋体" w:cs="宋体" w:eastAsia="宋体" w:hint="default"/>
                            <w:sz w:val="16"/>
                            <w:szCs w:val="16"/>
                          </w:rPr>
                          <w:t>）</w:t>
                        </w:r>
                      </w:p>
                    </w:tc>
                  </w:tr>
                  <w:tr>
                    <w:trPr>
                      <w:trHeight w:val="295" w:hRule="exact"/>
                    </w:trPr>
                    <w:tc>
                      <w:tcPr>
                        <w:tcW w:w="1908"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年以内</w:t>
                        </w:r>
                      </w:p>
                    </w:tc>
                    <w:tc>
                      <w:tcPr>
                        <w:tcW w:w="77" w:type="dxa"/>
                        <w:tcBorders>
                          <w:top w:val="nil" w:sz="6" w:space="0" w:color="auto"/>
                          <w:left w:val="nil" w:sz="6" w:space="0" w:color="auto"/>
                          <w:bottom w:val="nil" w:sz="6" w:space="0" w:color="auto"/>
                          <w:right w:val="nil" w:sz="6" w:space="0" w:color="auto"/>
                        </w:tcBorders>
                      </w:tcPr>
                      <w:p>
                        <w:pPr/>
                      </w:p>
                    </w:tc>
                    <w:tc>
                      <w:tcPr>
                        <w:tcW w:w="1558"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left="127" w:right="0"/>
                          <w:jc w:val="left"/>
                          <w:rPr>
                            <w:rFonts w:ascii="宋体" w:hAnsi="宋体" w:cs="宋体" w:eastAsia="宋体" w:hint="default"/>
                            <w:sz w:val="16"/>
                            <w:szCs w:val="16"/>
                          </w:rPr>
                        </w:pPr>
                        <w:r>
                          <w:rPr>
                            <w:rFonts w:ascii="宋体"/>
                            <w:sz w:val="16"/>
                          </w:rPr>
                          <w:t>30,849,856.34</w:t>
                        </w:r>
                      </w:p>
                    </w:tc>
                    <w:tc>
                      <w:tcPr>
                        <w:tcW w:w="1133"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left="264" w:right="0"/>
                          <w:jc w:val="left"/>
                          <w:rPr>
                            <w:rFonts w:ascii="宋体" w:hAnsi="宋体" w:cs="宋体" w:eastAsia="宋体" w:hint="default"/>
                            <w:sz w:val="16"/>
                            <w:szCs w:val="16"/>
                          </w:rPr>
                        </w:pPr>
                        <w:r>
                          <w:rPr>
                            <w:rFonts w:ascii="宋体"/>
                            <w:sz w:val="16"/>
                          </w:rPr>
                          <w:t>100.00</w:t>
                        </w:r>
                      </w:p>
                    </w:tc>
                    <w:tc>
                      <w:tcPr>
                        <w:tcW w:w="125" w:type="dxa"/>
                        <w:tcBorders>
                          <w:top w:val="single" w:sz="8" w:space="0" w:color="000000"/>
                          <w:left w:val="nil" w:sz="6" w:space="0" w:color="auto"/>
                          <w:bottom w:val="single" w:sz="12" w:space="0" w:color="000000"/>
                          <w:right w:val="nil" w:sz="6" w:space="0" w:color="auto"/>
                        </w:tcBorders>
                      </w:tcPr>
                      <w:p>
                        <w:pPr/>
                      </w:p>
                    </w:tc>
                    <w:tc>
                      <w:tcPr>
                        <w:tcW w:w="197" w:type="dxa"/>
                        <w:tcBorders>
                          <w:top w:val="single" w:sz="8" w:space="0" w:color="000000"/>
                          <w:left w:val="nil" w:sz="6" w:space="0" w:color="auto"/>
                          <w:bottom w:val="single" w:sz="12" w:space="0" w:color="000000"/>
                          <w:right w:val="nil" w:sz="6" w:space="0" w:color="auto"/>
                        </w:tcBorders>
                      </w:tcPr>
                      <w:p>
                        <w:pPr/>
                      </w:p>
                    </w:tc>
                    <w:tc>
                      <w:tcPr>
                        <w:tcW w:w="943"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left="106" w:right="0"/>
                          <w:jc w:val="center"/>
                          <w:rPr>
                            <w:rFonts w:ascii="宋体" w:hAnsi="宋体" w:cs="宋体" w:eastAsia="宋体" w:hint="default"/>
                            <w:sz w:val="16"/>
                            <w:szCs w:val="16"/>
                          </w:rPr>
                        </w:pPr>
                        <w:r>
                          <w:rPr>
                            <w:rFonts w:ascii="宋体"/>
                            <w:w w:val="100"/>
                            <w:sz w:val="16"/>
                          </w:rPr>
                          <w:t>-</w:t>
                        </w:r>
                      </w:p>
                    </w:tc>
                    <w:tc>
                      <w:tcPr>
                        <w:tcW w:w="12" w:type="dxa"/>
                        <w:tcBorders>
                          <w:top w:val="nil" w:sz="6" w:space="0" w:color="auto"/>
                          <w:left w:val="nil" w:sz="6" w:space="0" w:color="auto"/>
                          <w:bottom w:val="nil" w:sz="6" w:space="0" w:color="auto"/>
                          <w:right w:val="nil" w:sz="6" w:space="0" w:color="auto"/>
                        </w:tcBorders>
                      </w:tcPr>
                      <w:p>
                        <w:pPr/>
                      </w:p>
                    </w:tc>
                    <w:tc>
                      <w:tcPr>
                        <w:tcW w:w="1354" w:type="dxa"/>
                        <w:gridSpan w:val="3"/>
                        <w:tcBorders>
                          <w:top w:val="single" w:sz="8" w:space="0" w:color="000000"/>
                          <w:left w:val="nil" w:sz="6" w:space="0" w:color="auto"/>
                          <w:bottom w:val="single" w:sz="12" w:space="0" w:color="000000"/>
                          <w:right w:val="nil" w:sz="6" w:space="0" w:color="auto"/>
                        </w:tcBorders>
                      </w:tcPr>
                      <w:p>
                        <w:pPr>
                          <w:pStyle w:val="TableParagraph"/>
                          <w:spacing w:line="240" w:lineRule="auto" w:before="5"/>
                          <w:ind w:left="129" w:right="0"/>
                          <w:jc w:val="left"/>
                          <w:rPr>
                            <w:rFonts w:ascii="宋体" w:hAnsi="宋体" w:cs="宋体" w:eastAsia="宋体" w:hint="default"/>
                            <w:sz w:val="16"/>
                            <w:szCs w:val="16"/>
                          </w:rPr>
                        </w:pPr>
                        <w:r>
                          <w:rPr>
                            <w:rFonts w:ascii="宋体"/>
                            <w:sz w:val="16"/>
                          </w:rPr>
                          <w:t>25,388,054.15</w:t>
                        </w:r>
                      </w:p>
                    </w:tc>
                    <w:tc>
                      <w:tcPr>
                        <w:tcW w:w="206" w:type="dxa"/>
                        <w:tcBorders>
                          <w:top w:val="nil" w:sz="6" w:space="0" w:color="auto"/>
                          <w:left w:val="nil" w:sz="6" w:space="0" w:color="auto"/>
                          <w:bottom w:val="nil" w:sz="6" w:space="0" w:color="auto"/>
                          <w:right w:val="nil" w:sz="6" w:space="0" w:color="auto"/>
                        </w:tcBorders>
                      </w:tcPr>
                      <w:p>
                        <w:pPr/>
                      </w:p>
                    </w:tc>
                    <w:tc>
                      <w:tcPr>
                        <w:tcW w:w="264" w:type="dxa"/>
                        <w:tcBorders>
                          <w:top w:val="single" w:sz="8" w:space="0" w:color="000000"/>
                          <w:left w:val="nil" w:sz="6" w:space="0" w:color="auto"/>
                          <w:bottom w:val="single" w:sz="12" w:space="0" w:color="000000"/>
                          <w:right w:val="nil" w:sz="6" w:space="0" w:color="auto"/>
                        </w:tcBorders>
                      </w:tcPr>
                      <w:p>
                        <w:pPr/>
                      </w:p>
                    </w:tc>
                    <w:tc>
                      <w:tcPr>
                        <w:tcW w:w="473"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right="-8"/>
                          <w:jc w:val="left"/>
                          <w:rPr>
                            <w:rFonts w:ascii="宋体" w:hAnsi="宋体" w:cs="宋体" w:eastAsia="宋体" w:hint="default"/>
                            <w:sz w:val="16"/>
                            <w:szCs w:val="16"/>
                          </w:rPr>
                        </w:pPr>
                        <w:r>
                          <w:rPr>
                            <w:rFonts w:ascii="宋体"/>
                            <w:spacing w:val="-1"/>
                            <w:sz w:val="16"/>
                          </w:rPr>
                          <w:t>100.00</w:t>
                        </w:r>
                      </w:p>
                    </w:tc>
                    <w:tc>
                      <w:tcPr>
                        <w:tcW w:w="1389" w:type="dxa"/>
                        <w:tcBorders>
                          <w:top w:val="single" w:sz="8" w:space="0" w:color="000000"/>
                          <w:left w:val="nil" w:sz="6" w:space="0" w:color="auto"/>
                          <w:bottom w:val="single" w:sz="12" w:space="0" w:color="000000"/>
                          <w:right w:val="nil" w:sz="6" w:space="0" w:color="auto"/>
                        </w:tcBorders>
                      </w:tcPr>
                      <w:p>
                        <w:pPr>
                          <w:pStyle w:val="TableParagraph"/>
                          <w:spacing w:line="240" w:lineRule="auto" w:before="5"/>
                          <w:ind w:right="104"/>
                          <w:jc w:val="right"/>
                          <w:rPr>
                            <w:rFonts w:ascii="宋体" w:hAnsi="宋体" w:cs="宋体" w:eastAsia="宋体" w:hint="default"/>
                            <w:sz w:val="16"/>
                            <w:szCs w:val="16"/>
                          </w:rPr>
                        </w:pPr>
                        <w:r>
                          <w:rPr>
                            <w:rFonts w:ascii="宋体"/>
                            <w:w w:val="100"/>
                            <w:sz w:val="16"/>
                          </w:rPr>
                          <w:t>-</w:t>
                        </w:r>
                      </w:p>
                    </w:tc>
                  </w:tr>
                  <w:tr>
                    <w:trPr>
                      <w:trHeight w:val="696" w:hRule="exact"/>
                    </w:trPr>
                    <w:tc>
                      <w:tcPr>
                        <w:tcW w:w="964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6.2.3</w:t>
                        </w:r>
                        <w:r>
                          <w:rPr>
                            <w:rFonts w:ascii="宋体" w:hAnsi="宋体" w:cs="宋体" w:eastAsia="宋体" w:hint="default"/>
                            <w:spacing w:val="-56"/>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tc>
                  </w:tr>
                  <w:tr>
                    <w:trPr>
                      <w:trHeight w:val="545" w:hRule="exact"/>
                    </w:trPr>
                    <w:tc>
                      <w:tcPr>
                        <w:tcW w:w="964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6.2.4</w:t>
                        </w:r>
                        <w:r>
                          <w:rPr>
                            <w:rFonts w:ascii="宋体" w:hAnsi="宋体" w:cs="宋体" w:eastAsia="宋体" w:hint="default"/>
                            <w:spacing w:val="1"/>
                            <w:sz w:val="21"/>
                            <w:szCs w:val="21"/>
                          </w:rPr>
                          <w:t> </w:t>
                        </w:r>
                        <w:r>
                          <w:rPr>
                            <w:rFonts w:ascii="宋体" w:hAnsi="宋体" w:cs="宋体" w:eastAsia="宋体" w:hint="default"/>
                            <w:sz w:val="21"/>
                            <w:szCs w:val="21"/>
                          </w:rPr>
                          <w:t>应收账款余额前五名单位情况</w:t>
                        </w:r>
                      </w:p>
                    </w:tc>
                  </w:tr>
                  <w:tr>
                    <w:trPr>
                      <w:trHeight w:val="687" w:hRule="exact"/>
                    </w:trPr>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65" w:right="0"/>
                          <w:jc w:val="lef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77" w:type="dxa"/>
                        <w:tcBorders>
                          <w:top w:val="nil" w:sz="6" w:space="0" w:color="auto"/>
                          <w:left w:val="nil" w:sz="6" w:space="0" w:color="auto"/>
                          <w:bottom w:val="single" w:sz="4" w:space="0" w:color="000000"/>
                          <w:right w:val="nil" w:sz="6" w:space="0" w:color="auto"/>
                        </w:tcBorders>
                      </w:tcPr>
                      <w:p>
                        <w:pPr/>
                      </w:p>
                    </w:tc>
                    <w:tc>
                      <w:tcPr>
                        <w:tcW w:w="281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39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
                    </w:tc>
                    <w:tc>
                      <w:tcPr>
                        <w:tcW w:w="144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3"/>
                          <w:ind w:left="287"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5" w:right="132" w:hanging="53"/>
                          <w:jc w:val="left"/>
                          <w:rPr>
                            <w:rFonts w:ascii="宋体" w:hAnsi="宋体" w:cs="宋体" w:eastAsia="宋体" w:hint="default"/>
                            <w:sz w:val="21"/>
                            <w:szCs w:val="21"/>
                          </w:rPr>
                        </w:pPr>
                        <w:r>
                          <w:rPr>
                            <w:rFonts w:ascii="宋体" w:hAnsi="宋体" w:cs="宋体" w:eastAsia="宋体" w:hint="default"/>
                            <w:spacing w:val="-1"/>
                            <w:sz w:val="21"/>
                            <w:szCs w:val="21"/>
                          </w:rPr>
                          <w:t>占应收账款总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77" w:hRule="exact"/>
                    </w:trPr>
                    <w:tc>
                      <w:tcPr>
                        <w:tcW w:w="3543" w:type="dxa"/>
                        <w:gridSpan w:val="3"/>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NRI</w:t>
                        </w:r>
                        <w:r>
                          <w:rPr>
                            <w:rFonts w:ascii="宋体" w:hAnsi="宋体" w:cs="宋体" w:eastAsia="宋体" w:hint="default"/>
                            <w:spacing w:val="-53"/>
                            <w:sz w:val="21"/>
                            <w:szCs w:val="21"/>
                          </w:rPr>
                          <w:t> </w:t>
                        </w:r>
                        <w:r>
                          <w:rPr>
                            <w:rFonts w:ascii="宋体" w:hAnsi="宋体" w:cs="宋体" w:eastAsia="宋体" w:hint="default"/>
                            <w:sz w:val="21"/>
                            <w:szCs w:val="21"/>
                          </w:rPr>
                          <w:t>野村综合研究所株式会社</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5" w:type="dxa"/>
                        <w:tcBorders>
                          <w:top w:val="single" w:sz="4" w:space="0" w:color="000000"/>
                          <w:left w:val="nil" w:sz="6" w:space="0" w:color="auto"/>
                          <w:bottom w:val="nil" w:sz="6" w:space="0" w:color="auto"/>
                          <w:right w:val="nil" w:sz="6" w:space="0" w:color="auto"/>
                        </w:tcBorders>
                      </w:tcPr>
                      <w:p>
                        <w:pPr/>
                      </w:p>
                    </w:tc>
                    <w:tc>
                      <w:tcPr>
                        <w:tcW w:w="2004"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256" w:right="0"/>
                          <w:jc w:val="left"/>
                          <w:rPr>
                            <w:rFonts w:ascii="宋体" w:hAnsi="宋体" w:cs="宋体" w:eastAsia="宋体" w:hint="default"/>
                            <w:sz w:val="21"/>
                            <w:szCs w:val="21"/>
                          </w:rPr>
                        </w:pPr>
                        <w:r>
                          <w:rPr>
                            <w:rFonts w:ascii="宋体"/>
                            <w:sz w:val="21"/>
                          </w:rPr>
                          <w:t>10,266,484.08</w:t>
                        </w:r>
                      </w:p>
                    </w:tc>
                    <w:tc>
                      <w:tcPr>
                        <w:tcW w:w="1446" w:type="dxa"/>
                        <w:gridSpan w:val="5"/>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z w:val="21"/>
                          </w:rPr>
                          <w:t>33.28</w:t>
                        </w:r>
                      </w:p>
                    </w:tc>
                  </w:tr>
                  <w:tr>
                    <w:trPr>
                      <w:trHeight w:val="272" w:hRule="exact"/>
                    </w:trPr>
                    <w:tc>
                      <w:tcPr>
                        <w:tcW w:w="3543" w:type="dxa"/>
                        <w:gridSpan w:val="3"/>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瑞穗情报技术开发株式会社</w:t>
                        </w:r>
                      </w:p>
                    </w:tc>
                    <w:tc>
                      <w:tcPr>
                        <w:tcW w:w="1133" w:type="dxa"/>
                        <w:tcBorders>
                          <w:top w:val="nil" w:sz="6" w:space="0" w:color="auto"/>
                          <w:left w:val="nil" w:sz="6" w:space="0" w:color="auto"/>
                          <w:bottom w:val="nil" w:sz="6" w:space="0" w:color="auto"/>
                          <w:right w:val="nil" w:sz="6" w:space="0" w:color="auto"/>
                        </w:tcBorders>
                      </w:tcPr>
                      <w:p>
                        <w:pPr>
                          <w:pStyle w:val="TableParagraph"/>
                          <w:spacing w:line="24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5" w:type="dxa"/>
                        <w:tcBorders>
                          <w:top w:val="nil" w:sz="6" w:space="0" w:color="auto"/>
                          <w:left w:val="nil" w:sz="6" w:space="0" w:color="auto"/>
                          <w:bottom w:val="nil" w:sz="6" w:space="0" w:color="auto"/>
                          <w:right w:val="nil" w:sz="6" w:space="0" w:color="auto"/>
                        </w:tcBorders>
                      </w:tcPr>
                      <w:p>
                        <w:pPr/>
                      </w:p>
                    </w:tc>
                    <w:tc>
                      <w:tcPr>
                        <w:tcW w:w="2004"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362" w:right="0"/>
                          <w:jc w:val="left"/>
                          <w:rPr>
                            <w:rFonts w:ascii="宋体" w:hAnsi="宋体" w:cs="宋体" w:eastAsia="宋体" w:hint="default"/>
                            <w:sz w:val="21"/>
                            <w:szCs w:val="21"/>
                          </w:rPr>
                        </w:pPr>
                        <w:r>
                          <w:rPr>
                            <w:rFonts w:ascii="宋体"/>
                            <w:sz w:val="21"/>
                          </w:rPr>
                          <w:t>8,501,828.46</w:t>
                        </w:r>
                      </w:p>
                    </w:tc>
                    <w:tc>
                      <w:tcPr>
                        <w:tcW w:w="1446" w:type="dxa"/>
                        <w:gridSpan w:val="5"/>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p>
                    </w:tc>
                    <w:tc>
                      <w:tcPr>
                        <w:tcW w:w="1389"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z w:val="21"/>
                          </w:rPr>
                          <w:t>27.56</w:t>
                        </w:r>
                      </w:p>
                    </w:tc>
                  </w:tr>
                  <w:tr>
                    <w:trPr>
                      <w:trHeight w:val="272" w:hRule="exact"/>
                    </w:trPr>
                    <w:tc>
                      <w:tcPr>
                        <w:tcW w:w="3543"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日本欧姆龙软件株式会社</w:t>
                        </w:r>
                      </w:p>
                    </w:tc>
                    <w:tc>
                      <w:tcPr>
                        <w:tcW w:w="1133"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5" w:type="dxa"/>
                        <w:tcBorders>
                          <w:top w:val="nil" w:sz="6" w:space="0" w:color="auto"/>
                          <w:left w:val="nil" w:sz="6" w:space="0" w:color="auto"/>
                          <w:bottom w:val="nil" w:sz="6" w:space="0" w:color="auto"/>
                          <w:right w:val="nil" w:sz="6" w:space="0" w:color="auto"/>
                        </w:tcBorders>
                      </w:tcPr>
                      <w:p>
                        <w:pPr/>
                      </w:p>
                    </w:tc>
                    <w:tc>
                      <w:tcPr>
                        <w:tcW w:w="2004"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2,475,867.86</w:t>
                        </w:r>
                      </w:p>
                    </w:tc>
                    <w:tc>
                      <w:tcPr>
                        <w:tcW w:w="1446" w:type="dxa"/>
                        <w:gridSpan w:val="5"/>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p>
                    </w:tc>
                    <w:tc>
                      <w:tcPr>
                        <w:tcW w:w="1389"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z w:val="21"/>
                          </w:rPr>
                          <w:t>8.03</w:t>
                        </w:r>
                      </w:p>
                    </w:tc>
                  </w:tr>
                  <w:tr>
                    <w:trPr>
                      <w:trHeight w:val="545" w:hRule="exact"/>
                    </w:trPr>
                    <w:tc>
                      <w:tcPr>
                        <w:tcW w:w="3543"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上海普天邮通科技股份有限公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3" w:type="dxa"/>
                        <w:tcBorders>
                          <w:top w:val="nil" w:sz="6" w:space="0" w:color="auto"/>
                          <w:left w:val="nil" w:sz="6" w:space="0" w:color="auto"/>
                          <w:bottom w:val="nil" w:sz="6" w:space="0" w:color="auto"/>
                          <w:right w:val="nil" w:sz="6" w:space="0" w:color="auto"/>
                        </w:tcBorders>
                      </w:tcPr>
                      <w:p>
                        <w:pPr>
                          <w:pStyle w:val="TableParagraph"/>
                          <w:spacing w:line="24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5" w:type="dxa"/>
                        <w:tcBorders>
                          <w:top w:val="nil" w:sz="6" w:space="0" w:color="auto"/>
                          <w:left w:val="nil" w:sz="6" w:space="0" w:color="auto"/>
                          <w:bottom w:val="nil" w:sz="6" w:space="0" w:color="auto"/>
                          <w:right w:val="nil" w:sz="6" w:space="0" w:color="auto"/>
                        </w:tcBorders>
                      </w:tcPr>
                      <w:p>
                        <w:pPr/>
                      </w:p>
                    </w:tc>
                    <w:tc>
                      <w:tcPr>
                        <w:tcW w:w="2004"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362" w:right="0"/>
                          <w:jc w:val="left"/>
                          <w:rPr>
                            <w:rFonts w:ascii="宋体" w:hAnsi="宋体" w:cs="宋体" w:eastAsia="宋体" w:hint="default"/>
                            <w:sz w:val="21"/>
                            <w:szCs w:val="21"/>
                          </w:rPr>
                        </w:pPr>
                        <w:r>
                          <w:rPr>
                            <w:rFonts w:ascii="宋体"/>
                            <w:sz w:val="21"/>
                          </w:rPr>
                          <w:t>1,879,200.00</w:t>
                        </w:r>
                      </w:p>
                    </w:tc>
                    <w:tc>
                      <w:tcPr>
                        <w:tcW w:w="1446" w:type="dxa"/>
                        <w:gridSpan w:val="5"/>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p>
                    </w:tc>
                    <w:tc>
                      <w:tcPr>
                        <w:tcW w:w="1389"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z w:val="21"/>
                          </w:rPr>
                          <w:t>6.09</w:t>
                        </w:r>
                      </w:p>
                    </w:tc>
                  </w:tr>
                  <w:tr>
                    <w:trPr>
                      <w:trHeight w:val="551" w:hRule="exact"/>
                    </w:trPr>
                    <w:tc>
                      <w:tcPr>
                        <w:tcW w:w="3543"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FutureNavigator</w:t>
                        </w:r>
                        <w:r>
                          <w:rPr>
                            <w:rFonts w:ascii="宋体" w:hAnsi="宋体" w:cs="宋体" w:eastAsia="宋体" w:hint="default"/>
                            <w:spacing w:val="23"/>
                            <w:sz w:val="21"/>
                            <w:szCs w:val="21"/>
                          </w:rPr>
                          <w:t> </w:t>
                        </w:r>
                        <w:r>
                          <w:rPr>
                            <w:rFonts w:ascii="宋体" w:hAnsi="宋体" w:cs="宋体" w:eastAsia="宋体" w:hint="default"/>
                            <w:sz w:val="21"/>
                            <w:szCs w:val="21"/>
                          </w:rPr>
                          <w:t>未来创想株</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式会社</w:t>
                        </w:r>
                      </w:p>
                    </w:tc>
                    <w:tc>
                      <w:tcPr>
                        <w:tcW w:w="1133" w:type="dxa"/>
                        <w:tcBorders>
                          <w:top w:val="nil" w:sz="6" w:space="0" w:color="auto"/>
                          <w:left w:val="nil" w:sz="6" w:space="0" w:color="auto"/>
                          <w:bottom w:val="nil" w:sz="6" w:space="0" w:color="auto"/>
                          <w:right w:val="nil" w:sz="6" w:space="0" w:color="auto"/>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5" w:type="dxa"/>
                        <w:tcBorders>
                          <w:top w:val="nil" w:sz="6" w:space="0" w:color="auto"/>
                          <w:left w:val="nil" w:sz="6" w:space="0" w:color="auto"/>
                          <w:bottom w:val="nil" w:sz="6" w:space="0" w:color="auto"/>
                          <w:right w:val="nil" w:sz="6" w:space="0" w:color="auto"/>
                        </w:tcBorders>
                      </w:tcPr>
                      <w:p>
                        <w:pPr/>
                      </w:p>
                    </w:tc>
                    <w:tc>
                      <w:tcPr>
                        <w:tcW w:w="2004" w:type="dxa"/>
                        <w:gridSpan w:val="4"/>
                        <w:tcBorders>
                          <w:top w:val="nil" w:sz="6" w:space="0" w:color="auto"/>
                          <w:left w:val="nil" w:sz="6" w:space="0" w:color="auto"/>
                          <w:bottom w:val="nil" w:sz="6" w:space="0" w:color="auto"/>
                          <w:right w:val="nil" w:sz="6" w:space="0" w:color="auto"/>
                        </w:tcBorders>
                      </w:tcPr>
                      <w:p>
                        <w:pPr>
                          <w:pStyle w:val="TableParagraph"/>
                          <w:spacing w:line="243" w:lineRule="exact"/>
                          <w:ind w:left="362" w:right="0"/>
                          <w:jc w:val="left"/>
                          <w:rPr>
                            <w:rFonts w:ascii="宋体" w:hAnsi="宋体" w:cs="宋体" w:eastAsia="宋体" w:hint="default"/>
                            <w:sz w:val="21"/>
                            <w:szCs w:val="21"/>
                          </w:rPr>
                        </w:pPr>
                        <w:r>
                          <w:rPr>
                            <w:rFonts w:ascii="宋体"/>
                            <w:sz w:val="21"/>
                          </w:rPr>
                          <w:t>1,580,171.92</w:t>
                        </w:r>
                      </w:p>
                    </w:tc>
                    <w:tc>
                      <w:tcPr>
                        <w:tcW w:w="1446" w:type="dxa"/>
                        <w:gridSpan w:val="5"/>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3" w:lineRule="exact"/>
                          <w:ind w:right="101"/>
                          <w:jc w:val="right"/>
                          <w:rPr>
                            <w:rFonts w:ascii="宋体" w:hAnsi="宋体" w:cs="宋体" w:eastAsia="宋体" w:hint="default"/>
                            <w:sz w:val="21"/>
                            <w:szCs w:val="21"/>
                          </w:rPr>
                        </w:pPr>
                        <w:r>
                          <w:rPr>
                            <w:rFonts w:ascii="宋体"/>
                            <w:sz w:val="21"/>
                          </w:rPr>
                          <w:t>5.12</w:t>
                        </w:r>
                      </w:p>
                    </w:tc>
                  </w:tr>
                  <w:tr>
                    <w:trPr>
                      <w:trHeight w:val="290"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004"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256" w:right="0"/>
                          <w:jc w:val="left"/>
                          <w:rPr>
                            <w:rFonts w:ascii="宋体" w:hAnsi="宋体" w:cs="宋体" w:eastAsia="宋体" w:hint="default"/>
                            <w:sz w:val="21"/>
                            <w:szCs w:val="21"/>
                          </w:rPr>
                        </w:pPr>
                        <w:r>
                          <w:rPr>
                            <w:rFonts w:ascii="宋体"/>
                            <w:sz w:val="21"/>
                          </w:rPr>
                          <w:t>24,703,552.32</w:t>
                        </w:r>
                      </w:p>
                    </w:tc>
                    <w:tc>
                      <w:tcPr>
                        <w:tcW w:w="31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473" w:type="dxa"/>
                        <w:tcBorders>
                          <w:top w:val="single" w:sz="4" w:space="0" w:color="000000"/>
                          <w:left w:val="nil" w:sz="6" w:space="0" w:color="auto"/>
                          <w:bottom w:val="single" w:sz="12" w:space="0" w:color="000000"/>
                          <w:right w:val="nil" w:sz="6" w:space="0" w:color="auto"/>
                        </w:tcBorders>
                      </w:tcPr>
                      <w:p>
                        <w:pP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z w:val="21"/>
                          </w:rPr>
                          <w:t>80.08</w:t>
                        </w:r>
                      </w:p>
                    </w:tc>
                  </w:tr>
                  <w:tr>
                    <w:trPr>
                      <w:trHeight w:val="802" w:hRule="exact"/>
                    </w:trPr>
                    <w:tc>
                      <w:tcPr>
                        <w:tcW w:w="964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8" w:right="98"/>
                          <w:jc w:val="left"/>
                          <w:rPr>
                            <w:rFonts w:ascii="宋体" w:hAnsi="宋体" w:cs="宋体" w:eastAsia="宋体" w:hint="default"/>
                            <w:sz w:val="21"/>
                            <w:szCs w:val="21"/>
                          </w:rPr>
                        </w:pPr>
                        <w:r>
                          <w:rPr>
                            <w:rFonts w:ascii="宋体" w:hAnsi="宋体" w:cs="宋体" w:eastAsia="宋体" w:hint="default"/>
                            <w:sz w:val="21"/>
                            <w:szCs w:val="21"/>
                          </w:rPr>
                          <w:t>应收账款年末数比年初数增加</w:t>
                        </w:r>
                        <w:r>
                          <w:rPr>
                            <w:rFonts w:ascii="宋体" w:hAnsi="宋体" w:cs="宋体" w:eastAsia="宋体" w:hint="default"/>
                            <w:spacing w:val="-47"/>
                            <w:sz w:val="21"/>
                            <w:szCs w:val="21"/>
                          </w:rPr>
                          <w:t> </w:t>
                        </w:r>
                        <w:r>
                          <w:rPr>
                            <w:rFonts w:ascii="宋体" w:hAnsi="宋体" w:cs="宋体" w:eastAsia="宋体" w:hint="default"/>
                            <w:sz w:val="21"/>
                            <w:szCs w:val="21"/>
                          </w:rPr>
                          <w:t>5,461,802.19</w:t>
                        </w:r>
                        <w:r>
                          <w:rPr>
                            <w:rFonts w:ascii="宋体" w:hAnsi="宋体" w:cs="宋体" w:eastAsia="宋体" w:hint="default"/>
                            <w:spacing w:val="-45"/>
                            <w:sz w:val="21"/>
                            <w:szCs w:val="21"/>
                          </w:rPr>
                          <w:t> </w:t>
                        </w:r>
                        <w:r>
                          <w:rPr>
                            <w:rFonts w:ascii="宋体" w:hAnsi="宋体" w:cs="宋体" w:eastAsia="宋体" w:hint="default"/>
                            <w:sz w:val="21"/>
                            <w:szCs w:val="21"/>
                          </w:rPr>
                          <w:t>元，增加比例为</w:t>
                        </w:r>
                        <w:r>
                          <w:rPr>
                            <w:rFonts w:ascii="宋体" w:hAnsi="宋体" w:cs="宋体" w:eastAsia="宋体" w:hint="default"/>
                            <w:spacing w:val="-47"/>
                            <w:sz w:val="21"/>
                            <w:szCs w:val="21"/>
                          </w:rPr>
                          <w:t> </w:t>
                        </w:r>
                        <w:r>
                          <w:rPr>
                            <w:rFonts w:ascii="宋体" w:hAnsi="宋体" w:cs="宋体" w:eastAsia="宋体" w:hint="default"/>
                            <w:sz w:val="21"/>
                            <w:szCs w:val="21"/>
                          </w:rPr>
                          <w:t>21.51%</w:t>
                        </w:r>
                        <w:r>
                          <w:rPr>
                            <w:rFonts w:ascii="宋体" w:hAnsi="宋体" w:cs="宋体" w:eastAsia="宋体" w:hint="default"/>
                            <w:sz w:val="21"/>
                            <w:szCs w:val="21"/>
                          </w:rPr>
                          <w:t>，主要原因为：营业收入增长导致</w:t>
                        </w:r>
                        <w:r>
                          <w:rPr>
                            <w:rFonts w:ascii="宋体" w:hAnsi="宋体" w:cs="宋体" w:eastAsia="宋体" w:hint="default"/>
                            <w:w w:val="100"/>
                            <w:sz w:val="21"/>
                            <w:szCs w:val="21"/>
                          </w:rPr>
                          <w:t> </w:t>
                        </w:r>
                        <w:r>
                          <w:rPr>
                            <w:rFonts w:ascii="宋体" w:hAnsi="宋体" w:cs="宋体" w:eastAsia="宋体" w:hint="default"/>
                            <w:sz w:val="21"/>
                            <w:szCs w:val="21"/>
                          </w:rPr>
                          <w:t>应收账款相应增加。</w:t>
                        </w:r>
                      </w:p>
                    </w:tc>
                  </w:tr>
                </w:tbl>
                <w:p>
                  <w:pPr/>
                </w:p>
              </w:txbxContent>
            </v:textbox>
            <w10:wrap type="none"/>
          </v:shape>
        </w:pict>
      </w:r>
      <w:r>
        <w:rPr>
          <w:rFonts w:ascii="宋体" w:hAnsi="宋体" w:cs="宋体" w:eastAsia="宋体" w:hint="default"/>
          <w:w w:val="100"/>
          <w:sz w:val="16"/>
          <w:szCs w:val="16"/>
        </w:rPr>
        <w:t>面</w:t>
      </w:r>
    </w:p>
    <w:p>
      <w:pPr>
        <w:spacing w:line="240" w:lineRule="auto" w:before="0"/>
        <w:rPr>
          <w:rFonts w:ascii="宋体" w:hAnsi="宋体" w:cs="宋体" w:eastAsia="宋体" w:hint="default"/>
          <w:sz w:val="2"/>
          <w:szCs w:val="2"/>
        </w:rPr>
      </w:pPr>
    </w:p>
    <w:p>
      <w:pPr>
        <w:tabs>
          <w:tab w:pos="6504" w:val="left" w:leader="none"/>
        </w:tabs>
        <w:spacing w:line="20" w:lineRule="exact"/>
        <w:ind w:left="2536" w:right="0" w:firstLine="0"/>
        <w:rPr>
          <w:rFonts w:ascii="宋体" w:hAnsi="宋体" w:cs="宋体" w:eastAsia="宋体" w:hint="default"/>
          <w:sz w:val="2"/>
          <w:szCs w:val="2"/>
        </w:rPr>
      </w:pPr>
      <w:r>
        <w:rPr>
          <w:rFonts w:ascii="宋体"/>
          <w:sz w:val="2"/>
        </w:rPr>
        <w:pict>
          <v:group style="width:121.5pt;height:1pt;mso-position-horizontal-relative:char;mso-position-vertical-relative:line" coordorigin="0,0" coordsize="2430,20">
            <v:group style="position:absolute;left:10;top:10;width:1275;height:2" coordorigin="10,10" coordsize="1275,2">
              <v:shape style="position:absolute;left:10;top:10;width:1275;height:2" coordorigin="10,10" coordsize="1275,0" path="m10,10l1284,10e" filled="false" stroked="true" strokeweight=".95999pt" strokecolor="#000000">
                <v:path arrowok="t"/>
              </v:shape>
            </v:group>
            <v:group style="position:absolute;left:1285;top:10;width:20;height:2" coordorigin="1285,10" coordsize="20,2">
              <v:shape style="position:absolute;left:1285;top:10;width:20;height:2" coordorigin="1285,10" coordsize="20,0" path="m1285,10l1304,10e" filled="false" stroked="true" strokeweight=".95999pt" strokecolor="#000000">
                <v:path arrowok="t"/>
              </v:shape>
            </v:group>
            <v:group style="position:absolute;left:1304;top:10;width:264;height:2" coordorigin="1304,10" coordsize="264,2">
              <v:shape style="position:absolute;left:1304;top:10;width:264;height:2" coordorigin="1304,10" coordsize="264,0" path="m1304,10l1568,10e" filled="false" stroked="true" strokeweight=".95999pt" strokecolor="#000000">
                <v:path arrowok="t"/>
              </v:shape>
            </v:group>
            <v:group style="position:absolute;left:1568;top:10;width:20;height:2" coordorigin="1568,10" coordsize="20,2">
              <v:shape style="position:absolute;left:1568;top:10;width:20;height:2" coordorigin="1568,10" coordsize="20,0" path="m1568,10l1587,10e" filled="false" stroked="true" strokeweight=".95999pt" strokecolor="#000000">
                <v:path arrowok="t"/>
              </v:shape>
            </v:group>
            <v:group style="position:absolute;left:1587;top:10;width:833;height:2" coordorigin="1587,10" coordsize="833,2">
              <v:shape style="position:absolute;left:1587;top:10;width:833;height:2" coordorigin="1587,10" coordsize="833,0" path="m1587,10l2420,10e" filled="false" stroked="true" strokeweight=".95999pt" strokecolor="#000000">
                <v:path arrowok="t"/>
              </v:shape>
            </v:group>
          </v:group>
        </w:pict>
      </w:r>
      <w:r>
        <w:rPr>
          <w:rFonts w:ascii="宋体"/>
          <w:sz w:val="2"/>
        </w:rPr>
      </w:r>
      <w:r>
        <w:rPr>
          <w:rFonts w:ascii="宋体"/>
          <w:sz w:val="2"/>
        </w:rPr>
        <w:tab/>
      </w:r>
      <w:r>
        <w:rPr>
          <w:rFonts w:ascii="宋体"/>
          <w:sz w:val="2"/>
        </w:rPr>
        <w:pict>
          <v:group style="width:121.5pt;height:1pt;mso-position-horizontal-relative:char;mso-position-vertical-relative:line" coordorigin="0,0" coordsize="2430,20">
            <v:group style="position:absolute;left:10;top:10;width:1278;height:2" coordorigin="10,10" coordsize="1278,2">
              <v:shape style="position:absolute;left:10;top:10;width:1278;height:2" coordorigin="10,10" coordsize="1278,0" path="m10,10l1287,10e" filled="false" stroked="true" strokeweight=".95999pt" strokecolor="#000000">
                <v:path arrowok="t"/>
              </v:shape>
            </v:group>
            <v:group style="position:absolute;left:1287;top:10;width:20;height:2" coordorigin="1287,10" coordsize="20,2">
              <v:shape style="position:absolute;left:1287;top:10;width:20;height:2" coordorigin="1287,10" coordsize="20,0" path="m1287,10l1306,10e" filled="false" stroked="true" strokeweight=".95999pt" strokecolor="#000000">
                <v:path arrowok="t"/>
              </v:shape>
            </v:group>
            <v:group style="position:absolute;left:1306;top:10;width:264;height:2" coordorigin="1306,10" coordsize="264,2">
              <v:shape style="position:absolute;left:1306;top:10;width:264;height:2" coordorigin="1306,10" coordsize="264,0" path="m1306,10l1570,10e" filled="false" stroked="true" strokeweight=".95999pt" strokecolor="#000000">
                <v:path arrowok="t"/>
              </v:shape>
            </v:group>
            <v:group style="position:absolute;left:1570;top:10;width:20;height:2" coordorigin="1570,10" coordsize="20,2">
              <v:shape style="position:absolute;left:1570;top:10;width:20;height:2" coordorigin="1570,10" coordsize="20,0" path="m1570,10l1589,10e" filled="false" stroked="true" strokeweight=".95999pt" strokecolor="#000000">
                <v:path arrowok="t"/>
              </v:shape>
            </v:group>
            <v:group style="position:absolute;left:1589;top:10;width:831;height:2" coordorigin="1589,10" coordsize="831,2">
              <v:shape style="position:absolute;left:1589;top:10;width:831;height:2" coordorigin="1589,10" coordsize="831,0" path="m1589,10l2420,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p>
      <w:pPr>
        <w:spacing w:line="20" w:lineRule="exact"/>
        <w:ind w:left="7361" w:right="0" w:firstLine="0"/>
        <w:rPr>
          <w:rFonts w:ascii="宋体" w:hAnsi="宋体" w:cs="宋体" w:eastAsia="宋体" w:hint="default"/>
          <w:sz w:val="2"/>
          <w:szCs w:val="2"/>
        </w:rPr>
      </w:pPr>
      <w:r>
        <w:rPr>
          <w:rFonts w:ascii="宋体" w:hAnsi="宋体" w:cs="宋体" w:eastAsia="宋体" w:hint="default"/>
          <w:sz w:val="2"/>
          <w:szCs w:val="2"/>
        </w:rPr>
        <w:pict>
          <v:group style="width:50.45pt;height:.5pt;mso-position-horizontal-relative:char;mso-position-vertical-relative:line" coordorigin="0,0" coordsize="1009,10">
            <v:group style="position:absolute;left:5;top:5;width:999;height:2" coordorigin="5,5" coordsize="999,2">
              <v:shape style="position:absolute;left:5;top:5;width:999;height:2" coordorigin="5,5" coordsize="999,0" path="m5,5l1004,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380" w:left="1100" w:right="400"/>
        </w:sectPr>
      </w:pPr>
    </w:p>
    <w:p>
      <w:pPr>
        <w:spacing w:line="240" w:lineRule="auto" w:before="6"/>
        <w:rPr>
          <w:rFonts w:ascii="宋体" w:hAnsi="宋体" w:cs="宋体" w:eastAsia="宋体" w:hint="default"/>
          <w:sz w:val="23"/>
          <w:szCs w:val="23"/>
        </w:rPr>
      </w:pPr>
    </w:p>
    <w:p>
      <w:pPr>
        <w:tabs>
          <w:tab w:pos="791" w:val="left" w:leader="none"/>
        </w:tabs>
        <w:spacing w:before="36"/>
        <w:ind w:left="100" w:right="1029"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808" w:val="left" w:leader="none"/>
        </w:tabs>
        <w:spacing w:before="0"/>
        <w:ind w:left="278" w:right="1029" w:firstLine="0"/>
        <w:jc w:val="left"/>
        <w:rPr>
          <w:rFonts w:ascii="宋体" w:hAnsi="宋体" w:cs="宋体" w:eastAsia="宋体" w:hint="default"/>
          <w:sz w:val="21"/>
          <w:szCs w:val="21"/>
        </w:rPr>
      </w:pPr>
      <w:r>
        <w:rPr>
          <w:rFonts w:ascii="宋体" w:hAnsi="宋体" w:cs="宋体" w:eastAsia="宋体" w:hint="default"/>
          <w:sz w:val="21"/>
          <w:szCs w:val="21"/>
        </w:rPr>
        <w:t>6.3</w:t>
        <w:tab/>
      </w:r>
      <w:r>
        <w:rPr>
          <w:rFonts w:ascii="宋体" w:hAnsi="宋体" w:cs="宋体" w:eastAsia="宋体" w:hint="default"/>
          <w:sz w:val="21"/>
          <w:szCs w:val="21"/>
        </w:rPr>
        <w:t>其他应收款</w:t>
      </w:r>
    </w:p>
    <w:p>
      <w:pPr>
        <w:spacing w:line="240" w:lineRule="auto" w:before="8"/>
        <w:rPr>
          <w:rFonts w:ascii="宋体" w:hAnsi="宋体" w:cs="宋体" w:eastAsia="宋体" w:hint="default"/>
          <w:sz w:val="20"/>
          <w:szCs w:val="20"/>
        </w:rPr>
      </w:pPr>
    </w:p>
    <w:p>
      <w:pPr>
        <w:spacing w:before="0"/>
        <w:ind w:left="808" w:right="1029" w:firstLine="0"/>
        <w:jc w:val="left"/>
        <w:rPr>
          <w:rFonts w:ascii="宋体" w:hAnsi="宋体" w:cs="宋体" w:eastAsia="宋体" w:hint="default"/>
          <w:sz w:val="21"/>
          <w:szCs w:val="21"/>
        </w:rPr>
      </w:pPr>
      <w:r>
        <w:rPr>
          <w:rFonts w:ascii="宋体" w:hAnsi="宋体" w:cs="宋体" w:eastAsia="宋体" w:hint="default"/>
          <w:sz w:val="21"/>
          <w:szCs w:val="21"/>
        </w:rPr>
        <w:t>6.3.1</w:t>
      </w:r>
      <w:r>
        <w:rPr>
          <w:rFonts w:ascii="宋体" w:hAnsi="宋体" w:cs="宋体" w:eastAsia="宋体" w:hint="default"/>
          <w:spacing w:val="1"/>
          <w:sz w:val="21"/>
          <w:szCs w:val="21"/>
        </w:rPr>
        <w:t> </w:t>
      </w:r>
      <w:r>
        <w:rPr>
          <w:rFonts w:ascii="宋体" w:hAnsi="宋体" w:cs="宋体" w:eastAsia="宋体" w:hint="default"/>
          <w:sz w:val="21"/>
          <w:szCs w:val="21"/>
        </w:rPr>
        <w:t>其他应收款按种类分析如下：</w:t>
      </w:r>
    </w:p>
    <w:p>
      <w:pPr>
        <w:spacing w:line="240" w:lineRule="auto" w:before="4"/>
        <w:rPr>
          <w:rFonts w:ascii="宋体" w:hAnsi="宋体" w:cs="宋体" w:eastAsia="宋体" w:hint="default"/>
          <w:sz w:val="17"/>
          <w:szCs w:val="17"/>
        </w:rPr>
      </w:pPr>
    </w:p>
    <w:p>
      <w:pPr>
        <w:tabs>
          <w:tab w:pos="6386" w:val="left" w:leader="none"/>
        </w:tabs>
        <w:spacing w:before="51"/>
        <w:ind w:left="2322" w:right="0" w:firstLine="0"/>
        <w:jc w:val="center"/>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tab/>
      </w:r>
      <w:r>
        <w:rPr>
          <w:rFonts w:ascii="宋体" w:hAnsi="宋体" w:cs="宋体" w:eastAsia="宋体" w:hint="default"/>
          <w:sz w:val="16"/>
          <w:szCs w:val="16"/>
        </w:rPr>
        <w:t>2010</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spacing w:line="240" w:lineRule="auto" w:before="9"/>
        <w:rPr>
          <w:rFonts w:ascii="宋体" w:hAnsi="宋体" w:cs="宋体" w:eastAsia="宋体" w:hint="default"/>
          <w:sz w:val="6"/>
          <w:szCs w:val="6"/>
        </w:rPr>
      </w:pPr>
    </w:p>
    <w:p>
      <w:pPr>
        <w:tabs>
          <w:tab w:pos="6507" w:val="left" w:leader="none"/>
        </w:tabs>
        <w:spacing w:line="20" w:lineRule="exact"/>
        <w:ind w:left="2344" w:right="0" w:firstLine="0"/>
        <w:rPr>
          <w:rFonts w:ascii="宋体" w:hAnsi="宋体" w:cs="宋体" w:eastAsia="宋体" w:hint="default"/>
          <w:sz w:val="2"/>
          <w:szCs w:val="2"/>
        </w:rPr>
      </w:pPr>
      <w:r>
        <w:rPr>
          <w:rFonts w:ascii="宋体"/>
          <w:sz w:val="2"/>
        </w:rPr>
        <w:pict>
          <v:group style="width:194.7pt;height:1pt;mso-position-horizontal-relative:char;mso-position-vertical-relative:line" coordorigin="0,0" coordsize="3894,20">
            <v:group style="position:absolute;left:10;top:10;width:1931;height:2" coordorigin="10,10" coordsize="1931,2">
              <v:shape style="position:absolute;left:10;top:10;width:1931;height:2" coordorigin="10,10" coordsize="1931,0" path="m10,10l1940,10e" filled="false" stroked="true" strokeweight=".95999pt" strokecolor="#000000">
                <v:path arrowok="t"/>
              </v:shape>
            </v:group>
            <v:group style="position:absolute;left:1940;top:10;width:20;height:2" coordorigin="1940,10" coordsize="20,2">
              <v:shape style="position:absolute;left:1940;top:10;width:20;height:2" coordorigin="1940,10" coordsize="20,0" path="m1940,10l1959,10e" filled="false" stroked="true" strokeweight=".95999pt" strokecolor="#000000">
                <v:path arrowok="t"/>
              </v:shape>
            </v:group>
            <v:group style="position:absolute;left:1959;top:10;width:226;height:2" coordorigin="1959,10" coordsize="226,2">
              <v:shape style="position:absolute;left:1959;top:10;width:226;height:2" coordorigin="1959,10" coordsize="226,0" path="m1959,10l2185,10e" filled="false" stroked="true" strokeweight=".95999pt" strokecolor="#000000">
                <v:path arrowok="t"/>
              </v:shape>
            </v:group>
            <v:group style="position:absolute;left:2185;top:10;width:20;height:2" coordorigin="2185,10" coordsize="20,2">
              <v:shape style="position:absolute;left:2185;top:10;width:20;height:2" coordorigin="2185,10" coordsize="20,0" path="m2185,10l2204,10e" filled="false" stroked="true" strokeweight=".95999pt" strokecolor="#000000">
                <v:path arrowok="t"/>
              </v:shape>
            </v:group>
            <v:group style="position:absolute;left:2204;top:10;width:1681;height:2" coordorigin="2204,10" coordsize="1681,2">
              <v:shape style="position:absolute;left:2204;top:10;width:1681;height:2" coordorigin="2204,10" coordsize="1681,0" path="m2204,10l3884,10e" filled="false" stroked="true" strokeweight=".95999pt" strokecolor="#000000">
                <v:path arrowok="t"/>
              </v:shape>
            </v:group>
          </v:group>
        </w:pict>
      </w:r>
      <w:r>
        <w:rPr>
          <w:rFonts w:ascii="宋体"/>
          <w:sz w:val="2"/>
        </w:rPr>
      </w:r>
      <w:r>
        <w:rPr>
          <w:rFonts w:ascii="宋体"/>
          <w:sz w:val="2"/>
        </w:rPr>
        <w:tab/>
      </w:r>
      <w:r>
        <w:rPr>
          <w:rFonts w:ascii="宋体"/>
          <w:position w:val="1"/>
          <w:sz w:val="2"/>
        </w:rPr>
        <w:pict>
          <v:group style="width:184.95pt;height:.5pt;mso-position-horizontal-relative:char;mso-position-vertical-relative:line" coordorigin="0,0" coordsize="3699,10">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1849;top:5;width:10;height:2" coordorigin="1849,5" coordsize="10,2">
              <v:shape style="position:absolute;left:1849;top:5;width:10;height:2" coordorigin="1849,5" coordsize="10,0" path="m1849,5l1858,5e" filled="false" stroked="true" strokeweight=".48pt" strokecolor="#000000">
                <v:path arrowok="t"/>
              </v:shape>
            </v:group>
            <v:group style="position:absolute;left:1858;top:5;width:274;height:2" coordorigin="1858,5" coordsize="274,2">
              <v:shape style="position:absolute;left:1858;top:5;width:274;height:2" coordorigin="1858,5" coordsize="274,0" path="m1858,5l2132,5e" filled="false" stroked="true" strokeweight=".48pt" strokecolor="#000000">
                <v:path arrowok="t"/>
              </v:shape>
            </v:group>
            <v:group style="position:absolute;left:2132;top:5;width:10;height:2" coordorigin="2132,5" coordsize="10,2">
              <v:shape style="position:absolute;left:2132;top:5;width:10;height:2" coordorigin="2132,5" coordsize="10,0" path="m2132,5l2141,5e" filled="false" stroked="true" strokeweight=".48pt" strokecolor="#000000">
                <v:path arrowok="t"/>
              </v:shape>
            </v:group>
            <v:group style="position:absolute;left:2141;top:5;width:1553;height:2" coordorigin="2141,5" coordsize="1553,2">
              <v:shape style="position:absolute;left:2141;top:5;width:1553;height:2" coordorigin="2141,5" coordsize="1553,0" path="m2141,5l3694,5e" filled="false" stroked="true" strokeweight=".48pt" strokecolor="#000000">
                <v:path arrowok="t"/>
              </v:shape>
            </v:group>
          </v:group>
        </w:pict>
      </w:r>
      <w:r>
        <w:rPr>
          <w:rFonts w:ascii="宋体"/>
          <w:position w:val="1"/>
          <w:sz w:val="2"/>
        </w:rPr>
      </w:r>
    </w:p>
    <w:p>
      <w:pPr>
        <w:tabs>
          <w:tab w:pos="4475" w:val="left" w:leader="none"/>
          <w:tab w:pos="6528" w:val="left" w:leader="none"/>
          <w:tab w:pos="8515" w:val="left" w:leader="none"/>
        </w:tabs>
        <w:spacing w:line="234" w:lineRule="exact" w:before="0"/>
        <w:ind w:left="2414" w:right="0" w:firstLine="0"/>
        <w:jc w:val="center"/>
        <w:rPr>
          <w:rFonts w:ascii="宋体" w:hAnsi="宋体" w:cs="宋体" w:eastAsia="宋体" w:hint="default"/>
          <w:sz w:val="16"/>
          <w:szCs w:val="16"/>
        </w:rPr>
      </w:pPr>
      <w:r>
        <w:rPr>
          <w:rFonts w:ascii="宋体" w:hAnsi="宋体" w:cs="宋体" w:eastAsia="宋体" w:hint="default"/>
          <w:position w:val="-5"/>
          <w:sz w:val="16"/>
          <w:szCs w:val="16"/>
        </w:rPr>
        <w:t>账面余额</w:t>
        <w:tab/>
      </w:r>
      <w:r>
        <w:rPr>
          <w:rFonts w:ascii="宋体" w:hAnsi="宋体" w:cs="宋体" w:eastAsia="宋体" w:hint="default"/>
          <w:sz w:val="16"/>
          <w:szCs w:val="16"/>
        </w:rPr>
        <w:t>坏账准备</w:t>
        <w:tab/>
      </w:r>
      <w:r>
        <w:rPr>
          <w:rFonts w:ascii="宋体" w:hAnsi="宋体" w:cs="宋体" w:eastAsia="宋体" w:hint="default"/>
          <w:position w:val="-5"/>
          <w:sz w:val="16"/>
          <w:szCs w:val="16"/>
        </w:rPr>
        <w:t>账面余额</w:t>
        <w:tab/>
      </w:r>
      <w:r>
        <w:rPr>
          <w:rFonts w:ascii="宋体" w:hAnsi="宋体" w:cs="宋体" w:eastAsia="宋体" w:hint="default"/>
          <w:sz w:val="16"/>
          <w:szCs w:val="16"/>
        </w:rPr>
        <w:t>坏账准备</w:t>
      </w:r>
    </w:p>
    <w:p>
      <w:pPr>
        <w:spacing w:line="82" w:lineRule="exact" w:before="0"/>
        <w:ind w:left="1247" w:right="1029" w:firstLine="0"/>
        <w:jc w:val="left"/>
        <w:rPr>
          <w:rFonts w:ascii="宋体" w:hAnsi="宋体" w:cs="宋体" w:eastAsia="宋体" w:hint="default"/>
          <w:sz w:val="16"/>
          <w:szCs w:val="16"/>
        </w:rPr>
      </w:pPr>
      <w:r>
        <w:rPr/>
        <w:pict>
          <v:group style="position:absolute;margin-left:172.220001pt;margin-top:1.889387pt;width:97.5pt;height:1pt;mso-position-horizontal-relative:page;mso-position-vertical-relative:paragraph;z-index:2128" coordorigin="3444,38" coordsize="1950,20">
            <v:group style="position:absolute;left:3454;top:47;width:1177;height:2" coordorigin="3454,47" coordsize="1177,2">
              <v:shape style="position:absolute;left:3454;top:47;width:1177;height:2" coordorigin="3454,47" coordsize="1177,0" path="m3454,47l4630,47e" filled="false" stroked="true" strokeweight=".95999pt" strokecolor="#000000">
                <v:path arrowok="t"/>
              </v:shape>
            </v:group>
            <v:group style="position:absolute;left:4631;top:47;width:20;height:2" coordorigin="4631,47" coordsize="20,2">
              <v:shape style="position:absolute;left:4631;top:47;width:20;height:2" coordorigin="4631,47" coordsize="20,0" path="m4631,47l4650,47e" filled="false" stroked="true" strokeweight=".95999pt" strokecolor="#000000">
                <v:path arrowok="t"/>
              </v:shape>
            </v:group>
            <v:group style="position:absolute;left:4650;top:47;width:216;height:2" coordorigin="4650,47" coordsize="216,2">
              <v:shape style="position:absolute;left:4650;top:47;width:216;height:2" coordorigin="4650,47" coordsize="216,0" path="m4650,47l4866,47e" filled="false" stroked="true" strokeweight=".95999pt" strokecolor="#000000">
                <v:path arrowok="t"/>
              </v:shape>
            </v:group>
            <v:group style="position:absolute;left:4866;top:47;width:20;height:2" coordorigin="4866,47" coordsize="20,2">
              <v:shape style="position:absolute;left:4866;top:47;width:20;height:2" coordorigin="4866,47" coordsize="20,0" path="m4866,47l4885,47e" filled="false" stroked="true" strokeweight=".95999pt" strokecolor="#000000">
                <v:path arrowok="t"/>
              </v:shape>
            </v:group>
            <v:group style="position:absolute;left:4885;top:47;width:500;height:2" coordorigin="4885,47" coordsize="500,2">
              <v:shape style="position:absolute;left:4885;top:47;width:500;height:2" coordorigin="4885,47" coordsize="500,0" path="m4885,47l5384,47e" filled="false" stroked="true" strokeweight=".95999pt" strokecolor="#000000">
                <v:path arrowok="t"/>
              </v:shape>
            </v:group>
            <w10:wrap type="none"/>
          </v:group>
        </w:pict>
      </w:r>
      <w:r>
        <w:rPr/>
        <w:pict>
          <v:group style="position:absolute;margin-left:280.850006pt;margin-top:1.889377pt;width:86.45pt;height:1pt;mso-position-horizontal-relative:page;mso-position-vertical-relative:paragraph;z-index:2152" coordorigin="5617,38" coordsize="1729,20">
            <v:group style="position:absolute;left:5622;top:43;width:8;height:2" coordorigin="5622,43" coordsize="8,2">
              <v:shape style="position:absolute;left:5622;top:43;width:8;height:2" coordorigin="5622,43" coordsize="8,0" path="m5622,43l5629,43e" filled="false" stroked="true" strokeweight=".48pt" strokecolor="#000000">
                <v:path arrowok="t"/>
              </v:shape>
            </v:group>
            <v:group style="position:absolute;left:5629;top:47;width:939;height:2" coordorigin="5629,47" coordsize="939,2">
              <v:shape style="position:absolute;left:5629;top:47;width:939;height:2" coordorigin="5629,47" coordsize="939,0" path="m5629,47l6568,47e" filled="false" stroked="true" strokeweight=".95999pt" strokecolor="#000000">
                <v:path arrowok="t"/>
              </v:shape>
            </v:group>
            <v:group style="position:absolute;left:6568;top:47;width:20;height:2" coordorigin="6568,47" coordsize="20,2">
              <v:shape style="position:absolute;left:6568;top:47;width:20;height:2" coordorigin="6568,47" coordsize="20,0" path="m6568,47l6587,47e" filled="false" stroked="true" strokeweight=".95999pt" strokecolor="#000000">
                <v:path arrowok="t"/>
              </v:shape>
            </v:group>
            <v:group style="position:absolute;left:6587;top:47;width:264;height:2" coordorigin="6587,47" coordsize="264,2">
              <v:shape style="position:absolute;left:6587;top:47;width:264;height:2" coordorigin="6587,47" coordsize="264,0" path="m6587,47l6851,47e" filled="false" stroked="true" strokeweight=".95999pt" strokecolor="#000000">
                <v:path arrowok="t"/>
              </v:shape>
            </v:group>
            <v:group style="position:absolute;left:6851;top:47;width:20;height:2" coordorigin="6851,47" coordsize="20,2">
              <v:shape style="position:absolute;left:6851;top:47;width:20;height:2" coordorigin="6851,47" coordsize="20,0" path="m6851,47l6870,47e" filled="false" stroked="true" strokeweight=".95999pt" strokecolor="#000000">
                <v:path arrowok="t"/>
              </v:shape>
            </v:group>
            <v:group style="position:absolute;left:6870;top:47;width:447;height:2" coordorigin="6870,47" coordsize="447,2">
              <v:shape style="position:absolute;left:6870;top:47;width:447;height:2" coordorigin="6870,47" coordsize="447,0" path="m6870,47l7317,47e" filled="false" stroked="true" strokeweight=".95999pt" strokecolor="#000000">
                <v:path arrowok="t"/>
              </v:shape>
            </v:group>
            <v:group style="position:absolute;left:7317;top:47;width:20;height:2" coordorigin="7317,47" coordsize="20,2">
              <v:shape style="position:absolute;left:7317;top:47;width:20;height:2" coordorigin="7317,47" coordsize="20,0" path="m7317,47l7336,47e" filled="false" stroked="true" strokeweight=".95999pt" strokecolor="#000000">
                <v:path arrowok="t"/>
              </v:shape>
            </v:group>
            <w10:wrap type="none"/>
          </v:group>
        </w:pict>
      </w:r>
      <w:r>
        <w:rPr/>
        <w:pict>
          <v:group style="position:absolute;margin-left:379.51001pt;margin-top:1.889377pt;width:94.15pt;height:1pt;mso-position-horizontal-relative:page;mso-position-vertical-relative:paragraph;z-index:2176" coordorigin="7590,38" coordsize="1883,20">
            <v:group style="position:absolute;left:7595;top:43;width:17;height:2" coordorigin="7595,43" coordsize="17,2">
              <v:shape style="position:absolute;left:7595;top:43;width:17;height:2" coordorigin="7595,43" coordsize="17,0" path="m7595,43l7612,43e" filled="false" stroked="true" strokeweight=".48pt" strokecolor="#000000">
                <v:path arrowok="t"/>
              </v:shape>
            </v:group>
            <v:group style="position:absolute;left:7612;top:47;width:1049;height:2" coordorigin="7612,47" coordsize="1049,2">
              <v:shape style="position:absolute;left:7612;top:47;width:1049;height:2" coordorigin="7612,47" coordsize="1049,0" path="m7612,47l8661,47e" filled="false" stroked="true" strokeweight=".95999pt" strokecolor="#000000">
                <v:path arrowok="t"/>
              </v:shape>
            </v:group>
            <v:group style="position:absolute;left:8661;top:47;width:20;height:2" coordorigin="8661,47" coordsize="20,2">
              <v:shape style="position:absolute;left:8661;top:47;width:20;height:2" coordorigin="8661,47" coordsize="20,0" path="m8661,47l8680,47e" filled="false" stroked="true" strokeweight=".95999pt" strokecolor="#000000">
                <v:path arrowok="t"/>
              </v:shape>
            </v:group>
            <v:group style="position:absolute;left:8680;top:47;width:219;height:2" coordorigin="8680,47" coordsize="219,2">
              <v:shape style="position:absolute;left:8680;top:47;width:219;height:2" coordorigin="8680,47" coordsize="219,0" path="m8680,47l8899,47e" filled="false" stroked="true" strokeweight=".95999pt" strokecolor="#000000">
                <v:path arrowok="t"/>
              </v:shape>
            </v:group>
            <v:group style="position:absolute;left:8899;top:47;width:20;height:2" coordorigin="8899,47" coordsize="20,2">
              <v:shape style="position:absolute;left:8899;top:47;width:20;height:2" coordorigin="8899,47" coordsize="20,0" path="m8899,47l8918,47e" filled="false" stroked="true" strokeweight=".95999pt" strokecolor="#000000">
                <v:path arrowok="t"/>
              </v:shape>
            </v:group>
            <v:group style="position:absolute;left:8918;top:47;width:526;height:2" coordorigin="8918,47" coordsize="526,2">
              <v:shape style="position:absolute;left:8918;top:47;width:526;height:2" coordorigin="8918,47" coordsize="526,0" path="m8918,47l9444,47e" filled="false" stroked="true" strokeweight=".95999pt" strokecolor="#000000">
                <v:path arrowok="t"/>
              </v:shape>
            </v:group>
            <v:group style="position:absolute;left:9444;top:47;width:20;height:2" coordorigin="9444,47" coordsize="20,2">
              <v:shape style="position:absolute;left:9444;top:47;width:20;height:2" coordorigin="9444,47" coordsize="20,0" path="m9444,47l9463,47e" filled="false" stroked="true" strokeweight=".95999pt" strokecolor="#000000">
                <v:path arrowok="t"/>
              </v:shape>
            </v:group>
            <w10:wrap type="none"/>
          </v:group>
        </w:pict>
      </w:r>
      <w:r>
        <w:rPr/>
        <w:pict>
          <v:group style="position:absolute;margin-left:485.980011pt;margin-top:1.889377pt;width:79.7pt;height:1pt;mso-position-horizontal-relative:page;mso-position-vertical-relative:paragraph;z-index:2200" coordorigin="9720,38" coordsize="1594,20">
            <v:group style="position:absolute;left:9724;top:43;width:15;height:2" coordorigin="9724,43" coordsize="15,2">
              <v:shape style="position:absolute;left:9724;top:43;width:15;height:2" coordorigin="9724,43" coordsize="15,0" path="m9724,43l9739,43e" filled="false" stroked="true" strokeweight=".48pt" strokecolor="#000000">
                <v:path arrowok="t"/>
              </v:shape>
            </v:group>
            <v:group style="position:absolute;left:9739;top:47;width:896;height:2" coordorigin="9739,47" coordsize="896,2">
              <v:shape style="position:absolute;left:9739;top:47;width:896;height:2" coordorigin="9739,47" coordsize="896,0" path="m9739,47l10634,47e" filled="false" stroked="true" strokeweight=".95999pt" strokecolor="#000000">
                <v:path arrowok="t"/>
              </v:shape>
            </v:group>
            <v:group style="position:absolute;left:10634;top:47;width:20;height:2" coordorigin="10634,47" coordsize="20,2">
              <v:shape style="position:absolute;left:10634;top:47;width:20;height:2" coordorigin="10634,47" coordsize="20,0" path="m10634,47l10653,47e" filled="false" stroked="true" strokeweight=".95999pt" strokecolor="#000000">
                <v:path arrowok="t"/>
              </v:shape>
            </v:group>
            <v:group style="position:absolute;left:10653;top:47;width:221;height:2" coordorigin="10653,47" coordsize="221,2">
              <v:shape style="position:absolute;left:10653;top:47;width:221;height:2" coordorigin="10653,47" coordsize="221,0" path="m10653,47l10874,47e" filled="false" stroked="true" strokeweight=".95999pt" strokecolor="#000000">
                <v:path arrowok="t"/>
              </v:shape>
            </v:group>
            <v:group style="position:absolute;left:10874;top:47;width:20;height:2" coordorigin="10874,47" coordsize="20,2">
              <v:shape style="position:absolute;left:10874;top:47;width:20;height:2" coordorigin="10874,47" coordsize="20,0" path="m10874,47l10893,47e" filled="false" stroked="true" strokeweight=".95999pt" strokecolor="#000000">
                <v:path arrowok="t"/>
              </v:shape>
            </v:group>
            <v:group style="position:absolute;left:10893;top:47;width:387;height:2" coordorigin="10893,47" coordsize="387,2">
              <v:shape style="position:absolute;left:10893;top:47;width:387;height:2" coordorigin="10893,47" coordsize="387,0" path="m10893,47l11280,47e" filled="false" stroked="true" strokeweight=".95999pt" strokecolor="#000000">
                <v:path arrowok="t"/>
              </v:shape>
            </v:group>
            <v:group style="position:absolute;left:11280;top:38;width:20;height:20" coordorigin="11280,38" coordsize="20,20">
              <v:shape style="position:absolute;left:11280;top:38;width:20;height:20" coordorigin="11280,38" coordsize="20,20" path="m11280,57l11299,57,11299,38,11280,38,11280,57xe" filled="true" fillcolor="#000000" stroked="false">
                <v:path arrowok="t"/>
                <v:fill type="solid"/>
              </v:shape>
            </v:group>
            <v:group style="position:absolute;left:11294;top:38;width:20;height:20" coordorigin="11294,38" coordsize="20,20">
              <v:shape style="position:absolute;left:11294;top:38;width:20;height:20" coordorigin="11294,38" coordsize="20,20" path="m11294,57l11313,57,11313,38,11294,38,11294,57xe" filled="true" fillcolor="#000000" stroked="false">
                <v:path arrowok="t"/>
                <v:fill type="solid"/>
              </v:shape>
            </v:group>
            <w10:wrap type="none"/>
          </v:group>
        </w:pict>
      </w:r>
      <w:r>
        <w:rPr>
          <w:rFonts w:ascii="宋体" w:hAnsi="宋体" w:cs="宋体" w:eastAsia="宋体" w:hint="default"/>
          <w:sz w:val="16"/>
          <w:szCs w:val="16"/>
        </w:rPr>
        <w:t>种类</w:t>
      </w:r>
    </w:p>
    <w:p>
      <w:pPr>
        <w:spacing w:after="0" w:line="82" w:lineRule="exact"/>
        <w:jc w:val="left"/>
        <w:rPr>
          <w:rFonts w:ascii="宋体" w:hAnsi="宋体" w:cs="宋体" w:eastAsia="宋体" w:hint="default"/>
          <w:sz w:val="16"/>
          <w:szCs w:val="16"/>
        </w:rPr>
        <w:sectPr>
          <w:footerReference w:type="default" r:id="rId34"/>
          <w:pgSz w:w="11910" w:h="16840"/>
          <w:pgMar w:footer="980" w:header="886" w:top="1740" w:bottom="1160" w:left="1100" w:right="480"/>
          <w:pgNumType w:start="110"/>
        </w:sectPr>
      </w:pP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3"/>
          <w:szCs w:val="13"/>
        </w:rPr>
      </w:pPr>
    </w:p>
    <w:p>
      <w:pPr>
        <w:spacing w:before="0"/>
        <w:ind w:left="808" w:right="-1" w:firstLine="0"/>
        <w:jc w:val="left"/>
        <w:rPr>
          <w:rFonts w:ascii="宋体" w:hAnsi="宋体" w:cs="宋体" w:eastAsia="宋体" w:hint="default"/>
          <w:sz w:val="16"/>
          <w:szCs w:val="16"/>
        </w:rPr>
      </w:pPr>
      <w:r>
        <w:rPr>
          <w:rFonts w:ascii="宋体" w:hAnsi="宋体" w:cs="宋体" w:eastAsia="宋体" w:hint="default"/>
          <w:spacing w:val="9"/>
          <w:sz w:val="16"/>
          <w:szCs w:val="16"/>
        </w:rPr>
        <w:t>单项金额重大并</w:t>
      </w:r>
    </w:p>
    <w:p>
      <w:pPr>
        <w:spacing w:line="109" w:lineRule="exact" w:before="0"/>
        <w:ind w:left="1875" w:right="-18"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2782" w:val="left" w:leader="none"/>
        </w:tabs>
        <w:spacing w:line="258" w:lineRule="exact" w:before="0"/>
        <w:ind w:left="1834" w:right="-18" w:firstLine="0"/>
        <w:jc w:val="left"/>
        <w:rPr>
          <w:rFonts w:ascii="宋体" w:hAnsi="宋体" w:cs="宋体" w:eastAsia="宋体" w:hint="default"/>
          <w:sz w:val="16"/>
          <w:szCs w:val="16"/>
        </w:rPr>
      </w:pPr>
      <w:r>
        <w:rPr/>
        <w:pict>
          <v:group style="position:absolute;margin-left:90.024002pt;margin-top:14.649354pt;width:70.8pt;height:.1pt;mso-position-horizontal-relative:page;mso-position-vertical-relative:paragraph;z-index:-795880" coordorigin="1800,293" coordsize="1416,2">
            <v:shape style="position:absolute;left:1800;top:293;width:1416;height:2" coordorigin="1800,293" coordsize="1416,0" path="m1800,293l3216,293e" filled="false" stroked="true" strokeweight=".95999pt" strokecolor="#000000">
              <v:path arrowok="t"/>
            </v:shape>
            <w10:wrap type="none"/>
          </v:group>
        </w:pict>
      </w:r>
      <w:r>
        <w:rPr/>
        <w:pict>
          <v:group style="position:absolute;margin-left:172.699997pt;margin-top:14.649354pt;width:58.85pt;height:.1pt;mso-position-horizontal-relative:page;mso-position-vertical-relative:paragraph;z-index:2248" coordorigin="3454,293" coordsize="1177,2">
            <v:shape style="position:absolute;left:3454;top:293;width:1177;height:2" coordorigin="3454,293" coordsize="1177,0" path="m3454,293l4630,293e" filled="false" stroked="true" strokeweight=".95999pt" strokecolor="#000000">
              <v:path arrowok="t"/>
            </v:shape>
            <w10:wrap type="none"/>
          </v:group>
        </w:pict>
      </w:r>
      <w:r>
        <w:rPr/>
        <w:pict>
          <v:group style="position:absolute;margin-left:243.289993pt;margin-top:14.649354pt;width:25.95pt;height:.1pt;mso-position-horizontal-relative:page;mso-position-vertical-relative:paragraph;z-index:2272" coordorigin="4866,293" coordsize="519,2">
            <v:shape style="position:absolute;left:4866;top:293;width:519;height:2" coordorigin="4866,293" coordsize="519,0" path="m4866,293l5384,293e" filled="false" stroked="true" strokeweight=".95999pt" strokecolor="#000000">
              <v:path arrowok="t"/>
            </v:shape>
            <w10:wrap type="none"/>
          </v:group>
        </w:pict>
      </w:r>
      <w:r>
        <w:rPr/>
        <w:pict>
          <v:group style="position:absolute;margin-left:281.089996pt;margin-top:14.649354pt;width:47.35pt;height:.1pt;mso-position-horizontal-relative:page;mso-position-vertical-relative:paragraph;z-index:2296" coordorigin="5622,293" coordsize="947,2">
            <v:shape style="position:absolute;left:5622;top:293;width:947;height:2" coordorigin="5622,293" coordsize="947,0" path="m5622,293l6568,293e" filled="false" stroked="true" strokeweight=".95999pt" strokecolor="#000000">
              <v:path arrowok="t"/>
            </v:shape>
            <w10:wrap type="none"/>
          </v:group>
        </w:pict>
      </w:r>
      <w:r>
        <w:rPr/>
        <w:pict>
          <v:shape style="position:absolute;margin-left:194.089996pt;margin-top:-.300026pt;width:16.1pt;height:8.0500pt;mso-position-horizontal-relative:page;mso-position-vertical-relative:paragraph;z-index:2536" type="#_x0000_t202" filled="false" stroked="false">
            <v:textbox inset="0,0,0,0">
              <w:txbxContent>
                <w:p>
                  <w:pPr>
                    <w:spacing w:line="161"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金额</w:t>
                  </w:r>
                </w:p>
              </w:txbxContent>
            </v:textbox>
            <w10:wrap type="none"/>
          </v:shape>
        </w:pict>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tab/>
      </w:r>
      <w:r>
        <w:rPr>
          <w:rFonts w:ascii="宋体" w:hAnsi="宋体" w:cs="宋体" w:eastAsia="宋体" w:hint="default"/>
          <w:position w:val="10"/>
          <w:sz w:val="16"/>
          <w:szCs w:val="16"/>
        </w:rPr>
        <w:t>金额</w:t>
      </w:r>
      <w:r>
        <w:rPr>
          <w:rFonts w:ascii="宋体" w:hAnsi="宋体" w:cs="宋体" w:eastAsia="宋体" w:hint="default"/>
          <w:sz w:val="16"/>
          <w:szCs w:val="16"/>
        </w:rPr>
      </w:r>
    </w:p>
    <w:p>
      <w:pPr>
        <w:spacing w:line="109" w:lineRule="exact" w:before="0"/>
        <w:ind w:left="672" w:right="961" w:firstLine="0"/>
        <w:jc w:val="center"/>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671" w:val="left" w:leader="none"/>
        </w:tabs>
        <w:spacing w:line="258" w:lineRule="exact" w:before="0"/>
        <w:ind w:left="591" w:right="-18" w:firstLine="0"/>
        <w:jc w:val="left"/>
        <w:rPr>
          <w:rFonts w:ascii="宋体" w:hAnsi="宋体" w:cs="宋体" w:eastAsia="宋体" w:hint="default"/>
          <w:sz w:val="16"/>
          <w:szCs w:val="16"/>
        </w:rPr>
      </w:pPr>
      <w:r>
        <w:rPr/>
        <w:pict>
          <v:group style="position:absolute;margin-left:342.549988pt;margin-top:14.649354pt;width:23.3pt;height:.1pt;mso-position-horizontal-relative:page;mso-position-vertical-relative:paragraph;z-index:2320" coordorigin="6851,293" coordsize="466,2">
            <v:shape style="position:absolute;left:6851;top:293;width:466;height:2" coordorigin="6851,293" coordsize="466,0" path="m6851,293l7317,293e" filled="false" stroked="true" strokeweight=".95999pt" strokecolor="#000000">
              <v:path arrowok="t"/>
            </v:shape>
            <w10:wrap type="none"/>
          </v:group>
        </w:pict>
      </w:r>
      <w:r>
        <w:rPr/>
        <w:pict>
          <v:group style="position:absolute;margin-left:379.75pt;margin-top:14.649354pt;width:53.3pt;height:.1pt;mso-position-horizontal-relative:page;mso-position-vertical-relative:paragraph;z-index:2344" coordorigin="7595,293" coordsize="1066,2">
            <v:shape style="position:absolute;left:7595;top:293;width:1066;height:2" coordorigin="7595,293" coordsize="1066,0" path="m7595,293l8661,293e" filled="false" stroked="true" strokeweight=".95999pt" strokecolor="#000000">
              <v:path arrowok="t"/>
            </v:shape>
            <w10:wrap type="none"/>
          </v:group>
        </w:pict>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tab/>
      </w:r>
      <w:r>
        <w:rPr>
          <w:rFonts w:ascii="宋体" w:hAnsi="宋体" w:cs="宋体" w:eastAsia="宋体" w:hint="default"/>
          <w:position w:val="10"/>
          <w:sz w:val="16"/>
          <w:szCs w:val="16"/>
        </w:rPr>
        <w:t>金额</w:t>
      </w:r>
      <w:r>
        <w:rPr>
          <w:rFonts w:ascii="宋体" w:hAnsi="宋体" w:cs="宋体" w:eastAsia="宋体" w:hint="default"/>
          <w:sz w:val="16"/>
          <w:szCs w:val="16"/>
        </w:rPr>
      </w:r>
    </w:p>
    <w:p>
      <w:pPr>
        <w:spacing w:line="109" w:lineRule="exact" w:before="0"/>
        <w:ind w:left="664" w:right="987" w:firstLine="0"/>
        <w:jc w:val="center"/>
        <w:rPr>
          <w:rFonts w:ascii="宋体" w:hAnsi="宋体" w:cs="宋体" w:eastAsia="宋体" w:hint="default"/>
          <w:sz w:val="16"/>
          <w:szCs w:val="16"/>
        </w:rPr>
      </w:pPr>
      <w:r>
        <w:rPr/>
        <w:br w:type="column"/>
      </w:r>
      <w:r>
        <w:rPr>
          <w:rFonts w:ascii="宋体" w:hAnsi="宋体" w:cs="宋体" w:eastAsia="宋体" w:hint="default"/>
          <w:sz w:val="16"/>
          <w:szCs w:val="16"/>
        </w:rPr>
        <w:t>比例</w:t>
      </w:r>
    </w:p>
    <w:p>
      <w:pPr>
        <w:tabs>
          <w:tab w:pos="1690" w:val="left" w:leader="none"/>
        </w:tabs>
        <w:spacing w:line="258" w:lineRule="exact" w:before="0"/>
        <w:ind w:left="678" w:right="-18" w:firstLine="0"/>
        <w:jc w:val="left"/>
        <w:rPr>
          <w:rFonts w:ascii="宋体" w:hAnsi="宋体" w:cs="宋体" w:eastAsia="宋体" w:hint="default"/>
          <w:sz w:val="16"/>
          <w:szCs w:val="16"/>
        </w:rPr>
      </w:pPr>
      <w:r>
        <w:rPr/>
        <w:pict>
          <v:group style="position:absolute;margin-left:444.940002pt;margin-top:14.649354pt;width:27.25pt;height:.1pt;mso-position-horizontal-relative:page;mso-position-vertical-relative:paragraph;z-index:2368" coordorigin="8899,293" coordsize="545,2">
            <v:shape style="position:absolute;left:8899;top:293;width:545;height:2" coordorigin="8899,293" coordsize="545,0" path="m8899,293l9444,293e" filled="false" stroked="true" strokeweight=".95999pt" strokecolor="#000000">
              <v:path arrowok="t"/>
            </v:shape>
            <w10:wrap type="none"/>
          </v:group>
        </w:pict>
      </w:r>
      <w:r>
        <w:rPr/>
        <w:pict>
          <v:group style="position:absolute;margin-left:486.220001pt;margin-top:14.649354pt;width:45.5pt;height:.1pt;mso-position-horizontal-relative:page;mso-position-vertical-relative:paragraph;z-index:2392" coordorigin="9724,293" coordsize="910,2">
            <v:shape style="position:absolute;left:9724;top:293;width:910;height:2" coordorigin="9724,293" coordsize="910,0" path="m9724,293l10634,293e" filled="false" stroked="true" strokeweight=".95999pt" strokecolor="#000000">
              <v:path arrowok="t"/>
            </v:shape>
            <w10:wrap type="none"/>
          </v:group>
        </w:pict>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tab/>
      </w:r>
      <w:r>
        <w:rPr>
          <w:rFonts w:ascii="宋体" w:hAnsi="宋体" w:cs="宋体" w:eastAsia="宋体" w:hint="default"/>
          <w:position w:val="10"/>
          <w:sz w:val="16"/>
          <w:szCs w:val="16"/>
        </w:rPr>
        <w:t>金额</w:t>
      </w:r>
      <w:r>
        <w:rPr>
          <w:rFonts w:ascii="宋体" w:hAnsi="宋体" w:cs="宋体" w:eastAsia="宋体" w:hint="default"/>
          <w:sz w:val="16"/>
          <w:szCs w:val="16"/>
        </w:rPr>
      </w:r>
    </w:p>
    <w:p>
      <w:pPr>
        <w:spacing w:line="159" w:lineRule="exact" w:before="0"/>
        <w:ind w:left="487"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比</w:t>
      </w:r>
      <w:r>
        <w:rPr>
          <w:rFonts w:ascii="宋体" w:hAnsi="宋体" w:cs="宋体" w:eastAsia="宋体" w:hint="default"/>
          <w:spacing w:val="14"/>
          <w:sz w:val="16"/>
          <w:szCs w:val="16"/>
        </w:rPr>
        <w:t> </w:t>
      </w:r>
      <w:r>
        <w:rPr>
          <w:rFonts w:ascii="宋体" w:hAnsi="宋体" w:cs="宋体" w:eastAsia="宋体" w:hint="default"/>
          <w:sz w:val="16"/>
          <w:szCs w:val="16"/>
        </w:rPr>
        <w:t>例</w:t>
      </w:r>
    </w:p>
    <w:p>
      <w:pPr>
        <w:spacing w:line="208" w:lineRule="exact" w:before="0"/>
        <w:ind w:left="487" w:right="0" w:firstLine="0"/>
        <w:jc w:val="left"/>
        <w:rPr>
          <w:rFonts w:ascii="宋体" w:hAnsi="宋体" w:cs="宋体" w:eastAsia="宋体" w:hint="default"/>
          <w:sz w:val="16"/>
          <w:szCs w:val="16"/>
        </w:rPr>
      </w:pPr>
      <w:r>
        <w:rPr/>
        <w:pict>
          <v:group style="position:absolute;margin-left:543.700012pt;margin-top:12.149354pt;width:20.3pt;height:.1pt;mso-position-horizontal-relative:page;mso-position-vertical-relative:paragraph;z-index:2416" coordorigin="10874,243" coordsize="406,2">
            <v:shape style="position:absolute;left:10874;top:243;width:406;height:2" coordorigin="10874,243" coordsize="406,0" path="m10874,243l11280,243e" filled="false" stroked="true" strokeweight=".95999pt" strokecolor="#000000">
              <v:path arrowok="t"/>
            </v:shape>
            <w10:wrap type="none"/>
          </v:group>
        </w:pict>
      </w: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r>
    </w:p>
    <w:p>
      <w:pPr>
        <w:spacing w:after="0" w:line="208" w:lineRule="exact"/>
        <w:jc w:val="left"/>
        <w:rPr>
          <w:rFonts w:ascii="宋体" w:hAnsi="宋体" w:cs="宋体" w:eastAsia="宋体" w:hint="default"/>
          <w:sz w:val="16"/>
          <w:szCs w:val="16"/>
        </w:rPr>
        <w:sectPr>
          <w:type w:val="continuous"/>
          <w:pgSz w:w="11910" w:h="16840"/>
          <w:pgMar w:top="1100" w:bottom="1380" w:left="1100" w:right="480"/>
          <w:cols w:num="5" w:equalWidth="0">
            <w:col w:w="2011" w:space="40"/>
            <w:col w:w="3105" w:space="40"/>
            <w:col w:w="1994" w:space="40"/>
            <w:col w:w="2013" w:space="40"/>
            <w:col w:w="1047"/>
          </w:cols>
        </w:sectPr>
      </w:pPr>
    </w:p>
    <w:p>
      <w:pPr>
        <w:spacing w:line="208" w:lineRule="exact" w:before="17"/>
        <w:ind w:left="808" w:right="119" w:firstLine="0"/>
        <w:jc w:val="left"/>
        <w:rPr>
          <w:rFonts w:ascii="宋体" w:hAnsi="宋体" w:cs="宋体" w:eastAsia="宋体" w:hint="default"/>
          <w:sz w:val="16"/>
          <w:szCs w:val="16"/>
        </w:rPr>
      </w:pPr>
      <w:r>
        <w:rPr>
          <w:rFonts w:ascii="宋体" w:hAnsi="宋体" w:cs="宋体" w:eastAsia="宋体" w:hint="default"/>
          <w:spacing w:val="9"/>
          <w:sz w:val="16"/>
          <w:szCs w:val="16"/>
        </w:rPr>
        <w:t>单项计提坏账准</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备的其他应收款</w:t>
      </w:r>
    </w:p>
    <w:p>
      <w:pPr>
        <w:spacing w:line="187" w:lineRule="exact" w:before="0"/>
        <w:ind w:left="808" w:right="-3" w:firstLine="0"/>
        <w:jc w:val="left"/>
        <w:rPr>
          <w:rFonts w:ascii="宋体" w:hAnsi="宋体" w:cs="宋体" w:eastAsia="宋体" w:hint="default"/>
          <w:sz w:val="16"/>
          <w:szCs w:val="16"/>
        </w:rPr>
      </w:pPr>
      <w:r>
        <w:rPr>
          <w:rFonts w:ascii="宋体" w:hAnsi="宋体" w:cs="宋体" w:eastAsia="宋体" w:hint="default"/>
          <w:spacing w:val="-1"/>
          <w:sz w:val="16"/>
          <w:szCs w:val="16"/>
        </w:rPr>
        <w:t>按组合计提坏账准备的其他应收款</w:t>
      </w:r>
    </w:p>
    <w:p>
      <w:pPr>
        <w:tabs>
          <w:tab w:pos="846" w:val="left" w:leader="none"/>
          <w:tab w:pos="2029" w:val="left" w:leader="none"/>
          <w:tab w:pos="2778" w:val="left" w:leader="none"/>
          <w:tab w:pos="4120" w:val="left" w:leader="none"/>
          <w:tab w:pos="4907" w:val="left" w:leader="none"/>
          <w:tab w:pos="6095" w:val="left" w:leader="none"/>
          <w:tab w:pos="6741" w:val="left" w:leader="none"/>
        </w:tabs>
        <w:spacing w:line="206" w:lineRule="exact" w:before="0"/>
        <w:ind w:left="92" w:right="0" w:firstLine="0"/>
        <w:jc w:val="left"/>
        <w:rPr>
          <w:rFonts w:ascii="宋体" w:hAnsi="宋体" w:cs="宋体" w:eastAsia="宋体" w:hint="default"/>
          <w:sz w:val="16"/>
          <w:szCs w:val="16"/>
        </w:rPr>
      </w:pPr>
      <w:r>
        <w:rPr/>
        <w:br w:type="column"/>
      </w:r>
      <w:r>
        <w:rPr>
          <w:rFonts w:ascii="宋体"/>
          <w:sz w:val="16"/>
        </w:rPr>
        <w:t>-</w:t>
        <w:tab/>
        <w:t>-</w:t>
        <w:tab/>
        <w:t>-</w:t>
        <w:tab/>
        <w:t>-</w:t>
        <w:tab/>
        <w:t>-</w:t>
        <w:tab/>
        <w:t>-</w:t>
        <w:tab/>
        <w:t>-</w:t>
        <w:tab/>
        <w:t>-</w:t>
      </w:r>
    </w:p>
    <w:p>
      <w:pPr>
        <w:spacing w:after="0" w:line="206" w:lineRule="exact"/>
        <w:jc w:val="left"/>
        <w:rPr>
          <w:rFonts w:ascii="宋体" w:hAnsi="宋体" w:cs="宋体" w:eastAsia="宋体" w:hint="default"/>
          <w:sz w:val="16"/>
          <w:szCs w:val="16"/>
        </w:rPr>
        <w:sectPr>
          <w:type w:val="continuous"/>
          <w:pgSz w:w="11910" w:h="16840"/>
          <w:pgMar w:top="1100" w:bottom="1380" w:left="1100" w:right="480"/>
          <w:cols w:num="2" w:equalWidth="0">
            <w:col w:w="3211" w:space="40"/>
            <w:col w:w="7079"/>
          </w:cols>
        </w:sectPr>
      </w:pPr>
    </w:p>
    <w:p>
      <w:pPr>
        <w:tabs>
          <w:tab w:pos="5239" w:val="left" w:leader="none"/>
          <w:tab w:pos="9346" w:val="left" w:leader="none"/>
        </w:tabs>
        <w:spacing w:before="96"/>
        <w:ind w:left="808" w:right="0" w:firstLine="0"/>
        <w:jc w:val="both"/>
        <w:rPr>
          <w:rFonts w:ascii="宋体" w:hAnsi="宋体" w:cs="宋体" w:eastAsia="宋体" w:hint="default"/>
          <w:sz w:val="16"/>
          <w:szCs w:val="16"/>
        </w:rPr>
      </w:pPr>
      <w:r>
        <w:rPr>
          <w:rFonts w:ascii="宋体" w:hAnsi="宋体" w:cs="宋体" w:eastAsia="宋体" w:hint="default"/>
          <w:position w:val="-2"/>
          <w:sz w:val="16"/>
          <w:szCs w:val="16"/>
        </w:rPr>
        <w:t>账龄分析法组合      </w:t>
      </w:r>
      <w:r>
        <w:rPr>
          <w:rFonts w:ascii="宋体" w:hAnsi="宋体" w:cs="宋体" w:eastAsia="宋体" w:hint="default"/>
          <w:sz w:val="16"/>
          <w:szCs w:val="16"/>
        </w:rPr>
        <w:t>1,025,309.54     </w:t>
      </w:r>
      <w:r>
        <w:rPr>
          <w:rFonts w:ascii="宋体" w:hAnsi="宋体" w:cs="宋体" w:eastAsia="宋体" w:hint="default"/>
          <w:spacing w:val="19"/>
          <w:sz w:val="16"/>
          <w:szCs w:val="16"/>
        </w:rPr>
        <w:t> </w:t>
      </w:r>
      <w:r>
        <w:rPr>
          <w:rFonts w:ascii="宋体" w:hAnsi="宋体" w:cs="宋体" w:eastAsia="宋体" w:hint="default"/>
          <w:sz w:val="16"/>
          <w:szCs w:val="16"/>
        </w:rPr>
        <w:t>28.87</w:t>
        <w:tab/>
        <w:t>-          -    6,095,167.36    </w:t>
      </w:r>
      <w:r>
        <w:rPr>
          <w:rFonts w:ascii="宋体" w:hAnsi="宋体" w:cs="宋体" w:eastAsia="宋体" w:hint="default"/>
          <w:spacing w:val="48"/>
          <w:sz w:val="16"/>
          <w:szCs w:val="16"/>
        </w:rPr>
        <w:t> </w:t>
      </w:r>
      <w:r>
        <w:rPr>
          <w:rFonts w:ascii="宋体" w:hAnsi="宋体" w:cs="宋体" w:eastAsia="宋体" w:hint="default"/>
          <w:sz w:val="16"/>
          <w:szCs w:val="16"/>
        </w:rPr>
        <w:t>70.72</w:t>
        <w:tab/>
        <w:t>-      </w:t>
      </w:r>
      <w:r>
        <w:rPr>
          <w:rFonts w:ascii="宋体" w:hAnsi="宋体" w:cs="宋体" w:eastAsia="宋体" w:hint="default"/>
          <w:spacing w:val="26"/>
          <w:sz w:val="16"/>
          <w:szCs w:val="16"/>
        </w:rPr>
        <w:t> </w:t>
      </w:r>
      <w:r>
        <w:rPr>
          <w:rFonts w:ascii="宋体" w:hAnsi="宋体" w:cs="宋体" w:eastAsia="宋体" w:hint="default"/>
          <w:sz w:val="16"/>
          <w:szCs w:val="16"/>
        </w:rPr>
        <w:t>-</w:t>
      </w:r>
    </w:p>
    <w:p>
      <w:pPr>
        <w:spacing w:line="314" w:lineRule="auto" w:before="65"/>
        <w:ind w:left="808" w:right="8698" w:firstLine="0"/>
        <w:jc w:val="left"/>
        <w:rPr>
          <w:rFonts w:ascii="宋体" w:hAnsi="宋体" w:cs="宋体" w:eastAsia="宋体" w:hint="default"/>
          <w:sz w:val="16"/>
          <w:szCs w:val="16"/>
        </w:rPr>
      </w:pPr>
      <w:r>
        <w:rPr/>
        <w:pict>
          <v:shape style="position:absolute;margin-left:172.699997pt;margin-top:2.164356pt;width:392.6pt;height:85.9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228"/>
                    <w:gridCol w:w="526"/>
                    <w:gridCol w:w="238"/>
                    <w:gridCol w:w="905"/>
                    <w:gridCol w:w="1085"/>
                    <w:gridCol w:w="1045"/>
                    <w:gridCol w:w="232"/>
                    <w:gridCol w:w="612"/>
                    <w:gridCol w:w="230"/>
                    <w:gridCol w:w="902"/>
                    <w:gridCol w:w="672"/>
                  </w:tblGrid>
                  <w:tr>
                    <w:trPr>
                      <w:trHeight w:val="288"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
                          <w:jc w:val="right"/>
                          <w:rPr>
                            <w:rFonts w:ascii="宋体" w:hAnsi="宋体" w:cs="宋体" w:eastAsia="宋体" w:hint="default"/>
                            <w:sz w:val="16"/>
                            <w:szCs w:val="16"/>
                          </w:rPr>
                        </w:pPr>
                        <w:r>
                          <w:rPr>
                            <w:rFonts w:ascii="宋体"/>
                            <w:spacing w:val="-2"/>
                            <w:sz w:val="16"/>
                          </w:rPr>
                          <w:t>2,525,802.94</w:t>
                        </w:r>
                      </w:p>
                    </w:tc>
                    <w:tc>
                      <w:tcPr>
                        <w:tcW w:w="228"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宋体" w:hAnsi="宋体" w:cs="宋体" w:eastAsia="宋体" w:hint="default"/>
                            <w:sz w:val="16"/>
                            <w:szCs w:val="16"/>
                          </w:rPr>
                        </w:pPr>
                        <w:r>
                          <w:rPr>
                            <w:rFonts w:ascii="宋体"/>
                            <w:spacing w:val="-1"/>
                            <w:sz w:val="16"/>
                          </w:rPr>
                          <w:t>71.13</w:t>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7"/>
                          <w:jc w:val="right"/>
                          <w:rPr>
                            <w:rFonts w:ascii="宋体" w:hAnsi="宋体" w:cs="宋体" w:eastAsia="宋体" w:hint="default"/>
                            <w:sz w:val="16"/>
                            <w:szCs w:val="16"/>
                          </w:rPr>
                        </w:pPr>
                        <w:r>
                          <w:rPr>
                            <w:rFonts w:ascii="宋体"/>
                            <w:spacing w:val="-2"/>
                            <w:sz w:val="16"/>
                          </w:rPr>
                          <w:t>353,494.48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0"/>
                          <w:jc w:val="right"/>
                          <w:rPr>
                            <w:rFonts w:ascii="宋体" w:hAnsi="宋体" w:cs="宋体" w:eastAsia="宋体" w:hint="default"/>
                            <w:sz w:val="16"/>
                            <w:szCs w:val="16"/>
                          </w:rPr>
                        </w:pPr>
                        <w:r>
                          <w:rPr>
                            <w:rFonts w:ascii="宋体"/>
                            <w:spacing w:val="-1"/>
                            <w:sz w:val="16"/>
                          </w:rPr>
                          <w:t>14.00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4"/>
                          <w:jc w:val="right"/>
                          <w:rPr>
                            <w:rFonts w:ascii="宋体" w:hAnsi="宋体" w:cs="宋体" w:eastAsia="宋体" w:hint="default"/>
                            <w:sz w:val="16"/>
                            <w:szCs w:val="16"/>
                          </w:rPr>
                        </w:pPr>
                        <w:r>
                          <w:rPr>
                            <w:rFonts w:ascii="宋体"/>
                            <w:spacing w:val="-2"/>
                            <w:sz w:val="16"/>
                          </w:rPr>
                          <w:t>2,523,067.18</w:t>
                        </w:r>
                      </w:p>
                    </w:tc>
                    <w:tc>
                      <w:tcPr>
                        <w:tcW w:w="232"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宋体" w:hAnsi="宋体" w:cs="宋体" w:eastAsia="宋体" w:hint="default"/>
                            <w:sz w:val="16"/>
                            <w:szCs w:val="16"/>
                          </w:rPr>
                        </w:pPr>
                        <w:r>
                          <w:rPr>
                            <w:rFonts w:ascii="宋体"/>
                            <w:spacing w:val="-1"/>
                            <w:sz w:val="16"/>
                          </w:rPr>
                          <w:t>29.28</w:t>
                        </w:r>
                      </w:p>
                    </w:tc>
                    <w:tc>
                      <w:tcPr>
                        <w:tcW w:w="230"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right"/>
                          <w:rPr>
                            <w:rFonts w:ascii="宋体" w:hAnsi="宋体" w:cs="宋体" w:eastAsia="宋体" w:hint="default"/>
                            <w:sz w:val="16"/>
                            <w:szCs w:val="16"/>
                          </w:rPr>
                        </w:pPr>
                        <w:r>
                          <w:rPr>
                            <w:rFonts w:ascii="宋体"/>
                            <w:spacing w:val="-2"/>
                            <w:sz w:val="16"/>
                          </w:rPr>
                          <w:t>503,100.13</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宋体" w:hAnsi="宋体" w:cs="宋体" w:eastAsia="宋体" w:hint="default"/>
                            <w:sz w:val="16"/>
                            <w:szCs w:val="16"/>
                          </w:rPr>
                        </w:pPr>
                        <w:r>
                          <w:rPr>
                            <w:rFonts w:ascii="宋体"/>
                            <w:spacing w:val="-1"/>
                            <w:sz w:val="16"/>
                          </w:rPr>
                          <w:t>19.94</w:t>
                        </w:r>
                      </w:p>
                    </w:tc>
                  </w:tr>
                  <w:tr>
                    <w:trPr>
                      <w:trHeight w:val="396"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宋体" w:hAnsi="宋体" w:cs="宋体" w:eastAsia="宋体" w:hint="default"/>
                            <w:sz w:val="16"/>
                            <w:szCs w:val="16"/>
                          </w:rPr>
                        </w:pPr>
                        <w:r>
                          <w:rPr>
                            <w:rFonts w:ascii="宋体"/>
                            <w:spacing w:val="-2"/>
                            <w:sz w:val="16"/>
                          </w:rPr>
                          <w:t>3,551,112.48</w:t>
                        </w:r>
                      </w:p>
                    </w:tc>
                    <w:tc>
                      <w:tcPr>
                        <w:tcW w:w="228"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宋体" w:hAnsi="宋体" w:cs="宋体" w:eastAsia="宋体" w:hint="default"/>
                            <w:sz w:val="16"/>
                            <w:szCs w:val="16"/>
                          </w:rPr>
                        </w:pPr>
                        <w:r>
                          <w:rPr>
                            <w:rFonts w:ascii="宋体"/>
                            <w:spacing w:val="-1"/>
                            <w:sz w:val="16"/>
                          </w:rPr>
                          <w:t>100.00</w:t>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7"/>
                          <w:jc w:val="right"/>
                          <w:rPr>
                            <w:rFonts w:ascii="宋体" w:hAnsi="宋体" w:cs="宋体" w:eastAsia="宋体" w:hint="default"/>
                            <w:sz w:val="16"/>
                            <w:szCs w:val="16"/>
                          </w:rPr>
                        </w:pPr>
                        <w:r>
                          <w:rPr>
                            <w:rFonts w:ascii="宋体"/>
                            <w:spacing w:val="-2"/>
                            <w:sz w:val="16"/>
                          </w:rPr>
                          <w:t>353,494.48</w:t>
                        </w:r>
                      </w:p>
                    </w:tc>
                    <w:tc>
                      <w:tcPr>
                        <w:tcW w:w="1085"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
                          <w:jc w:val="right"/>
                          <w:rPr>
                            <w:rFonts w:ascii="宋体" w:hAnsi="宋体" w:cs="宋体" w:eastAsia="宋体" w:hint="default"/>
                            <w:sz w:val="16"/>
                            <w:szCs w:val="16"/>
                          </w:rPr>
                        </w:pPr>
                        <w:r>
                          <w:rPr>
                            <w:rFonts w:ascii="宋体"/>
                            <w:spacing w:val="-2"/>
                            <w:sz w:val="16"/>
                          </w:rPr>
                          <w:t>8,618,234.54</w:t>
                        </w:r>
                      </w:p>
                    </w:tc>
                    <w:tc>
                      <w:tcPr>
                        <w:tcW w:w="232"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
                          <w:jc w:val="right"/>
                          <w:rPr>
                            <w:rFonts w:ascii="宋体" w:hAnsi="宋体" w:cs="宋体" w:eastAsia="宋体" w:hint="default"/>
                            <w:sz w:val="16"/>
                            <w:szCs w:val="16"/>
                          </w:rPr>
                        </w:pPr>
                        <w:r>
                          <w:rPr>
                            <w:rFonts w:ascii="宋体"/>
                            <w:spacing w:val="-1"/>
                            <w:sz w:val="16"/>
                          </w:rPr>
                          <w:t>100.00</w:t>
                        </w:r>
                      </w:p>
                    </w:tc>
                    <w:tc>
                      <w:tcPr>
                        <w:tcW w:w="230"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
                          <w:jc w:val="right"/>
                          <w:rPr>
                            <w:rFonts w:ascii="宋体" w:hAnsi="宋体" w:cs="宋体" w:eastAsia="宋体" w:hint="default"/>
                            <w:sz w:val="16"/>
                            <w:szCs w:val="16"/>
                          </w:rPr>
                        </w:pPr>
                        <w:r>
                          <w:rPr>
                            <w:rFonts w:ascii="宋体"/>
                            <w:spacing w:val="-2"/>
                            <w:sz w:val="16"/>
                          </w:rPr>
                          <w:t>503,100.13</w:t>
                        </w:r>
                      </w:p>
                    </w:tc>
                    <w:tc>
                      <w:tcPr>
                        <w:tcW w:w="672" w:type="dxa"/>
                        <w:tcBorders>
                          <w:top w:val="nil" w:sz="6" w:space="0" w:color="auto"/>
                          <w:left w:val="nil" w:sz="6" w:space="0" w:color="auto"/>
                          <w:bottom w:val="nil" w:sz="6" w:space="0" w:color="auto"/>
                          <w:right w:val="nil" w:sz="6" w:space="0" w:color="auto"/>
                        </w:tcBorders>
                      </w:tcPr>
                      <w:p>
                        <w:pPr/>
                      </w:p>
                    </w:tc>
                  </w:tr>
                  <w:tr>
                    <w:trPr>
                      <w:trHeight w:val="684" w:hRule="exact"/>
                    </w:trPr>
                    <w:tc>
                      <w:tcPr>
                        <w:tcW w:w="1176" w:type="dxa"/>
                        <w:tcBorders>
                          <w:top w:val="nil" w:sz="6" w:space="0" w:color="auto"/>
                          <w:left w:val="nil" w:sz="6" w:space="0" w:color="auto"/>
                          <w:bottom w:val="single" w:sz="8" w:space="0" w:color="000000"/>
                          <w:right w:val="nil" w:sz="6" w:space="0" w:color="auto"/>
                        </w:tcBorders>
                      </w:tcPr>
                      <w:p>
                        <w:pPr>
                          <w:pStyle w:val="TableParagraph"/>
                          <w:spacing w:line="240" w:lineRule="auto" w:before="130"/>
                          <w:ind w:right="27"/>
                          <w:jc w:val="right"/>
                          <w:rPr>
                            <w:rFonts w:ascii="宋体" w:hAnsi="宋体" w:cs="宋体" w:eastAsia="宋体" w:hint="default"/>
                            <w:sz w:val="16"/>
                            <w:szCs w:val="16"/>
                          </w:rPr>
                        </w:pPr>
                        <w:r>
                          <w:rPr>
                            <w:rFonts w:ascii="宋体"/>
                            <w:w w:val="100"/>
                            <w:sz w:val="16"/>
                          </w:rPr>
                          <w:t>-</w:t>
                        </w:r>
                      </w:p>
                    </w:tc>
                    <w:tc>
                      <w:tcPr>
                        <w:tcW w:w="228" w:type="dxa"/>
                        <w:tcBorders>
                          <w:top w:val="nil" w:sz="6" w:space="0" w:color="auto"/>
                          <w:left w:val="nil" w:sz="6" w:space="0" w:color="auto"/>
                          <w:bottom w:val="nil" w:sz="6" w:space="0" w:color="auto"/>
                          <w:right w:val="nil" w:sz="6" w:space="0" w:color="auto"/>
                        </w:tcBorders>
                      </w:tcPr>
                      <w:p>
                        <w:pPr/>
                      </w:p>
                    </w:tc>
                    <w:tc>
                      <w:tcPr>
                        <w:tcW w:w="526" w:type="dxa"/>
                        <w:tcBorders>
                          <w:top w:val="nil" w:sz="6" w:space="0" w:color="auto"/>
                          <w:left w:val="nil" w:sz="6" w:space="0" w:color="auto"/>
                          <w:bottom w:val="single" w:sz="8" w:space="0" w:color="000000"/>
                          <w:right w:val="nil" w:sz="6" w:space="0" w:color="auto"/>
                        </w:tcBorders>
                      </w:tcPr>
                      <w:p>
                        <w:pPr>
                          <w:pStyle w:val="TableParagraph"/>
                          <w:spacing w:line="240" w:lineRule="auto" w:before="130"/>
                          <w:ind w:right="1"/>
                          <w:jc w:val="right"/>
                          <w:rPr>
                            <w:rFonts w:ascii="宋体" w:hAnsi="宋体" w:cs="宋体" w:eastAsia="宋体" w:hint="default"/>
                            <w:sz w:val="16"/>
                            <w:szCs w:val="16"/>
                          </w:rPr>
                        </w:pPr>
                        <w:r>
                          <w:rPr>
                            <w:rFonts w:ascii="宋体"/>
                            <w:w w:val="100"/>
                            <w:sz w:val="16"/>
                          </w:rPr>
                          <w:t>-</w:t>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single" w:sz="8" w:space="0" w:color="000000"/>
                          <w:right w:val="nil" w:sz="6" w:space="0" w:color="auto"/>
                        </w:tcBorders>
                      </w:tcPr>
                      <w:p>
                        <w:pPr>
                          <w:pStyle w:val="TableParagraph"/>
                          <w:spacing w:line="240" w:lineRule="auto" w:before="130"/>
                          <w:ind w:right="47"/>
                          <w:jc w:val="right"/>
                          <w:rPr>
                            <w:rFonts w:ascii="宋体" w:hAnsi="宋体" w:cs="宋体" w:eastAsia="宋体" w:hint="default"/>
                            <w:sz w:val="16"/>
                            <w:szCs w:val="16"/>
                          </w:rPr>
                        </w:pPr>
                        <w:r>
                          <w:rPr>
                            <w:rFonts w:ascii="宋体"/>
                            <w:w w:val="100"/>
                            <w:sz w:val="16"/>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1"/>
                          <w:jc w:val="right"/>
                          <w:rPr>
                            <w:rFonts w:ascii="宋体" w:hAnsi="宋体" w:cs="宋体" w:eastAsia="宋体" w:hint="default"/>
                            <w:sz w:val="16"/>
                            <w:szCs w:val="16"/>
                          </w:rPr>
                        </w:pPr>
                        <w:r>
                          <w:rPr>
                            <w:rFonts w:ascii="宋体"/>
                            <w:w w:val="100"/>
                            <w:sz w:val="16"/>
                          </w:rPr>
                          <w:t>-</w:t>
                        </w:r>
                      </w:p>
                    </w:tc>
                    <w:tc>
                      <w:tcPr>
                        <w:tcW w:w="1045" w:type="dxa"/>
                        <w:tcBorders>
                          <w:top w:val="nil" w:sz="6" w:space="0" w:color="auto"/>
                          <w:left w:val="nil" w:sz="6" w:space="0" w:color="auto"/>
                          <w:bottom w:val="single" w:sz="8" w:space="0" w:color="000000"/>
                          <w:right w:val="nil" w:sz="6" w:space="0" w:color="auto"/>
                        </w:tcBorders>
                      </w:tcPr>
                      <w:p>
                        <w:pPr>
                          <w:pStyle w:val="TableParagraph"/>
                          <w:spacing w:line="240" w:lineRule="auto" w:before="130"/>
                          <w:ind w:right="0"/>
                          <w:jc w:val="right"/>
                          <w:rPr>
                            <w:rFonts w:ascii="宋体" w:hAnsi="宋体" w:cs="宋体" w:eastAsia="宋体" w:hint="default"/>
                            <w:sz w:val="16"/>
                            <w:szCs w:val="16"/>
                          </w:rPr>
                        </w:pPr>
                        <w:r>
                          <w:rPr>
                            <w:rFonts w:ascii="宋体"/>
                            <w:w w:val="100"/>
                            <w:sz w:val="16"/>
                          </w:rPr>
                          <w:t>-</w:t>
                        </w:r>
                      </w:p>
                    </w:tc>
                    <w:tc>
                      <w:tcPr>
                        <w:tcW w:w="232"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single" w:sz="8" w:space="0" w:color="000000"/>
                          <w:right w:val="nil" w:sz="6" w:space="0" w:color="auto"/>
                        </w:tcBorders>
                      </w:tcPr>
                      <w:p>
                        <w:pPr>
                          <w:pStyle w:val="TableParagraph"/>
                          <w:spacing w:line="240" w:lineRule="auto" w:before="130"/>
                          <w:ind w:right="56"/>
                          <w:jc w:val="right"/>
                          <w:rPr>
                            <w:rFonts w:ascii="宋体" w:hAnsi="宋体" w:cs="宋体" w:eastAsia="宋体" w:hint="default"/>
                            <w:sz w:val="16"/>
                            <w:szCs w:val="16"/>
                          </w:rPr>
                        </w:pPr>
                        <w:r>
                          <w:rPr>
                            <w:rFonts w:ascii="宋体"/>
                            <w:w w:val="100"/>
                            <w:sz w:val="16"/>
                          </w:rPr>
                          <w:t>-</w:t>
                        </w:r>
                      </w:p>
                    </w:tc>
                    <w:tc>
                      <w:tcPr>
                        <w:tcW w:w="230"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single" w:sz="8" w:space="0" w:color="000000"/>
                          <w:right w:val="nil" w:sz="6" w:space="0" w:color="auto"/>
                        </w:tcBorders>
                      </w:tcPr>
                      <w:p>
                        <w:pPr>
                          <w:pStyle w:val="TableParagraph"/>
                          <w:spacing w:line="240" w:lineRule="auto" w:before="130"/>
                          <w:ind w:right="25"/>
                          <w:jc w:val="right"/>
                          <w:rPr>
                            <w:rFonts w:ascii="宋体" w:hAnsi="宋体" w:cs="宋体" w:eastAsia="宋体" w:hint="default"/>
                            <w:sz w:val="16"/>
                            <w:szCs w:val="16"/>
                          </w:rPr>
                        </w:pPr>
                        <w:r>
                          <w:rPr>
                            <w:rFonts w:ascii="宋体"/>
                            <w:w w:val="100"/>
                            <w:sz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9"/>
                          <w:jc w:val="right"/>
                          <w:rPr>
                            <w:rFonts w:ascii="宋体" w:hAnsi="宋体" w:cs="宋体" w:eastAsia="宋体" w:hint="default"/>
                            <w:sz w:val="16"/>
                            <w:szCs w:val="16"/>
                          </w:rPr>
                        </w:pPr>
                        <w:r>
                          <w:rPr>
                            <w:rFonts w:ascii="宋体"/>
                            <w:w w:val="100"/>
                            <w:sz w:val="16"/>
                          </w:rPr>
                          <w:t>-</w:t>
                        </w:r>
                      </w:p>
                    </w:tc>
                  </w:tr>
                  <w:tr>
                    <w:trPr>
                      <w:trHeight w:val="307" w:hRule="exact"/>
                    </w:trPr>
                    <w:tc>
                      <w:tcPr>
                        <w:tcW w:w="1176" w:type="dxa"/>
                        <w:tcBorders>
                          <w:top w:val="single" w:sz="8" w:space="0" w:color="000000"/>
                          <w:left w:val="nil" w:sz="6" w:space="0" w:color="auto"/>
                          <w:bottom w:val="single" w:sz="17" w:space="0" w:color="000000"/>
                          <w:right w:val="nil" w:sz="6" w:space="0" w:color="auto"/>
                        </w:tcBorders>
                      </w:tcPr>
                      <w:p>
                        <w:pPr>
                          <w:pStyle w:val="TableParagraph"/>
                          <w:spacing w:line="240" w:lineRule="auto" w:before="38"/>
                          <w:ind w:right="28"/>
                          <w:jc w:val="right"/>
                          <w:rPr>
                            <w:rFonts w:ascii="宋体" w:hAnsi="宋体" w:cs="宋体" w:eastAsia="宋体" w:hint="default"/>
                            <w:sz w:val="16"/>
                            <w:szCs w:val="16"/>
                          </w:rPr>
                        </w:pPr>
                        <w:r>
                          <w:rPr>
                            <w:rFonts w:ascii="宋体"/>
                            <w:spacing w:val="-2"/>
                            <w:sz w:val="16"/>
                          </w:rPr>
                          <w:t>3,551,112.48</w:t>
                        </w:r>
                      </w:p>
                    </w:tc>
                    <w:tc>
                      <w:tcPr>
                        <w:tcW w:w="228" w:type="dxa"/>
                        <w:tcBorders>
                          <w:top w:val="nil" w:sz="6" w:space="0" w:color="auto"/>
                          <w:left w:val="nil" w:sz="6" w:space="0" w:color="auto"/>
                          <w:bottom w:val="nil" w:sz="6" w:space="0" w:color="auto"/>
                          <w:right w:val="nil" w:sz="6" w:space="0" w:color="auto"/>
                        </w:tcBorders>
                      </w:tcPr>
                      <w:p>
                        <w:pPr/>
                      </w:p>
                    </w:tc>
                    <w:tc>
                      <w:tcPr>
                        <w:tcW w:w="526" w:type="dxa"/>
                        <w:tcBorders>
                          <w:top w:val="single" w:sz="8" w:space="0" w:color="000000"/>
                          <w:left w:val="nil" w:sz="6" w:space="0" w:color="auto"/>
                          <w:bottom w:val="single" w:sz="17" w:space="0" w:color="000000"/>
                          <w:right w:val="nil" w:sz="6" w:space="0" w:color="auto"/>
                        </w:tcBorders>
                      </w:tcPr>
                      <w:p>
                        <w:pPr>
                          <w:pStyle w:val="TableParagraph"/>
                          <w:spacing w:line="240" w:lineRule="auto" w:before="38"/>
                          <w:ind w:right="0"/>
                          <w:jc w:val="right"/>
                          <w:rPr>
                            <w:rFonts w:ascii="宋体" w:hAnsi="宋体" w:cs="宋体" w:eastAsia="宋体" w:hint="default"/>
                            <w:sz w:val="16"/>
                            <w:szCs w:val="16"/>
                          </w:rPr>
                        </w:pPr>
                        <w:r>
                          <w:rPr>
                            <w:rFonts w:ascii="宋体"/>
                            <w:spacing w:val="-2"/>
                            <w:sz w:val="16"/>
                          </w:rPr>
                          <w:t>100.00</w:t>
                        </w:r>
                        <w:r>
                          <w:rPr>
                            <w:rFonts w:ascii="宋体"/>
                            <w:sz w:val="16"/>
                          </w:rPr>
                        </w:r>
                      </w:p>
                    </w:tc>
                    <w:tc>
                      <w:tcPr>
                        <w:tcW w:w="238" w:type="dxa"/>
                        <w:tcBorders>
                          <w:top w:val="nil" w:sz="6" w:space="0" w:color="auto"/>
                          <w:left w:val="nil" w:sz="6" w:space="0" w:color="auto"/>
                          <w:bottom w:val="nil" w:sz="6" w:space="0" w:color="auto"/>
                          <w:right w:val="nil" w:sz="6" w:space="0" w:color="auto"/>
                        </w:tcBorders>
                      </w:tcPr>
                      <w:p>
                        <w:pPr/>
                      </w:p>
                    </w:tc>
                    <w:tc>
                      <w:tcPr>
                        <w:tcW w:w="905" w:type="dxa"/>
                        <w:tcBorders>
                          <w:top w:val="single" w:sz="8" w:space="0" w:color="000000"/>
                          <w:left w:val="nil" w:sz="6" w:space="0" w:color="auto"/>
                          <w:bottom w:val="single" w:sz="17" w:space="0" w:color="000000"/>
                          <w:right w:val="nil" w:sz="6" w:space="0" w:color="auto"/>
                        </w:tcBorders>
                      </w:tcPr>
                      <w:p>
                        <w:pPr>
                          <w:pStyle w:val="TableParagraph"/>
                          <w:spacing w:line="240" w:lineRule="auto" w:before="38"/>
                          <w:ind w:right="47"/>
                          <w:jc w:val="right"/>
                          <w:rPr>
                            <w:rFonts w:ascii="宋体" w:hAnsi="宋体" w:cs="宋体" w:eastAsia="宋体" w:hint="default"/>
                            <w:sz w:val="16"/>
                            <w:szCs w:val="16"/>
                          </w:rPr>
                        </w:pPr>
                        <w:r>
                          <w:rPr>
                            <w:rFonts w:ascii="宋体"/>
                            <w:spacing w:val="-2"/>
                            <w:sz w:val="16"/>
                          </w:rPr>
                          <w:t>353,494.48</w:t>
                        </w:r>
                      </w:p>
                    </w:tc>
                    <w:tc>
                      <w:tcPr>
                        <w:tcW w:w="1085" w:type="dxa"/>
                        <w:tcBorders>
                          <w:top w:val="nil" w:sz="6" w:space="0" w:color="auto"/>
                          <w:left w:val="nil" w:sz="6" w:space="0" w:color="auto"/>
                          <w:bottom w:val="nil" w:sz="6" w:space="0" w:color="auto"/>
                          <w:right w:val="nil" w:sz="6" w:space="0" w:color="auto"/>
                        </w:tcBorders>
                      </w:tcPr>
                      <w:p>
                        <w:pPr/>
                      </w:p>
                    </w:tc>
                    <w:tc>
                      <w:tcPr>
                        <w:tcW w:w="1045" w:type="dxa"/>
                        <w:tcBorders>
                          <w:top w:val="single" w:sz="8" w:space="0" w:color="000000"/>
                          <w:left w:val="nil" w:sz="6" w:space="0" w:color="auto"/>
                          <w:bottom w:val="single" w:sz="17" w:space="0" w:color="000000"/>
                          <w:right w:val="nil" w:sz="6" w:space="0" w:color="auto"/>
                        </w:tcBorders>
                      </w:tcPr>
                      <w:p>
                        <w:pPr>
                          <w:pStyle w:val="TableParagraph"/>
                          <w:spacing w:line="240" w:lineRule="auto" w:before="38"/>
                          <w:ind w:right="44"/>
                          <w:jc w:val="right"/>
                          <w:rPr>
                            <w:rFonts w:ascii="宋体" w:hAnsi="宋体" w:cs="宋体" w:eastAsia="宋体" w:hint="default"/>
                            <w:sz w:val="16"/>
                            <w:szCs w:val="16"/>
                          </w:rPr>
                        </w:pPr>
                        <w:r>
                          <w:rPr>
                            <w:rFonts w:ascii="宋体"/>
                            <w:spacing w:val="-2"/>
                            <w:sz w:val="16"/>
                          </w:rPr>
                          <w:t>8,618,234.54</w:t>
                        </w:r>
                      </w:p>
                    </w:tc>
                    <w:tc>
                      <w:tcPr>
                        <w:tcW w:w="232" w:type="dxa"/>
                        <w:tcBorders>
                          <w:top w:val="nil" w:sz="6" w:space="0" w:color="auto"/>
                          <w:left w:val="nil" w:sz="6" w:space="0" w:color="auto"/>
                          <w:bottom w:val="nil" w:sz="6" w:space="0" w:color="auto"/>
                          <w:right w:val="nil" w:sz="6" w:space="0" w:color="auto"/>
                        </w:tcBorders>
                      </w:tcPr>
                      <w:p>
                        <w:pPr/>
                      </w:p>
                    </w:tc>
                    <w:tc>
                      <w:tcPr>
                        <w:tcW w:w="612" w:type="dxa"/>
                        <w:tcBorders>
                          <w:top w:val="single" w:sz="8" w:space="0" w:color="000000"/>
                          <w:left w:val="nil" w:sz="6" w:space="0" w:color="auto"/>
                          <w:bottom w:val="single" w:sz="17" w:space="0" w:color="000000"/>
                          <w:right w:val="nil" w:sz="6" w:space="0" w:color="auto"/>
                        </w:tcBorders>
                      </w:tcPr>
                      <w:p>
                        <w:pPr>
                          <w:pStyle w:val="TableParagraph"/>
                          <w:spacing w:line="240" w:lineRule="auto" w:before="38"/>
                          <w:ind w:right="57"/>
                          <w:jc w:val="right"/>
                          <w:rPr>
                            <w:rFonts w:ascii="宋体" w:hAnsi="宋体" w:cs="宋体" w:eastAsia="宋体" w:hint="default"/>
                            <w:sz w:val="16"/>
                            <w:szCs w:val="16"/>
                          </w:rPr>
                        </w:pPr>
                        <w:r>
                          <w:rPr>
                            <w:rFonts w:ascii="宋体"/>
                            <w:spacing w:val="-1"/>
                            <w:sz w:val="16"/>
                          </w:rPr>
                          <w:t>100.00</w:t>
                        </w:r>
                      </w:p>
                    </w:tc>
                    <w:tc>
                      <w:tcPr>
                        <w:tcW w:w="230" w:type="dxa"/>
                        <w:tcBorders>
                          <w:top w:val="nil" w:sz="6" w:space="0" w:color="auto"/>
                          <w:left w:val="nil" w:sz="6" w:space="0" w:color="auto"/>
                          <w:bottom w:val="nil" w:sz="6" w:space="0" w:color="auto"/>
                          <w:right w:val="nil" w:sz="6" w:space="0" w:color="auto"/>
                        </w:tcBorders>
                      </w:tcPr>
                      <w:p>
                        <w:pPr/>
                      </w:p>
                    </w:tc>
                    <w:tc>
                      <w:tcPr>
                        <w:tcW w:w="902" w:type="dxa"/>
                        <w:tcBorders>
                          <w:top w:val="single" w:sz="8" w:space="0" w:color="000000"/>
                          <w:left w:val="nil" w:sz="6" w:space="0" w:color="auto"/>
                          <w:bottom w:val="single" w:sz="17" w:space="0" w:color="000000"/>
                          <w:right w:val="nil" w:sz="6" w:space="0" w:color="auto"/>
                        </w:tcBorders>
                      </w:tcPr>
                      <w:p>
                        <w:pPr>
                          <w:pStyle w:val="TableParagraph"/>
                          <w:spacing w:line="240" w:lineRule="auto" w:before="38"/>
                          <w:ind w:right="25"/>
                          <w:jc w:val="right"/>
                          <w:rPr>
                            <w:rFonts w:ascii="宋体" w:hAnsi="宋体" w:cs="宋体" w:eastAsia="宋体" w:hint="default"/>
                            <w:sz w:val="16"/>
                            <w:szCs w:val="16"/>
                          </w:rPr>
                        </w:pPr>
                        <w:r>
                          <w:rPr>
                            <w:rFonts w:ascii="宋体"/>
                            <w:spacing w:val="-2"/>
                            <w:sz w:val="16"/>
                          </w:rPr>
                          <w:t>503,100.13</w:t>
                        </w:r>
                      </w:p>
                    </w:tc>
                    <w:tc>
                      <w:tcPr>
                        <w:tcW w:w="67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6"/>
          <w:szCs w:val="16"/>
        </w:rPr>
        <w:t>保证金组合</w:t>
      </w:r>
      <w:r>
        <w:rPr>
          <w:rFonts w:ascii="宋体" w:hAnsi="宋体" w:cs="宋体" w:eastAsia="宋体" w:hint="default"/>
          <w:w w:val="100"/>
          <w:sz w:val="16"/>
          <w:szCs w:val="16"/>
        </w:rPr>
        <w:t> </w:t>
      </w:r>
      <w:r>
        <w:rPr>
          <w:rFonts w:ascii="宋体" w:hAnsi="宋体" w:cs="宋体" w:eastAsia="宋体" w:hint="default"/>
          <w:sz w:val="16"/>
          <w:szCs w:val="16"/>
        </w:rPr>
        <w:t>组合小计</w:t>
      </w:r>
    </w:p>
    <w:p>
      <w:pPr>
        <w:spacing w:line="157" w:lineRule="exact" w:before="0"/>
        <w:ind w:left="808" w:right="0" w:firstLine="0"/>
        <w:jc w:val="both"/>
        <w:rPr>
          <w:rFonts w:ascii="宋体" w:hAnsi="宋体" w:cs="宋体" w:eastAsia="宋体" w:hint="default"/>
          <w:sz w:val="16"/>
          <w:szCs w:val="16"/>
        </w:rPr>
      </w:pPr>
      <w:r>
        <w:rPr>
          <w:rFonts w:ascii="宋体" w:hAnsi="宋体" w:cs="宋体" w:eastAsia="宋体" w:hint="default"/>
          <w:spacing w:val="11"/>
          <w:sz w:val="16"/>
          <w:szCs w:val="16"/>
        </w:rPr>
        <w:t>单项金额虽不重</w:t>
      </w:r>
      <w:r>
        <w:rPr>
          <w:rFonts w:ascii="宋体" w:hAnsi="宋体" w:cs="宋体" w:eastAsia="宋体" w:hint="default"/>
          <w:sz w:val="16"/>
          <w:szCs w:val="16"/>
        </w:rPr>
      </w:r>
    </w:p>
    <w:p>
      <w:pPr>
        <w:spacing w:line="237" w:lineRule="auto" w:before="1"/>
        <w:ind w:left="808" w:right="8315" w:firstLine="0"/>
        <w:jc w:val="both"/>
        <w:rPr>
          <w:rFonts w:ascii="宋体" w:hAnsi="宋体" w:cs="宋体" w:eastAsia="宋体" w:hint="default"/>
          <w:sz w:val="16"/>
          <w:szCs w:val="16"/>
        </w:rPr>
      </w:pPr>
      <w:r>
        <w:rPr>
          <w:rFonts w:ascii="宋体" w:hAnsi="宋体" w:cs="宋体" w:eastAsia="宋体" w:hint="default"/>
          <w:spacing w:val="9"/>
          <w:sz w:val="16"/>
          <w:szCs w:val="16"/>
        </w:rPr>
        <w:t>大但单项计提坏</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pacing w:val="9"/>
          <w:sz w:val="16"/>
          <w:szCs w:val="16"/>
        </w:rPr>
        <w:t>账准备的其他应</w:t>
      </w:r>
      <w:r>
        <w:rPr>
          <w:rFonts w:ascii="宋体" w:hAnsi="宋体" w:cs="宋体" w:eastAsia="宋体" w:hint="default"/>
          <w:spacing w:val="-66"/>
          <w:sz w:val="16"/>
          <w:szCs w:val="16"/>
        </w:rPr>
        <w:t> </w:t>
      </w:r>
      <w:r>
        <w:rPr>
          <w:rFonts w:ascii="宋体" w:hAnsi="宋体" w:cs="宋体" w:eastAsia="宋体" w:hint="default"/>
          <w:spacing w:val="-66"/>
          <w:sz w:val="16"/>
          <w:szCs w:val="16"/>
        </w:rPr>
      </w:r>
      <w:r>
        <w:rPr>
          <w:rFonts w:ascii="宋体" w:hAnsi="宋体" w:cs="宋体" w:eastAsia="宋体" w:hint="default"/>
          <w:sz w:val="16"/>
          <w:szCs w:val="16"/>
        </w:rPr>
        <w:t>收款</w:t>
      </w:r>
    </w:p>
    <w:p>
      <w:pPr>
        <w:spacing w:before="81"/>
        <w:ind w:left="808" w:right="0" w:firstLine="0"/>
        <w:jc w:val="both"/>
        <w:rPr>
          <w:rFonts w:ascii="宋体" w:hAnsi="宋体" w:cs="宋体" w:eastAsia="宋体" w:hint="default"/>
          <w:sz w:val="16"/>
          <w:szCs w:val="16"/>
        </w:rPr>
      </w:pPr>
      <w:r>
        <w:rPr>
          <w:rFonts w:ascii="宋体" w:hAnsi="宋体" w:cs="宋体" w:eastAsia="宋体" w:hint="default"/>
          <w:sz w:val="16"/>
          <w:szCs w:val="16"/>
        </w:rPr>
        <w:t>合计</w:t>
      </w:r>
    </w:p>
    <w:p>
      <w:pPr>
        <w:spacing w:line="240" w:lineRule="auto" w:before="12"/>
        <w:rPr>
          <w:rFonts w:ascii="宋体" w:hAnsi="宋体" w:cs="宋体" w:eastAsia="宋体" w:hint="default"/>
          <w:sz w:val="23"/>
          <w:szCs w:val="23"/>
        </w:rPr>
      </w:pPr>
    </w:p>
    <w:p>
      <w:pPr>
        <w:spacing w:line="475" w:lineRule="auto" w:before="36"/>
        <w:ind w:left="808" w:right="1029" w:firstLine="0"/>
        <w:jc w:val="left"/>
        <w:rPr>
          <w:rFonts w:ascii="宋体" w:hAnsi="宋体" w:cs="宋体" w:eastAsia="宋体" w:hint="default"/>
          <w:sz w:val="21"/>
          <w:szCs w:val="21"/>
        </w:rPr>
      </w:pPr>
      <w:r>
        <w:rPr>
          <w:rFonts w:ascii="宋体" w:hAnsi="宋体" w:cs="宋体" w:eastAsia="宋体" w:hint="default"/>
          <w:sz w:val="21"/>
          <w:szCs w:val="21"/>
        </w:rPr>
        <w:t>6.3.2</w:t>
      </w:r>
      <w:r>
        <w:rPr>
          <w:rFonts w:ascii="宋体" w:hAnsi="宋体" w:cs="宋体" w:eastAsia="宋体" w:hint="default"/>
          <w:spacing w:val="-55"/>
          <w:sz w:val="21"/>
          <w:szCs w:val="21"/>
        </w:rPr>
        <w:t> </w:t>
      </w:r>
      <w:r>
        <w:rPr>
          <w:rFonts w:ascii="宋体" w:hAnsi="宋体" w:cs="宋体" w:eastAsia="宋体" w:hint="default"/>
          <w:sz w:val="21"/>
          <w:szCs w:val="21"/>
        </w:rPr>
        <w:t>按组合计提坏账准备的其他应收款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组合中，按账龄分析法计提坏账准备的其他应收款：</w:t>
      </w:r>
    </w:p>
    <w:p>
      <w:pPr>
        <w:tabs>
          <w:tab w:pos="7697" w:val="left" w:leader="none"/>
        </w:tabs>
        <w:spacing w:before="69"/>
        <w:ind w:left="3727" w:right="1029" w:firstLine="0"/>
        <w:jc w:val="left"/>
        <w:rPr>
          <w:rFonts w:ascii="宋体" w:hAnsi="宋体" w:cs="宋体" w:eastAsia="宋体" w:hint="default"/>
          <w:sz w:val="16"/>
          <w:szCs w:val="16"/>
        </w:rPr>
      </w:pPr>
      <w:r>
        <w:rPr/>
        <w:pict>
          <v:group style="position:absolute;margin-left:181.699997pt;margin-top:18.433716pt;width:185.35pt;height:1pt;mso-position-horizontal-relative:page;mso-position-vertical-relative:paragraph;z-index:2440" coordorigin="3634,369" coordsize="3707,20">
            <v:group style="position:absolute;left:3644;top:378;width:2269;height:2" coordorigin="3644,378" coordsize="2269,2">
              <v:shape style="position:absolute;left:3644;top:378;width:2269;height:2" coordorigin="3644,378" coordsize="2269,0" path="m3644,378l5912,378e" filled="false" stroked="true" strokeweight=".96002pt" strokecolor="#000000">
                <v:path arrowok="t"/>
              </v:shape>
            </v:group>
            <v:group style="position:absolute;left:5912;top:378;width:20;height:2" coordorigin="5912,378" coordsize="20,2">
              <v:shape style="position:absolute;left:5912;top:378;width:20;height:2" coordorigin="5912,378" coordsize="20,0" path="m5912,378l5931,378e" filled="false" stroked="true" strokeweight=".96002pt" strokecolor="#000000">
                <v:path arrowok="t"/>
              </v:shape>
            </v:group>
            <v:group style="position:absolute;left:5931;top:378;width:264;height:2" coordorigin="5931,378" coordsize="264,2">
              <v:shape style="position:absolute;left:5931;top:378;width:264;height:2" coordorigin="5931,378" coordsize="264,0" path="m5931,378l6195,378e" filled="false" stroked="true" strokeweight=".96002pt" strokecolor="#000000">
                <v:path arrowok="t"/>
              </v:shape>
            </v:group>
            <v:group style="position:absolute;left:6195;top:378;width:20;height:2" coordorigin="6195,378" coordsize="20,2">
              <v:shape style="position:absolute;left:6195;top:378;width:20;height:2" coordorigin="6195,378" coordsize="20,0" path="m6195,378l6215,378e" filled="false" stroked="true" strokeweight=".96002pt" strokecolor="#000000">
                <v:path arrowok="t"/>
              </v:shape>
            </v:group>
            <v:group style="position:absolute;left:6215;top:378;width:1117;height:2" coordorigin="6215,378" coordsize="1117,2">
              <v:shape style="position:absolute;left:6215;top:378;width:1117;height:2" coordorigin="6215,378" coordsize="1117,0" path="m6215,378l7331,378e" filled="false" stroked="true" strokeweight=".96002pt" strokecolor="#000000">
                <v:path arrowok="t"/>
              </v:shape>
            </v:group>
            <w10:wrap type="none"/>
          </v:group>
        </w:pict>
      </w:r>
      <w:r>
        <w:rPr/>
        <w:pict>
          <v:group style="position:absolute;margin-left:380.470001pt;margin-top:18.433727pt;width:184.85pt;height:.5pt;mso-position-horizontal-relative:page;mso-position-vertical-relative:paragraph;z-index:2464" coordorigin="7609,369" coordsize="3697,10">
            <v:group style="position:absolute;left:7614;top:373;width:2269;height:2" coordorigin="7614,373" coordsize="2269,2">
              <v:shape style="position:absolute;left:7614;top:373;width:2269;height:2" coordorigin="7614,373" coordsize="2269,0" path="m7614,373l9883,373e" filled="false" stroked="true" strokeweight=".48001pt" strokecolor="#000000">
                <v:path arrowok="t"/>
              </v:shape>
            </v:group>
            <v:group style="position:absolute;left:9883;top:373;width:10;height:2" coordorigin="9883,373" coordsize="10,2">
              <v:shape style="position:absolute;left:9883;top:373;width:10;height:2" coordorigin="9883,373" coordsize="10,0" path="m9883,373l9892,373e" filled="false" stroked="true" strokeweight=".48001pt" strokecolor="#000000">
                <v:path arrowok="t"/>
              </v:shape>
            </v:group>
            <v:group style="position:absolute;left:9892;top:373;width:274;height:2" coordorigin="9892,373" coordsize="274,2">
              <v:shape style="position:absolute;left:9892;top:373;width:274;height:2" coordorigin="9892,373" coordsize="274,0" path="m9892,373l10166,373e" filled="false" stroked="true" strokeweight=".48001pt" strokecolor="#000000">
                <v:path arrowok="t"/>
              </v:shape>
            </v:group>
            <v:group style="position:absolute;left:10166;top:373;width:10;height:2" coordorigin="10166,373" coordsize="10,2">
              <v:shape style="position:absolute;left:10166;top:373;width:10;height:2" coordorigin="10166,373" coordsize="10,0" path="m10166,373l10176,373e" filled="false" stroked="true" strokeweight=".48001pt" strokecolor="#000000">
                <v:path arrowok="t"/>
              </v:shape>
            </v:group>
            <v:group style="position:absolute;left:10176;top:373;width:1126;height:2" coordorigin="10176,373" coordsize="1126,2">
              <v:shape style="position:absolute;left:10176;top:373;width:1126;height:2" coordorigin="10176,373" coordsize="1126,0" path="m10176,373l11301,373e" filled="false" stroked="true" strokeweight=".48001pt" strokecolor="#000000">
                <v:path arrowok="t"/>
              </v:shape>
            </v:group>
            <w10:wrap type="none"/>
          </v:group>
        </w:pict>
      </w: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tab/>
      </w:r>
      <w:r>
        <w:rPr>
          <w:rFonts w:ascii="宋体" w:hAnsi="宋体" w:cs="宋体" w:eastAsia="宋体" w:hint="default"/>
          <w:sz w:val="16"/>
          <w:szCs w:val="16"/>
        </w:rPr>
        <w:t>2010</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spacing w:after="0"/>
        <w:jc w:val="left"/>
        <w:rPr>
          <w:rFonts w:ascii="宋体" w:hAnsi="宋体" w:cs="宋体" w:eastAsia="宋体" w:hint="default"/>
          <w:sz w:val="16"/>
          <w:szCs w:val="16"/>
        </w:rPr>
        <w:sectPr>
          <w:type w:val="continuous"/>
          <w:pgSz w:w="11910" w:h="16840"/>
          <w:pgMar w:top="1100" w:bottom="1380" w:left="1100" w:right="480"/>
        </w:sectPr>
      </w:pPr>
    </w:p>
    <w:p>
      <w:pPr>
        <w:spacing w:line="240" w:lineRule="auto" w:before="5"/>
        <w:rPr>
          <w:rFonts w:ascii="宋体" w:hAnsi="宋体" w:cs="宋体" w:eastAsia="宋体" w:hint="default"/>
          <w:sz w:val="11"/>
          <w:szCs w:val="11"/>
        </w:rPr>
      </w:pPr>
    </w:p>
    <w:p>
      <w:pPr>
        <w:spacing w:line="197" w:lineRule="exact" w:before="0"/>
        <w:ind w:left="0" w:right="617" w:firstLine="0"/>
        <w:jc w:val="right"/>
        <w:rPr>
          <w:rFonts w:ascii="宋体" w:hAnsi="宋体" w:cs="宋体" w:eastAsia="宋体" w:hint="default"/>
          <w:sz w:val="16"/>
          <w:szCs w:val="16"/>
        </w:rPr>
      </w:pPr>
      <w:r>
        <w:rPr>
          <w:rFonts w:ascii="宋体" w:hAnsi="宋体" w:cs="宋体" w:eastAsia="宋体" w:hint="default"/>
          <w:sz w:val="16"/>
          <w:szCs w:val="16"/>
        </w:rPr>
        <w:t>账面余额</w:t>
      </w:r>
    </w:p>
    <w:p>
      <w:pPr>
        <w:tabs>
          <w:tab w:pos="3021" w:val="left" w:leader="none"/>
          <w:tab w:pos="4298" w:val="left" w:leader="none"/>
        </w:tabs>
        <w:spacing w:line="347" w:lineRule="exact" w:before="0"/>
        <w:ind w:left="1317" w:right="-18" w:firstLine="0"/>
        <w:jc w:val="left"/>
        <w:rPr>
          <w:rFonts w:ascii="宋体" w:hAnsi="宋体" w:cs="宋体" w:eastAsia="宋体" w:hint="default"/>
          <w:sz w:val="16"/>
          <w:szCs w:val="16"/>
        </w:rPr>
      </w:pPr>
      <w:r>
        <w:rPr/>
        <w:pict>
          <v:group style="position:absolute;margin-left:181.700012pt;margin-top:1.889383pt;width:114.4pt;height:1pt;mso-position-horizontal-relative:page;mso-position-vertical-relative:paragraph;z-index:-795616" coordorigin="3634,38" coordsize="2288,20">
            <v:group style="position:absolute;left:3644;top:47;width:1278;height:2" coordorigin="3644,47" coordsize="1278,2">
              <v:shape style="position:absolute;left:3644;top:47;width:1278;height:2" coordorigin="3644,47" coordsize="1278,0" path="m3644,47l4921,47e" filled="false" stroked="true" strokeweight=".95999pt" strokecolor="#000000">
                <v:path arrowok="t"/>
              </v:shape>
            </v:group>
            <v:group style="position:absolute;left:4921;top:47;width:20;height:2" coordorigin="4921,47" coordsize="20,2">
              <v:shape style="position:absolute;left:4921;top:47;width:20;height:2" coordorigin="4921,47" coordsize="20,0" path="m4921,47l4940,47e" filled="false" stroked="true" strokeweight=".95999pt" strokecolor="#000000">
                <v:path arrowok="t"/>
              </v:shape>
            </v:group>
            <v:group style="position:absolute;left:4940;top:47;width:264;height:2" coordorigin="4940,47" coordsize="264,2">
              <v:shape style="position:absolute;left:4940;top:47;width:264;height:2" coordorigin="4940,47" coordsize="264,0" path="m4940,47l5204,47e" filled="false" stroked="true" strokeweight=".95999pt" strokecolor="#000000">
                <v:path arrowok="t"/>
              </v:shape>
            </v:group>
            <v:group style="position:absolute;left:5204;top:47;width:20;height:2" coordorigin="5204,47" coordsize="20,2">
              <v:shape style="position:absolute;left:5204;top:47;width:20;height:2" coordorigin="5204,47" coordsize="20,0" path="m5204,47l5223,47e" filled="false" stroked="true" strokeweight=".95999pt" strokecolor="#000000">
                <v:path arrowok="t"/>
              </v:shape>
            </v:group>
            <v:group style="position:absolute;left:5223;top:47;width:689;height:2" coordorigin="5223,47" coordsize="689,2">
              <v:shape style="position:absolute;left:5223;top:47;width:689;height:2" coordorigin="5223,47" coordsize="689,0" path="m5223,47l5912,47e" filled="false" stroked="true" strokeweight=".95999pt" strokecolor="#000000">
                <v:path arrowok="t"/>
              </v:shape>
            </v:group>
            <w10:wrap type="none"/>
          </v:group>
        </w:pict>
      </w:r>
      <w:r>
        <w:rPr/>
        <w:pict>
          <v:shape style="position:absolute;margin-left:90.024002pt;margin-top:14.419997pt;width:475.05pt;height:95.8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19"/>
                    <w:gridCol w:w="1864"/>
                    <w:gridCol w:w="105"/>
                    <w:gridCol w:w="283"/>
                    <w:gridCol w:w="710"/>
                    <w:gridCol w:w="262"/>
                    <w:gridCol w:w="1157"/>
                  </w:tblGrid>
                  <w:tr>
                    <w:trPr>
                      <w:trHeight w:val="193" w:hRule="exact"/>
                    </w:trPr>
                    <w:tc>
                      <w:tcPr>
                        <w:tcW w:w="5119" w:type="dxa"/>
                        <w:tcBorders>
                          <w:top w:val="nil" w:sz="6" w:space="0" w:color="auto"/>
                          <w:left w:val="nil" w:sz="6" w:space="0" w:color="auto"/>
                          <w:bottom w:val="single" w:sz="8" w:space="0" w:color="000000"/>
                          <w:right w:val="nil" w:sz="6" w:space="0" w:color="auto"/>
                        </w:tcBorders>
                      </w:tcPr>
                      <w:p>
                        <w:pPr>
                          <w:pStyle w:val="TableParagraph"/>
                          <w:spacing w:line="161" w:lineRule="exact"/>
                          <w:ind w:right="115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r>
                      </w:p>
                    </w:tc>
                    <w:tc>
                      <w:tcPr>
                        <w:tcW w:w="1864" w:type="dxa"/>
                        <w:tcBorders>
                          <w:top w:val="nil" w:sz="6" w:space="0" w:color="auto"/>
                          <w:left w:val="nil" w:sz="6" w:space="0" w:color="auto"/>
                          <w:bottom w:val="single" w:sz="8" w:space="0" w:color="000000"/>
                          <w:right w:val="nil" w:sz="6" w:space="0" w:color="auto"/>
                        </w:tcBorders>
                      </w:tcPr>
                      <w:p>
                        <w:pPr/>
                      </w:p>
                    </w:tc>
                    <w:tc>
                      <w:tcPr>
                        <w:tcW w:w="105"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8" w:space="0" w:color="000000"/>
                          <w:right w:val="nil" w:sz="6" w:space="0" w:color="auto"/>
                        </w:tcBorders>
                      </w:tcPr>
                      <w:p>
                        <w:pPr>
                          <w:pStyle w:val="TableParagraph"/>
                          <w:spacing w:line="161" w:lineRule="exact"/>
                          <w:ind w:left="153"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w:t>
                        </w:r>
                        <w:r>
                          <w:rPr>
                            <w:rFonts w:ascii="宋体" w:hAnsi="宋体" w:cs="宋体" w:eastAsia="宋体" w:hint="default"/>
                            <w:sz w:val="16"/>
                            <w:szCs w:val="16"/>
                          </w:rPr>
                          <w:t>）</w:t>
                        </w:r>
                      </w:p>
                    </w:tc>
                    <w:tc>
                      <w:tcPr>
                        <w:tcW w:w="1418" w:type="dxa"/>
                        <w:gridSpan w:val="2"/>
                        <w:tcBorders>
                          <w:top w:val="nil" w:sz="6" w:space="0" w:color="auto"/>
                          <w:left w:val="nil" w:sz="6" w:space="0" w:color="auto"/>
                          <w:bottom w:val="nil" w:sz="6" w:space="0" w:color="auto"/>
                          <w:right w:val="nil" w:sz="6" w:space="0" w:color="auto"/>
                        </w:tcBorders>
                      </w:tcPr>
                      <w:p>
                        <w:pPr/>
                      </w:p>
                    </w:tc>
                  </w:tr>
                  <w:tr>
                    <w:trPr>
                      <w:trHeight w:val="1378" w:hRule="exact"/>
                    </w:trPr>
                    <w:tc>
                      <w:tcPr>
                        <w:tcW w:w="5119" w:type="dxa"/>
                        <w:tcBorders>
                          <w:top w:val="single" w:sz="8" w:space="0" w:color="000000"/>
                          <w:left w:val="nil" w:sz="6" w:space="0" w:color="auto"/>
                          <w:bottom w:val="single" w:sz="4" w:space="0" w:color="000000"/>
                          <w:right w:val="nil" w:sz="6" w:space="0" w:color="auto"/>
                        </w:tcBorders>
                      </w:tcPr>
                      <w:p>
                        <w:pPr>
                          <w:pStyle w:val="TableParagraph"/>
                          <w:tabs>
                            <w:tab w:pos="2052" w:val="left" w:leader="none"/>
                            <w:tab w:pos="3523" w:val="left" w:leader="none"/>
                          </w:tabs>
                          <w:spacing w:line="240" w:lineRule="auto" w:before="38"/>
                          <w:ind w:left="108"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37"/>
                            <w:sz w:val="16"/>
                            <w:szCs w:val="16"/>
                          </w:rPr>
                          <w:t> </w:t>
                        </w:r>
                        <w:r>
                          <w:rPr>
                            <w:rFonts w:ascii="宋体" w:hAnsi="宋体" w:cs="宋体" w:eastAsia="宋体" w:hint="default"/>
                            <w:spacing w:val="-1"/>
                            <w:sz w:val="16"/>
                            <w:szCs w:val="16"/>
                          </w:rPr>
                          <w:t>年以内</w:t>
                          <w:tab/>
                        </w:r>
                        <w:r>
                          <w:rPr>
                            <w:rFonts w:ascii="宋体" w:hAnsi="宋体" w:cs="宋体" w:eastAsia="宋体" w:hint="default"/>
                            <w:spacing w:val="-2"/>
                            <w:sz w:val="16"/>
                            <w:szCs w:val="16"/>
                          </w:rPr>
                          <w:t>1,025,309.54</w:t>
                          <w:tab/>
                        </w:r>
                        <w:r>
                          <w:rPr>
                            <w:rFonts w:ascii="宋体" w:hAnsi="宋体" w:cs="宋体" w:eastAsia="宋体" w:hint="default"/>
                            <w:spacing w:val="-1"/>
                            <w:sz w:val="16"/>
                            <w:szCs w:val="16"/>
                          </w:rPr>
                          <w:t>100.00</w:t>
                        </w:r>
                      </w:p>
                      <w:p>
                        <w:pPr>
                          <w:pStyle w:val="TableParagraph"/>
                          <w:spacing w:line="544" w:lineRule="exact" w:before="72"/>
                          <w:ind w:left="108" w:right="174"/>
                          <w:jc w:val="left"/>
                          <w:rPr>
                            <w:rFonts w:ascii="宋体" w:hAnsi="宋体" w:cs="宋体" w:eastAsia="宋体" w:hint="default"/>
                            <w:sz w:val="21"/>
                            <w:szCs w:val="21"/>
                          </w:rPr>
                        </w:pPr>
                        <w:r>
                          <w:rPr>
                            <w:rFonts w:ascii="宋体" w:hAnsi="宋体" w:cs="宋体" w:eastAsia="宋体" w:hint="default"/>
                            <w:spacing w:val="-2"/>
                            <w:sz w:val="21"/>
                            <w:szCs w:val="21"/>
                          </w:rPr>
                          <w:t>组合中，采用其他方法计提坏账准备的其他应收款：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组合名称</w:t>
                        </w:r>
                      </w:p>
                    </w:tc>
                    <w:tc>
                      <w:tcPr>
                        <w:tcW w:w="1864" w:type="dxa"/>
                        <w:tcBorders>
                          <w:top w:val="single" w:sz="8" w:space="0" w:color="000000"/>
                          <w:left w:val="nil" w:sz="6" w:space="0" w:color="auto"/>
                          <w:bottom w:val="nil" w:sz="6" w:space="0" w:color="auto"/>
                          <w:right w:val="nil" w:sz="6" w:space="0" w:color="auto"/>
                        </w:tcBorders>
                      </w:tcPr>
                      <w:p>
                        <w:pPr>
                          <w:pStyle w:val="TableParagraph"/>
                          <w:tabs>
                            <w:tab w:pos="903" w:val="left" w:leader="none"/>
                          </w:tabs>
                          <w:spacing w:line="240" w:lineRule="auto" w:before="38"/>
                          <w:ind w:left="222" w:right="0"/>
                          <w:jc w:val="center"/>
                          <w:rPr>
                            <w:rFonts w:ascii="宋体" w:hAnsi="宋体" w:cs="宋体" w:eastAsia="宋体" w:hint="default"/>
                            <w:sz w:val="16"/>
                            <w:szCs w:val="16"/>
                          </w:rPr>
                        </w:pPr>
                        <w:r>
                          <w:rPr>
                            <w:rFonts w:ascii="宋体"/>
                            <w:sz w:val="16"/>
                          </w:rPr>
                          <w:t>-</w:t>
                          <w:tab/>
                        </w:r>
                        <w:r>
                          <w:rPr>
                            <w:rFonts w:ascii="宋体"/>
                            <w:spacing w:val="-2"/>
                            <w:sz w:val="16"/>
                          </w:rPr>
                          <w:t>6,095,167.36</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70"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5" w:type="dxa"/>
                        <w:tcBorders>
                          <w:top w:val="single" w:sz="8" w:space="0" w:color="000000"/>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710" w:type="dxa"/>
                        <w:tcBorders>
                          <w:top w:val="single" w:sz="8" w:space="0" w:color="000000"/>
                          <w:left w:val="nil" w:sz="6" w:space="0" w:color="auto"/>
                          <w:bottom w:val="single" w:sz="4" w:space="0" w:color="000000"/>
                          <w:right w:val="nil" w:sz="6" w:space="0" w:color="auto"/>
                        </w:tcBorders>
                      </w:tcPr>
                      <w:p>
                        <w:pPr>
                          <w:pStyle w:val="TableParagraph"/>
                          <w:spacing w:line="240" w:lineRule="auto" w:before="38"/>
                          <w:ind w:left="120" w:right="0"/>
                          <w:jc w:val="left"/>
                          <w:rPr>
                            <w:rFonts w:ascii="宋体" w:hAnsi="宋体" w:cs="宋体" w:eastAsia="宋体" w:hint="default"/>
                            <w:sz w:val="16"/>
                            <w:szCs w:val="16"/>
                          </w:rPr>
                        </w:pPr>
                        <w:r>
                          <w:rPr>
                            <w:rFonts w:ascii="宋体"/>
                            <w:sz w:val="16"/>
                          </w:rPr>
                          <w:t>100.00</w:t>
                        </w:r>
                      </w:p>
                    </w:tc>
                    <w:tc>
                      <w:tcPr>
                        <w:tcW w:w="262" w:type="dxa"/>
                        <w:tcBorders>
                          <w:top w:val="nil" w:sz="6" w:space="0" w:color="auto"/>
                          <w:left w:val="nil" w:sz="6" w:space="0" w:color="auto"/>
                          <w:bottom w:val="single" w:sz="4" w:space="0" w:color="000000"/>
                          <w:right w:val="nil" w:sz="6" w:space="0" w:color="auto"/>
                        </w:tcBorders>
                      </w:tcPr>
                      <w:p>
                        <w:pPr/>
                      </w:p>
                    </w:tc>
                    <w:tc>
                      <w:tcPr>
                        <w:tcW w:w="1157" w:type="dxa"/>
                        <w:tcBorders>
                          <w:top w:val="single" w:sz="8" w:space="0" w:color="000000"/>
                          <w:left w:val="nil" w:sz="6" w:space="0" w:color="auto"/>
                          <w:bottom w:val="single" w:sz="4" w:space="0" w:color="000000"/>
                          <w:right w:val="nil" w:sz="6" w:space="0" w:color="auto"/>
                        </w:tcBorders>
                      </w:tcPr>
                      <w:p>
                        <w:pPr>
                          <w:pStyle w:val="TableParagraph"/>
                          <w:spacing w:line="240" w:lineRule="auto" w:before="38"/>
                          <w:ind w:right="104"/>
                          <w:jc w:val="right"/>
                          <w:rPr>
                            <w:rFonts w:ascii="宋体" w:hAnsi="宋体" w:cs="宋体" w:eastAsia="宋体" w:hint="default"/>
                            <w:sz w:val="16"/>
                            <w:szCs w:val="16"/>
                          </w:rPr>
                        </w:pPr>
                        <w:r>
                          <w:rPr>
                            <w:rFonts w:ascii="宋体"/>
                            <w:w w:val="100"/>
                            <w:sz w:val="16"/>
                          </w:rPr>
                          <w:t>-</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r>
                  <w:tr>
                    <w:trPr>
                      <w:trHeight w:val="346" w:hRule="exact"/>
                    </w:trPr>
                    <w:tc>
                      <w:tcPr>
                        <w:tcW w:w="5119"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保证金组合</w:t>
                        </w:r>
                      </w:p>
                    </w:tc>
                    <w:tc>
                      <w:tcPr>
                        <w:tcW w:w="1864" w:type="dxa"/>
                        <w:tcBorders>
                          <w:top w:val="nil" w:sz="6" w:space="0" w:color="auto"/>
                          <w:left w:val="nil" w:sz="6" w:space="0" w:color="auto"/>
                          <w:bottom w:val="nil" w:sz="6" w:space="0" w:color="auto"/>
                          <w:right w:val="nil" w:sz="6" w:space="0" w:color="auto"/>
                        </w:tcBorders>
                      </w:tcPr>
                      <w:p>
                        <w:pPr>
                          <w:pStyle w:val="TableParagraph"/>
                          <w:spacing w:line="246" w:lineRule="exact"/>
                          <w:ind w:left="176" w:right="0"/>
                          <w:jc w:val="left"/>
                          <w:rPr>
                            <w:rFonts w:ascii="宋体" w:hAnsi="宋体" w:cs="宋体" w:eastAsia="宋体" w:hint="default"/>
                            <w:sz w:val="21"/>
                            <w:szCs w:val="21"/>
                          </w:rPr>
                        </w:pPr>
                        <w:r>
                          <w:rPr>
                            <w:rFonts w:ascii="宋体"/>
                            <w:sz w:val="21"/>
                          </w:rPr>
                          <w:t>2,525,802.94</w:t>
                        </w:r>
                      </w:p>
                    </w:tc>
                    <w:tc>
                      <w:tcPr>
                        <w:tcW w:w="10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
                    </w:tc>
                    <w:tc>
                      <w:tcPr>
                        <w:tcW w:w="262"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353,494.48</w:t>
                        </w:r>
                      </w:p>
                    </w:tc>
                  </w:tr>
                </w:tbl>
                <w:p>
                  <w:pPr/>
                </w:p>
              </w:txbxContent>
            </v:textbox>
            <w10:wrap type="none"/>
          </v:shape>
        </w:pict>
      </w:r>
      <w:r>
        <w:rPr>
          <w:rFonts w:ascii="宋体" w:hAnsi="宋体" w:cs="宋体" w:eastAsia="宋体" w:hint="default"/>
          <w:sz w:val="16"/>
          <w:szCs w:val="16"/>
        </w:rPr>
        <w:t>账龄</w:t>
        <w:tab/>
      </w:r>
      <w:r>
        <w:rPr>
          <w:rFonts w:ascii="宋体" w:hAnsi="宋体" w:cs="宋体" w:eastAsia="宋体" w:hint="default"/>
          <w:position w:val="-14"/>
          <w:sz w:val="16"/>
          <w:szCs w:val="16"/>
        </w:rPr>
        <w:t>金额</w:t>
        <w:tab/>
      </w:r>
      <w:r>
        <w:rPr>
          <w:rFonts w:ascii="宋体" w:hAnsi="宋体" w:cs="宋体" w:eastAsia="宋体" w:hint="default"/>
          <w:position w:val="-3"/>
          <w:sz w:val="16"/>
          <w:szCs w:val="16"/>
        </w:rPr>
        <w:t>比例</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before="124"/>
        <w:ind w:left="680" w:right="-17" w:firstLine="0"/>
        <w:jc w:val="left"/>
        <w:rPr>
          <w:rFonts w:ascii="宋体" w:hAnsi="宋体" w:cs="宋体" w:eastAsia="宋体" w:hint="default"/>
          <w:sz w:val="16"/>
          <w:szCs w:val="16"/>
        </w:rPr>
      </w:pPr>
      <w:r>
        <w:rPr>
          <w:rFonts w:ascii="宋体" w:hAnsi="宋体" w:cs="宋体" w:eastAsia="宋体" w:hint="default"/>
          <w:sz w:val="16"/>
          <w:szCs w:val="16"/>
        </w:rPr>
        <w:t>坏账准备</w:t>
      </w:r>
    </w:p>
    <w:p>
      <w:pPr>
        <w:spacing w:line="240" w:lineRule="auto" w:before="5"/>
        <w:rPr>
          <w:rFonts w:ascii="宋体" w:hAnsi="宋体" w:cs="宋体" w:eastAsia="宋体" w:hint="default"/>
          <w:sz w:val="11"/>
          <w:szCs w:val="11"/>
        </w:rPr>
      </w:pPr>
      <w:r>
        <w:rPr/>
        <w:br w:type="column"/>
      </w:r>
      <w:r>
        <w:rPr>
          <w:rFonts w:ascii="宋体"/>
          <w:sz w:val="11"/>
        </w:rPr>
      </w:r>
    </w:p>
    <w:p>
      <w:pPr>
        <w:spacing w:before="0"/>
        <w:ind w:left="1303" w:right="-18" w:firstLine="0"/>
        <w:jc w:val="left"/>
        <w:rPr>
          <w:rFonts w:ascii="宋体" w:hAnsi="宋体" w:cs="宋体" w:eastAsia="宋体" w:hint="default"/>
          <w:sz w:val="16"/>
          <w:szCs w:val="16"/>
        </w:rPr>
      </w:pPr>
      <w:r>
        <w:rPr>
          <w:rFonts w:ascii="宋体" w:hAnsi="宋体" w:cs="宋体" w:eastAsia="宋体" w:hint="default"/>
          <w:sz w:val="16"/>
          <w:szCs w:val="16"/>
        </w:rPr>
        <w:t>账面余额</w:t>
      </w:r>
    </w:p>
    <w:p>
      <w:pPr>
        <w:tabs>
          <w:tab w:pos="2242" w:val="left" w:leader="none"/>
        </w:tabs>
        <w:spacing w:before="18"/>
        <w:ind w:left="967" w:right="-18" w:firstLine="0"/>
        <w:jc w:val="left"/>
        <w:rPr>
          <w:rFonts w:ascii="宋体" w:hAnsi="宋体" w:cs="宋体" w:eastAsia="宋体" w:hint="default"/>
          <w:sz w:val="16"/>
          <w:szCs w:val="16"/>
        </w:rPr>
      </w:pPr>
      <w:r>
        <w:rPr/>
        <w:pict>
          <v:group style="position:absolute;margin-left:380.230011pt;margin-top:1.243759pt;width:114.4pt;height:1pt;mso-position-horizontal-relative:page;mso-position-vertical-relative:paragraph;z-index:-795592" coordorigin="7605,25" coordsize="2288,20">
            <v:group style="position:absolute;left:7614;top:34;width:1275;height:2" coordorigin="7614,34" coordsize="1275,2">
              <v:shape style="position:absolute;left:7614;top:34;width:1275;height:2" coordorigin="7614,34" coordsize="1275,0" path="m7614,34l8889,34e" filled="false" stroked="true" strokeweight=".95999pt" strokecolor="#000000">
                <v:path arrowok="t"/>
              </v:shape>
            </v:group>
            <v:group style="position:absolute;left:8889;top:34;width:20;height:2" coordorigin="8889,34" coordsize="20,2">
              <v:shape style="position:absolute;left:8889;top:34;width:20;height:2" coordorigin="8889,34" coordsize="20,0" path="m8889,34l8908,34e" filled="false" stroked="true" strokeweight=".95999pt" strokecolor="#000000">
                <v:path arrowok="t"/>
              </v:shape>
            </v:group>
            <v:group style="position:absolute;left:8908;top:34;width:264;height:2" coordorigin="8908,34" coordsize="264,2">
              <v:shape style="position:absolute;left:8908;top:34;width:264;height:2" coordorigin="8908,34" coordsize="264,0" path="m8908,34l9172,34e" filled="false" stroked="true" strokeweight=".95999pt" strokecolor="#000000">
                <v:path arrowok="t"/>
              </v:shape>
            </v:group>
            <v:group style="position:absolute;left:9172;top:34;width:20;height:2" coordorigin="9172,34" coordsize="20,2">
              <v:shape style="position:absolute;left:9172;top:34;width:20;height:2" coordorigin="9172,34" coordsize="20,0" path="m9172,34l9192,34e" filled="false" stroked="true" strokeweight=".95999pt" strokecolor="#000000">
                <v:path arrowok="t"/>
              </v:shape>
            </v:group>
            <v:group style="position:absolute;left:9192;top:34;width:692;height:2" coordorigin="9192,34" coordsize="692,2">
              <v:shape style="position:absolute;left:9192;top:34;width:692;height:2" coordorigin="9192,34" coordsize="692,0" path="m9192,34l9883,34e" filled="false" stroked="true" strokeweight=".95999pt" strokecolor="#000000">
                <v:path arrowok="t"/>
              </v:shape>
            </v:group>
            <w10:wrap type="none"/>
          </v:group>
        </w:pict>
      </w:r>
      <w:r>
        <w:rPr>
          <w:rFonts w:ascii="宋体" w:hAnsi="宋体" w:cs="宋体" w:eastAsia="宋体" w:hint="default"/>
          <w:position w:val="-9"/>
          <w:sz w:val="16"/>
          <w:szCs w:val="16"/>
        </w:rPr>
        <w:t>金额</w:t>
        <w:tab/>
      </w:r>
      <w:r>
        <w:rPr>
          <w:rFonts w:ascii="宋体" w:hAnsi="宋体" w:cs="宋体" w:eastAsia="宋体" w:hint="default"/>
          <w:sz w:val="16"/>
          <w:szCs w:val="16"/>
        </w:rPr>
        <w:t>比例</w:t>
      </w:r>
    </w:p>
    <w:p>
      <w:pPr>
        <w:spacing w:line="240" w:lineRule="auto" w:before="0"/>
        <w:rPr>
          <w:rFonts w:ascii="宋体" w:hAnsi="宋体" w:cs="宋体" w:eastAsia="宋体" w:hint="default"/>
          <w:sz w:val="16"/>
          <w:szCs w:val="16"/>
        </w:rPr>
      </w:pPr>
      <w:r>
        <w:rPr/>
        <w:br w:type="column"/>
      </w:r>
      <w:r>
        <w:rPr>
          <w:rFonts w:ascii="宋体"/>
          <w:sz w:val="16"/>
        </w:rPr>
      </w:r>
    </w:p>
    <w:p>
      <w:pPr>
        <w:spacing w:before="124"/>
        <w:ind w:left="684" w:right="0" w:firstLine="0"/>
        <w:jc w:val="left"/>
        <w:rPr>
          <w:rFonts w:ascii="宋体" w:hAnsi="宋体" w:cs="宋体" w:eastAsia="宋体" w:hint="default"/>
          <w:sz w:val="16"/>
          <w:szCs w:val="16"/>
        </w:rPr>
      </w:pPr>
      <w:r>
        <w:rPr>
          <w:rFonts w:ascii="宋体" w:hAnsi="宋体" w:cs="宋体" w:eastAsia="宋体" w:hint="default"/>
          <w:sz w:val="16"/>
          <w:szCs w:val="16"/>
        </w:rPr>
        <w:t>坏账准备</w:t>
      </w:r>
    </w:p>
    <w:p>
      <w:pPr>
        <w:spacing w:after="0"/>
        <w:jc w:val="left"/>
        <w:rPr>
          <w:rFonts w:ascii="宋体" w:hAnsi="宋体" w:cs="宋体" w:eastAsia="宋体" w:hint="default"/>
          <w:sz w:val="16"/>
          <w:szCs w:val="16"/>
        </w:rPr>
        <w:sectPr>
          <w:type w:val="continuous"/>
          <w:pgSz w:w="11910" w:h="16840"/>
          <w:pgMar w:top="1100" w:bottom="1380" w:left="1100" w:right="480"/>
          <w:cols w:num="4" w:equalWidth="0">
            <w:col w:w="4621" w:space="40"/>
            <w:col w:w="1324" w:space="40"/>
            <w:col w:w="2565" w:space="40"/>
            <w:col w:w="1700"/>
          </w:cols>
        </w:sectPr>
      </w:pPr>
    </w:p>
    <w:p>
      <w:pPr>
        <w:spacing w:line="240" w:lineRule="auto" w:before="7"/>
        <w:rPr>
          <w:rFonts w:ascii="宋体" w:hAnsi="宋体" w:cs="宋体" w:eastAsia="宋体" w:hint="default"/>
          <w:sz w:val="9"/>
          <w:szCs w:val="9"/>
        </w:rPr>
      </w:pPr>
    </w:p>
    <w:p>
      <w:pPr>
        <w:tabs>
          <w:tab w:pos="2534" w:val="left" w:leader="none"/>
          <w:tab w:pos="4094" w:val="left" w:leader="none"/>
        </w:tabs>
        <w:spacing w:line="20" w:lineRule="exact"/>
        <w:ind w:left="690" w:right="0" w:firstLine="0"/>
        <w:rPr>
          <w:rFonts w:ascii="宋体" w:hAnsi="宋体" w:cs="宋体" w:eastAsia="宋体" w:hint="default"/>
          <w:sz w:val="2"/>
          <w:szCs w:val="2"/>
        </w:rPr>
      </w:pPr>
      <w:r>
        <w:rPr>
          <w:rFonts w:ascii="宋体"/>
          <w:sz w:val="2"/>
        </w:rPr>
        <w:pict>
          <v:group style="width:78.6pt;height:1pt;mso-position-horizontal-relative:char;mso-position-vertical-relative:line" coordorigin="0,0" coordsize="1572,20">
            <v:group style="position:absolute;left:10;top:10;width:1553;height:2" coordorigin="10,10" coordsize="1553,2">
              <v:shape style="position:absolute;left:10;top:10;width:1553;height:2" coordorigin="10,10" coordsize="1553,0" path="m10,10l1562,10e" filled="false" stroked="true" strokeweight=".95999pt" strokecolor="#000000">
                <v:path arrowok="t"/>
              </v:shape>
            </v:group>
          </v:group>
        </w:pict>
      </w:r>
      <w:r>
        <w:rPr>
          <w:rFonts w:ascii="宋体"/>
          <w:sz w:val="2"/>
        </w:rPr>
      </w:r>
      <w:r>
        <w:rPr>
          <w:rFonts w:ascii="宋体"/>
          <w:sz w:val="2"/>
        </w:rPr>
        <w:tab/>
      </w:r>
      <w:r>
        <w:rPr>
          <w:rFonts w:ascii="宋体"/>
          <w:sz w:val="2"/>
        </w:rPr>
        <w:pict>
          <v:group style="width:64.8500pt;height:1pt;mso-position-horizontal-relative:char;mso-position-vertical-relative:line" coordorigin="0,0" coordsize="1297,20">
            <v:group style="position:absolute;left:10;top:10;width:1278;height:2" coordorigin="10,10" coordsize="1278,2">
              <v:shape style="position:absolute;left:10;top:10;width:1278;height:2" coordorigin="10,10" coordsize="1278,0" path="m10,10l1287,10e" filled="false" stroked="true" strokeweight=".95999pt" strokecolor="#000000">
                <v:path arrowok="t"/>
              </v:shape>
            </v:group>
          </v:group>
        </w:pict>
      </w:r>
      <w:r>
        <w:rPr>
          <w:rFonts w:ascii="宋体"/>
          <w:sz w:val="2"/>
        </w:rPr>
      </w:r>
      <w:r>
        <w:rPr>
          <w:rFonts w:ascii="宋体"/>
          <w:sz w:val="2"/>
        </w:rPr>
        <w:tab/>
      </w:r>
      <w:r>
        <w:rPr>
          <w:rFonts w:ascii="宋体"/>
          <w:sz w:val="2"/>
        </w:rPr>
        <w:pict>
          <v:group style="width:36.4pt;height:1pt;mso-position-horizontal-relative:char;mso-position-vertical-relative:line" coordorigin="0,0" coordsize="728,20">
            <v:group style="position:absolute;left:10;top:10;width:708;height:2" coordorigin="10,10" coordsize="708,2">
              <v:shape style="position:absolute;left:10;top:10;width:708;height:2" coordorigin="10,10" coordsize="708,0" path="m10,10l718,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20" w:lineRule="exact"/>
        <w:ind w:left="695" w:right="0" w:firstLine="0"/>
        <w:rPr>
          <w:rFonts w:ascii="宋体" w:hAnsi="宋体" w:cs="宋体" w:eastAsia="宋体" w:hint="default"/>
          <w:sz w:val="2"/>
          <w:szCs w:val="2"/>
        </w:rPr>
      </w:pPr>
      <w:r>
        <w:rPr>
          <w:rFonts w:ascii="宋体" w:hAnsi="宋体" w:cs="宋体" w:eastAsia="宋体" w:hint="default"/>
          <w:sz w:val="2"/>
          <w:szCs w:val="2"/>
        </w:rPr>
        <w:pict>
          <v:group style="width:142.25pt;height:.5pt;mso-position-horizontal-relative:char;mso-position-vertical-relative:line" coordorigin="0,0" coordsize="2845,10">
            <v:group style="position:absolute;left:5;top:5;width:2835;height:2" coordorigin="5,5" coordsize="2835,2">
              <v:shape style="position:absolute;left:5;top:5;width:2835;height:2" coordorigin="5,5" coordsize="2835,0" path="m5,5l2840,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380" w:left="1100" w:right="480"/>
        </w:sectPr>
      </w:pPr>
    </w:p>
    <w:p>
      <w:pPr>
        <w:spacing w:line="240" w:lineRule="auto" w:before="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589"/>
        <w:gridCol w:w="3428"/>
        <w:gridCol w:w="288"/>
        <w:gridCol w:w="1133"/>
        <w:gridCol w:w="283"/>
        <w:gridCol w:w="1322"/>
        <w:gridCol w:w="238"/>
        <w:gridCol w:w="987"/>
        <w:gridCol w:w="303"/>
        <w:gridCol w:w="1548"/>
      </w:tblGrid>
      <w:tr>
        <w:trPr>
          <w:trHeight w:val="687" w:hRule="exact"/>
        </w:trPr>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b/>
                <w:w w:val="99"/>
                <w:sz w:val="21"/>
              </w:rPr>
              <w:t>6</w:t>
            </w:r>
            <w:r>
              <w:rPr>
                <w:rFonts w:ascii="宋体"/>
                <w:sz w:val="21"/>
              </w:rPr>
            </w:r>
          </w:p>
        </w:tc>
        <w:tc>
          <w:tcPr>
            <w:tcW w:w="342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88"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987" w:type="dxa"/>
            <w:tcBorders>
              <w:top w:val="single" w:sz="4" w:space="0" w:color="000000"/>
              <w:left w:val="nil" w:sz="6" w:space="0" w:color="auto"/>
              <w:bottom w:val="nil" w:sz="6" w:space="0" w:color="auto"/>
              <w:right w:val="nil" w:sz="6" w:space="0" w:color="auto"/>
            </w:tcBorders>
          </w:tcPr>
          <w:p>
            <w:pPr/>
          </w:p>
        </w:tc>
        <w:tc>
          <w:tcPr>
            <w:tcW w:w="303" w:type="dxa"/>
            <w:tcBorders>
              <w:top w:val="single" w:sz="4" w:space="0" w:color="000000"/>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
        </w:tc>
      </w:tr>
      <w:tr>
        <w:trPr>
          <w:trHeight w:val="545" w:hRule="exact"/>
        </w:trPr>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sz w:val="21"/>
              </w:rPr>
              <w:t>6.3</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其他应收款（续）</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r>
      <w:tr>
        <w:trPr>
          <w:trHeight w:val="544" w:hRule="exact"/>
        </w:trPr>
        <w:tc>
          <w:tcPr>
            <w:tcW w:w="589" w:type="dxa"/>
            <w:tcBorders>
              <w:top w:val="nil" w:sz="6" w:space="0" w:color="auto"/>
              <w:left w:val="nil" w:sz="6" w:space="0" w:color="auto"/>
              <w:bottom w:val="nil" w:sz="6" w:space="0" w:color="auto"/>
              <w:right w:val="nil" w:sz="6" w:space="0" w:color="auto"/>
            </w:tcBorders>
          </w:tcPr>
          <w:p>
            <w:pPr/>
          </w:p>
        </w:tc>
        <w:tc>
          <w:tcPr>
            <w:tcW w:w="953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6.3.3</w:t>
            </w:r>
            <w:r>
              <w:rPr>
                <w:rFonts w:ascii="宋体" w:hAnsi="宋体" w:cs="宋体" w:eastAsia="宋体" w:hint="default"/>
                <w:spacing w:val="-56"/>
                <w:sz w:val="21"/>
                <w:szCs w:val="21"/>
              </w:rPr>
              <w:t> </w:t>
            </w:r>
            <w:r>
              <w:rPr>
                <w:rFonts w:ascii="宋体" w:hAnsi="宋体" w:cs="宋体" w:eastAsia="宋体" w:hint="default"/>
                <w:sz w:val="21"/>
                <w:szCs w:val="21"/>
              </w:rPr>
              <w:t>本报告期其他应收款中无持本公司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tc>
      </w:tr>
      <w:tr>
        <w:trPr>
          <w:trHeight w:val="544"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9" w:right="-24"/>
              <w:jc w:val="left"/>
              <w:rPr>
                <w:rFonts w:ascii="宋体" w:hAnsi="宋体" w:cs="宋体" w:eastAsia="宋体" w:hint="default"/>
                <w:sz w:val="21"/>
                <w:szCs w:val="21"/>
              </w:rPr>
            </w:pPr>
            <w:r>
              <w:rPr>
                <w:rFonts w:ascii="宋体" w:hAnsi="宋体" w:cs="宋体" w:eastAsia="宋体" w:hint="default"/>
                <w:sz w:val="21"/>
                <w:szCs w:val="21"/>
              </w:rPr>
              <w:t>6.3.4</w:t>
            </w:r>
            <w:r>
              <w:rPr>
                <w:rFonts w:ascii="宋体" w:hAnsi="宋体" w:cs="宋体" w:eastAsia="宋体" w:hint="default"/>
                <w:spacing w:val="-53"/>
                <w:sz w:val="21"/>
                <w:szCs w:val="21"/>
              </w:rPr>
              <w:t> </w:t>
            </w:r>
            <w:r>
              <w:rPr>
                <w:rFonts w:ascii="宋体" w:hAnsi="宋体" w:cs="宋体" w:eastAsia="宋体" w:hint="default"/>
                <w:sz w:val="21"/>
                <w:szCs w:val="21"/>
              </w:rPr>
              <w:t>其他应收款余额前五名单位情</w:t>
            </w:r>
          </w:p>
        </w:tc>
        <w:tc>
          <w:tcPr>
            <w:tcW w:w="28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r>
      <w:tr>
        <w:trPr>
          <w:trHeight w:val="687"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96" w:right="101" w:hanging="209"/>
              <w:jc w:val="left"/>
              <w:rPr>
                <w:rFonts w:ascii="宋体" w:hAnsi="宋体" w:cs="宋体" w:eastAsia="宋体" w:hint="default"/>
                <w:sz w:val="21"/>
                <w:szCs w:val="21"/>
              </w:rPr>
            </w:pPr>
            <w:r>
              <w:rPr>
                <w:rFonts w:ascii="宋体" w:hAnsi="宋体" w:cs="宋体" w:eastAsia="宋体" w:hint="default"/>
                <w:spacing w:val="-1"/>
                <w:sz w:val="21"/>
                <w:szCs w:val="21"/>
              </w:rPr>
              <w:t>与本公司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关系</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83"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7" w:right="72" w:firstLine="36"/>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pacing w:val="-2"/>
                <w:sz w:val="21"/>
                <w:szCs w:val="21"/>
              </w:rPr>
              <w:t>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78"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single" w:sz="4" w:space="0" w:color="000000"/>
              <w:left w:val="nil" w:sz="6" w:space="0" w:color="auto"/>
              <w:bottom w:val="nil" w:sz="6" w:space="0" w:color="auto"/>
              <w:right w:val="nil" w:sz="6" w:space="0" w:color="auto"/>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3" w:lineRule="exact"/>
              <w:ind w:left="7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3" w:lineRule="exact"/>
              <w:ind w:right="12"/>
              <w:jc w:val="right"/>
              <w:rPr>
                <w:rFonts w:ascii="宋体" w:hAnsi="宋体" w:cs="宋体" w:eastAsia="宋体" w:hint="default"/>
                <w:sz w:val="21"/>
                <w:szCs w:val="21"/>
              </w:rPr>
            </w:pPr>
            <w:r>
              <w:rPr>
                <w:rFonts w:ascii="宋体"/>
                <w:spacing w:val="-1"/>
                <w:sz w:val="21"/>
              </w:rPr>
              <w:t>747,964.00</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single" w:sz="4" w:space="0" w:color="000000"/>
              <w:left w:val="nil" w:sz="6" w:space="0" w:color="auto"/>
              <w:bottom w:val="nil" w:sz="6" w:space="0" w:color="auto"/>
              <w:right w:val="nil" w:sz="6" w:space="0" w:color="auto"/>
            </w:tcBorders>
          </w:tcPr>
          <w:p>
            <w:pPr>
              <w:pStyle w:val="TableParagraph"/>
              <w:spacing w:line="243"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z w:val="21"/>
              </w:rPr>
              <w:t>21.06</w:t>
            </w:r>
          </w:p>
        </w:tc>
      </w:tr>
      <w:tr>
        <w:trPr>
          <w:trHeight w:val="272"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550,000.00</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15.49</w:t>
            </w:r>
          </w:p>
        </w:tc>
      </w:tr>
      <w:tr>
        <w:trPr>
          <w:trHeight w:val="273"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2" w:lineRule="exact"/>
              <w:ind w:left="7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right"/>
              <w:rPr>
                <w:rFonts w:ascii="宋体" w:hAnsi="宋体" w:cs="宋体" w:eastAsia="宋体" w:hint="default"/>
                <w:sz w:val="21"/>
                <w:szCs w:val="21"/>
              </w:rPr>
            </w:pPr>
            <w:r>
              <w:rPr>
                <w:rFonts w:ascii="宋体"/>
                <w:spacing w:val="-1"/>
                <w:sz w:val="21"/>
              </w:rPr>
              <w:t>89,069.91</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2.51</w:t>
            </w:r>
          </w:p>
        </w:tc>
      </w:tr>
      <w:tr>
        <w:trPr>
          <w:trHeight w:val="272"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309,131.55</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z w:val="21"/>
                <w:szCs w:val="21"/>
              </w:rPr>
              <w:t>年以上</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8.71</w:t>
            </w:r>
          </w:p>
        </w:tc>
      </w:tr>
      <w:tr>
        <w:trPr>
          <w:trHeight w:val="272"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pacing w:val="-7"/>
                <w:sz w:val="21"/>
                <w:szCs w:val="21"/>
              </w:rPr>
              <w:t>都市再生机构（日本独立行政法人）</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24,257.91</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0.68</w:t>
            </w:r>
          </w:p>
        </w:tc>
      </w:tr>
      <w:tr>
        <w:trPr>
          <w:trHeight w:val="272"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pacing w:val="-7"/>
                <w:sz w:val="21"/>
                <w:szCs w:val="21"/>
              </w:rPr>
              <w:t>都市再生机构（日本独立行政法人）</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2" w:lineRule="exact"/>
              <w:ind w:left="78"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2" w:lineRule="exact"/>
              <w:ind w:right="12"/>
              <w:jc w:val="right"/>
              <w:rPr>
                <w:rFonts w:ascii="宋体" w:hAnsi="宋体" w:cs="宋体" w:eastAsia="宋体" w:hint="default"/>
                <w:sz w:val="21"/>
                <w:szCs w:val="21"/>
              </w:rPr>
            </w:pPr>
            <w:r>
              <w:rPr>
                <w:rFonts w:ascii="宋体"/>
                <w:spacing w:val="-1"/>
                <w:sz w:val="21"/>
              </w:rPr>
              <w:t>121,435.52</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z w:val="21"/>
                <w:szCs w:val="21"/>
              </w:rPr>
              <w:t>年以上</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3.42</w:t>
            </w:r>
          </w:p>
        </w:tc>
      </w:tr>
      <w:tr>
        <w:trPr>
          <w:trHeight w:val="272"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王女士</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92,294.52</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2.60</w:t>
            </w:r>
          </w:p>
        </w:tc>
      </w:tr>
      <w:tr>
        <w:trPr>
          <w:trHeight w:val="278"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Ravinder</w:t>
            </w:r>
            <w:r>
              <w:rPr>
                <w:rFonts w:ascii="宋体" w:hAnsi="宋体" w:cs="宋体" w:eastAsia="宋体" w:hint="default"/>
                <w:spacing w:val="-51"/>
                <w:sz w:val="21"/>
                <w:szCs w:val="21"/>
              </w:rPr>
              <w:t> </w:t>
            </w:r>
            <w:r>
              <w:rPr>
                <w:rFonts w:ascii="宋体" w:hAnsi="宋体" w:cs="宋体" w:eastAsia="宋体" w:hint="default"/>
                <w:sz w:val="21"/>
                <w:szCs w:val="21"/>
              </w:rPr>
              <w:t>先生</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2" w:lineRule="exact"/>
              <w:ind w:left="78"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242" w:lineRule="exact"/>
              <w:ind w:right="12"/>
              <w:jc w:val="right"/>
              <w:rPr>
                <w:rFonts w:ascii="宋体" w:hAnsi="宋体" w:cs="宋体" w:eastAsia="宋体" w:hint="default"/>
                <w:sz w:val="21"/>
                <w:szCs w:val="21"/>
              </w:rPr>
            </w:pPr>
            <w:r>
              <w:rPr>
                <w:rFonts w:ascii="宋体"/>
                <w:spacing w:val="-1"/>
                <w:sz w:val="21"/>
              </w:rPr>
              <w:t>65,000.00</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1.83</w:t>
            </w:r>
          </w:p>
        </w:tc>
      </w:tr>
      <w:tr>
        <w:trPr>
          <w:trHeight w:val="293" w:hRule="exact"/>
        </w:trPr>
        <w:tc>
          <w:tcPr>
            <w:tcW w:w="589"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8" w:lineRule="exact"/>
              <w:ind w:left="1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2"/>
              <w:jc w:val="right"/>
              <w:rPr>
                <w:rFonts w:ascii="宋体" w:hAnsi="宋体" w:cs="宋体" w:eastAsia="宋体" w:hint="default"/>
                <w:sz w:val="21"/>
                <w:szCs w:val="21"/>
              </w:rPr>
            </w:pPr>
            <w:r>
              <w:rPr>
                <w:rFonts w:ascii="宋体"/>
                <w:spacing w:val="-1"/>
                <w:sz w:val="21"/>
              </w:rPr>
              <w:t>1,999,153.41</w:t>
            </w:r>
          </w:p>
        </w:tc>
        <w:tc>
          <w:tcPr>
            <w:tcW w:w="23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z w:val="21"/>
              </w:rPr>
              <w:t>56.30</w:t>
            </w:r>
          </w:p>
        </w:tc>
      </w:tr>
      <w:tr>
        <w:trPr>
          <w:trHeight w:val="800" w:hRule="exact"/>
        </w:trPr>
        <w:tc>
          <w:tcPr>
            <w:tcW w:w="589" w:type="dxa"/>
            <w:tcBorders>
              <w:top w:val="nil" w:sz="6" w:space="0" w:color="auto"/>
              <w:left w:val="nil" w:sz="6" w:space="0" w:color="auto"/>
              <w:bottom w:val="nil" w:sz="6" w:space="0" w:color="auto"/>
              <w:right w:val="nil" w:sz="6" w:space="0" w:color="auto"/>
            </w:tcBorders>
          </w:tcPr>
          <w:p>
            <w:pPr/>
          </w:p>
        </w:tc>
        <w:tc>
          <w:tcPr>
            <w:tcW w:w="953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139" w:right="101"/>
              <w:jc w:val="left"/>
              <w:rPr>
                <w:rFonts w:ascii="宋体" w:hAnsi="宋体" w:cs="宋体" w:eastAsia="宋体" w:hint="default"/>
                <w:sz w:val="21"/>
                <w:szCs w:val="21"/>
              </w:rPr>
            </w:pPr>
            <w:r>
              <w:rPr>
                <w:rFonts w:ascii="宋体" w:hAnsi="宋体" w:cs="宋体" w:eastAsia="宋体" w:hint="default"/>
                <w:sz w:val="21"/>
                <w:szCs w:val="21"/>
              </w:rPr>
              <w:t>其他应收款年末数比年初数减少</w:t>
            </w:r>
            <w:r>
              <w:rPr>
                <w:rFonts w:ascii="宋体" w:hAnsi="宋体" w:cs="宋体" w:eastAsia="宋体" w:hint="default"/>
                <w:spacing w:val="-27"/>
                <w:sz w:val="21"/>
                <w:szCs w:val="21"/>
              </w:rPr>
              <w:t> </w:t>
            </w:r>
            <w:r>
              <w:rPr>
                <w:rFonts w:ascii="宋体" w:hAnsi="宋体" w:cs="宋体" w:eastAsia="宋体" w:hint="default"/>
                <w:spacing w:val="-3"/>
                <w:sz w:val="21"/>
                <w:szCs w:val="21"/>
              </w:rPr>
              <w:t>4,917,516.41</w:t>
            </w:r>
            <w:r>
              <w:rPr>
                <w:rFonts w:ascii="宋体" w:hAnsi="宋体" w:cs="宋体" w:eastAsia="宋体" w:hint="default"/>
                <w:spacing w:val="-3"/>
                <w:sz w:val="21"/>
                <w:szCs w:val="21"/>
              </w:rPr>
              <w:t>，减少比例为</w:t>
            </w:r>
            <w:r>
              <w:rPr>
                <w:rFonts w:ascii="宋体" w:hAnsi="宋体" w:cs="宋体" w:eastAsia="宋体" w:hint="default"/>
                <w:spacing w:val="-26"/>
                <w:sz w:val="21"/>
                <w:szCs w:val="21"/>
              </w:rPr>
              <w:t> </w:t>
            </w:r>
            <w:r>
              <w:rPr>
                <w:rFonts w:ascii="宋体" w:hAnsi="宋体" w:cs="宋体" w:eastAsia="宋体" w:hint="default"/>
                <w:spacing w:val="-4"/>
                <w:sz w:val="21"/>
                <w:szCs w:val="21"/>
              </w:rPr>
              <w:t>60.60%</w:t>
            </w:r>
            <w:r>
              <w:rPr>
                <w:rFonts w:ascii="宋体" w:hAnsi="宋体" w:cs="宋体" w:eastAsia="宋体" w:hint="default"/>
                <w:spacing w:val="-4"/>
                <w:sz w:val="21"/>
                <w:szCs w:val="21"/>
              </w:rPr>
              <w:t>，主要原因为：上年末暂付的购房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意向金</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万元本年转入固定资产，导致本年末其他应收款余额大幅减少。</w:t>
            </w:r>
          </w:p>
        </w:tc>
      </w:tr>
    </w:tbl>
    <w:p>
      <w:pPr>
        <w:spacing w:line="240" w:lineRule="auto" w:before="5"/>
        <w:rPr>
          <w:rFonts w:ascii="宋体" w:hAnsi="宋体" w:cs="宋体" w:eastAsia="宋体" w:hint="default"/>
          <w:sz w:val="16"/>
          <w:szCs w:val="16"/>
        </w:rPr>
      </w:pPr>
    </w:p>
    <w:p>
      <w:pPr>
        <w:tabs>
          <w:tab w:pos="806" w:val="left" w:leader="none"/>
        </w:tabs>
        <w:spacing w:before="36"/>
        <w:ind w:left="112" w:right="1029"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6"/>
        <w:rPr>
          <w:rFonts w:ascii="宋体" w:hAnsi="宋体" w:cs="宋体" w:eastAsia="宋体" w:hint="default"/>
          <w:b/>
          <w:bCs/>
          <w:sz w:val="20"/>
          <w:szCs w:val="20"/>
        </w:rPr>
      </w:pPr>
    </w:p>
    <w:p>
      <w:pPr>
        <w:tabs>
          <w:tab w:pos="823" w:val="left" w:leader="none"/>
        </w:tabs>
        <w:spacing w:before="0"/>
        <w:ind w:left="293" w:right="1029" w:firstLine="0"/>
        <w:jc w:val="left"/>
        <w:rPr>
          <w:rFonts w:ascii="宋体" w:hAnsi="宋体" w:cs="宋体" w:eastAsia="宋体" w:hint="default"/>
          <w:sz w:val="21"/>
          <w:szCs w:val="21"/>
        </w:rPr>
      </w:pPr>
      <w:r>
        <w:rPr>
          <w:rFonts w:ascii="宋体" w:hAnsi="宋体" w:cs="宋体" w:eastAsia="宋体" w:hint="default"/>
          <w:sz w:val="21"/>
          <w:szCs w:val="21"/>
        </w:rPr>
        <w:t>6.4</w:t>
        <w:tab/>
      </w:r>
      <w:r>
        <w:rPr>
          <w:rFonts w:ascii="宋体" w:hAnsi="宋体" w:cs="宋体" w:eastAsia="宋体" w:hint="default"/>
          <w:sz w:val="21"/>
          <w:szCs w:val="21"/>
        </w:rPr>
        <w:t>预付款项</w:t>
      </w:r>
    </w:p>
    <w:p>
      <w:pPr>
        <w:spacing w:line="240" w:lineRule="auto" w:before="9"/>
        <w:rPr>
          <w:rFonts w:ascii="宋体" w:hAnsi="宋体" w:cs="宋体" w:eastAsia="宋体" w:hint="default"/>
          <w:sz w:val="20"/>
          <w:szCs w:val="20"/>
        </w:rPr>
      </w:pPr>
    </w:p>
    <w:p>
      <w:pPr>
        <w:spacing w:before="0"/>
        <w:ind w:left="823" w:right="1029" w:firstLine="0"/>
        <w:jc w:val="left"/>
        <w:rPr>
          <w:rFonts w:ascii="宋体" w:hAnsi="宋体" w:cs="宋体" w:eastAsia="宋体" w:hint="default"/>
          <w:sz w:val="21"/>
          <w:szCs w:val="21"/>
        </w:rPr>
      </w:pPr>
      <w:r>
        <w:rPr>
          <w:rFonts w:ascii="宋体" w:hAnsi="宋体" w:cs="宋体" w:eastAsia="宋体" w:hint="default"/>
          <w:sz w:val="21"/>
          <w:szCs w:val="21"/>
        </w:rPr>
        <w:t>6.4.1</w:t>
      </w:r>
      <w:r>
        <w:rPr>
          <w:rFonts w:ascii="宋体" w:hAnsi="宋体" w:cs="宋体" w:eastAsia="宋体" w:hint="default"/>
          <w:spacing w:val="-1"/>
          <w:sz w:val="21"/>
          <w:szCs w:val="21"/>
        </w:rPr>
        <w:t> </w:t>
      </w:r>
      <w:r>
        <w:rPr>
          <w:rFonts w:ascii="宋体" w:hAnsi="宋体" w:cs="宋体" w:eastAsia="宋体" w:hint="default"/>
          <w:sz w:val="21"/>
          <w:szCs w:val="21"/>
        </w:rPr>
        <w:t>预付账款按账龄列示</w:t>
      </w:r>
    </w:p>
    <w:p>
      <w:pPr>
        <w:spacing w:line="240" w:lineRule="auto" w:before="11"/>
        <w:rPr>
          <w:rFonts w:ascii="宋体" w:hAnsi="宋体" w:cs="宋体" w:eastAsia="宋体" w:hint="default"/>
          <w:sz w:val="17"/>
          <w:szCs w:val="17"/>
        </w:rPr>
      </w:pPr>
    </w:p>
    <w:p>
      <w:pPr>
        <w:tabs>
          <w:tab w:pos="7881" w:val="left" w:leader="none"/>
        </w:tabs>
        <w:spacing w:line="211" w:lineRule="exact" w:before="36"/>
        <w:ind w:left="4143"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tab/>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146" w:lineRule="exact" w:before="0"/>
        <w:ind w:left="1572" w:right="1029" w:firstLine="0"/>
        <w:jc w:val="left"/>
        <w:rPr>
          <w:rFonts w:ascii="宋体" w:hAnsi="宋体" w:cs="宋体" w:eastAsia="宋体" w:hint="default"/>
          <w:sz w:val="21"/>
          <w:szCs w:val="21"/>
        </w:rPr>
      </w:pPr>
      <w:r>
        <w:rPr/>
        <w:pict>
          <v:group style="position:absolute;margin-left:211.490005pt;margin-top:4.853565pt;width:186.05pt;height:.5pt;mso-position-horizontal-relative:page;mso-position-vertical-relative:paragraph;z-index:2704" coordorigin="4230,97" coordsize="3721,10">
            <v:group style="position:absolute;left:4235;top:102;width:1848;height:2" coordorigin="4235,102" coordsize="1848,2">
              <v:shape style="position:absolute;left:4235;top:102;width:1848;height:2" coordorigin="4235,102" coordsize="1848,0" path="m4235,102l6083,102e" filled="false" stroked="true" strokeweight=".47998pt" strokecolor="#000000">
                <v:path arrowok="t"/>
              </v:shape>
            </v:group>
            <v:group style="position:absolute;left:6083;top:102;width:10;height:2" coordorigin="6083,102" coordsize="10,2">
              <v:shape style="position:absolute;left:6083;top:102;width:10;height:2" coordorigin="6083,102" coordsize="10,0" path="m6083,102l6092,102e" filled="false" stroked="true" strokeweight=".47998pt" strokecolor="#000000">
                <v:path arrowok="t"/>
              </v:shape>
            </v:group>
            <v:group style="position:absolute;left:6092;top:102;width:275;height:2" coordorigin="6092,102" coordsize="275,2">
              <v:shape style="position:absolute;left:6092;top:102;width:275;height:2" coordorigin="6092,102" coordsize="275,0" path="m6092,102l6366,102e" filled="false" stroked="true" strokeweight=".47998pt" strokecolor="#000000">
                <v:path arrowok="t"/>
              </v:shape>
            </v:group>
            <v:group style="position:absolute;left:6366;top:102;width:10;height:2" coordorigin="6366,102" coordsize="10,2">
              <v:shape style="position:absolute;left:6366;top:102;width:10;height:2" coordorigin="6366,102" coordsize="10,0" path="m6366,102l6376,102e" filled="false" stroked="true" strokeweight=".47998pt" strokecolor="#000000">
                <v:path arrowok="t"/>
              </v:shape>
            </v:group>
            <v:group style="position:absolute;left:6376;top:102;width:1570;height:2" coordorigin="6376,102" coordsize="1570,2">
              <v:shape style="position:absolute;left:6376;top:102;width:1570;height:2" coordorigin="6376,102" coordsize="1570,0" path="m6376,102l7945,102e" filled="false" stroked="true" strokeweight=".47998pt" strokecolor="#000000">
                <v:path arrowok="t"/>
              </v:shape>
            </v:group>
            <w10:wrap type="none"/>
          </v:group>
        </w:pict>
      </w:r>
      <w:r>
        <w:rPr/>
        <w:pict>
          <v:group style="position:absolute;margin-left:418.869995pt;margin-top:4.853565pt;width:145.15pt;height:.5pt;mso-position-horizontal-relative:page;mso-position-vertical-relative:paragraph;z-index:2728" coordorigin="8377,97" coordsize="2903,10">
            <v:group style="position:absolute;left:8382;top:102;width:1549;height:2" coordorigin="8382,102" coordsize="1549,2">
              <v:shape style="position:absolute;left:8382;top:102;width:1549;height:2" coordorigin="8382,102" coordsize="1549,0" path="m8382,102l9931,102e" filled="false" stroked="true" strokeweight=".47998pt" strokecolor="#000000">
                <v:path arrowok="t"/>
              </v:shape>
            </v:group>
            <v:group style="position:absolute;left:9931;top:102;width:10;height:2" coordorigin="9931,102" coordsize="10,2">
              <v:shape style="position:absolute;left:9931;top:102;width:10;height:2" coordorigin="9931,102" coordsize="10,0" path="m9931,102l9940,102e" filled="false" stroked="true" strokeweight=".47998pt" strokecolor="#000000">
                <v:path arrowok="t"/>
              </v:shape>
            </v:group>
            <v:group style="position:absolute;left:9940;top:102;width:226;height:2" coordorigin="9940,102" coordsize="226,2">
              <v:shape style="position:absolute;left:9940;top:102;width:226;height:2" coordorigin="9940,102" coordsize="226,0" path="m9940,102l10166,102e" filled="false" stroked="true" strokeweight=".47998pt" strokecolor="#000000">
                <v:path arrowok="t"/>
              </v:shape>
            </v:group>
            <v:group style="position:absolute;left:10166;top:102;width:10;height:2" coordorigin="10166,102" coordsize="10,2">
              <v:shape style="position:absolute;left:10166;top:102;width:10;height:2" coordorigin="10166,102" coordsize="10,0" path="m10166,102l10176,102e" filled="false" stroked="true" strokeweight=".47998pt" strokecolor="#000000">
                <v:path arrowok="t"/>
              </v:shape>
            </v:group>
            <v:group style="position:absolute;left:10176;top:102;width:1100;height:2" coordorigin="10176,102" coordsize="1100,2">
              <v:shape style="position:absolute;left:10176;top:102;width:1100;height:2" coordorigin="10176,102" coordsize="1100,0" path="m10176,102l11275,102e" filled="false" stroked="true" strokeweight=".47998pt" strokecolor="#000000">
                <v:path arrowok="t"/>
              </v:shape>
            </v:group>
            <w10:wrap type="none"/>
          </v:group>
        </w:pict>
      </w:r>
      <w:r>
        <w:rPr>
          <w:rFonts w:ascii="宋体" w:hAnsi="宋体" w:cs="宋体" w:eastAsia="宋体" w:hint="default"/>
          <w:sz w:val="21"/>
          <w:szCs w:val="21"/>
        </w:rPr>
        <w:t>账龄</w:t>
      </w:r>
    </w:p>
    <w:p>
      <w:pPr>
        <w:tabs>
          <w:tab w:pos="5600" w:val="left" w:leader="none"/>
          <w:tab w:pos="7866" w:val="left" w:leader="none"/>
          <w:tab w:pos="9193" w:val="left" w:leader="none"/>
        </w:tabs>
        <w:spacing w:line="211" w:lineRule="exact" w:before="0"/>
        <w:ind w:left="3867" w:right="0" w:firstLine="0"/>
        <w:jc w:val="left"/>
        <w:rPr>
          <w:rFonts w:ascii="宋体" w:hAnsi="宋体" w:cs="宋体" w:eastAsia="宋体" w:hint="default"/>
          <w:sz w:val="21"/>
          <w:szCs w:val="21"/>
        </w:rPr>
      </w:pPr>
      <w:r>
        <w:rPr/>
        <w:pict>
          <v:group style="position:absolute;margin-left:89.783997pt;margin-top:12.653543pt;width:106.7pt;height:.1pt;mso-position-horizontal-relative:page;mso-position-vertical-relative:paragraph;z-index:-795352" coordorigin="1796,253" coordsize="2134,2">
            <v:shape style="position:absolute;left:1796;top:253;width:2134;height:2" coordorigin="1796,253" coordsize="2134,0" path="m1796,253l3930,253e" filled="false" stroked="true" strokeweight=".96002pt" strokecolor="#000000">
              <v:path arrowok="t"/>
            </v:shape>
            <w10:wrap type="none"/>
          </v:group>
        </w:pict>
      </w:r>
      <w:r>
        <w:rPr/>
        <w:pict>
          <v:group style="position:absolute;margin-left:211.729996pt;margin-top:12.413533pt;width:92.4pt;height:.1pt;mso-position-horizontal-relative:page;mso-position-vertical-relative:paragraph;z-index:-795328" coordorigin="4235,248" coordsize="1848,2">
            <v:shape style="position:absolute;left:4235;top:248;width:1848;height:2" coordorigin="4235,248" coordsize="1848,0" path="m4235,248l6083,248e" filled="false" stroked="true" strokeweight=".48004pt" strokecolor="#000000">
              <v:path arrowok="t"/>
            </v:shape>
            <w10:wrap type="none"/>
          </v:group>
        </w:pict>
      </w:r>
      <w:r>
        <w:rPr/>
        <w:pict>
          <v:group style="position:absolute;margin-left:318.309998pt;margin-top:12.413533pt;width:79pt;height:.1pt;mso-position-horizontal-relative:page;mso-position-vertical-relative:paragraph;z-index:-795304" coordorigin="6366,248" coordsize="1580,2">
            <v:shape style="position:absolute;left:6366;top:248;width:1580;height:2" coordorigin="6366,248" coordsize="1580,0" path="m6366,248l7945,248e" filled="false" stroked="true" strokeweight=".48004pt" strokecolor="#000000">
              <v:path arrowok="t"/>
            </v:shape>
            <w10:wrap type="none"/>
          </v:group>
        </w:pict>
      </w:r>
      <w:r>
        <w:rPr/>
        <w:pict>
          <v:group style="position:absolute;margin-left:419.109985pt;margin-top:12.413533pt;width:77.45pt;height:.1pt;mso-position-horizontal-relative:page;mso-position-vertical-relative:paragraph;z-index:-795280" coordorigin="8382,248" coordsize="1549,2">
            <v:shape style="position:absolute;left:8382;top:248;width:1549;height:2" coordorigin="8382,248" coordsize="1549,0" path="m8382,248l9931,248e" filled="false" stroked="true" strokeweight=".48004pt" strokecolor="#000000">
              <v:path arrowok="t"/>
            </v:shape>
            <w10:wrap type="none"/>
          </v:group>
        </w:pict>
      </w:r>
      <w:r>
        <w:rPr/>
        <w:pict>
          <v:group style="position:absolute;margin-left:508.299988pt;margin-top:12.413533pt;width:55.45pt;height:.1pt;mso-position-horizontal-relative:page;mso-position-vertical-relative:paragraph;z-index:-795256" coordorigin="10166,248" coordsize="1109,2">
            <v:shape style="position:absolute;left:10166;top:248;width:1109;height:2" coordorigin="10166,248" coordsize="1109,0" path="m10166,248l11275,248e" filled="false" stroked="true" strokeweight=".48004pt" strokecolor="#000000">
              <v:path arrowok="t"/>
            </v:shape>
            <w10:wrap type="none"/>
          </v:group>
        </w:pict>
      </w:r>
      <w:r>
        <w:rPr>
          <w:rFonts w:ascii="宋体" w:hAnsi="宋体" w:cs="宋体" w:eastAsia="宋体" w:hint="default"/>
          <w:sz w:val="21"/>
          <w:szCs w:val="21"/>
        </w:rPr>
        <w:t>金额</w:t>
        <w:tab/>
      </w: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pacing w:val="-1"/>
          <w:sz w:val="21"/>
          <w:szCs w:val="21"/>
        </w:rPr>
        <w:t>）</w:t>
        <w:tab/>
      </w:r>
      <w:r>
        <w:rPr>
          <w:rFonts w:ascii="宋体" w:hAnsi="宋体" w:cs="宋体" w:eastAsia="宋体" w:hint="default"/>
          <w:sz w:val="21"/>
          <w:szCs w:val="21"/>
        </w:rPr>
        <w:t>金额</w:t>
        <w:tab/>
      </w: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p>
      <w:pPr>
        <w:tabs>
          <w:tab w:pos="3634" w:val="left" w:leader="none"/>
          <w:tab w:pos="6123" w:val="left" w:leader="none"/>
          <w:tab w:pos="7482" w:val="left" w:leader="none"/>
          <w:tab w:pos="9453" w:val="left" w:leader="none"/>
        </w:tabs>
        <w:spacing w:before="18"/>
        <w:ind w:left="82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1"/>
          <w:sz w:val="21"/>
          <w:szCs w:val="21"/>
        </w:rPr>
        <w:t>年以内</w:t>
        <w:tab/>
      </w:r>
      <w:r>
        <w:rPr>
          <w:rFonts w:ascii="宋体" w:hAnsi="宋体" w:cs="宋体" w:eastAsia="宋体" w:hint="default"/>
          <w:spacing w:val="-1"/>
          <w:sz w:val="21"/>
          <w:szCs w:val="21"/>
        </w:rPr>
        <w:t>1,102,725.78</w:t>
        <w:tab/>
      </w:r>
      <w:r>
        <w:rPr>
          <w:rFonts w:ascii="宋体" w:hAnsi="宋体" w:cs="宋体" w:eastAsia="宋体" w:hint="default"/>
          <w:sz w:val="21"/>
          <w:szCs w:val="21"/>
        </w:rPr>
        <w:t>100.00</w:t>
        <w:tab/>
      </w:r>
      <w:r>
        <w:rPr>
          <w:rFonts w:ascii="宋体" w:hAnsi="宋体" w:cs="宋体" w:eastAsia="宋体" w:hint="default"/>
          <w:spacing w:val="-1"/>
          <w:sz w:val="21"/>
          <w:szCs w:val="21"/>
        </w:rPr>
        <w:t>1,119,686.44</w:t>
        <w:tab/>
      </w:r>
      <w:r>
        <w:rPr>
          <w:rFonts w:ascii="宋体" w:hAnsi="宋体" w:cs="宋体" w:eastAsia="宋体" w:hint="default"/>
          <w:sz w:val="21"/>
          <w:szCs w:val="21"/>
        </w:rPr>
        <w:t>100.00</w:t>
      </w:r>
    </w:p>
    <w:p>
      <w:pPr>
        <w:spacing w:line="240" w:lineRule="auto" w:before="4"/>
        <w:rPr>
          <w:rFonts w:ascii="宋体" w:hAnsi="宋体" w:cs="宋体" w:eastAsia="宋体" w:hint="default"/>
          <w:sz w:val="2"/>
          <w:szCs w:val="2"/>
        </w:rPr>
      </w:pPr>
    </w:p>
    <w:p>
      <w:pPr>
        <w:tabs>
          <w:tab w:pos="5281" w:val="left" w:leader="none"/>
          <w:tab w:pos="7297" w:val="left" w:leader="none"/>
          <w:tab w:pos="9081" w:val="left" w:leader="none"/>
        </w:tabs>
        <w:spacing w:line="28" w:lineRule="exact"/>
        <w:ind w:left="3149" w:right="0" w:firstLine="0"/>
        <w:rPr>
          <w:rFonts w:ascii="宋体" w:hAnsi="宋体" w:cs="宋体" w:eastAsia="宋体" w:hint="default"/>
          <w:sz w:val="2"/>
          <w:szCs w:val="2"/>
        </w:rPr>
      </w:pPr>
      <w:r>
        <w:rPr>
          <w:rFonts w:ascii="宋体"/>
          <w:position w:val="0"/>
          <w:sz w:val="2"/>
        </w:rPr>
        <w:pict>
          <v:group style="width:92.9pt;height:1.45pt;mso-position-horizontal-relative:char;mso-position-vertical-relative:line" coordorigin="0,0" coordsize="1858,29">
            <v:group style="position:absolute;left:5;top:5;width:1848;height:2" coordorigin="5,5" coordsize="1848,2">
              <v:shape style="position:absolute;left:5;top:5;width:1848;height:2" coordorigin="5,5" coordsize="1848,0" path="m5,5l1853,5e" filled="false" stroked="true" strokeweight=".47998pt" strokecolor="#000000">
                <v:path arrowok="t"/>
              </v:shape>
            </v:group>
            <v:group style="position:absolute;left:5;top:24;width:1848;height:2" coordorigin="5,24" coordsize="1848,2">
              <v:shape style="position:absolute;left:5;top:24;width:1848;height:2" coordorigin="5,24" coordsize="1848,0" path="m5,24l1853,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9.45pt;height:1.45pt;mso-position-horizontal-relative:char;mso-position-vertical-relative:line" coordorigin="0,0" coordsize="1589,29">
            <v:group style="position:absolute;left:5;top:5;width:1580;height:2" coordorigin="5,5" coordsize="1580,2">
              <v:shape style="position:absolute;left:5;top:5;width:1580;height:2" coordorigin="5,5" coordsize="1580,0" path="m5,5l1584,5e" filled="false" stroked="true" strokeweight=".47998pt" strokecolor="#000000">
                <v:path arrowok="t"/>
              </v:shape>
            </v:group>
            <v:group style="position:absolute;left:5;top:24;width:1580;height:2" coordorigin="5,24" coordsize="1580,2">
              <v:shape style="position:absolute;left:5;top:24;width:1580;height:2" coordorigin="5,24" coordsize="1580,0" path="m5,24l1584,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95pt;height:1.45pt;mso-position-horizontal-relative:char;mso-position-vertical-relative:line" coordorigin="0,0" coordsize="1559,29">
            <v:group style="position:absolute;left:5;top:5;width:1549;height:2" coordorigin="5,5" coordsize="1549,2">
              <v:shape style="position:absolute;left:5;top:5;width:1549;height:2" coordorigin="5,5" coordsize="1549,0" path="m5,5l1553,5e" filled="false" stroked="true" strokeweight=".47998pt" strokecolor="#000000">
                <v:path arrowok="t"/>
              </v:shape>
            </v:group>
            <v:group style="position:absolute;left:5;top:24;width:1549;height:2" coordorigin="5,24" coordsize="1549,2">
              <v:shape style="position:absolute;left:5;top:24;width:1549;height:2" coordorigin="5,24" coordsize="1549,0" path="m5,24l1553,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5.95pt;height:1.45pt;mso-position-horizontal-relative:char;mso-position-vertical-relative:line" coordorigin="0,0" coordsize="1119,29">
            <v:group style="position:absolute;left:5;top:5;width:1109;height:2" coordorigin="5,5" coordsize="1109,2">
              <v:shape style="position:absolute;left:5;top:5;width:1109;height:2" coordorigin="5,5" coordsize="1109,0" path="m5,5l1114,5e" filled="false" stroked="true" strokeweight=".47998pt" strokecolor="#000000">
                <v:path arrowok="t"/>
              </v:shape>
            </v:group>
            <v:group style="position:absolute;left:5;top:24;width:1109;height:2" coordorigin="5,24" coordsize="1109,2">
              <v:shape style="position:absolute;left:5;top:24;width:1109;height:2" coordorigin="5,24" coordsize="1109,0" path="m5,24l1114,24e" filled="false" stroked="true" strokeweight=".47998pt" strokecolor="#000000">
                <v:path arrowok="t"/>
              </v:shape>
            </v:group>
          </v:group>
        </w:pict>
      </w:r>
      <w:r>
        <w:rPr>
          <w:rFonts w:ascii="宋体"/>
          <w:position w:val="0"/>
          <w:sz w:val="2"/>
        </w:rPr>
      </w: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6" w:footer="980" w:top="1740" w:bottom="1160" w:left="1080" w:right="500"/>
        </w:sectPr>
      </w:pPr>
    </w:p>
    <w:p>
      <w:pPr>
        <w:spacing w:before="36"/>
        <w:ind w:left="823" w:right="-13" w:firstLine="0"/>
        <w:jc w:val="left"/>
        <w:rPr>
          <w:rFonts w:ascii="宋体" w:hAnsi="宋体" w:cs="宋体" w:eastAsia="宋体" w:hint="default"/>
          <w:sz w:val="21"/>
          <w:szCs w:val="21"/>
        </w:rPr>
      </w:pPr>
      <w:r>
        <w:rPr>
          <w:rFonts w:ascii="宋体" w:hAnsi="宋体" w:cs="宋体" w:eastAsia="宋体" w:hint="default"/>
          <w:sz w:val="21"/>
          <w:szCs w:val="21"/>
        </w:rPr>
        <w:t>6.4.2 </w:t>
      </w:r>
      <w:r>
        <w:rPr>
          <w:rFonts w:ascii="宋体" w:hAnsi="宋体" w:cs="宋体" w:eastAsia="宋体" w:hint="default"/>
          <w:sz w:val="21"/>
          <w:szCs w:val="21"/>
        </w:rPr>
        <w:t>预付账款余额前五名单位情况</w:t>
      </w:r>
    </w:p>
    <w:p>
      <w:pPr>
        <w:spacing w:line="240" w:lineRule="auto" w:before="8"/>
        <w:rPr>
          <w:rFonts w:ascii="宋体" w:hAnsi="宋体" w:cs="宋体" w:eastAsia="宋体" w:hint="default"/>
          <w:sz w:val="20"/>
          <w:szCs w:val="20"/>
        </w:rPr>
      </w:pPr>
    </w:p>
    <w:p>
      <w:pPr>
        <w:tabs>
          <w:tab w:pos="4486" w:val="left" w:leader="none"/>
        </w:tabs>
        <w:spacing w:before="0"/>
        <w:ind w:left="1997" w:right="-13" w:firstLine="0"/>
        <w:jc w:val="left"/>
        <w:rPr>
          <w:rFonts w:ascii="宋体" w:hAnsi="宋体" w:cs="宋体" w:eastAsia="宋体" w:hint="default"/>
          <w:sz w:val="21"/>
          <w:szCs w:val="21"/>
        </w:rPr>
      </w:pPr>
      <w:r>
        <w:rPr/>
        <w:pict>
          <v:shape style="position:absolute;margin-left:89.783997pt;margin-top:16.868670pt;width:474pt;height:97.1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1"/>
                    <w:gridCol w:w="281"/>
                    <w:gridCol w:w="1136"/>
                    <w:gridCol w:w="250"/>
                    <w:gridCol w:w="1330"/>
                    <w:gridCol w:w="266"/>
                    <w:gridCol w:w="980"/>
                    <w:gridCol w:w="295"/>
                    <w:gridCol w:w="1541"/>
                  </w:tblGrid>
                  <w:tr>
                    <w:trPr>
                      <w:trHeight w:val="246" w:hRule="exact"/>
                    </w:trPr>
                    <w:tc>
                      <w:tcPr>
                        <w:tcW w:w="3682" w:type="dxa"/>
                        <w:gridSpan w:val="2"/>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4661" w:type="dxa"/>
                        <w:gridSpan w:val="6"/>
                        <w:tcBorders>
                          <w:top w:val="nil" w:sz="6" w:space="0" w:color="auto"/>
                          <w:left w:val="nil" w:sz="6" w:space="0" w:color="auto"/>
                          <w:bottom w:val="nil" w:sz="6" w:space="0" w:color="auto"/>
                          <w:right w:val="nil" w:sz="6" w:space="0" w:color="auto"/>
                        </w:tcBorders>
                      </w:tcPr>
                      <w:p>
                        <w:pPr/>
                      </w:p>
                    </w:tc>
                  </w:tr>
                  <w:tr>
                    <w:trPr>
                      <w:trHeight w:val="278" w:hRule="exact"/>
                    </w:trPr>
                    <w:tc>
                      <w:tcPr>
                        <w:tcW w:w="3401"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3"/>
                            <w:sz w:val="21"/>
                            <w:szCs w:val="21"/>
                          </w:rPr>
                          <w:t> </w:t>
                        </w:r>
                        <w:r>
                          <w:rPr>
                            <w:rFonts w:ascii="宋体" w:hAnsi="宋体" w:cs="宋体" w:eastAsia="宋体" w:hint="default"/>
                            <w:sz w:val="21"/>
                            <w:szCs w:val="21"/>
                          </w:rPr>
                          <w:t>LEO PALACE 21</w:t>
                        </w:r>
                        <w:r>
                          <w:rPr>
                            <w:rFonts w:ascii="宋体" w:hAnsi="宋体" w:cs="宋体" w:eastAsia="宋体" w:hint="default"/>
                            <w:spacing w:val="-55"/>
                            <w:sz w:val="21"/>
                            <w:szCs w:val="21"/>
                          </w:rPr>
                          <w:t> </w:t>
                        </w:r>
                        <w:r>
                          <w:rPr>
                            <w:rFonts w:ascii="宋体" w:hAnsi="宋体" w:cs="宋体" w:eastAsia="宋体" w:hint="default"/>
                            <w:sz w:val="21"/>
                            <w:szCs w:val="21"/>
                          </w:rPr>
                          <w:t>株式会社</w:t>
                        </w:r>
                      </w:p>
                    </w:tc>
                    <w:tc>
                      <w:tcPr>
                        <w:tcW w:w="281"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3" w:lineRule="exact"/>
                          <w:ind w:left="7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50"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325,211.68</w:t>
                        </w:r>
                      </w:p>
                    </w:tc>
                    <w:tc>
                      <w:tcPr>
                        <w:tcW w:w="266"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281"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230,515.00</w:t>
                        </w:r>
                      </w:p>
                    </w:tc>
                    <w:tc>
                      <w:tcPr>
                        <w:tcW w:w="266"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3"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日本吉住新都心月租公寓株式会社</w:t>
                        </w:r>
                      </w:p>
                    </w:tc>
                    <w:tc>
                      <w:tcPr>
                        <w:tcW w:w="281"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144,428.22</w:t>
                        </w:r>
                      </w:p>
                    </w:tc>
                    <w:tc>
                      <w:tcPr>
                        <w:tcW w:w="266"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3"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281"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3" w:lineRule="exact"/>
                          <w:ind w:left="7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65,329.85</w:t>
                        </w:r>
                      </w:p>
                    </w:tc>
                    <w:tc>
                      <w:tcPr>
                        <w:tcW w:w="266"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9"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三菱不动产住宅租赁株式会社</w:t>
                        </w:r>
                      </w:p>
                    </w:tc>
                    <w:tc>
                      <w:tcPr>
                        <w:tcW w:w="281"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28,791.57</w:t>
                        </w:r>
                      </w:p>
                    </w:tc>
                    <w:tc>
                      <w:tcPr>
                        <w:tcW w:w="266"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93"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1"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794,276.32</w:t>
                        </w:r>
                      </w:p>
                    </w:tc>
                    <w:tc>
                      <w:tcPr>
                        <w:tcW w:w="266"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position w:val="-13"/>
          <w:sz w:val="21"/>
          <w:szCs w:val="21"/>
        </w:rPr>
        <w:t>单位名称</w:t>
        <w:tab/>
      </w:r>
      <w:r>
        <w:rPr>
          <w:rFonts w:ascii="宋体" w:hAnsi="宋体" w:cs="宋体" w:eastAsia="宋体" w:hint="default"/>
          <w:spacing w:val="-1"/>
          <w:sz w:val="21"/>
          <w:szCs w:val="21"/>
        </w:rPr>
        <w:t>与本公司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2288" w:val="left" w:leader="none"/>
          <w:tab w:pos="3529" w:val="left" w:leader="none"/>
        </w:tabs>
        <w:spacing w:before="0"/>
        <w:ind w:left="814" w:right="0" w:firstLine="0"/>
        <w:jc w:val="left"/>
        <w:rPr>
          <w:rFonts w:ascii="宋体" w:hAnsi="宋体" w:cs="宋体" w:eastAsia="宋体" w:hint="default"/>
          <w:sz w:val="21"/>
          <w:szCs w:val="21"/>
        </w:rPr>
      </w:pPr>
      <w:r>
        <w:rPr>
          <w:rFonts w:ascii="宋体" w:hAnsi="宋体" w:cs="宋体" w:eastAsia="宋体" w:hint="default"/>
          <w:sz w:val="21"/>
          <w:szCs w:val="21"/>
        </w:rPr>
        <w:t>金额</w:t>
        <w:tab/>
        <w:t>时间</w:t>
        <w:tab/>
        <w:t>未结算原因</w:t>
      </w:r>
    </w:p>
    <w:p>
      <w:pPr>
        <w:spacing w:after="0"/>
        <w:jc w:val="left"/>
        <w:rPr>
          <w:rFonts w:ascii="宋体" w:hAnsi="宋体" w:cs="宋体" w:eastAsia="宋体" w:hint="default"/>
          <w:sz w:val="21"/>
          <w:szCs w:val="21"/>
        </w:rPr>
        <w:sectPr>
          <w:type w:val="continuous"/>
          <w:pgSz w:w="11910" w:h="16840"/>
          <w:pgMar w:top="1100" w:bottom="1380" w:left="1080" w:right="500"/>
          <w:cols w:num="2" w:equalWidth="0">
            <w:col w:w="5330" w:space="40"/>
            <w:col w:w="49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36"/>
        <w:ind w:left="823" w:right="1029" w:firstLine="0"/>
        <w:jc w:val="left"/>
        <w:rPr>
          <w:rFonts w:ascii="宋体" w:hAnsi="宋体" w:cs="宋体" w:eastAsia="宋体" w:hint="default"/>
          <w:sz w:val="21"/>
          <w:szCs w:val="21"/>
        </w:rPr>
      </w:pPr>
      <w:r>
        <w:rPr>
          <w:rFonts w:ascii="宋体" w:hAnsi="宋体" w:cs="宋体" w:eastAsia="宋体" w:hint="default"/>
          <w:sz w:val="21"/>
          <w:szCs w:val="21"/>
        </w:rPr>
        <w:t>6.4.3</w:t>
      </w:r>
      <w:r>
        <w:rPr>
          <w:rFonts w:ascii="宋体" w:hAnsi="宋体" w:cs="宋体" w:eastAsia="宋体" w:hint="default"/>
          <w:spacing w:val="-3"/>
          <w:sz w:val="21"/>
          <w:szCs w:val="21"/>
        </w:rPr>
        <w:t> </w:t>
      </w:r>
      <w:r>
        <w:rPr>
          <w:rFonts w:ascii="宋体" w:hAnsi="宋体" w:cs="宋体" w:eastAsia="宋体" w:hint="default"/>
          <w:sz w:val="21"/>
          <w:szCs w:val="21"/>
        </w:rPr>
        <w:t>本报告期预付账款中无持公司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after="0"/>
        <w:jc w:val="left"/>
        <w:rPr>
          <w:rFonts w:ascii="宋体" w:hAnsi="宋体" w:cs="宋体" w:eastAsia="宋体" w:hint="default"/>
          <w:sz w:val="21"/>
          <w:szCs w:val="21"/>
        </w:rPr>
        <w:sectPr>
          <w:type w:val="continuous"/>
          <w:pgSz w:w="11910" w:h="16840"/>
          <w:pgMar w:top="1100" w:bottom="1380" w:left="1080" w:right="500"/>
        </w:sectPr>
      </w:pPr>
    </w:p>
    <w:p>
      <w:pPr>
        <w:spacing w:line="240" w:lineRule="auto" w:before="9"/>
        <w:rPr>
          <w:rFonts w:ascii="Times New Roman" w:hAnsi="Times New Roman" w:cs="Times New Roman" w:eastAsia="Times New Roman" w:hint="default"/>
          <w:sz w:val="4"/>
          <w:szCs w:val="4"/>
        </w:rPr>
      </w:pPr>
      <w:r>
        <w:rPr/>
        <w:pict>
          <v:group style="position:absolute;margin-left:235.009995pt;margin-top:200.419983pt;width:44.8pt;height:.1pt;mso-position-horizontal-relative:page;mso-position-vertical-relative:page;z-index:-795208" coordorigin="4700,4008" coordsize="896,2">
            <v:shape style="position:absolute;left:4700;top:4008;width:896;height:2" coordorigin="4700,4008" coordsize="896,0" path="m4700,4008l5595,4008e" filled="false" stroked="true" strokeweight=".48pt" strokecolor="#000000">
              <v:path arrowok="t"/>
            </v:shape>
            <w10:wrap type="none"/>
          </v:group>
        </w:pict>
      </w:r>
      <w:r>
        <w:rPr/>
        <w:pict>
          <v:group style="position:absolute;margin-left:234.769989pt;margin-top:214.819977pt;width:45.25pt;height:1.45pt;mso-position-horizontal-relative:page;mso-position-vertical-relative:page;z-index:-795184" coordorigin="4695,4296" coordsize="905,29">
            <v:group style="position:absolute;left:4700;top:4301;width:896;height:2" coordorigin="4700,4301" coordsize="896,2">
              <v:shape style="position:absolute;left:4700;top:4301;width:896;height:2" coordorigin="4700,4301" coordsize="896,0" path="m4700,4301l5595,4301e" filled="false" stroked="true" strokeweight=".48pt" strokecolor="#000000">
                <v:path arrowok="t"/>
              </v:shape>
            </v:group>
            <v:group style="position:absolute;left:4700;top:4320;width:896;height:2" coordorigin="4700,4320" coordsize="896,2">
              <v:shape style="position:absolute;left:4700;top:4320;width:896;height:2" coordorigin="4700,4320" coordsize="896,0" path="m4700,4320l5595,4320e" filled="false" stroked="true" strokeweight=".48001pt" strokecolor="#000000">
                <v:path arrowok="t"/>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772"/>
        <w:gridCol w:w="1022"/>
        <w:gridCol w:w="238"/>
        <w:gridCol w:w="1428"/>
        <w:gridCol w:w="240"/>
        <w:gridCol w:w="1320"/>
        <w:gridCol w:w="1219"/>
        <w:gridCol w:w="234"/>
        <w:gridCol w:w="1274"/>
        <w:gridCol w:w="238"/>
        <w:gridCol w:w="898"/>
        <w:gridCol w:w="235"/>
        <w:gridCol w:w="1284"/>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268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40" w:type="dxa"/>
            <w:tcBorders>
              <w:top w:val="single" w:sz="4" w:space="0" w:color="000000"/>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
        </w:tc>
        <w:tc>
          <w:tcPr>
            <w:tcW w:w="234"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78" w:right="0"/>
              <w:jc w:val="left"/>
              <w:rPr>
                <w:rFonts w:ascii="宋体" w:hAnsi="宋体" w:cs="宋体" w:eastAsia="宋体" w:hint="default"/>
                <w:sz w:val="21"/>
                <w:szCs w:val="21"/>
              </w:rPr>
            </w:pPr>
            <w:r>
              <w:rPr>
                <w:rFonts w:ascii="宋体"/>
                <w:sz w:val="21"/>
              </w:rPr>
              <w:t>6.5</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38"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408" w:hRule="exact"/>
        </w:trPr>
        <w:tc>
          <w:tcPr>
            <w:tcW w:w="772" w:type="dxa"/>
            <w:tcBorders>
              <w:top w:val="nil" w:sz="6" w:space="0" w:color="auto"/>
              <w:left w:val="nil" w:sz="6" w:space="0" w:color="auto"/>
              <w:bottom w:val="nil" w:sz="6" w:space="0" w:color="auto"/>
              <w:right w:val="nil" w:sz="6" w:space="0" w:color="auto"/>
            </w:tcBorders>
          </w:tcPr>
          <w:p>
            <w:pPr/>
          </w:p>
        </w:tc>
        <w:tc>
          <w:tcPr>
            <w:tcW w:w="268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34" w:right="0"/>
              <w:jc w:val="left"/>
              <w:rPr>
                <w:rFonts w:ascii="宋体" w:hAnsi="宋体" w:cs="宋体" w:eastAsia="宋体" w:hint="default"/>
                <w:sz w:val="21"/>
                <w:szCs w:val="21"/>
              </w:rPr>
            </w:pPr>
            <w:r>
              <w:rPr>
                <w:rFonts w:ascii="宋体" w:hAnsi="宋体" w:cs="宋体" w:eastAsia="宋体" w:hint="default"/>
                <w:sz w:val="21"/>
                <w:szCs w:val="21"/>
              </w:rPr>
              <w:t>6.5.1</w:t>
            </w:r>
            <w:r>
              <w:rPr>
                <w:rFonts w:ascii="宋体" w:hAnsi="宋体" w:cs="宋体" w:eastAsia="宋体" w:hint="default"/>
                <w:spacing w:val="2"/>
                <w:sz w:val="21"/>
                <w:szCs w:val="21"/>
              </w:rPr>
              <w:t> </w:t>
            </w:r>
            <w:r>
              <w:rPr>
                <w:rFonts w:ascii="宋体" w:hAnsi="宋体" w:cs="宋体" w:eastAsia="宋体" w:hint="default"/>
                <w:sz w:val="21"/>
                <w:szCs w:val="21"/>
              </w:rPr>
              <w:t>存货分类</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989" w:type="dxa"/>
            <w:gridSpan w:val="3"/>
            <w:tcBorders>
              <w:top w:val="nil" w:sz="6" w:space="0" w:color="auto"/>
              <w:left w:val="nil" w:sz="6" w:space="0" w:color="auto"/>
              <w:bottom w:val="single" w:sz="4" w:space="0" w:color="000000"/>
              <w:right w:val="nil" w:sz="6" w:space="0" w:color="auto"/>
            </w:tcBorders>
          </w:tcPr>
          <w:p>
            <w:pPr>
              <w:pStyle w:val="TableParagraph"/>
              <w:spacing w:line="241" w:lineRule="exact"/>
              <w:ind w:left="123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19"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3929" w:type="dxa"/>
            <w:gridSpan w:val="5"/>
            <w:tcBorders>
              <w:top w:val="nil" w:sz="6" w:space="0" w:color="auto"/>
              <w:left w:val="nil" w:sz="6" w:space="0" w:color="auto"/>
              <w:bottom w:val="single" w:sz="4" w:space="0" w:color="000000"/>
              <w:right w:val="nil" w:sz="6" w:space="0" w:color="auto"/>
            </w:tcBorders>
          </w:tcPr>
          <w:p>
            <w:pPr>
              <w:pStyle w:val="TableParagraph"/>
              <w:spacing w:line="241" w:lineRule="exact"/>
              <w:ind w:left="109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77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single" w:sz="8" w:space="0" w:color="000000"/>
              <w:right w:val="nil" w:sz="6" w:space="0" w:color="auto"/>
            </w:tcBorders>
          </w:tcPr>
          <w:p>
            <w:pPr>
              <w:pStyle w:val="TableParagraph"/>
              <w:tabs>
                <w:tab w:pos="556" w:val="left" w:leader="none"/>
              </w:tabs>
              <w:spacing w:line="248" w:lineRule="exact"/>
              <w:ind w:left="1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0" w:type="dxa"/>
            <w:tcBorders>
              <w:top w:val="single" w:sz="4" w:space="0" w:color="000000"/>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34"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8" w:type="dxa"/>
            <w:tcBorders>
              <w:top w:val="single" w:sz="4" w:space="0" w:color="000000"/>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235"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02" w:hRule="exact"/>
        </w:trPr>
        <w:tc>
          <w:tcPr>
            <w:tcW w:w="772" w:type="dxa"/>
            <w:tcBorders>
              <w:top w:val="nil" w:sz="6" w:space="0" w:color="auto"/>
              <w:left w:val="nil" w:sz="6" w:space="0" w:color="auto"/>
              <w:bottom w:val="nil" w:sz="6" w:space="0" w:color="auto"/>
              <w:right w:val="nil" w:sz="6" w:space="0" w:color="auto"/>
            </w:tcBorders>
          </w:tcPr>
          <w:p>
            <w:pPr/>
          </w:p>
        </w:tc>
        <w:tc>
          <w:tcPr>
            <w:tcW w:w="1022" w:type="dxa"/>
            <w:tcBorders>
              <w:top w:val="single" w:sz="8" w:space="0" w:color="000000"/>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38"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1" w:right="0"/>
              <w:jc w:val="center"/>
              <w:rPr>
                <w:rFonts w:ascii="宋体" w:hAnsi="宋体" w:cs="宋体" w:eastAsia="宋体" w:hint="default"/>
                <w:sz w:val="20"/>
                <w:szCs w:val="20"/>
              </w:rPr>
            </w:pPr>
            <w:r>
              <w:rPr>
                <w:rFonts w:ascii="宋体"/>
                <w:sz w:val="20"/>
              </w:rPr>
              <w:t>1,362,966.71</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47" w:right="0"/>
              <w:jc w:val="center"/>
              <w:rPr>
                <w:rFonts w:ascii="宋体" w:hAnsi="宋体" w:cs="宋体" w:eastAsia="宋体" w:hint="default"/>
                <w:sz w:val="20"/>
                <w:szCs w:val="20"/>
              </w:rPr>
            </w:pPr>
            <w:r>
              <w:rPr>
                <w:rFonts w:ascii="宋体"/>
                <w:w w:val="99"/>
                <w:sz w:val="20"/>
              </w:rPr>
              <w:t>-</w:t>
            </w:r>
            <w:r>
              <w:rPr>
                <w:rFonts w:ascii="宋体"/>
                <w:sz w:val="20"/>
              </w:rPr>
            </w: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39" w:lineRule="exact"/>
              <w:ind w:left="19" w:right="0"/>
              <w:jc w:val="left"/>
              <w:rPr>
                <w:rFonts w:ascii="宋体" w:hAnsi="宋体" w:cs="宋体" w:eastAsia="宋体" w:hint="default"/>
                <w:sz w:val="20"/>
                <w:szCs w:val="20"/>
              </w:rPr>
            </w:pPr>
            <w:r>
              <w:rPr>
                <w:rFonts w:ascii="宋体"/>
                <w:w w:val="95"/>
                <w:sz w:val="20"/>
              </w:rPr>
              <w:t>1,362,966.71</w:t>
            </w:r>
            <w:r>
              <w:rPr>
                <w:rFonts w:ascii="宋体"/>
                <w:sz w:val="20"/>
              </w:rPr>
            </w:r>
          </w:p>
        </w:tc>
        <w:tc>
          <w:tcPr>
            <w:tcW w:w="234"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7" w:lineRule="exact"/>
              <w:ind w:left="6" w:right="0"/>
              <w:jc w:val="center"/>
              <w:rPr>
                <w:rFonts w:ascii="宋体" w:hAnsi="宋体" w:cs="宋体" w:eastAsia="宋体" w:hint="default"/>
                <w:sz w:val="20"/>
                <w:szCs w:val="20"/>
              </w:rPr>
            </w:pPr>
            <w:r>
              <w:rPr>
                <w:rFonts w:ascii="宋体"/>
                <w:sz w:val="20"/>
              </w:rPr>
              <w:t>1,357,967.49</w:t>
            </w:r>
          </w:p>
        </w:tc>
        <w:tc>
          <w:tcPr>
            <w:tcW w:w="238"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single" w:sz="12" w:space="0" w:color="000000"/>
              <w:right w:val="nil" w:sz="6" w:space="0" w:color="auto"/>
            </w:tcBorders>
          </w:tcPr>
          <w:p>
            <w:pPr>
              <w:pStyle w:val="TableParagraph"/>
              <w:spacing w:line="247" w:lineRule="exact"/>
              <w:ind w:right="107"/>
              <w:jc w:val="right"/>
              <w:rPr>
                <w:rFonts w:ascii="宋体" w:hAnsi="宋体" w:cs="宋体" w:eastAsia="宋体" w:hint="default"/>
                <w:sz w:val="20"/>
                <w:szCs w:val="20"/>
              </w:rPr>
            </w:pPr>
            <w:r>
              <w:rPr>
                <w:rFonts w:ascii="宋体"/>
                <w:w w:val="99"/>
                <w:sz w:val="20"/>
              </w:rPr>
              <w:t>-</w:t>
            </w:r>
            <w:r>
              <w:rPr>
                <w:rFonts w:ascii="宋体"/>
                <w:sz w:val="20"/>
              </w:rPr>
            </w:r>
          </w:p>
        </w:tc>
        <w:tc>
          <w:tcPr>
            <w:tcW w:w="235"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7" w:lineRule="exact"/>
              <w:ind w:left="1" w:right="0"/>
              <w:jc w:val="center"/>
              <w:rPr>
                <w:rFonts w:ascii="宋体" w:hAnsi="宋体" w:cs="宋体" w:eastAsia="宋体" w:hint="default"/>
                <w:sz w:val="20"/>
                <w:szCs w:val="20"/>
              </w:rPr>
            </w:pPr>
            <w:r>
              <w:rPr>
                <w:rFonts w:ascii="宋体"/>
                <w:sz w:val="20"/>
              </w:rPr>
              <w:t>1,357,967.49</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280" w:type="dxa"/>
        <w:tblLayout w:type="fixed"/>
        <w:tblCellMar>
          <w:top w:w="0" w:type="dxa"/>
          <w:left w:w="0" w:type="dxa"/>
          <w:bottom w:w="0" w:type="dxa"/>
          <w:right w:w="0" w:type="dxa"/>
        </w:tblCellMar>
        <w:tblLook w:val="01E0"/>
      </w:tblPr>
      <w:tblGrid>
        <w:gridCol w:w="622"/>
        <w:gridCol w:w="2398"/>
        <w:gridCol w:w="862"/>
        <w:gridCol w:w="2734"/>
        <w:gridCol w:w="360"/>
        <w:gridCol w:w="2717"/>
      </w:tblGrid>
      <w:tr>
        <w:trPr>
          <w:trHeight w:val="378"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6.6</w:t>
            </w:r>
          </w:p>
        </w:tc>
        <w:tc>
          <w:tcPr>
            <w:tcW w:w="2398"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62"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nil" w:sz="6" w:space="0" w:color="auto"/>
              <w:right w:val="nil" w:sz="6" w:space="0" w:color="auto"/>
            </w:tcBorders>
          </w:tcPr>
          <w:p>
            <w:pPr/>
          </w:p>
        </w:tc>
      </w:tr>
      <w:tr>
        <w:trPr>
          <w:trHeight w:val="416" w:hRule="exact"/>
        </w:trPr>
        <w:tc>
          <w:tcPr>
            <w:tcW w:w="622"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62" w:type="dxa"/>
            <w:tcBorders>
              <w:top w:val="nil" w:sz="6" w:space="0" w:color="auto"/>
              <w:left w:val="nil" w:sz="6" w:space="0" w:color="auto"/>
              <w:bottom w:val="nil" w:sz="6" w:space="0" w:color="auto"/>
              <w:right w:val="nil" w:sz="6" w:space="0" w:color="auto"/>
            </w:tcBorders>
          </w:tcPr>
          <w:p>
            <w:pPr/>
          </w:p>
        </w:tc>
        <w:tc>
          <w:tcPr>
            <w:tcW w:w="273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60" w:type="dxa"/>
            <w:tcBorders>
              <w:top w:val="nil" w:sz="6" w:space="0" w:color="auto"/>
              <w:left w:val="nil" w:sz="6" w:space="0" w:color="auto"/>
              <w:bottom w:val="nil" w:sz="6" w:space="0" w:color="auto"/>
              <w:right w:val="nil" w:sz="6" w:space="0" w:color="auto"/>
            </w:tcBorders>
          </w:tcPr>
          <w:p>
            <w:pPr/>
          </w:p>
        </w:tc>
        <w:tc>
          <w:tcPr>
            <w:tcW w:w="271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0" w:hRule="exact"/>
        </w:trPr>
        <w:tc>
          <w:tcPr>
            <w:tcW w:w="622" w:type="dxa"/>
            <w:tcBorders>
              <w:top w:val="nil" w:sz="6" w:space="0" w:color="auto"/>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高尔夫会员卡押金</w:t>
            </w:r>
          </w:p>
        </w:tc>
        <w:tc>
          <w:tcPr>
            <w:tcW w:w="862" w:type="dxa"/>
            <w:tcBorders>
              <w:top w:val="nil" w:sz="6" w:space="0" w:color="auto"/>
              <w:left w:val="nil" w:sz="6" w:space="0" w:color="auto"/>
              <w:bottom w:val="nil" w:sz="6" w:space="0" w:color="auto"/>
              <w:right w:val="nil" w:sz="6" w:space="0" w:color="auto"/>
            </w:tcBorders>
          </w:tcPr>
          <w:p>
            <w:pPr/>
          </w:p>
        </w:tc>
        <w:tc>
          <w:tcPr>
            <w:tcW w:w="2734"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248,700.00</w:t>
            </w:r>
          </w:p>
        </w:tc>
        <w:tc>
          <w:tcPr>
            <w:tcW w:w="360" w:type="dxa"/>
            <w:tcBorders>
              <w:top w:val="nil" w:sz="6" w:space="0" w:color="auto"/>
              <w:left w:val="nil" w:sz="6" w:space="0" w:color="auto"/>
              <w:bottom w:val="nil" w:sz="6" w:space="0" w:color="auto"/>
              <w:right w:val="nil" w:sz="6" w:space="0" w:color="auto"/>
            </w:tcBorders>
          </w:tcPr>
          <w:p>
            <w:pPr/>
          </w:p>
        </w:tc>
        <w:tc>
          <w:tcPr>
            <w:tcW w:w="2717"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248,700.00</w:t>
            </w:r>
          </w:p>
        </w:tc>
      </w:tr>
      <w:tr>
        <w:trPr>
          <w:trHeight w:val="803" w:hRule="exact"/>
        </w:trPr>
        <w:tc>
          <w:tcPr>
            <w:tcW w:w="622" w:type="dxa"/>
            <w:tcBorders>
              <w:top w:val="nil" w:sz="6" w:space="0" w:color="auto"/>
              <w:left w:val="nil" w:sz="6" w:space="0" w:color="auto"/>
              <w:bottom w:val="nil" w:sz="6" w:space="0" w:color="auto"/>
              <w:right w:val="nil" w:sz="6" w:space="0" w:color="auto"/>
            </w:tcBorders>
          </w:tcPr>
          <w:p>
            <w:pPr/>
          </w:p>
        </w:tc>
        <w:tc>
          <w:tcPr>
            <w:tcW w:w="907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7" w:right="106"/>
              <w:jc w:val="left"/>
              <w:rPr>
                <w:rFonts w:ascii="宋体" w:hAnsi="宋体" w:cs="宋体" w:eastAsia="宋体" w:hint="default"/>
                <w:sz w:val="21"/>
                <w:szCs w:val="21"/>
              </w:rPr>
            </w:pPr>
            <w:r>
              <w:rPr>
                <w:rFonts w:ascii="宋体" w:hAnsi="宋体" w:cs="宋体" w:eastAsia="宋体" w:hint="default"/>
                <w:spacing w:val="-1"/>
                <w:sz w:val="21"/>
                <w:szCs w:val="21"/>
              </w:rPr>
              <w:t>长期应收款年末数系子公司上海华钟计算机软件开发有限公司暂付给协和高尔夫（上海）有限公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司的高尔夫会员卡押金。</w:t>
            </w:r>
          </w:p>
        </w:tc>
      </w:tr>
    </w:tbl>
    <w:p>
      <w:pPr>
        <w:spacing w:after="0" w:line="240" w:lineRule="auto"/>
        <w:jc w:val="left"/>
        <w:rPr>
          <w:rFonts w:ascii="宋体" w:hAnsi="宋体" w:cs="宋体" w:eastAsia="宋体" w:hint="default"/>
          <w:sz w:val="21"/>
          <w:szCs w:val="21"/>
        </w:rPr>
        <w:sectPr>
          <w:pgSz w:w="11910" w:h="16840"/>
          <w:pgMar w:header="886" w:footer="980" w:top="1740" w:bottom="1160" w:left="900" w:right="400"/>
        </w:sectPr>
      </w:pPr>
    </w:p>
    <w:p>
      <w:pPr>
        <w:spacing w:line="240" w:lineRule="auto" w:before="9"/>
        <w:rPr>
          <w:rFonts w:ascii="Times New Roman" w:hAnsi="Times New Roman" w:cs="Times New Roman" w:eastAsia="Times New Roman" w:hint="default"/>
          <w:sz w:val="4"/>
          <w:szCs w:val="4"/>
        </w:rPr>
      </w:pPr>
    </w:p>
    <w:p>
      <w:pPr>
        <w:spacing w:line="20" w:lineRule="exact"/>
        <w:ind w:left="6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3.4pt;height:.5pt;mso-position-horizontal-relative:char;mso-position-vertical-relative:line" coordorigin="0,0" coordsize="9268,10">
            <v:group style="position:absolute;left:5;top:5;width:9259;height:2" coordorigin="5,5" coordsize="9259,2">
              <v:shape style="position:absolute;left:5;top:5;width:9259;height:2" coordorigin="5,5" coordsize="9259,0" path="m5,5l926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p>
      <w:pPr>
        <w:tabs>
          <w:tab w:pos="628" w:val="left" w:leader="none"/>
        </w:tabs>
        <w:spacing w:before="36"/>
        <w:ind w:left="107"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645" w:val="left" w:leader="none"/>
        </w:tabs>
        <w:spacing w:before="0"/>
        <w:ind w:left="114" w:right="0" w:firstLine="0"/>
        <w:jc w:val="left"/>
        <w:rPr>
          <w:rFonts w:ascii="宋体" w:hAnsi="宋体" w:cs="宋体" w:eastAsia="宋体" w:hint="default"/>
          <w:sz w:val="21"/>
          <w:szCs w:val="21"/>
        </w:rPr>
      </w:pPr>
      <w:r>
        <w:rPr>
          <w:rFonts w:ascii="宋体" w:hAnsi="宋体" w:cs="宋体" w:eastAsia="宋体" w:hint="default"/>
          <w:sz w:val="21"/>
          <w:szCs w:val="21"/>
        </w:rPr>
        <w:t>6.7</w:t>
        <w:tab/>
      </w:r>
      <w:r>
        <w:rPr>
          <w:rFonts w:ascii="宋体" w:hAnsi="宋体" w:cs="宋体" w:eastAsia="宋体" w:hint="default"/>
          <w:sz w:val="21"/>
          <w:szCs w:val="21"/>
        </w:rPr>
        <w:t>固定资产</w:t>
      </w:r>
    </w:p>
    <w:p>
      <w:pPr>
        <w:spacing w:line="240" w:lineRule="auto" w:before="10"/>
        <w:rPr>
          <w:rFonts w:ascii="宋体" w:hAnsi="宋体" w:cs="宋体" w:eastAsia="宋体" w:hint="default"/>
          <w:sz w:val="20"/>
          <w:szCs w:val="20"/>
        </w:rPr>
      </w:pPr>
    </w:p>
    <w:p>
      <w:pPr>
        <w:spacing w:before="36"/>
        <w:ind w:left="537" w:right="0" w:firstLine="0"/>
        <w:jc w:val="left"/>
        <w:rPr>
          <w:rFonts w:ascii="宋体" w:hAnsi="宋体" w:cs="宋体" w:eastAsia="宋体" w:hint="default"/>
          <w:sz w:val="21"/>
          <w:szCs w:val="21"/>
        </w:rPr>
      </w:pPr>
      <w:r>
        <w:rPr>
          <w:rFonts w:ascii="宋体" w:hAnsi="宋体" w:cs="宋体" w:eastAsia="宋体" w:hint="default"/>
          <w:sz w:val="21"/>
          <w:szCs w:val="21"/>
        </w:rPr>
        <w:t>6.7.1</w:t>
      </w:r>
      <w:r>
        <w:rPr>
          <w:rFonts w:ascii="宋体" w:hAnsi="宋体" w:cs="宋体" w:eastAsia="宋体" w:hint="default"/>
          <w:spacing w:val="2"/>
          <w:sz w:val="21"/>
          <w:szCs w:val="21"/>
        </w:rPr>
        <w:t> </w:t>
      </w:r>
      <w:r>
        <w:rPr>
          <w:rFonts w:ascii="宋体" w:hAnsi="宋体" w:cs="宋体" w:eastAsia="宋体" w:hint="default"/>
          <w:sz w:val="21"/>
          <w:szCs w:val="21"/>
        </w:rPr>
        <w:t>固定资产情况</w:t>
      </w:r>
    </w:p>
    <w:p>
      <w:pPr>
        <w:spacing w:line="240" w:lineRule="auto" w:before="5"/>
        <w:rPr>
          <w:rFonts w:ascii="宋体" w:hAnsi="宋体" w:cs="宋体" w:eastAsia="宋体" w:hint="default"/>
          <w:sz w:val="23"/>
          <w:szCs w:val="23"/>
        </w:rPr>
      </w:pPr>
    </w:p>
    <w:tbl>
      <w:tblPr>
        <w:tblW w:w="0" w:type="auto"/>
        <w:jc w:val="left"/>
        <w:tblInd w:w="502" w:type="dxa"/>
        <w:tblLayout w:type="fixed"/>
        <w:tblCellMar>
          <w:top w:w="0" w:type="dxa"/>
          <w:left w:w="0" w:type="dxa"/>
          <w:bottom w:w="0" w:type="dxa"/>
          <w:right w:w="0" w:type="dxa"/>
        </w:tblCellMar>
        <w:tblLook w:val="01E0"/>
      </w:tblPr>
      <w:tblGrid>
        <w:gridCol w:w="2256"/>
        <w:gridCol w:w="1630"/>
        <w:gridCol w:w="2486"/>
        <w:gridCol w:w="1598"/>
        <w:gridCol w:w="1534"/>
        <w:gridCol w:w="65"/>
      </w:tblGrid>
      <w:tr>
        <w:trPr>
          <w:trHeight w:val="353" w:hRule="exact"/>
        </w:trPr>
        <w:tc>
          <w:tcPr>
            <w:tcW w:w="22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65" w:type="dxa"/>
            <w:vMerge w:val="restart"/>
            <w:tcBorders>
              <w:top w:val="nil" w:sz="6" w:space="0" w:color="auto"/>
              <w:left w:val="nil" w:sz="6" w:space="0" w:color="auto"/>
              <w:right w:val="nil" w:sz="6" w:space="0" w:color="auto"/>
            </w:tcBorders>
          </w:tcPr>
          <w:p>
            <w:pPr/>
          </w:p>
        </w:tc>
      </w:tr>
      <w:tr>
        <w:trPr>
          <w:trHeight w:val="329" w:hRule="exact"/>
        </w:trPr>
        <w:tc>
          <w:tcPr>
            <w:tcW w:w="225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36" w:right="0"/>
              <w:jc w:val="left"/>
              <w:rPr>
                <w:rFonts w:ascii="宋体" w:hAnsi="宋体" w:cs="宋体" w:eastAsia="宋体" w:hint="default"/>
                <w:sz w:val="21"/>
                <w:szCs w:val="21"/>
              </w:rPr>
            </w:pPr>
            <w:r>
              <w:rPr>
                <w:rFonts w:ascii="宋体"/>
                <w:sz w:val="21"/>
              </w:rPr>
              <w:t>25,799,118.62</w:t>
            </w:r>
          </w:p>
        </w:tc>
        <w:tc>
          <w:tcPr>
            <w:tcW w:w="2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746" w:right="0"/>
              <w:jc w:val="left"/>
              <w:rPr>
                <w:rFonts w:ascii="宋体" w:hAnsi="宋体" w:cs="宋体" w:eastAsia="宋体" w:hint="default"/>
                <w:sz w:val="21"/>
                <w:szCs w:val="21"/>
              </w:rPr>
            </w:pPr>
            <w:r>
              <w:rPr>
                <w:rFonts w:ascii="宋体"/>
                <w:sz w:val="21"/>
              </w:rPr>
              <w:t>116,306,110.40</w:t>
            </w: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77" w:right="0"/>
              <w:jc w:val="left"/>
              <w:rPr>
                <w:rFonts w:ascii="宋体" w:hAnsi="宋体" w:cs="宋体" w:eastAsia="宋体" w:hint="default"/>
                <w:sz w:val="21"/>
                <w:szCs w:val="21"/>
              </w:rPr>
            </w:pPr>
            <w:r>
              <w:rPr>
                <w:rFonts w:ascii="宋体"/>
                <w:sz w:val="21"/>
              </w:rPr>
              <w:t>3,420,474.87</w:t>
            </w:r>
          </w:p>
        </w:tc>
        <w:tc>
          <w:tcPr>
            <w:tcW w:w="15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45"/>
              <w:jc w:val="right"/>
              <w:rPr>
                <w:rFonts w:ascii="宋体" w:hAnsi="宋体" w:cs="宋体" w:eastAsia="宋体" w:hint="default"/>
                <w:sz w:val="21"/>
                <w:szCs w:val="21"/>
              </w:rPr>
            </w:pPr>
            <w:r>
              <w:rPr>
                <w:rFonts w:ascii="宋体"/>
                <w:spacing w:val="-1"/>
                <w:sz w:val="21"/>
              </w:rPr>
              <w:t>138,684,754.15</w:t>
            </w:r>
          </w:p>
        </w:tc>
        <w:tc>
          <w:tcPr>
            <w:tcW w:w="65" w:type="dxa"/>
            <w:vMerge/>
            <w:tcBorders>
              <w:left w:val="nil" w:sz="6" w:space="0" w:color="auto"/>
              <w:right w:val="nil" w:sz="6" w:space="0" w:color="auto"/>
            </w:tcBorders>
          </w:tcPr>
          <w:p>
            <w:pPr/>
          </w:p>
        </w:tc>
      </w:tr>
      <w:tr>
        <w:trPr>
          <w:trHeight w:val="348"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0"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left="141" w:right="0"/>
              <w:jc w:val="left"/>
              <w:rPr>
                <w:rFonts w:ascii="宋体" w:hAnsi="宋体" w:cs="宋体" w:eastAsia="宋体" w:hint="default"/>
                <w:sz w:val="21"/>
                <w:szCs w:val="21"/>
              </w:rPr>
            </w:pPr>
            <w:r>
              <w:rPr>
                <w:rFonts w:ascii="宋体"/>
                <w:sz w:val="21"/>
              </w:rPr>
              <w:t>6,774,991.00</w:t>
            </w:r>
          </w:p>
        </w:tc>
        <w:tc>
          <w:tcPr>
            <w:tcW w:w="2486"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left="746" w:right="0"/>
              <w:jc w:val="left"/>
              <w:rPr>
                <w:rFonts w:ascii="宋体" w:hAnsi="宋体" w:cs="宋体" w:eastAsia="宋体" w:hint="default"/>
                <w:sz w:val="21"/>
                <w:szCs w:val="21"/>
              </w:rPr>
            </w:pPr>
            <w:r>
              <w:rPr>
                <w:rFonts w:ascii="宋体"/>
                <w:sz w:val="21"/>
              </w:rPr>
              <w:t>111,085,455.02</w:t>
            </w:r>
          </w:p>
        </w:tc>
        <w:tc>
          <w:tcPr>
            <w:tcW w:w="159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257"/>
              <w:jc w:val="right"/>
              <w:rPr>
                <w:rFonts w:ascii="宋体" w:hAnsi="宋体" w:cs="宋体" w:eastAsia="宋体" w:hint="default"/>
                <w:sz w:val="21"/>
                <w:szCs w:val="21"/>
              </w:rPr>
            </w:pPr>
            <w:r>
              <w:rPr>
                <w:rFonts w:ascii="宋体"/>
                <w:w w:val="100"/>
                <w:sz w:val="21"/>
              </w:rPr>
              <w:t>-</w:t>
            </w: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45"/>
              <w:jc w:val="right"/>
              <w:rPr>
                <w:rFonts w:ascii="宋体" w:hAnsi="宋体" w:cs="宋体" w:eastAsia="宋体" w:hint="default"/>
                <w:sz w:val="21"/>
                <w:szCs w:val="21"/>
              </w:rPr>
            </w:pPr>
            <w:r>
              <w:rPr>
                <w:rFonts w:ascii="宋体"/>
                <w:spacing w:val="-1"/>
                <w:sz w:val="21"/>
              </w:rPr>
              <w:t>117,860,446.02</w:t>
            </w:r>
          </w:p>
        </w:tc>
        <w:tc>
          <w:tcPr>
            <w:tcW w:w="65" w:type="dxa"/>
            <w:vMerge/>
            <w:tcBorders>
              <w:left w:val="nil" w:sz="6" w:space="0" w:color="auto"/>
              <w:right w:val="nil" w:sz="6" w:space="0" w:color="auto"/>
            </w:tcBorders>
          </w:tcPr>
          <w:p>
            <w:pPr/>
          </w:p>
        </w:tc>
      </w:tr>
      <w:tr>
        <w:trPr>
          <w:trHeight w:val="312"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8"/>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630" w:type="dxa"/>
            <w:tcBorders>
              <w:top w:val="nil" w:sz="6" w:space="0" w:color="auto"/>
              <w:left w:val="nil" w:sz="6" w:space="0" w:color="auto"/>
              <w:bottom w:val="nil" w:sz="6" w:space="0" w:color="auto"/>
              <w:right w:val="nil" w:sz="6" w:space="0" w:color="auto"/>
            </w:tcBorders>
          </w:tcPr>
          <w:p>
            <w:pPr>
              <w:pStyle w:val="TableParagraph"/>
              <w:spacing w:line="260" w:lineRule="exact"/>
              <w:ind w:left="36" w:right="0"/>
              <w:jc w:val="left"/>
              <w:rPr>
                <w:rFonts w:ascii="宋体" w:hAnsi="宋体" w:cs="宋体" w:eastAsia="宋体" w:hint="default"/>
                <w:sz w:val="21"/>
                <w:szCs w:val="21"/>
              </w:rPr>
            </w:pPr>
            <w:r>
              <w:rPr>
                <w:rFonts w:ascii="宋体"/>
                <w:sz w:val="21"/>
              </w:rPr>
              <w:t>11,280,550.02</w:t>
            </w:r>
          </w:p>
        </w:tc>
        <w:tc>
          <w:tcPr>
            <w:tcW w:w="2486" w:type="dxa"/>
            <w:tcBorders>
              <w:top w:val="nil" w:sz="6" w:space="0" w:color="auto"/>
              <w:left w:val="nil" w:sz="6" w:space="0" w:color="auto"/>
              <w:bottom w:val="nil" w:sz="6" w:space="0" w:color="auto"/>
              <w:right w:val="nil" w:sz="6" w:space="0" w:color="auto"/>
            </w:tcBorders>
          </w:tcPr>
          <w:p>
            <w:pPr>
              <w:pStyle w:val="TableParagraph"/>
              <w:spacing w:line="260" w:lineRule="exact"/>
              <w:ind w:left="957" w:right="0"/>
              <w:jc w:val="left"/>
              <w:rPr>
                <w:rFonts w:ascii="宋体" w:hAnsi="宋体" w:cs="宋体" w:eastAsia="宋体" w:hint="default"/>
                <w:sz w:val="21"/>
                <w:szCs w:val="21"/>
              </w:rPr>
            </w:pPr>
            <w:r>
              <w:rPr>
                <w:rFonts w:ascii="宋体"/>
                <w:sz w:val="21"/>
              </w:rPr>
              <w:t>3,723,774.38</w:t>
            </w:r>
          </w:p>
        </w:tc>
        <w:tc>
          <w:tcPr>
            <w:tcW w:w="1598" w:type="dxa"/>
            <w:tcBorders>
              <w:top w:val="nil" w:sz="6" w:space="0" w:color="auto"/>
              <w:left w:val="nil" w:sz="6" w:space="0" w:color="auto"/>
              <w:bottom w:val="nil" w:sz="6" w:space="0" w:color="auto"/>
              <w:right w:val="nil" w:sz="6" w:space="0" w:color="auto"/>
            </w:tcBorders>
          </w:tcPr>
          <w:p>
            <w:pPr>
              <w:pStyle w:val="TableParagraph"/>
              <w:spacing w:line="260" w:lineRule="exact"/>
              <w:ind w:left="77" w:right="0"/>
              <w:jc w:val="left"/>
              <w:rPr>
                <w:rFonts w:ascii="宋体" w:hAnsi="宋体" w:cs="宋体" w:eastAsia="宋体" w:hint="default"/>
                <w:sz w:val="21"/>
                <w:szCs w:val="21"/>
              </w:rPr>
            </w:pPr>
            <w:r>
              <w:rPr>
                <w:rFonts w:ascii="宋体"/>
                <w:sz w:val="21"/>
              </w:rPr>
              <w:t>2,947,452.87</w:t>
            </w:r>
          </w:p>
        </w:tc>
        <w:tc>
          <w:tcPr>
            <w:tcW w:w="1534" w:type="dxa"/>
            <w:tcBorders>
              <w:top w:val="nil" w:sz="6" w:space="0" w:color="auto"/>
              <w:left w:val="nil" w:sz="6" w:space="0" w:color="auto"/>
              <w:bottom w:val="nil" w:sz="6" w:space="0" w:color="auto"/>
              <w:right w:val="nil" w:sz="6" w:space="0" w:color="auto"/>
            </w:tcBorders>
          </w:tcPr>
          <w:p>
            <w:pPr>
              <w:pStyle w:val="TableParagraph"/>
              <w:spacing w:line="260" w:lineRule="exact"/>
              <w:ind w:right="45"/>
              <w:jc w:val="right"/>
              <w:rPr>
                <w:rFonts w:ascii="宋体" w:hAnsi="宋体" w:cs="宋体" w:eastAsia="宋体" w:hint="default"/>
                <w:sz w:val="21"/>
                <w:szCs w:val="21"/>
              </w:rPr>
            </w:pPr>
            <w:r>
              <w:rPr>
                <w:rFonts w:ascii="宋体"/>
                <w:spacing w:val="-1"/>
                <w:sz w:val="21"/>
              </w:rPr>
              <w:t>12,056,871.53</w:t>
            </w:r>
          </w:p>
        </w:tc>
        <w:tc>
          <w:tcPr>
            <w:tcW w:w="65" w:type="dxa"/>
            <w:vMerge/>
            <w:tcBorders>
              <w:left w:val="nil" w:sz="6" w:space="0" w:color="auto"/>
              <w:right w:val="nil" w:sz="6" w:space="0" w:color="auto"/>
            </w:tcBorders>
          </w:tcPr>
          <w:p>
            <w:pPr/>
          </w:p>
        </w:tc>
      </w:tr>
      <w:tr>
        <w:trPr>
          <w:trHeight w:val="484"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0" w:type="dxa"/>
            <w:tcBorders>
              <w:top w:val="nil" w:sz="6" w:space="0" w:color="auto"/>
              <w:left w:val="nil" w:sz="6" w:space="0" w:color="auto"/>
              <w:bottom w:val="nil" w:sz="6" w:space="0" w:color="auto"/>
              <w:right w:val="nil" w:sz="6" w:space="0" w:color="auto"/>
            </w:tcBorders>
          </w:tcPr>
          <w:p>
            <w:pPr>
              <w:pStyle w:val="TableParagraph"/>
              <w:spacing w:line="260" w:lineRule="exact"/>
              <w:ind w:left="141" w:right="0"/>
              <w:jc w:val="left"/>
              <w:rPr>
                <w:rFonts w:ascii="宋体" w:hAnsi="宋体" w:cs="宋体" w:eastAsia="宋体" w:hint="default"/>
                <w:sz w:val="21"/>
                <w:szCs w:val="21"/>
              </w:rPr>
            </w:pPr>
            <w:r>
              <w:rPr>
                <w:rFonts w:ascii="宋体"/>
                <w:sz w:val="21"/>
              </w:rPr>
              <w:t>7,743,577.60</w:t>
            </w:r>
          </w:p>
        </w:tc>
        <w:tc>
          <w:tcPr>
            <w:tcW w:w="2486" w:type="dxa"/>
            <w:tcBorders>
              <w:top w:val="nil" w:sz="6" w:space="0" w:color="auto"/>
              <w:left w:val="nil" w:sz="6" w:space="0" w:color="auto"/>
              <w:bottom w:val="nil" w:sz="6" w:space="0" w:color="auto"/>
              <w:right w:val="nil" w:sz="6" w:space="0" w:color="auto"/>
            </w:tcBorders>
          </w:tcPr>
          <w:p>
            <w:pPr>
              <w:pStyle w:val="TableParagraph"/>
              <w:spacing w:line="260" w:lineRule="exact"/>
              <w:ind w:left="957" w:right="0"/>
              <w:jc w:val="left"/>
              <w:rPr>
                <w:rFonts w:ascii="宋体" w:hAnsi="宋体" w:cs="宋体" w:eastAsia="宋体" w:hint="default"/>
                <w:sz w:val="21"/>
                <w:szCs w:val="21"/>
              </w:rPr>
            </w:pPr>
            <w:r>
              <w:rPr>
                <w:rFonts w:ascii="宋体"/>
                <w:sz w:val="21"/>
              </w:rPr>
              <w:t>1,496,881.00</w:t>
            </w:r>
          </w:p>
        </w:tc>
        <w:tc>
          <w:tcPr>
            <w:tcW w:w="1598" w:type="dxa"/>
            <w:tcBorders>
              <w:top w:val="nil" w:sz="6" w:space="0" w:color="auto"/>
              <w:left w:val="nil" w:sz="6" w:space="0" w:color="auto"/>
              <w:bottom w:val="nil" w:sz="6" w:space="0" w:color="auto"/>
              <w:right w:val="nil" w:sz="6" w:space="0" w:color="auto"/>
            </w:tcBorders>
          </w:tcPr>
          <w:p>
            <w:pPr>
              <w:pStyle w:val="TableParagraph"/>
              <w:spacing w:line="260" w:lineRule="exact"/>
              <w:ind w:left="286" w:right="0"/>
              <w:jc w:val="left"/>
              <w:rPr>
                <w:rFonts w:ascii="宋体" w:hAnsi="宋体" w:cs="宋体" w:eastAsia="宋体" w:hint="default"/>
                <w:sz w:val="21"/>
                <w:szCs w:val="21"/>
              </w:rPr>
            </w:pPr>
            <w:r>
              <w:rPr>
                <w:rFonts w:ascii="宋体"/>
                <w:sz w:val="21"/>
              </w:rPr>
              <w:t>473,022.00</w:t>
            </w:r>
          </w:p>
        </w:tc>
        <w:tc>
          <w:tcPr>
            <w:tcW w:w="1534" w:type="dxa"/>
            <w:tcBorders>
              <w:top w:val="nil" w:sz="6" w:space="0" w:color="auto"/>
              <w:left w:val="nil" w:sz="6" w:space="0" w:color="auto"/>
              <w:bottom w:val="nil" w:sz="6" w:space="0" w:color="auto"/>
              <w:right w:val="nil" w:sz="6" w:space="0" w:color="auto"/>
            </w:tcBorders>
          </w:tcPr>
          <w:p>
            <w:pPr>
              <w:pStyle w:val="TableParagraph"/>
              <w:spacing w:line="260" w:lineRule="exact"/>
              <w:ind w:right="45"/>
              <w:jc w:val="right"/>
              <w:rPr>
                <w:rFonts w:ascii="宋体" w:hAnsi="宋体" w:cs="宋体" w:eastAsia="宋体" w:hint="default"/>
                <w:sz w:val="21"/>
                <w:szCs w:val="21"/>
              </w:rPr>
            </w:pPr>
            <w:r>
              <w:rPr>
                <w:rFonts w:ascii="宋体"/>
                <w:spacing w:val="-1"/>
                <w:sz w:val="21"/>
              </w:rPr>
              <w:t>8,767,436.60</w:t>
            </w:r>
          </w:p>
        </w:tc>
        <w:tc>
          <w:tcPr>
            <w:tcW w:w="65" w:type="dxa"/>
            <w:vMerge/>
            <w:tcBorders>
              <w:left w:val="nil" w:sz="6" w:space="0" w:color="auto"/>
              <w:bottom w:val="nil" w:sz="6" w:space="0" w:color="auto"/>
              <w:right w:val="nil" w:sz="6" w:space="0" w:color="auto"/>
            </w:tcBorders>
          </w:tcPr>
          <w:p>
            <w:pPr/>
          </w:p>
        </w:tc>
      </w:tr>
      <w:tr>
        <w:trPr>
          <w:trHeight w:val="755"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3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36" w:right="0"/>
              <w:jc w:val="left"/>
              <w:rPr>
                <w:rFonts w:ascii="宋体" w:hAnsi="宋体" w:cs="宋体" w:eastAsia="宋体" w:hint="default"/>
                <w:sz w:val="21"/>
                <w:szCs w:val="21"/>
              </w:rPr>
            </w:pPr>
            <w:r>
              <w:rPr>
                <w:rFonts w:ascii="宋体"/>
                <w:sz w:val="21"/>
              </w:rPr>
              <w:t>11,737,024.13</w:t>
            </w:r>
          </w:p>
        </w:tc>
        <w:tc>
          <w:tcPr>
            <w:tcW w:w="248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1327" w:val="left" w:leader="none"/>
              </w:tabs>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本年新增</w:t>
              <w:tab/>
              <w:t>本年计提</w:t>
            </w:r>
          </w:p>
          <w:p>
            <w:pPr>
              <w:pStyle w:val="TableParagraph"/>
              <w:spacing w:line="240" w:lineRule="auto" w:before="34"/>
              <w:ind w:right="3"/>
              <w:jc w:val="center"/>
              <w:rPr>
                <w:rFonts w:ascii="宋体" w:hAnsi="宋体" w:cs="宋体" w:eastAsia="宋体" w:hint="default"/>
                <w:sz w:val="21"/>
                <w:szCs w:val="21"/>
              </w:rPr>
            </w:pPr>
            <w:r>
              <w:rPr>
                <w:rFonts w:ascii="宋体"/>
                <w:sz w:val="21"/>
              </w:rPr>
              <w:t>997,327.02</w:t>
            </w:r>
            <w:r>
              <w:rPr>
                <w:rFonts w:ascii="宋体"/>
                <w:spacing w:val="-82"/>
                <w:sz w:val="21"/>
              </w:rPr>
              <w:t> </w:t>
            </w:r>
            <w:r>
              <w:rPr>
                <w:rFonts w:ascii="宋体"/>
                <w:sz w:val="21"/>
              </w:rPr>
              <w:t>6,082,892.14</w:t>
            </w:r>
          </w:p>
        </w:tc>
        <w:tc>
          <w:tcPr>
            <w:tcW w:w="1598"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42" w:right="0"/>
              <w:jc w:val="left"/>
              <w:rPr>
                <w:rFonts w:ascii="宋体" w:hAnsi="宋体" w:cs="宋体" w:eastAsia="宋体" w:hint="default"/>
                <w:sz w:val="21"/>
                <w:szCs w:val="21"/>
              </w:rPr>
            </w:pPr>
            <w:r>
              <w:rPr>
                <w:rFonts w:ascii="宋体"/>
                <w:sz w:val="21"/>
              </w:rPr>
              <w:t>3,251,577.59</w:t>
            </w:r>
          </w:p>
        </w:tc>
        <w:tc>
          <w:tcPr>
            <w:tcW w:w="1598"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84" w:right="0"/>
              <w:jc w:val="left"/>
              <w:rPr>
                <w:rFonts w:ascii="宋体" w:hAnsi="宋体" w:cs="宋体" w:eastAsia="宋体" w:hint="default"/>
                <w:sz w:val="21"/>
                <w:szCs w:val="21"/>
              </w:rPr>
            </w:pPr>
            <w:r>
              <w:rPr>
                <w:rFonts w:ascii="宋体"/>
                <w:sz w:val="21"/>
              </w:rPr>
              <w:t>15,565,665.70</w:t>
            </w:r>
          </w:p>
        </w:tc>
      </w:tr>
      <w:tr>
        <w:trPr>
          <w:trHeight w:val="34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0"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left="141" w:right="0"/>
              <w:jc w:val="left"/>
              <w:rPr>
                <w:rFonts w:ascii="宋体" w:hAnsi="宋体" w:cs="宋体" w:eastAsia="宋体" w:hint="default"/>
                <w:sz w:val="21"/>
                <w:szCs w:val="21"/>
              </w:rPr>
            </w:pPr>
            <w:r>
              <w:rPr>
                <w:rFonts w:ascii="宋体"/>
                <w:sz w:val="21"/>
              </w:rPr>
              <w:t>1,094,161.14</w:t>
            </w:r>
          </w:p>
        </w:tc>
        <w:tc>
          <w:tcPr>
            <w:tcW w:w="2486"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75"/>
              <w:jc w:val="right"/>
              <w:rPr>
                <w:rFonts w:ascii="宋体" w:hAnsi="宋体" w:cs="宋体" w:eastAsia="宋体" w:hint="default"/>
                <w:sz w:val="21"/>
                <w:szCs w:val="21"/>
              </w:rPr>
            </w:pPr>
            <w:r>
              <w:rPr>
                <w:rFonts w:ascii="宋体"/>
                <w:sz w:val="21"/>
              </w:rPr>
              <w:t>997,327.02</w:t>
            </w:r>
            <w:r>
              <w:rPr>
                <w:rFonts w:ascii="宋体"/>
                <w:spacing w:val="-82"/>
                <w:sz w:val="21"/>
              </w:rPr>
              <w:t> </w:t>
            </w:r>
            <w:r>
              <w:rPr>
                <w:rFonts w:ascii="宋体"/>
                <w:sz w:val="21"/>
              </w:rPr>
              <w:t>2,588,893.69</w:t>
            </w:r>
          </w:p>
        </w:tc>
        <w:tc>
          <w:tcPr>
            <w:tcW w:w="159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192"/>
              <w:jc w:val="right"/>
              <w:rPr>
                <w:rFonts w:ascii="宋体" w:hAnsi="宋体" w:cs="宋体" w:eastAsia="宋体" w:hint="default"/>
                <w:sz w:val="21"/>
                <w:szCs w:val="21"/>
              </w:rPr>
            </w:pPr>
            <w:r>
              <w:rPr>
                <w:rFonts w:ascii="宋体"/>
                <w:w w:val="100"/>
                <w:sz w:val="21"/>
              </w:rPr>
              <w:t>-</w:t>
            </w:r>
          </w:p>
        </w:tc>
        <w:tc>
          <w:tcPr>
            <w:tcW w:w="1598"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6"/>
              <w:ind w:left="290" w:right="0"/>
              <w:jc w:val="left"/>
              <w:rPr>
                <w:rFonts w:ascii="宋体" w:hAnsi="宋体" w:cs="宋体" w:eastAsia="宋体" w:hint="default"/>
                <w:sz w:val="21"/>
                <w:szCs w:val="21"/>
              </w:rPr>
            </w:pPr>
            <w:r>
              <w:rPr>
                <w:rFonts w:ascii="宋体"/>
                <w:sz w:val="21"/>
              </w:rPr>
              <w:t>4,680,381.85</w:t>
            </w:r>
          </w:p>
        </w:tc>
      </w:tr>
      <w:tr>
        <w:trPr>
          <w:trHeight w:val="312"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18"/>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630" w:type="dxa"/>
            <w:tcBorders>
              <w:top w:val="nil" w:sz="6" w:space="0" w:color="auto"/>
              <w:left w:val="nil" w:sz="6" w:space="0" w:color="auto"/>
              <w:bottom w:val="nil" w:sz="6" w:space="0" w:color="auto"/>
              <w:right w:val="nil" w:sz="6" w:space="0" w:color="auto"/>
            </w:tcBorders>
          </w:tcPr>
          <w:p>
            <w:pPr>
              <w:pStyle w:val="TableParagraph"/>
              <w:spacing w:line="259" w:lineRule="exact"/>
              <w:ind w:left="141" w:right="0"/>
              <w:jc w:val="left"/>
              <w:rPr>
                <w:rFonts w:ascii="宋体" w:hAnsi="宋体" w:cs="宋体" w:eastAsia="宋体" w:hint="default"/>
                <w:sz w:val="21"/>
                <w:szCs w:val="21"/>
              </w:rPr>
            </w:pPr>
            <w:r>
              <w:rPr>
                <w:rFonts w:ascii="宋体"/>
                <w:sz w:val="21"/>
              </w:rPr>
              <w:t>5,937,105.51</w:t>
            </w:r>
          </w:p>
        </w:tc>
        <w:tc>
          <w:tcPr>
            <w:tcW w:w="2486" w:type="dxa"/>
            <w:tcBorders>
              <w:top w:val="nil" w:sz="6" w:space="0" w:color="auto"/>
              <w:left w:val="nil" w:sz="6" w:space="0" w:color="auto"/>
              <w:bottom w:val="nil" w:sz="6" w:space="0" w:color="auto"/>
              <w:right w:val="nil" w:sz="6" w:space="0" w:color="auto"/>
            </w:tcBorders>
          </w:tcPr>
          <w:p>
            <w:pPr>
              <w:pStyle w:val="TableParagraph"/>
              <w:spacing w:line="259" w:lineRule="exact"/>
              <w:ind w:right="75"/>
              <w:jc w:val="right"/>
              <w:rPr>
                <w:rFonts w:ascii="宋体" w:hAnsi="宋体" w:cs="宋体" w:eastAsia="宋体" w:hint="default"/>
                <w:sz w:val="21"/>
                <w:szCs w:val="21"/>
              </w:rPr>
            </w:pPr>
            <w:r>
              <w:rPr>
                <w:rFonts w:ascii="宋体"/>
                <w:sz w:val="21"/>
              </w:rPr>
              <w:t>-</w:t>
            </w:r>
            <w:r>
              <w:rPr>
                <w:rFonts w:ascii="宋体"/>
                <w:spacing w:val="-83"/>
                <w:sz w:val="21"/>
              </w:rPr>
              <w:t> </w:t>
            </w:r>
            <w:r>
              <w:rPr>
                <w:rFonts w:ascii="宋体"/>
                <w:sz w:val="21"/>
              </w:rPr>
              <w:t>2,393,625.21</w:t>
            </w:r>
          </w:p>
        </w:tc>
        <w:tc>
          <w:tcPr>
            <w:tcW w:w="1598" w:type="dxa"/>
            <w:tcBorders>
              <w:top w:val="nil" w:sz="6" w:space="0" w:color="auto"/>
              <w:left w:val="nil" w:sz="6" w:space="0" w:color="auto"/>
              <w:bottom w:val="nil" w:sz="6" w:space="0" w:color="auto"/>
              <w:right w:val="nil" w:sz="6" w:space="0" w:color="auto"/>
            </w:tcBorders>
          </w:tcPr>
          <w:p>
            <w:pPr>
              <w:pStyle w:val="TableParagraph"/>
              <w:spacing w:line="259" w:lineRule="exact"/>
              <w:ind w:left="142" w:right="0"/>
              <w:jc w:val="left"/>
              <w:rPr>
                <w:rFonts w:ascii="宋体" w:hAnsi="宋体" w:cs="宋体" w:eastAsia="宋体" w:hint="default"/>
                <w:sz w:val="21"/>
                <w:szCs w:val="21"/>
              </w:rPr>
            </w:pPr>
            <w:r>
              <w:rPr>
                <w:rFonts w:ascii="宋体"/>
                <w:sz w:val="21"/>
              </w:rPr>
              <w:t>2,802,206.69</w:t>
            </w:r>
          </w:p>
        </w:tc>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290" w:right="0"/>
              <w:jc w:val="left"/>
              <w:rPr>
                <w:rFonts w:ascii="宋体" w:hAnsi="宋体" w:cs="宋体" w:eastAsia="宋体" w:hint="default"/>
                <w:sz w:val="21"/>
                <w:szCs w:val="21"/>
              </w:rPr>
            </w:pPr>
            <w:r>
              <w:rPr>
                <w:rFonts w:ascii="宋体"/>
                <w:sz w:val="21"/>
              </w:rPr>
              <w:t>5,528,524.03</w:t>
            </w:r>
          </w:p>
        </w:tc>
      </w:tr>
      <w:tr>
        <w:trPr>
          <w:trHeight w:val="46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0" w:type="dxa"/>
            <w:tcBorders>
              <w:top w:val="nil" w:sz="6" w:space="0" w:color="auto"/>
              <w:left w:val="nil" w:sz="6" w:space="0" w:color="auto"/>
              <w:bottom w:val="nil" w:sz="6" w:space="0" w:color="auto"/>
              <w:right w:val="nil" w:sz="6" w:space="0" w:color="auto"/>
            </w:tcBorders>
          </w:tcPr>
          <w:p>
            <w:pPr>
              <w:pStyle w:val="TableParagraph"/>
              <w:spacing w:line="259" w:lineRule="exact"/>
              <w:ind w:left="141" w:right="0"/>
              <w:jc w:val="left"/>
              <w:rPr>
                <w:rFonts w:ascii="宋体" w:hAnsi="宋体" w:cs="宋体" w:eastAsia="宋体" w:hint="default"/>
                <w:sz w:val="21"/>
                <w:szCs w:val="21"/>
              </w:rPr>
            </w:pPr>
            <w:r>
              <w:rPr>
                <w:rFonts w:ascii="宋体"/>
                <w:sz w:val="21"/>
              </w:rPr>
              <w:t>4,705,757.48</w:t>
            </w:r>
          </w:p>
        </w:tc>
        <w:tc>
          <w:tcPr>
            <w:tcW w:w="2486" w:type="dxa"/>
            <w:tcBorders>
              <w:top w:val="nil" w:sz="6" w:space="0" w:color="auto"/>
              <w:left w:val="nil" w:sz="6" w:space="0" w:color="auto"/>
              <w:bottom w:val="nil" w:sz="6" w:space="0" w:color="auto"/>
              <w:right w:val="nil" w:sz="6" w:space="0" w:color="auto"/>
            </w:tcBorders>
          </w:tcPr>
          <w:p>
            <w:pPr>
              <w:pStyle w:val="TableParagraph"/>
              <w:spacing w:line="259" w:lineRule="exact"/>
              <w:ind w:right="75"/>
              <w:jc w:val="right"/>
              <w:rPr>
                <w:rFonts w:ascii="宋体" w:hAnsi="宋体" w:cs="宋体" w:eastAsia="宋体" w:hint="default"/>
                <w:sz w:val="21"/>
                <w:szCs w:val="21"/>
              </w:rPr>
            </w:pPr>
            <w:r>
              <w:rPr>
                <w:rFonts w:ascii="宋体"/>
                <w:sz w:val="21"/>
              </w:rPr>
              <w:t>-</w:t>
            </w:r>
            <w:r>
              <w:rPr>
                <w:rFonts w:ascii="宋体"/>
                <w:spacing w:val="-83"/>
                <w:sz w:val="21"/>
              </w:rPr>
              <w:t> </w:t>
            </w:r>
            <w:r>
              <w:rPr>
                <w:rFonts w:ascii="宋体"/>
                <w:sz w:val="21"/>
              </w:rPr>
              <w:t>1,100,373.24</w:t>
            </w:r>
          </w:p>
        </w:tc>
        <w:tc>
          <w:tcPr>
            <w:tcW w:w="1598" w:type="dxa"/>
            <w:tcBorders>
              <w:top w:val="nil" w:sz="6" w:space="0" w:color="auto"/>
              <w:left w:val="nil" w:sz="6" w:space="0" w:color="auto"/>
              <w:bottom w:val="nil" w:sz="6" w:space="0" w:color="auto"/>
              <w:right w:val="nil" w:sz="6" w:space="0" w:color="auto"/>
            </w:tcBorders>
          </w:tcPr>
          <w:p>
            <w:pPr>
              <w:pStyle w:val="TableParagraph"/>
              <w:spacing w:line="259" w:lineRule="exact"/>
              <w:ind w:right="190"/>
              <w:jc w:val="right"/>
              <w:rPr>
                <w:rFonts w:ascii="宋体" w:hAnsi="宋体" w:cs="宋体" w:eastAsia="宋体" w:hint="default"/>
                <w:sz w:val="21"/>
                <w:szCs w:val="21"/>
              </w:rPr>
            </w:pPr>
            <w:r>
              <w:rPr>
                <w:rFonts w:ascii="宋体"/>
                <w:spacing w:val="-1"/>
                <w:sz w:val="21"/>
              </w:rPr>
              <w:t>449,370.90</w:t>
            </w:r>
          </w:p>
        </w:tc>
        <w:tc>
          <w:tcPr>
            <w:tcW w:w="1598"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290" w:right="0"/>
              <w:jc w:val="left"/>
              <w:rPr>
                <w:rFonts w:ascii="宋体" w:hAnsi="宋体" w:cs="宋体" w:eastAsia="宋体" w:hint="default"/>
                <w:sz w:val="21"/>
                <w:szCs w:val="21"/>
              </w:rPr>
            </w:pPr>
            <w:r>
              <w:rPr>
                <w:rFonts w:ascii="宋体"/>
                <w:sz w:val="21"/>
              </w:rPr>
              <w:t>5,356,759.82</w:t>
            </w:r>
          </w:p>
        </w:tc>
      </w:tr>
      <w:tr>
        <w:trPr>
          <w:trHeight w:val="461" w:hRule="exact"/>
        </w:trPr>
        <w:tc>
          <w:tcPr>
            <w:tcW w:w="38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1"/>
                <w:szCs w:val="21"/>
              </w:rPr>
            </w:pPr>
            <w:r>
              <w:rPr>
                <w:rFonts w:ascii="宋体" w:hAnsi="宋体" w:cs="宋体" w:eastAsia="宋体" w:hint="default"/>
                <w:sz w:val="18"/>
                <w:szCs w:val="18"/>
              </w:rPr>
              <w:t>三、固定资产账面净值合计</w:t>
            </w:r>
            <w:r>
              <w:rPr>
                <w:rFonts w:ascii="宋体" w:hAnsi="宋体" w:cs="宋体" w:eastAsia="宋体" w:hint="default"/>
                <w:spacing w:val="7"/>
                <w:sz w:val="18"/>
                <w:szCs w:val="18"/>
              </w:rPr>
              <w:t> </w:t>
            </w:r>
            <w:r>
              <w:rPr>
                <w:rFonts w:ascii="宋体" w:hAnsi="宋体" w:cs="宋体" w:eastAsia="宋体" w:hint="default"/>
                <w:position w:val="1"/>
                <w:sz w:val="21"/>
                <w:szCs w:val="21"/>
              </w:rPr>
              <w:t>14,062,094.49</w:t>
            </w:r>
            <w:r>
              <w:rPr>
                <w:rFonts w:ascii="宋体" w:hAnsi="宋体" w:cs="宋体" w:eastAsia="宋体" w:hint="default"/>
                <w:sz w:val="21"/>
                <w:szCs w:val="21"/>
              </w:rPr>
            </w:r>
          </w:p>
        </w:tc>
        <w:tc>
          <w:tcPr>
            <w:tcW w:w="4083" w:type="dxa"/>
            <w:gridSpan w:val="2"/>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Style w:val="TableParagraph"/>
              <w:spacing w:line="240" w:lineRule="auto" w:before="141"/>
              <w:ind w:right="45"/>
              <w:jc w:val="right"/>
              <w:rPr>
                <w:rFonts w:ascii="宋体" w:hAnsi="宋体" w:cs="宋体" w:eastAsia="宋体" w:hint="default"/>
                <w:sz w:val="21"/>
                <w:szCs w:val="21"/>
              </w:rPr>
            </w:pPr>
            <w:r>
              <w:rPr>
                <w:rFonts w:ascii="宋体"/>
                <w:spacing w:val="-1"/>
                <w:sz w:val="21"/>
              </w:rPr>
              <w:t>123,119,088.45</w:t>
            </w:r>
          </w:p>
        </w:tc>
        <w:tc>
          <w:tcPr>
            <w:tcW w:w="65" w:type="dxa"/>
            <w:tcBorders>
              <w:top w:val="nil" w:sz="6" w:space="0" w:color="auto"/>
              <w:left w:val="nil" w:sz="6" w:space="0" w:color="auto"/>
              <w:bottom w:val="nil" w:sz="6" w:space="0" w:color="auto"/>
              <w:right w:val="nil" w:sz="6" w:space="0" w:color="auto"/>
            </w:tcBorders>
          </w:tcPr>
          <w:p>
            <w:pPr/>
          </w:p>
        </w:tc>
      </w:tr>
      <w:tr>
        <w:trPr>
          <w:trHeight w:val="347" w:hRule="exact"/>
        </w:trPr>
        <w:tc>
          <w:tcPr>
            <w:tcW w:w="3885" w:type="dxa"/>
            <w:gridSpan w:val="2"/>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40" w:lineRule="auto" w:before="18"/>
              <w:ind w:left="35" w:right="0"/>
              <w:jc w:val="left"/>
              <w:rPr>
                <w:rFonts w:ascii="宋体" w:hAnsi="宋体" w:cs="宋体" w:eastAsia="宋体" w:hint="default"/>
                <w:sz w:val="21"/>
                <w:szCs w:val="21"/>
              </w:rPr>
            </w:pPr>
            <w:r>
              <w:rPr>
                <w:rFonts w:ascii="宋体" w:hAnsi="宋体" w:cs="宋体" w:eastAsia="宋体" w:hint="default"/>
                <w:sz w:val="18"/>
                <w:szCs w:val="18"/>
              </w:rPr>
              <w:t>其中：房屋建筑物</w:t>
              <w:tab/>
            </w:r>
            <w:r>
              <w:rPr>
                <w:rFonts w:ascii="宋体" w:hAnsi="宋体" w:cs="宋体" w:eastAsia="宋体" w:hint="default"/>
                <w:position w:val="1"/>
                <w:sz w:val="21"/>
                <w:szCs w:val="21"/>
              </w:rPr>
              <w:t>5,680,829.86</w:t>
            </w:r>
            <w:r>
              <w:rPr>
                <w:rFonts w:ascii="宋体" w:hAnsi="宋体" w:cs="宋体" w:eastAsia="宋体" w:hint="default"/>
                <w:sz w:val="21"/>
                <w:szCs w:val="21"/>
              </w:rPr>
            </w:r>
          </w:p>
        </w:tc>
        <w:tc>
          <w:tcPr>
            <w:tcW w:w="4083" w:type="dxa"/>
            <w:gridSpan w:val="2"/>
            <w:tcBorders>
              <w:top w:val="nil" w:sz="6" w:space="0" w:color="auto"/>
              <w:left w:val="nil" w:sz="6" w:space="0" w:color="auto"/>
              <w:bottom w:val="nil" w:sz="6" w:space="0" w:color="auto"/>
              <w:right w:val="nil" w:sz="6" w:space="0" w:color="auto"/>
            </w:tcBorders>
          </w:tcPr>
          <w:p>
            <w:pP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45"/>
              <w:jc w:val="right"/>
              <w:rPr>
                <w:rFonts w:ascii="宋体" w:hAnsi="宋体" w:cs="宋体" w:eastAsia="宋体" w:hint="default"/>
                <w:sz w:val="21"/>
                <w:szCs w:val="21"/>
              </w:rPr>
            </w:pPr>
            <w:r>
              <w:rPr>
                <w:rFonts w:ascii="宋体"/>
                <w:spacing w:val="-1"/>
                <w:sz w:val="21"/>
              </w:rPr>
              <w:t>113,180,064.17</w:t>
            </w:r>
          </w:p>
        </w:tc>
        <w:tc>
          <w:tcPr>
            <w:tcW w:w="65" w:type="dxa"/>
            <w:tcBorders>
              <w:top w:val="nil" w:sz="6" w:space="0" w:color="auto"/>
              <w:left w:val="nil" w:sz="6" w:space="0" w:color="auto"/>
              <w:bottom w:val="nil" w:sz="6" w:space="0" w:color="auto"/>
              <w:right w:val="nil" w:sz="6" w:space="0" w:color="auto"/>
            </w:tcBorders>
          </w:tcPr>
          <w:p>
            <w:pPr/>
          </w:p>
        </w:tc>
      </w:tr>
      <w:tr>
        <w:trPr>
          <w:trHeight w:val="312" w:hRule="exact"/>
        </w:trPr>
        <w:tc>
          <w:tcPr>
            <w:tcW w:w="3885" w:type="dxa"/>
            <w:gridSpan w:val="2"/>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64" w:lineRule="exact"/>
              <w:ind w:left="574" w:right="0"/>
              <w:jc w:val="left"/>
              <w:rPr>
                <w:rFonts w:ascii="宋体" w:hAnsi="宋体" w:cs="宋体" w:eastAsia="宋体" w:hint="default"/>
                <w:sz w:val="21"/>
                <w:szCs w:val="21"/>
              </w:rPr>
            </w:pPr>
            <w:r>
              <w:rPr>
                <w:rFonts w:ascii="宋体" w:hAnsi="宋体" w:cs="宋体" w:eastAsia="宋体" w:hint="default"/>
                <w:sz w:val="18"/>
                <w:szCs w:val="18"/>
              </w:rPr>
              <w:t>办公及电子设备</w:t>
              <w:tab/>
            </w:r>
            <w:r>
              <w:rPr>
                <w:rFonts w:ascii="宋体" w:hAnsi="宋体" w:cs="宋体" w:eastAsia="宋体" w:hint="default"/>
                <w:position w:val="1"/>
                <w:sz w:val="21"/>
                <w:szCs w:val="21"/>
              </w:rPr>
              <w:t>5,343,444.51</w:t>
            </w:r>
            <w:r>
              <w:rPr>
                <w:rFonts w:ascii="宋体" w:hAnsi="宋体" w:cs="宋体" w:eastAsia="宋体" w:hint="default"/>
                <w:sz w:val="21"/>
                <w:szCs w:val="21"/>
              </w:rPr>
            </w:r>
          </w:p>
        </w:tc>
        <w:tc>
          <w:tcPr>
            <w:tcW w:w="4083" w:type="dxa"/>
            <w:gridSpan w:val="2"/>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59" w:lineRule="exact"/>
              <w:ind w:right="45"/>
              <w:jc w:val="right"/>
              <w:rPr>
                <w:rFonts w:ascii="宋体" w:hAnsi="宋体" w:cs="宋体" w:eastAsia="宋体" w:hint="default"/>
                <w:sz w:val="21"/>
                <w:szCs w:val="21"/>
              </w:rPr>
            </w:pPr>
            <w:r>
              <w:rPr>
                <w:rFonts w:ascii="宋体"/>
                <w:spacing w:val="-1"/>
                <w:sz w:val="21"/>
              </w:rPr>
              <w:t>6,528,347.50</w:t>
            </w:r>
          </w:p>
        </w:tc>
        <w:tc>
          <w:tcPr>
            <w:tcW w:w="65" w:type="dxa"/>
            <w:tcBorders>
              <w:top w:val="nil" w:sz="6" w:space="0" w:color="auto"/>
              <w:left w:val="nil" w:sz="6" w:space="0" w:color="auto"/>
              <w:bottom w:val="nil" w:sz="6" w:space="0" w:color="auto"/>
              <w:right w:val="nil" w:sz="6" w:space="0" w:color="auto"/>
            </w:tcBorders>
          </w:tcPr>
          <w:p>
            <w:pPr/>
          </w:p>
        </w:tc>
      </w:tr>
      <w:tr>
        <w:trPr>
          <w:trHeight w:val="362" w:hRule="exact"/>
        </w:trPr>
        <w:tc>
          <w:tcPr>
            <w:tcW w:w="3885" w:type="dxa"/>
            <w:gridSpan w:val="2"/>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62" w:lineRule="exact"/>
              <w:ind w:left="574" w:right="0"/>
              <w:jc w:val="left"/>
              <w:rPr>
                <w:rFonts w:ascii="宋体" w:hAnsi="宋体" w:cs="宋体" w:eastAsia="宋体" w:hint="default"/>
                <w:sz w:val="21"/>
                <w:szCs w:val="21"/>
              </w:rPr>
            </w:pPr>
            <w:r>
              <w:rPr>
                <w:rFonts w:ascii="宋体" w:hAnsi="宋体" w:cs="宋体" w:eastAsia="宋体" w:hint="default"/>
                <w:sz w:val="18"/>
                <w:szCs w:val="18"/>
              </w:rPr>
              <w:t>运输工具</w:t>
              <w:tab/>
            </w:r>
            <w:r>
              <w:rPr>
                <w:rFonts w:ascii="宋体" w:hAnsi="宋体" w:cs="宋体" w:eastAsia="宋体" w:hint="default"/>
                <w:position w:val="1"/>
                <w:sz w:val="21"/>
                <w:szCs w:val="21"/>
              </w:rPr>
              <w:t>3,037,820.12</w:t>
            </w:r>
            <w:r>
              <w:rPr>
                <w:rFonts w:ascii="宋体" w:hAnsi="宋体" w:cs="宋体" w:eastAsia="宋体" w:hint="default"/>
                <w:sz w:val="21"/>
                <w:szCs w:val="21"/>
              </w:rPr>
            </w:r>
          </w:p>
        </w:tc>
        <w:tc>
          <w:tcPr>
            <w:tcW w:w="4083" w:type="dxa"/>
            <w:gridSpan w:val="2"/>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59" w:lineRule="exact"/>
              <w:ind w:right="45"/>
              <w:jc w:val="right"/>
              <w:rPr>
                <w:rFonts w:ascii="宋体" w:hAnsi="宋体" w:cs="宋体" w:eastAsia="宋体" w:hint="default"/>
                <w:sz w:val="21"/>
                <w:szCs w:val="21"/>
              </w:rPr>
            </w:pPr>
            <w:r>
              <w:rPr>
                <w:rFonts w:ascii="宋体"/>
                <w:spacing w:val="-1"/>
                <w:sz w:val="21"/>
              </w:rPr>
              <w:t>3,410,676.78</w:t>
            </w:r>
          </w:p>
        </w:tc>
        <w:tc>
          <w:tcPr>
            <w:tcW w:w="6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4"/>
          <w:szCs w:val="14"/>
        </w:rPr>
      </w:pPr>
    </w:p>
    <w:p>
      <w:pPr>
        <w:tabs>
          <w:tab w:pos="4053" w:val="left" w:leader="none"/>
          <w:tab w:pos="9862" w:val="left" w:leader="none"/>
        </w:tabs>
        <w:spacing w:before="35"/>
        <w:ind w:left="537" w:right="0" w:firstLine="0"/>
        <w:jc w:val="left"/>
        <w:rPr>
          <w:rFonts w:ascii="宋体" w:hAnsi="宋体" w:cs="宋体" w:eastAsia="宋体" w:hint="default"/>
          <w:sz w:val="18"/>
          <w:szCs w:val="18"/>
        </w:rPr>
      </w:pPr>
      <w:r>
        <w:rPr>
          <w:rFonts w:ascii="宋体" w:hAnsi="宋体" w:cs="宋体" w:eastAsia="宋体" w:hint="default"/>
          <w:sz w:val="18"/>
          <w:szCs w:val="18"/>
        </w:rPr>
        <w:t>四、减值准备合计</w:t>
        <w:tab/>
      </w:r>
      <w:r>
        <w:rPr>
          <w:rFonts w:ascii="宋体" w:hAnsi="宋体" w:cs="宋体" w:eastAsia="宋体" w:hint="default"/>
          <w:position w:val="3"/>
          <w:sz w:val="21"/>
          <w:szCs w:val="21"/>
        </w:rPr>
        <w:t>-</w:t>
        <w:tab/>
      </w:r>
      <w:r>
        <w:rPr>
          <w:rFonts w:ascii="宋体" w:hAnsi="宋体" w:cs="宋体" w:eastAsia="宋体" w:hint="default"/>
          <w:sz w:val="18"/>
          <w:szCs w:val="18"/>
        </w:rPr>
        <w:t>-</w:t>
      </w:r>
    </w:p>
    <w:p>
      <w:pPr>
        <w:spacing w:line="240" w:lineRule="auto" w:before="1"/>
        <w:rPr>
          <w:rFonts w:ascii="宋体" w:hAnsi="宋体" w:cs="宋体" w:eastAsia="宋体" w:hint="default"/>
          <w:sz w:val="2"/>
          <w:szCs w:val="2"/>
        </w:rPr>
      </w:pPr>
    </w:p>
    <w:p>
      <w:pPr>
        <w:tabs>
          <w:tab w:pos="8466" w:val="left" w:leader="none"/>
        </w:tabs>
        <w:spacing w:line="28" w:lineRule="exact"/>
        <w:ind w:left="2753" w:right="0" w:firstLine="0"/>
        <w:rPr>
          <w:rFonts w:ascii="宋体" w:hAnsi="宋体" w:cs="宋体" w:eastAsia="宋体" w:hint="default"/>
          <w:sz w:val="2"/>
          <w:szCs w:val="2"/>
        </w:rPr>
      </w:pPr>
      <w:r>
        <w:rPr>
          <w:rFonts w:ascii="宋体"/>
          <w:position w:val="0"/>
          <w:sz w:val="2"/>
        </w:rPr>
        <w:pict>
          <v:group style="width:82pt;height:1.45pt;mso-position-horizontal-relative:char;mso-position-vertical-relative:line" coordorigin="0,0" coordsize="1640,29">
            <v:group style="position:absolute;left:5;top:5;width:1630;height:2" coordorigin="5,5" coordsize="1630,2">
              <v:shape style="position:absolute;left:5;top:5;width:1630;height:2" coordorigin="5,5" coordsize="1630,0" path="m5,5l1634,5e" filled="false" stroked="true" strokeweight=".48001pt" strokecolor="#000000">
                <v:path arrowok="t"/>
              </v:shape>
            </v:group>
            <v:group style="position:absolute;left:5;top:24;width:1630;height:2" coordorigin="5,24" coordsize="1630,2">
              <v:shape style="position:absolute;left:5;top:24;width:1630;height:2" coordorigin="5,24" coordsize="1630,0" path="m5,24l1634,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2pt;height:1.45pt;mso-position-horizontal-relative:char;mso-position-vertical-relative:line" coordorigin="0,0" coordsize="1544,29">
            <v:group style="position:absolute;left:5;top:5;width:1534;height:2" coordorigin="5,5" coordsize="1534,2">
              <v:shape style="position:absolute;left:5;top:5;width:1534;height:2" coordorigin="5,5" coordsize="1534,0" path="m5,5l1538,5e" filled="false" stroked="true" strokeweight=".48001pt" strokecolor="#000000">
                <v:path arrowok="t"/>
              </v:shape>
            </v:group>
            <v:group style="position:absolute;left:5;top:24;width:1534;height:2" coordorigin="5,24" coordsize="1534,2">
              <v:shape style="position:absolute;left:5;top:24;width:1534;height:2" coordorigin="5,24" coordsize="1534,0" path="m5,24l1538,24e" filled="false" stroked="true" strokeweight=".48001pt" strokecolor="#000000">
                <v:path arrowok="t"/>
              </v:shape>
            </v:group>
          </v:group>
        </w:pict>
      </w:r>
      <w:r>
        <w:rPr>
          <w:rFonts w:ascii="宋体"/>
          <w:position w:val="0"/>
          <w:sz w:val="2"/>
        </w:rPr>
      </w:r>
    </w:p>
    <w:p>
      <w:pPr>
        <w:tabs>
          <w:tab w:pos="4053" w:val="left" w:leader="none"/>
          <w:tab w:pos="9862" w:val="left" w:leader="none"/>
        </w:tabs>
        <w:spacing w:before="0"/>
        <w:ind w:left="537" w:right="0" w:firstLine="0"/>
        <w:jc w:val="left"/>
        <w:rPr>
          <w:rFonts w:ascii="宋体" w:hAnsi="宋体" w:cs="宋体" w:eastAsia="宋体" w:hint="default"/>
          <w:sz w:val="18"/>
          <w:szCs w:val="18"/>
        </w:rPr>
      </w:pPr>
      <w:r>
        <w:rPr>
          <w:rFonts w:ascii="宋体" w:hAnsi="宋体" w:cs="宋体" w:eastAsia="宋体" w:hint="default"/>
          <w:sz w:val="18"/>
          <w:szCs w:val="18"/>
        </w:rPr>
        <w:t>其中：房屋建筑物</w:t>
        <w:tab/>
      </w:r>
      <w:r>
        <w:rPr>
          <w:rFonts w:ascii="宋体" w:hAnsi="宋体" w:cs="宋体" w:eastAsia="宋体" w:hint="default"/>
          <w:position w:val="3"/>
          <w:sz w:val="21"/>
          <w:szCs w:val="21"/>
        </w:rPr>
        <w:t>-</w:t>
        <w:tab/>
      </w:r>
      <w:r>
        <w:rPr>
          <w:rFonts w:ascii="宋体" w:hAnsi="宋体" w:cs="宋体" w:eastAsia="宋体" w:hint="default"/>
          <w:sz w:val="18"/>
          <w:szCs w:val="18"/>
        </w:rPr>
        <w:t>-</w:t>
      </w:r>
    </w:p>
    <w:p>
      <w:pPr>
        <w:tabs>
          <w:tab w:pos="4053" w:val="left" w:leader="none"/>
          <w:tab w:pos="9862" w:val="left" w:leader="none"/>
        </w:tabs>
        <w:spacing w:before="11"/>
        <w:ind w:left="1077" w:right="0" w:firstLine="0"/>
        <w:jc w:val="left"/>
        <w:rPr>
          <w:rFonts w:ascii="宋体" w:hAnsi="宋体" w:cs="宋体" w:eastAsia="宋体" w:hint="default"/>
          <w:sz w:val="18"/>
          <w:szCs w:val="18"/>
        </w:rPr>
      </w:pPr>
      <w:r>
        <w:rPr>
          <w:rFonts w:ascii="宋体" w:hAnsi="宋体" w:cs="宋体" w:eastAsia="宋体" w:hint="default"/>
          <w:sz w:val="18"/>
          <w:szCs w:val="18"/>
        </w:rPr>
        <w:t>办公及电子设备</w:t>
        <w:tab/>
      </w:r>
      <w:r>
        <w:rPr>
          <w:rFonts w:ascii="宋体" w:hAnsi="宋体" w:cs="宋体" w:eastAsia="宋体" w:hint="default"/>
          <w:position w:val="3"/>
          <w:sz w:val="21"/>
          <w:szCs w:val="21"/>
        </w:rPr>
        <w:t>-</w:t>
        <w:tab/>
      </w:r>
      <w:r>
        <w:rPr>
          <w:rFonts w:ascii="宋体" w:hAnsi="宋体" w:cs="宋体" w:eastAsia="宋体" w:hint="default"/>
          <w:sz w:val="18"/>
          <w:szCs w:val="18"/>
        </w:rPr>
        <w:t>-</w:t>
      </w:r>
    </w:p>
    <w:p>
      <w:pPr>
        <w:tabs>
          <w:tab w:pos="4053" w:val="left" w:leader="none"/>
          <w:tab w:pos="9862" w:val="left" w:leader="none"/>
        </w:tabs>
        <w:spacing w:before="9"/>
        <w:ind w:left="1077" w:right="0" w:firstLine="0"/>
        <w:jc w:val="left"/>
        <w:rPr>
          <w:rFonts w:ascii="宋体" w:hAnsi="宋体" w:cs="宋体" w:eastAsia="宋体" w:hint="default"/>
          <w:sz w:val="18"/>
          <w:szCs w:val="18"/>
        </w:rPr>
      </w:pPr>
      <w:r>
        <w:rPr>
          <w:rFonts w:ascii="宋体" w:hAnsi="宋体" w:cs="宋体" w:eastAsia="宋体" w:hint="default"/>
          <w:sz w:val="18"/>
          <w:szCs w:val="18"/>
        </w:rPr>
        <w:t>运输工具</w:t>
        <w:tab/>
      </w:r>
      <w:r>
        <w:rPr>
          <w:rFonts w:ascii="宋体" w:hAnsi="宋体" w:cs="宋体" w:eastAsia="宋体" w:hint="default"/>
          <w:position w:val="3"/>
          <w:sz w:val="21"/>
          <w:szCs w:val="21"/>
        </w:rPr>
        <w:t>-</w:t>
        <w:tab/>
      </w:r>
      <w:r>
        <w:rPr>
          <w:rFonts w:ascii="宋体" w:hAnsi="宋体" w:cs="宋体" w:eastAsia="宋体" w:hint="default"/>
          <w:sz w:val="18"/>
          <w:szCs w:val="18"/>
        </w:rPr>
        <w:t>-</w:t>
      </w:r>
    </w:p>
    <w:p>
      <w:pPr>
        <w:spacing w:line="240" w:lineRule="auto" w:before="7"/>
        <w:rPr>
          <w:rFonts w:ascii="宋体" w:hAnsi="宋体" w:cs="宋体" w:eastAsia="宋体" w:hint="default"/>
          <w:sz w:val="23"/>
          <w:szCs w:val="23"/>
        </w:rPr>
      </w:pPr>
    </w:p>
    <w:tbl>
      <w:tblPr>
        <w:tblW w:w="0" w:type="auto"/>
        <w:jc w:val="left"/>
        <w:tblInd w:w="502" w:type="dxa"/>
        <w:tblLayout w:type="fixed"/>
        <w:tblCellMar>
          <w:top w:w="0" w:type="dxa"/>
          <w:left w:w="0" w:type="dxa"/>
          <w:bottom w:w="0" w:type="dxa"/>
          <w:right w:w="0" w:type="dxa"/>
        </w:tblCellMar>
        <w:tblLook w:val="01E0"/>
      </w:tblPr>
      <w:tblGrid>
        <w:gridCol w:w="2256"/>
        <w:gridCol w:w="1630"/>
        <w:gridCol w:w="4083"/>
        <w:gridCol w:w="1534"/>
      </w:tblGrid>
      <w:tr>
        <w:trPr>
          <w:trHeight w:val="358"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630"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223"/>
              <w:jc w:val="right"/>
              <w:rPr>
                <w:rFonts w:ascii="宋体" w:hAnsi="宋体" w:cs="宋体" w:eastAsia="宋体" w:hint="default"/>
                <w:sz w:val="21"/>
                <w:szCs w:val="21"/>
              </w:rPr>
            </w:pPr>
            <w:r>
              <w:rPr>
                <w:rFonts w:ascii="宋体"/>
                <w:spacing w:val="-1"/>
                <w:sz w:val="21"/>
              </w:rPr>
              <w:t>14,062,094.49</w:t>
            </w:r>
          </w:p>
        </w:tc>
        <w:tc>
          <w:tcPr>
            <w:tcW w:w="408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45"/>
              <w:jc w:val="right"/>
              <w:rPr>
                <w:rFonts w:ascii="宋体" w:hAnsi="宋体" w:cs="宋体" w:eastAsia="宋体" w:hint="default"/>
                <w:sz w:val="21"/>
                <w:szCs w:val="21"/>
              </w:rPr>
            </w:pPr>
            <w:r>
              <w:rPr>
                <w:rFonts w:ascii="宋体"/>
                <w:spacing w:val="-1"/>
                <w:sz w:val="21"/>
              </w:rPr>
              <w:t>123,119,088.45</w:t>
            </w:r>
          </w:p>
        </w:tc>
      </w:tr>
      <w:tr>
        <w:trPr>
          <w:trHeight w:val="347"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30"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223"/>
              <w:jc w:val="right"/>
              <w:rPr>
                <w:rFonts w:ascii="宋体" w:hAnsi="宋体" w:cs="宋体" w:eastAsia="宋体" w:hint="default"/>
                <w:sz w:val="21"/>
                <w:szCs w:val="21"/>
              </w:rPr>
            </w:pPr>
            <w:r>
              <w:rPr>
                <w:rFonts w:ascii="宋体"/>
                <w:spacing w:val="-1"/>
                <w:sz w:val="21"/>
              </w:rPr>
              <w:t>5,680,829.86</w:t>
            </w:r>
          </w:p>
        </w:tc>
        <w:tc>
          <w:tcPr>
            <w:tcW w:w="4083" w:type="dxa"/>
            <w:tcBorders>
              <w:top w:val="nil" w:sz="6" w:space="0" w:color="auto"/>
              <w:left w:val="nil" w:sz="6" w:space="0" w:color="auto"/>
              <w:bottom w:val="nil" w:sz="6" w:space="0" w:color="auto"/>
              <w:right w:val="nil" w:sz="6" w:space="0" w:color="auto"/>
            </w:tcBorders>
          </w:tcPr>
          <w:p>
            <w:pPr/>
          </w:p>
        </w:tc>
        <w:tc>
          <w:tcPr>
            <w:tcW w:w="153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45"/>
              <w:jc w:val="right"/>
              <w:rPr>
                <w:rFonts w:ascii="宋体" w:hAnsi="宋体" w:cs="宋体" w:eastAsia="宋体" w:hint="default"/>
                <w:sz w:val="21"/>
                <w:szCs w:val="21"/>
              </w:rPr>
            </w:pPr>
            <w:r>
              <w:rPr>
                <w:rFonts w:ascii="宋体"/>
                <w:spacing w:val="-1"/>
                <w:sz w:val="21"/>
              </w:rPr>
              <w:t>113,180,064.17</w:t>
            </w:r>
          </w:p>
        </w:tc>
      </w:tr>
      <w:tr>
        <w:trPr>
          <w:trHeight w:val="301"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7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630" w:type="dxa"/>
            <w:tcBorders>
              <w:top w:val="nil" w:sz="6" w:space="0" w:color="auto"/>
              <w:left w:val="nil" w:sz="6" w:space="0" w:color="auto"/>
              <w:bottom w:val="nil" w:sz="6" w:space="0" w:color="auto"/>
              <w:right w:val="nil" w:sz="6" w:space="0" w:color="auto"/>
            </w:tcBorders>
          </w:tcPr>
          <w:p>
            <w:pPr>
              <w:pStyle w:val="TableParagraph"/>
              <w:spacing w:line="259" w:lineRule="exact"/>
              <w:ind w:right="223"/>
              <w:jc w:val="right"/>
              <w:rPr>
                <w:rFonts w:ascii="宋体" w:hAnsi="宋体" w:cs="宋体" w:eastAsia="宋体" w:hint="default"/>
                <w:sz w:val="21"/>
                <w:szCs w:val="21"/>
              </w:rPr>
            </w:pPr>
            <w:r>
              <w:rPr>
                <w:rFonts w:ascii="宋体"/>
                <w:spacing w:val="-1"/>
                <w:sz w:val="21"/>
              </w:rPr>
              <w:t>5,343,444.51</w:t>
            </w:r>
          </w:p>
        </w:tc>
        <w:tc>
          <w:tcPr>
            <w:tcW w:w="408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59" w:lineRule="exact"/>
              <w:ind w:right="45"/>
              <w:jc w:val="right"/>
              <w:rPr>
                <w:rFonts w:ascii="宋体" w:hAnsi="宋体" w:cs="宋体" w:eastAsia="宋体" w:hint="default"/>
                <w:sz w:val="21"/>
                <w:szCs w:val="21"/>
              </w:rPr>
            </w:pPr>
            <w:r>
              <w:rPr>
                <w:rFonts w:ascii="宋体"/>
                <w:spacing w:val="-1"/>
                <w:sz w:val="21"/>
              </w:rPr>
              <w:t>6,528,347.50</w:t>
            </w:r>
          </w:p>
        </w:tc>
      </w:tr>
      <w:tr>
        <w:trPr>
          <w:trHeight w:val="373"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7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0" w:type="dxa"/>
            <w:tcBorders>
              <w:top w:val="nil" w:sz="6" w:space="0" w:color="auto"/>
              <w:left w:val="nil" w:sz="6" w:space="0" w:color="auto"/>
              <w:bottom w:val="nil" w:sz="6" w:space="0" w:color="auto"/>
              <w:right w:val="nil" w:sz="6" w:space="0" w:color="auto"/>
            </w:tcBorders>
          </w:tcPr>
          <w:p>
            <w:pPr>
              <w:pStyle w:val="TableParagraph"/>
              <w:spacing w:line="250" w:lineRule="exact"/>
              <w:ind w:right="223"/>
              <w:jc w:val="right"/>
              <w:rPr>
                <w:rFonts w:ascii="宋体" w:hAnsi="宋体" w:cs="宋体" w:eastAsia="宋体" w:hint="default"/>
                <w:sz w:val="21"/>
                <w:szCs w:val="21"/>
              </w:rPr>
            </w:pPr>
            <w:r>
              <w:rPr>
                <w:rFonts w:ascii="宋体"/>
                <w:spacing w:val="-1"/>
                <w:sz w:val="21"/>
              </w:rPr>
              <w:t>3,037,820.12</w:t>
            </w:r>
          </w:p>
        </w:tc>
        <w:tc>
          <w:tcPr>
            <w:tcW w:w="408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70" w:lineRule="exact"/>
              <w:ind w:right="45"/>
              <w:jc w:val="right"/>
              <w:rPr>
                <w:rFonts w:ascii="宋体" w:hAnsi="宋体" w:cs="宋体" w:eastAsia="宋体" w:hint="default"/>
                <w:sz w:val="21"/>
                <w:szCs w:val="21"/>
              </w:rPr>
            </w:pPr>
            <w:r>
              <w:rPr>
                <w:rFonts w:ascii="宋体"/>
                <w:spacing w:val="-1"/>
                <w:sz w:val="21"/>
              </w:rPr>
              <w:t>3,410,676.78</w:t>
            </w:r>
          </w:p>
        </w:tc>
      </w:tr>
    </w:tbl>
    <w:p>
      <w:pPr>
        <w:spacing w:line="240" w:lineRule="auto" w:before="12"/>
        <w:rPr>
          <w:rFonts w:ascii="宋体" w:hAnsi="宋体" w:cs="宋体" w:eastAsia="宋体" w:hint="default"/>
          <w:sz w:val="12"/>
          <w:szCs w:val="12"/>
        </w:rPr>
      </w:pPr>
    </w:p>
    <w:p>
      <w:pPr>
        <w:spacing w:line="237" w:lineRule="auto" w:before="38"/>
        <w:ind w:left="551" w:right="1027" w:firstLine="0"/>
        <w:jc w:val="both"/>
        <w:rPr>
          <w:rFonts w:ascii="宋体" w:hAnsi="宋体" w:cs="宋体" w:eastAsia="宋体" w:hint="default"/>
          <w:sz w:val="21"/>
          <w:szCs w:val="21"/>
        </w:rPr>
      </w:pPr>
      <w:r>
        <w:rPr>
          <w:rFonts w:ascii="宋体" w:hAnsi="宋体" w:cs="宋体" w:eastAsia="宋体" w:hint="default"/>
          <w:sz w:val="21"/>
          <w:szCs w:val="21"/>
        </w:rPr>
        <w:t>本年新增累计折旧 </w:t>
      </w:r>
      <w:r>
        <w:rPr>
          <w:rFonts w:ascii="宋体" w:hAnsi="宋体" w:cs="宋体" w:eastAsia="宋体" w:hint="default"/>
          <w:sz w:val="21"/>
          <w:szCs w:val="21"/>
        </w:rPr>
        <w:t>997,327.02</w:t>
      </w:r>
      <w:r>
        <w:rPr>
          <w:rFonts w:ascii="宋体" w:hAnsi="宋体" w:cs="宋体" w:eastAsia="宋体" w:hint="default"/>
          <w:spacing w:val="-17"/>
          <w:sz w:val="21"/>
          <w:szCs w:val="21"/>
        </w:rPr>
        <w:t> </w:t>
      </w:r>
      <w:r>
        <w:rPr>
          <w:rFonts w:ascii="宋体" w:hAnsi="宋体" w:cs="宋体" w:eastAsia="宋体" w:hint="default"/>
          <w:sz w:val="21"/>
          <w:szCs w:val="21"/>
        </w:rPr>
        <w:t>元系上年末预提计入成本费用的已经交付使用但未正式签约购</w:t>
      </w:r>
      <w:r>
        <w:rPr>
          <w:rFonts w:ascii="宋体" w:hAnsi="宋体" w:cs="宋体" w:eastAsia="宋体" w:hint="default"/>
          <w:w w:val="100"/>
          <w:sz w:val="21"/>
          <w:szCs w:val="21"/>
        </w:rPr>
        <w:t> </w:t>
      </w:r>
      <w:r>
        <w:rPr>
          <w:rFonts w:ascii="宋体" w:hAnsi="宋体" w:cs="宋体" w:eastAsia="宋体" w:hint="default"/>
          <w:spacing w:val="-2"/>
          <w:sz w:val="21"/>
          <w:szCs w:val="21"/>
        </w:rPr>
        <w:t>买的办公楼的折旧金额，本年完成各项法定程序取得房屋产证确认固定资产后，原预提的折旧</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金额予以转入。</w:t>
      </w:r>
    </w:p>
    <w:p>
      <w:pPr>
        <w:spacing w:line="240" w:lineRule="auto" w:before="9"/>
        <w:rPr>
          <w:rFonts w:ascii="宋体" w:hAnsi="宋体" w:cs="宋体" w:eastAsia="宋体" w:hint="default"/>
          <w:sz w:val="20"/>
          <w:szCs w:val="20"/>
        </w:rPr>
      </w:pPr>
    </w:p>
    <w:p>
      <w:pPr>
        <w:spacing w:line="475" w:lineRule="auto" w:before="0"/>
        <w:ind w:left="551" w:right="2398" w:firstLine="0"/>
        <w:jc w:val="left"/>
        <w:rPr>
          <w:rFonts w:ascii="宋体" w:hAnsi="宋体" w:cs="宋体" w:eastAsia="宋体" w:hint="default"/>
          <w:sz w:val="21"/>
          <w:szCs w:val="21"/>
        </w:rPr>
      </w:pPr>
      <w:r>
        <w:rPr>
          <w:rFonts w:ascii="宋体" w:hAnsi="宋体" w:cs="宋体" w:eastAsia="宋体" w:hint="default"/>
          <w:sz w:val="21"/>
          <w:szCs w:val="21"/>
        </w:rPr>
        <w:t>本年计提折旧额：</w:t>
      </w:r>
      <w:r>
        <w:rPr>
          <w:rFonts w:ascii="宋体" w:hAnsi="宋体" w:cs="宋体" w:eastAsia="宋体" w:hint="default"/>
          <w:sz w:val="21"/>
          <w:szCs w:val="21"/>
        </w:rPr>
      </w:r>
      <w:r>
        <w:rPr>
          <w:rFonts w:ascii="宋体" w:hAnsi="宋体" w:cs="宋体" w:eastAsia="宋体" w:hint="default"/>
          <w:sz w:val="21"/>
          <w:szCs w:val="21"/>
          <w:u w:val="single" w:color="000000"/>
        </w:rPr>
        <w:t>6,082,892.14</w:t>
      </w:r>
      <w:r>
        <w:rPr>
          <w:rFonts w:ascii="宋体" w:hAnsi="宋体" w:cs="宋体" w:eastAsia="宋体" w:hint="default"/>
          <w:spacing w:val="-55"/>
          <w:sz w:val="21"/>
          <w:szCs w:val="21"/>
          <w:u w:val="single" w:color="000000"/>
        </w:rPr>
        <w:t> </w:t>
      </w:r>
      <w:r>
        <w:rPr>
          <w:rFonts w:ascii="宋体" w:hAnsi="宋体" w:cs="宋体" w:eastAsia="宋体" w:hint="default"/>
          <w:sz w:val="21"/>
          <w:szCs w:val="21"/>
          <w:u w:val="single" w:color="000000"/>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本年由在建工程转入固定资产原价为：</w:t>
      </w:r>
      <w:r>
        <w:rPr>
          <w:rFonts w:ascii="宋体" w:hAnsi="宋体" w:cs="宋体" w:eastAsia="宋体" w:hint="default"/>
          <w:spacing w:val="-2"/>
          <w:sz w:val="21"/>
          <w:szCs w:val="21"/>
        </w:rPr>
      </w:r>
      <w:r>
        <w:rPr>
          <w:rFonts w:ascii="宋体" w:hAnsi="宋体" w:cs="宋体" w:eastAsia="宋体" w:hint="default"/>
          <w:spacing w:val="-2"/>
          <w:sz w:val="21"/>
          <w:szCs w:val="21"/>
          <w:u w:val="single" w:color="000000"/>
        </w:rPr>
        <w:t>0</w:t>
      </w:r>
      <w:r>
        <w:rPr>
          <w:rFonts w:ascii="宋体" w:hAnsi="宋体" w:cs="宋体" w:eastAsia="宋体" w:hint="default"/>
          <w:spacing w:val="-2"/>
          <w:sz w:val="21"/>
          <w:szCs w:val="21"/>
        </w:rPr>
      </w:r>
      <w:r>
        <w:rPr>
          <w:rFonts w:ascii="宋体" w:hAnsi="宋体" w:cs="宋体" w:eastAsia="宋体" w:hint="default"/>
          <w:spacing w:val="-2"/>
          <w:sz w:val="21"/>
          <w:szCs w:val="21"/>
        </w:rPr>
        <w:t>。</w:t>
      </w:r>
    </w:p>
    <w:p>
      <w:pPr>
        <w:spacing w:after="0" w:line="475" w:lineRule="auto"/>
        <w:jc w:val="left"/>
        <w:rPr>
          <w:rFonts w:ascii="宋体" w:hAnsi="宋体" w:cs="宋体" w:eastAsia="宋体" w:hint="default"/>
          <w:sz w:val="21"/>
          <w:szCs w:val="21"/>
        </w:rPr>
        <w:sectPr>
          <w:pgSz w:w="11910" w:h="16840"/>
          <w:pgMar w:header="886" w:footer="980" w:top="1740" w:bottom="1160" w:left="1100" w:right="62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3228"/>
        <w:gridCol w:w="3037"/>
        <w:gridCol w:w="3065"/>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22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3037" w:type="dxa"/>
            <w:tcBorders>
              <w:top w:val="single" w:sz="4" w:space="0" w:color="000000"/>
              <w:left w:val="nil" w:sz="6" w:space="0" w:color="auto"/>
              <w:bottom w:val="nil" w:sz="6" w:space="0" w:color="auto"/>
              <w:right w:val="nil" w:sz="6" w:space="0" w:color="auto"/>
            </w:tcBorders>
          </w:tcPr>
          <w:p>
            <w:pPr/>
          </w:p>
        </w:tc>
        <w:tc>
          <w:tcPr>
            <w:tcW w:w="3065"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78" w:right="0"/>
              <w:jc w:val="left"/>
              <w:rPr>
                <w:rFonts w:ascii="宋体" w:hAnsi="宋体" w:cs="宋体" w:eastAsia="宋体" w:hint="default"/>
                <w:sz w:val="21"/>
                <w:szCs w:val="21"/>
              </w:rPr>
            </w:pPr>
            <w:r>
              <w:rPr>
                <w:rFonts w:ascii="宋体"/>
                <w:sz w:val="21"/>
              </w:rPr>
              <w:t>6.7</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4" w:right="0"/>
              <w:jc w:val="left"/>
              <w:rPr>
                <w:rFonts w:ascii="宋体" w:hAnsi="宋体" w:cs="宋体" w:eastAsia="宋体" w:hint="default"/>
                <w:sz w:val="21"/>
                <w:szCs w:val="21"/>
              </w:rPr>
            </w:pPr>
            <w:r>
              <w:rPr>
                <w:rFonts w:ascii="宋体" w:hAnsi="宋体" w:cs="宋体" w:eastAsia="宋体" w:hint="default"/>
                <w:sz w:val="21"/>
                <w:szCs w:val="21"/>
              </w:rPr>
              <w:t>固定资产（续）</w:t>
            </w:r>
          </w:p>
        </w:tc>
        <w:tc>
          <w:tcPr>
            <w:tcW w:w="3037"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nil" w:sz="6" w:space="0" w:color="auto"/>
              <w:right w:val="nil" w:sz="6" w:space="0" w:color="auto"/>
            </w:tcBorders>
          </w:tcPr>
          <w:p>
            <w:pP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4" w:right="-61"/>
              <w:jc w:val="left"/>
              <w:rPr>
                <w:rFonts w:ascii="宋体" w:hAnsi="宋体" w:cs="宋体" w:eastAsia="宋体" w:hint="default"/>
                <w:sz w:val="21"/>
                <w:szCs w:val="21"/>
              </w:rPr>
            </w:pPr>
            <w:r>
              <w:rPr>
                <w:rFonts w:ascii="宋体" w:hAnsi="宋体" w:cs="宋体" w:eastAsia="宋体" w:hint="default"/>
                <w:sz w:val="21"/>
                <w:szCs w:val="21"/>
              </w:rPr>
              <w:t>6.7.2 </w:t>
            </w:r>
            <w:r>
              <w:rPr>
                <w:rFonts w:ascii="宋体" w:hAnsi="宋体" w:cs="宋体" w:eastAsia="宋体" w:hint="default"/>
                <w:sz w:val="21"/>
                <w:szCs w:val="21"/>
              </w:rPr>
              <w:t>通过经营租赁租出的固定资</w:t>
            </w:r>
          </w:p>
        </w:tc>
        <w:tc>
          <w:tcPr>
            <w:tcW w:w="30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60"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3065" w:type="dxa"/>
            <w:tcBorders>
              <w:top w:val="nil" w:sz="6" w:space="0" w:color="auto"/>
              <w:left w:val="nil" w:sz="6" w:space="0" w:color="auto"/>
              <w:bottom w:val="nil" w:sz="6" w:space="0" w:color="auto"/>
              <w:right w:val="nil" w:sz="6" w:space="0" w:color="auto"/>
            </w:tcBorders>
          </w:tcPr>
          <w:p>
            <w:pPr/>
          </w:p>
        </w:tc>
      </w:tr>
      <w:tr>
        <w:trPr>
          <w:trHeight w:val="414" w:hRule="exact"/>
        </w:trPr>
        <w:tc>
          <w:tcPr>
            <w:tcW w:w="772" w:type="dxa"/>
            <w:tcBorders>
              <w:top w:val="nil" w:sz="6" w:space="0" w:color="auto"/>
              <w:left w:val="nil" w:sz="6" w:space="0" w:color="auto"/>
              <w:bottom w:val="nil" w:sz="6" w:space="0" w:color="auto"/>
              <w:right w:val="nil" w:sz="6" w:space="0" w:color="auto"/>
            </w:tcBorders>
          </w:tcPr>
          <w:p>
            <w:pPr/>
          </w:p>
        </w:tc>
        <w:tc>
          <w:tcPr>
            <w:tcW w:w="322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7" w:type="dxa"/>
            <w:tcBorders>
              <w:top w:val="nil" w:sz="6" w:space="0" w:color="auto"/>
              <w:left w:val="nil" w:sz="6" w:space="0" w:color="auto"/>
              <w:bottom w:val="nil" w:sz="6" w:space="0" w:color="auto"/>
              <w:right w:val="nil" w:sz="6" w:space="0" w:color="auto"/>
            </w:tcBorders>
          </w:tcPr>
          <w:p>
            <w:pPr/>
          </w:p>
        </w:tc>
        <w:tc>
          <w:tcPr>
            <w:tcW w:w="306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3" w:hRule="exact"/>
        </w:trPr>
        <w:tc>
          <w:tcPr>
            <w:tcW w:w="772" w:type="dxa"/>
            <w:tcBorders>
              <w:top w:val="nil" w:sz="6" w:space="0" w:color="auto"/>
              <w:left w:val="nil" w:sz="6" w:space="0" w:color="auto"/>
              <w:bottom w:val="nil" w:sz="6" w:space="0" w:color="auto"/>
              <w:right w:val="nil" w:sz="6" w:space="0" w:color="auto"/>
            </w:tcBorders>
          </w:tcPr>
          <w:p>
            <w:pPr/>
          </w:p>
        </w:tc>
        <w:tc>
          <w:tcPr>
            <w:tcW w:w="3228" w:type="dxa"/>
            <w:tcBorders>
              <w:top w:val="single" w:sz="4" w:space="0" w:color="000000"/>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37" w:type="dxa"/>
            <w:tcBorders>
              <w:top w:val="nil" w:sz="6" w:space="0" w:color="auto"/>
              <w:left w:val="nil" w:sz="6" w:space="0" w:color="auto"/>
              <w:bottom w:val="nil" w:sz="6" w:space="0" w:color="auto"/>
              <w:right w:val="nil" w:sz="6" w:space="0" w:color="auto"/>
            </w:tcBorders>
          </w:tcPr>
          <w:p>
            <w:pPr/>
          </w:p>
        </w:tc>
        <w:tc>
          <w:tcPr>
            <w:tcW w:w="3065" w:type="dxa"/>
            <w:tcBorders>
              <w:top w:val="single" w:sz="4" w:space="0" w:color="000000"/>
              <w:left w:val="nil" w:sz="6" w:space="0" w:color="auto"/>
              <w:bottom w:val="nil" w:sz="6" w:space="0" w:color="auto"/>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5,552,105.02</w:t>
            </w:r>
          </w:p>
        </w:tc>
      </w:tr>
      <w:tr>
        <w:trPr>
          <w:trHeight w:val="556" w:hRule="exact"/>
        </w:trPr>
        <w:tc>
          <w:tcPr>
            <w:tcW w:w="772" w:type="dxa"/>
            <w:tcBorders>
              <w:top w:val="nil" w:sz="6" w:space="0" w:color="auto"/>
              <w:left w:val="nil" w:sz="6" w:space="0" w:color="auto"/>
              <w:bottom w:val="nil" w:sz="6" w:space="0" w:color="auto"/>
              <w:right w:val="nil" w:sz="6" w:space="0" w:color="auto"/>
            </w:tcBorders>
          </w:tcPr>
          <w:p>
            <w:pPr/>
          </w:p>
        </w:tc>
        <w:tc>
          <w:tcPr>
            <w:tcW w:w="93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34" w:right="0"/>
              <w:jc w:val="left"/>
              <w:rPr>
                <w:rFonts w:ascii="宋体" w:hAnsi="宋体" w:cs="宋体" w:eastAsia="宋体" w:hint="default"/>
                <w:sz w:val="21"/>
                <w:szCs w:val="21"/>
              </w:rPr>
            </w:pPr>
            <w:r>
              <w:rPr>
                <w:rFonts w:ascii="宋体" w:hAnsi="宋体" w:cs="宋体" w:eastAsia="宋体" w:hint="default"/>
                <w:sz w:val="21"/>
                <w:szCs w:val="21"/>
              </w:rPr>
              <w:t>上述房屋位于南京市，本公司主要以自用为目的，目前系暂时出租。</w:t>
            </w:r>
          </w:p>
        </w:tc>
      </w:tr>
      <w:tr>
        <w:trPr>
          <w:trHeight w:val="1013" w:hRule="exact"/>
        </w:trPr>
        <w:tc>
          <w:tcPr>
            <w:tcW w:w="772" w:type="dxa"/>
            <w:tcBorders>
              <w:top w:val="nil" w:sz="6" w:space="0" w:color="auto"/>
              <w:left w:val="nil" w:sz="6" w:space="0" w:color="auto"/>
              <w:bottom w:val="nil" w:sz="6" w:space="0" w:color="auto"/>
              <w:right w:val="nil" w:sz="6" w:space="0" w:color="auto"/>
            </w:tcBorders>
          </w:tcPr>
          <w:p>
            <w:pPr/>
          </w:p>
        </w:tc>
        <w:tc>
          <w:tcPr>
            <w:tcW w:w="9330" w:type="dxa"/>
            <w:gridSpan w:val="3"/>
            <w:tcBorders>
              <w:top w:val="nil" w:sz="6" w:space="0" w:color="auto"/>
              <w:left w:val="nil" w:sz="6" w:space="0" w:color="auto"/>
              <w:bottom w:val="nil" w:sz="6" w:space="0" w:color="auto"/>
              <w:right w:val="nil" w:sz="6" w:space="0" w:color="auto"/>
            </w:tcBorders>
          </w:tcPr>
          <w:p>
            <w:pPr>
              <w:pStyle w:val="TableParagraph"/>
              <w:spacing w:line="273" w:lineRule="auto" w:before="114"/>
              <w:ind w:left="134" w:right="103"/>
              <w:jc w:val="both"/>
              <w:rPr>
                <w:rFonts w:ascii="宋体" w:hAnsi="宋体" w:cs="宋体" w:eastAsia="宋体" w:hint="default"/>
                <w:sz w:val="21"/>
                <w:szCs w:val="21"/>
              </w:rPr>
            </w:pPr>
            <w:r>
              <w:rPr>
                <w:rFonts w:ascii="宋体" w:hAnsi="宋体" w:cs="宋体" w:eastAsia="宋体" w:hint="default"/>
                <w:sz w:val="21"/>
                <w:szCs w:val="21"/>
              </w:rPr>
              <w:t>固定资产年末数比年初数增加</w:t>
            </w:r>
            <w:r>
              <w:rPr>
                <w:rFonts w:ascii="宋体" w:hAnsi="宋体" w:cs="宋体" w:eastAsia="宋体" w:hint="default"/>
                <w:spacing w:val="-55"/>
                <w:sz w:val="21"/>
                <w:szCs w:val="21"/>
              </w:rPr>
              <w:t> </w:t>
            </w:r>
            <w:r>
              <w:rPr>
                <w:rFonts w:ascii="宋体" w:hAnsi="宋体" w:cs="宋体" w:eastAsia="宋体" w:hint="default"/>
                <w:sz w:val="21"/>
                <w:szCs w:val="21"/>
              </w:rPr>
              <w:t>109,056,993.96</w:t>
            </w:r>
            <w:r>
              <w:rPr>
                <w:rFonts w:ascii="宋体" w:hAnsi="宋体" w:cs="宋体" w:eastAsia="宋体" w:hint="default"/>
                <w:spacing w:val="-55"/>
                <w:sz w:val="21"/>
                <w:szCs w:val="21"/>
              </w:rPr>
              <w:t> </w:t>
            </w:r>
            <w:r>
              <w:rPr>
                <w:rFonts w:ascii="宋体" w:hAnsi="宋体" w:cs="宋体" w:eastAsia="宋体" w:hint="default"/>
                <w:sz w:val="21"/>
                <w:szCs w:val="21"/>
              </w:rPr>
              <w:t>元，增加比例为</w:t>
            </w:r>
            <w:r>
              <w:rPr>
                <w:rFonts w:ascii="宋体" w:hAnsi="宋体" w:cs="宋体" w:eastAsia="宋体" w:hint="default"/>
                <w:spacing w:val="-55"/>
                <w:sz w:val="21"/>
                <w:szCs w:val="21"/>
              </w:rPr>
              <w:t> </w:t>
            </w:r>
            <w:r>
              <w:rPr>
                <w:rFonts w:ascii="宋体" w:hAnsi="宋体" w:cs="宋体" w:eastAsia="宋体" w:hint="default"/>
                <w:sz w:val="21"/>
                <w:szCs w:val="21"/>
              </w:rPr>
              <w:t>775.54%</w:t>
            </w:r>
            <w:r>
              <w:rPr>
                <w:rFonts w:ascii="宋体" w:hAnsi="宋体" w:cs="宋体" w:eastAsia="宋体" w:hint="default"/>
                <w:sz w:val="21"/>
                <w:szCs w:val="21"/>
              </w:rPr>
              <w:t>，主要原因为：本年购买位</w:t>
            </w:r>
            <w:r>
              <w:rPr>
                <w:rFonts w:ascii="宋体" w:hAnsi="宋体" w:cs="宋体" w:eastAsia="宋体" w:hint="default"/>
                <w:w w:val="100"/>
                <w:sz w:val="21"/>
                <w:szCs w:val="21"/>
              </w:rPr>
              <w:t> </w:t>
            </w:r>
            <w:r>
              <w:rPr>
                <w:rFonts w:ascii="宋体" w:hAnsi="宋体" w:cs="宋体" w:eastAsia="宋体" w:hint="default"/>
                <w:sz w:val="21"/>
                <w:szCs w:val="21"/>
              </w:rPr>
              <w:t>于上海市徐汇区宜山路</w:t>
            </w:r>
            <w:r>
              <w:rPr>
                <w:rFonts w:ascii="宋体" w:hAnsi="宋体" w:cs="宋体" w:eastAsia="宋体" w:hint="default"/>
                <w:spacing w:val="-48"/>
                <w:sz w:val="21"/>
                <w:szCs w:val="21"/>
              </w:rPr>
              <w:t> </w:t>
            </w:r>
            <w:r>
              <w:rPr>
                <w:rFonts w:ascii="宋体" w:hAnsi="宋体" w:cs="宋体" w:eastAsia="宋体" w:hint="default"/>
                <w:sz w:val="21"/>
                <w:szCs w:val="21"/>
              </w:rPr>
              <w:t>700</w:t>
            </w:r>
            <w:r>
              <w:rPr>
                <w:rFonts w:ascii="宋体" w:hAnsi="宋体" w:cs="宋体" w:eastAsia="宋体" w:hint="default"/>
                <w:spacing w:val="-49"/>
                <w:sz w:val="21"/>
                <w:szCs w:val="21"/>
              </w:rPr>
              <w:t> </w:t>
            </w:r>
            <w:r>
              <w:rPr>
                <w:rFonts w:ascii="宋体" w:hAnsi="宋体" w:cs="宋体" w:eastAsia="宋体" w:hint="default"/>
                <w:spacing w:val="-5"/>
                <w:sz w:val="21"/>
                <w:szCs w:val="21"/>
              </w:rPr>
              <w:t>号“普天信息产业园”</w:t>
            </w:r>
            <w:r>
              <w:rPr>
                <w:rFonts w:ascii="宋体" w:hAnsi="宋体" w:cs="宋体" w:eastAsia="宋体" w:hint="default"/>
                <w:spacing w:val="-31"/>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号楼</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49"/>
                <w:sz w:val="21"/>
                <w:szCs w:val="21"/>
              </w:rPr>
              <w:t> </w:t>
            </w:r>
            <w:r>
              <w:rPr>
                <w:rFonts w:ascii="宋体" w:hAnsi="宋体" w:cs="宋体" w:eastAsia="宋体" w:hint="default"/>
                <w:sz w:val="21"/>
                <w:szCs w:val="21"/>
              </w:rPr>
              <w:t>13</w:t>
            </w:r>
            <w:r>
              <w:rPr>
                <w:rFonts w:ascii="宋体" w:hAnsi="宋体" w:cs="宋体" w:eastAsia="宋体" w:hint="default"/>
                <w:spacing w:val="-49"/>
                <w:sz w:val="21"/>
                <w:szCs w:val="21"/>
              </w:rPr>
              <w:t> </w:t>
            </w:r>
            <w:r>
              <w:rPr>
                <w:rFonts w:ascii="宋体" w:hAnsi="宋体" w:cs="宋体" w:eastAsia="宋体" w:hint="default"/>
                <w:spacing w:val="-4"/>
                <w:sz w:val="21"/>
                <w:szCs w:val="21"/>
              </w:rPr>
              <w:t>层房屋作为办公楼使用，增加本年</w:t>
            </w:r>
            <w:r>
              <w:rPr>
                <w:rFonts w:ascii="宋体" w:hAnsi="宋体" w:cs="宋体" w:eastAsia="宋体" w:hint="default"/>
                <w:w w:val="100"/>
                <w:sz w:val="21"/>
                <w:szCs w:val="21"/>
              </w:rPr>
              <w:t> </w:t>
            </w:r>
            <w:r>
              <w:rPr>
                <w:rFonts w:ascii="宋体" w:hAnsi="宋体" w:cs="宋体" w:eastAsia="宋体" w:hint="default"/>
                <w:sz w:val="21"/>
                <w:szCs w:val="21"/>
              </w:rPr>
              <w:t>固定资产。</w:t>
            </w:r>
          </w:p>
        </w:tc>
      </w:tr>
    </w:tbl>
    <w:p>
      <w:pPr>
        <w:spacing w:after="0" w:line="273" w:lineRule="auto"/>
        <w:jc w:val="both"/>
        <w:rPr>
          <w:rFonts w:ascii="宋体" w:hAnsi="宋体" w:cs="宋体" w:eastAsia="宋体" w:hint="default"/>
          <w:sz w:val="21"/>
          <w:szCs w:val="21"/>
        </w:rPr>
        <w:sectPr>
          <w:pgSz w:w="11910" w:h="16840"/>
          <w:pgMar w:header="886" w:footer="980" w:top="1740" w:bottom="1160" w:left="900" w:right="70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946"/>
        <w:gridCol w:w="1984"/>
        <w:gridCol w:w="1843"/>
        <w:gridCol w:w="144"/>
        <w:gridCol w:w="1844"/>
        <w:gridCol w:w="146"/>
        <w:gridCol w:w="1664"/>
        <w:gridCol w:w="171"/>
        <w:gridCol w:w="1668"/>
      </w:tblGrid>
      <w:tr>
        <w:trPr>
          <w:trHeight w:val="706" w:hRule="exact"/>
        </w:trPr>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82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144" w:type="dxa"/>
            <w:tcBorders>
              <w:top w:val="single" w:sz="4" w:space="0" w:color="000000"/>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
        </w:tc>
        <w:tc>
          <w:tcPr>
            <w:tcW w:w="171" w:type="dxa"/>
            <w:tcBorders>
              <w:top w:val="single" w:sz="4" w:space="0" w:color="000000"/>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nil" w:sz="6" w:space="0" w:color="auto"/>
              <w:right w:val="nil" w:sz="6" w:space="0" w:color="auto"/>
            </w:tcBorders>
          </w:tcPr>
          <w:p>
            <w:pPr/>
          </w:p>
        </w:tc>
      </w:tr>
      <w:tr>
        <w:trPr>
          <w:trHeight w:val="583" w:hRule="exact"/>
        </w:trPr>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30" w:right="-2"/>
              <w:jc w:val="left"/>
              <w:rPr>
                <w:rFonts w:ascii="宋体" w:hAnsi="宋体" w:cs="宋体" w:eastAsia="宋体" w:hint="default"/>
                <w:sz w:val="21"/>
                <w:szCs w:val="21"/>
              </w:rPr>
            </w:pPr>
            <w:r>
              <w:rPr>
                <w:rFonts w:ascii="宋体"/>
                <w:sz w:val="21"/>
              </w:rPr>
              <w:t>6.8</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58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 w:right="0"/>
              <w:jc w:val="left"/>
              <w:rPr>
                <w:rFonts w:ascii="宋体" w:hAnsi="宋体" w:cs="宋体" w:eastAsia="宋体" w:hint="default"/>
                <w:sz w:val="21"/>
                <w:szCs w:val="21"/>
              </w:rPr>
            </w:pPr>
            <w:r>
              <w:rPr>
                <w:rFonts w:ascii="宋体" w:hAnsi="宋体" w:cs="宋体" w:eastAsia="宋体" w:hint="default"/>
                <w:sz w:val="21"/>
                <w:szCs w:val="21"/>
              </w:rPr>
              <w:t>6.8.1</w:t>
            </w:r>
            <w:r>
              <w:rPr>
                <w:rFonts w:ascii="宋体" w:hAnsi="宋体" w:cs="宋体" w:eastAsia="宋体" w:hint="default"/>
                <w:spacing w:val="2"/>
                <w:sz w:val="21"/>
                <w:szCs w:val="21"/>
              </w:rPr>
              <w:t> </w:t>
            </w:r>
            <w:r>
              <w:rPr>
                <w:rFonts w:ascii="宋体" w:hAnsi="宋体" w:cs="宋体" w:eastAsia="宋体" w:hint="default"/>
                <w:sz w:val="21"/>
                <w:szCs w:val="21"/>
              </w:rPr>
              <w:t>无形资产情况</w:t>
            </w:r>
          </w:p>
        </w:tc>
        <w:tc>
          <w:tcPr>
            <w:tcW w:w="184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437"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7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56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8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9"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60" w:lineRule="exact"/>
              <w:ind w:right="230"/>
              <w:jc w:val="right"/>
              <w:rPr>
                <w:rFonts w:ascii="宋体" w:hAnsi="宋体" w:cs="宋体" w:eastAsia="宋体" w:hint="default"/>
                <w:sz w:val="21"/>
                <w:szCs w:val="21"/>
              </w:rPr>
            </w:pPr>
            <w:r>
              <w:rPr>
                <w:rFonts w:ascii="宋体"/>
                <w:spacing w:val="-1"/>
                <w:sz w:val="21"/>
              </w:rPr>
              <w:t>10,368,799.10</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231"/>
              <w:jc w:val="right"/>
              <w:rPr>
                <w:rFonts w:ascii="宋体" w:hAnsi="宋体" w:cs="宋体" w:eastAsia="宋体" w:hint="default"/>
                <w:sz w:val="21"/>
                <w:szCs w:val="21"/>
              </w:rPr>
            </w:pPr>
            <w:r>
              <w:rPr>
                <w:rFonts w:ascii="宋体"/>
                <w:spacing w:val="-1"/>
                <w:sz w:val="21"/>
              </w:rPr>
              <w:t>3,524,730.91</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231"/>
              <w:jc w:val="right"/>
              <w:rPr>
                <w:rFonts w:ascii="宋体" w:hAnsi="宋体" w:cs="宋体" w:eastAsia="宋体" w:hint="default"/>
                <w:sz w:val="21"/>
                <w:szCs w:val="21"/>
              </w:rPr>
            </w:pPr>
            <w:r>
              <w:rPr>
                <w:rFonts w:ascii="宋体"/>
                <w:spacing w:val="-1"/>
                <w:sz w:val="21"/>
              </w:rPr>
              <w:t>679,692.79</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64" w:right="0"/>
              <w:jc w:val="left"/>
              <w:rPr>
                <w:rFonts w:ascii="宋体" w:hAnsi="宋体" w:cs="宋体" w:eastAsia="宋体" w:hint="default"/>
                <w:sz w:val="21"/>
                <w:szCs w:val="21"/>
              </w:rPr>
            </w:pPr>
            <w:r>
              <w:rPr>
                <w:rFonts w:ascii="宋体"/>
                <w:sz w:val="21"/>
              </w:rPr>
              <w:t>13,213,837.22</w:t>
            </w:r>
          </w:p>
        </w:tc>
      </w:tr>
      <w:tr>
        <w:trPr>
          <w:trHeight w:val="558"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12" w:space="0" w:color="000000"/>
              <w:left w:val="nil" w:sz="6" w:space="0" w:color="auto"/>
              <w:bottom w:val="nil" w:sz="6" w:space="0" w:color="auto"/>
              <w:right w:val="nil" w:sz="6" w:space="0" w:color="auto"/>
            </w:tcBorders>
          </w:tcPr>
          <w:p>
            <w:pPr>
              <w:pStyle w:val="TableParagraph"/>
              <w:spacing w:line="240" w:lineRule="auto" w:before="105"/>
              <w:ind w:right="230"/>
              <w:jc w:val="right"/>
              <w:rPr>
                <w:rFonts w:ascii="宋体" w:hAnsi="宋体" w:cs="宋体" w:eastAsia="宋体" w:hint="default"/>
                <w:sz w:val="21"/>
                <w:szCs w:val="21"/>
              </w:rPr>
            </w:pPr>
            <w:r>
              <w:rPr>
                <w:rFonts w:ascii="宋体"/>
                <w:spacing w:val="-1"/>
                <w:sz w:val="21"/>
              </w:rPr>
              <w:t>1,814,046.80</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single" w:sz="12" w:space="0" w:color="000000"/>
              <w:left w:val="nil" w:sz="6" w:space="0" w:color="auto"/>
              <w:bottom w:val="nil" w:sz="6" w:space="0" w:color="auto"/>
              <w:right w:val="nil" w:sz="6" w:space="0" w:color="auto"/>
            </w:tcBorders>
          </w:tcPr>
          <w:p>
            <w:pPr>
              <w:pStyle w:val="TableParagraph"/>
              <w:spacing w:line="240" w:lineRule="auto" w:before="105"/>
              <w:ind w:right="230"/>
              <w:jc w:val="right"/>
              <w:rPr>
                <w:rFonts w:ascii="宋体" w:hAnsi="宋体" w:cs="宋体" w:eastAsia="宋体" w:hint="default"/>
                <w:sz w:val="21"/>
                <w:szCs w:val="21"/>
              </w:rPr>
            </w:pPr>
            <w:r>
              <w:rPr>
                <w:rFonts w:ascii="宋体"/>
                <w:spacing w:val="-1"/>
                <w:sz w:val="21"/>
              </w:rPr>
              <w:t>230,921.64</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single" w:sz="12" w:space="0" w:color="000000"/>
              <w:left w:val="nil" w:sz="6" w:space="0" w:color="auto"/>
              <w:bottom w:val="nil" w:sz="6" w:space="0" w:color="auto"/>
              <w:right w:val="nil" w:sz="6" w:space="0" w:color="auto"/>
            </w:tcBorders>
          </w:tcPr>
          <w:p>
            <w:pPr>
              <w:pStyle w:val="TableParagraph"/>
              <w:spacing w:line="240" w:lineRule="auto" w:before="105"/>
              <w:ind w:right="231"/>
              <w:jc w:val="right"/>
              <w:rPr>
                <w:rFonts w:ascii="宋体" w:hAnsi="宋体" w:cs="宋体" w:eastAsia="宋体" w:hint="default"/>
                <w:sz w:val="21"/>
                <w:szCs w:val="21"/>
              </w:rPr>
            </w:pPr>
            <w:r>
              <w:rPr>
                <w:rFonts w:ascii="宋体"/>
                <w:spacing w:val="-1"/>
                <w:sz w:val="21"/>
              </w:rPr>
              <w:t>679,692.79</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70" w:right="0"/>
              <w:jc w:val="left"/>
              <w:rPr>
                <w:rFonts w:ascii="宋体" w:hAnsi="宋体" w:cs="宋体" w:eastAsia="宋体" w:hint="default"/>
                <w:sz w:val="21"/>
                <w:szCs w:val="21"/>
              </w:rPr>
            </w:pPr>
            <w:r>
              <w:rPr>
                <w:rFonts w:ascii="宋体"/>
                <w:sz w:val="21"/>
              </w:rPr>
              <w:t>1,365,275.65</w:t>
            </w:r>
          </w:p>
        </w:tc>
      </w:tr>
      <w:tr>
        <w:trPr>
          <w:trHeight w:val="312"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3" w:type="dxa"/>
            <w:tcBorders>
              <w:top w:val="nil" w:sz="6" w:space="0" w:color="auto"/>
              <w:left w:val="nil" w:sz="6" w:space="0" w:color="auto"/>
              <w:bottom w:val="nil" w:sz="6" w:space="0" w:color="auto"/>
              <w:right w:val="nil" w:sz="6" w:space="0" w:color="auto"/>
            </w:tcBorders>
          </w:tcPr>
          <w:p>
            <w:pPr>
              <w:pStyle w:val="TableParagraph"/>
              <w:spacing w:line="264" w:lineRule="exact"/>
              <w:ind w:right="230"/>
              <w:jc w:val="right"/>
              <w:rPr>
                <w:rFonts w:ascii="宋体" w:hAnsi="宋体" w:cs="宋体" w:eastAsia="宋体" w:hint="default"/>
                <w:sz w:val="21"/>
                <w:szCs w:val="21"/>
              </w:rPr>
            </w:pPr>
            <w:r>
              <w:rPr>
                <w:rFonts w:ascii="宋体"/>
                <w:spacing w:val="-1"/>
                <w:sz w:val="21"/>
              </w:rPr>
              <w:t>1,621,546.00</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0"/>
              <w:jc w:val="right"/>
              <w:rPr>
                <w:rFonts w:ascii="宋体" w:hAnsi="宋体" w:cs="宋体" w:eastAsia="宋体" w:hint="default"/>
                <w:sz w:val="21"/>
                <w:szCs w:val="21"/>
              </w:rPr>
            </w:pPr>
            <w:r>
              <w:rPr>
                <w:rFonts w:ascii="宋体"/>
                <w:spacing w:val="-1"/>
                <w:sz w:val="21"/>
              </w:rPr>
              <w:t>374,706.19</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宋体" w:hAnsi="宋体" w:cs="宋体" w:eastAsia="宋体" w:hint="default"/>
                <w:sz w:val="21"/>
                <w:szCs w:val="21"/>
              </w:rPr>
            </w:pPr>
            <w:r>
              <w:rPr>
                <w:rFonts w:ascii="宋体"/>
                <w:w w:val="100"/>
                <w:sz w:val="21"/>
              </w:rPr>
              <w:t>-</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0" w:right="0"/>
              <w:jc w:val="left"/>
              <w:rPr>
                <w:rFonts w:ascii="宋体" w:hAnsi="宋体" w:cs="宋体" w:eastAsia="宋体" w:hint="default"/>
                <w:sz w:val="21"/>
                <w:szCs w:val="21"/>
              </w:rPr>
            </w:pPr>
            <w:r>
              <w:rPr>
                <w:rFonts w:ascii="宋体"/>
                <w:sz w:val="21"/>
              </w:rPr>
              <w:t>1,996,252.19</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4" w:lineRule="exact"/>
              <w:ind w:right="230"/>
              <w:jc w:val="right"/>
              <w:rPr>
                <w:rFonts w:ascii="宋体" w:hAnsi="宋体" w:cs="宋体" w:eastAsia="宋体" w:hint="default"/>
                <w:sz w:val="21"/>
                <w:szCs w:val="21"/>
              </w:rPr>
            </w:pPr>
            <w:r>
              <w:rPr>
                <w:rFonts w:ascii="宋体"/>
                <w:spacing w:val="-1"/>
                <w:sz w:val="21"/>
              </w:rPr>
              <w:t>3,866,056.73</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宋体" w:hAnsi="宋体" w:cs="宋体" w:eastAsia="宋体" w:hint="default"/>
                <w:sz w:val="21"/>
                <w:szCs w:val="21"/>
              </w:rPr>
            </w:pPr>
            <w:r>
              <w:rPr>
                <w:rFonts w:ascii="宋体"/>
                <w:w w:val="100"/>
                <w:sz w:val="21"/>
              </w:rPr>
              <w:t>-</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宋体" w:hAnsi="宋体" w:cs="宋体" w:eastAsia="宋体" w:hint="default"/>
                <w:sz w:val="21"/>
                <w:szCs w:val="21"/>
              </w:rPr>
            </w:pPr>
            <w:r>
              <w:rPr>
                <w:rFonts w:ascii="宋体"/>
                <w:w w:val="100"/>
                <w:sz w:val="21"/>
              </w:rPr>
              <w:t>-</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64" w:lineRule="exact"/>
              <w:ind w:left="170" w:right="0"/>
              <w:jc w:val="left"/>
              <w:rPr>
                <w:rFonts w:ascii="宋体" w:hAnsi="宋体" w:cs="宋体" w:eastAsia="宋体" w:hint="default"/>
                <w:sz w:val="21"/>
                <w:szCs w:val="21"/>
              </w:rPr>
            </w:pPr>
            <w:r>
              <w:rPr>
                <w:rFonts w:ascii="宋体"/>
                <w:sz w:val="21"/>
              </w:rPr>
              <w:t>3,866,056.73</w:t>
            </w:r>
          </w:p>
        </w:tc>
      </w:tr>
      <w:tr>
        <w:trPr>
          <w:trHeight w:val="479"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3" w:lineRule="exact"/>
              <w:ind w:right="230"/>
              <w:jc w:val="right"/>
              <w:rPr>
                <w:rFonts w:ascii="宋体" w:hAnsi="宋体" w:cs="宋体" w:eastAsia="宋体" w:hint="default"/>
                <w:sz w:val="21"/>
                <w:szCs w:val="21"/>
              </w:rPr>
            </w:pPr>
            <w:r>
              <w:rPr>
                <w:rFonts w:ascii="宋体"/>
                <w:spacing w:val="-1"/>
                <w:sz w:val="21"/>
              </w:rPr>
              <w:t>3,067,149.57</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1"/>
              <w:jc w:val="right"/>
              <w:rPr>
                <w:rFonts w:ascii="宋体" w:hAnsi="宋体" w:cs="宋体" w:eastAsia="宋体" w:hint="default"/>
                <w:sz w:val="21"/>
                <w:szCs w:val="21"/>
              </w:rPr>
            </w:pPr>
            <w:r>
              <w:rPr>
                <w:rFonts w:ascii="宋体"/>
                <w:spacing w:val="-1"/>
                <w:sz w:val="21"/>
              </w:rPr>
              <w:t>2,919,103.08</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3"/>
              <w:jc w:val="right"/>
              <w:rPr>
                <w:rFonts w:ascii="宋体" w:hAnsi="宋体" w:cs="宋体" w:eastAsia="宋体" w:hint="default"/>
                <w:sz w:val="21"/>
                <w:szCs w:val="21"/>
              </w:rPr>
            </w:pPr>
            <w:r>
              <w:rPr>
                <w:rFonts w:ascii="宋体"/>
                <w:w w:val="100"/>
                <w:sz w:val="21"/>
              </w:rPr>
              <w:t>-</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63" w:lineRule="exact"/>
              <w:ind w:left="170" w:right="0"/>
              <w:jc w:val="left"/>
              <w:rPr>
                <w:rFonts w:ascii="宋体" w:hAnsi="宋体" w:cs="宋体" w:eastAsia="宋体" w:hint="default"/>
                <w:sz w:val="21"/>
                <w:szCs w:val="21"/>
              </w:rPr>
            </w:pPr>
            <w:r>
              <w:rPr>
                <w:rFonts w:ascii="宋体"/>
                <w:sz w:val="21"/>
              </w:rPr>
              <w:t>5,986,252.65</w:t>
            </w:r>
          </w:p>
        </w:tc>
      </w:tr>
      <w:tr>
        <w:trPr>
          <w:trHeight w:val="472"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230"/>
              <w:jc w:val="right"/>
              <w:rPr>
                <w:rFonts w:ascii="宋体" w:hAnsi="宋体" w:cs="宋体" w:eastAsia="宋体" w:hint="default"/>
                <w:sz w:val="21"/>
                <w:szCs w:val="21"/>
              </w:rPr>
            </w:pPr>
            <w:r>
              <w:rPr>
                <w:rFonts w:ascii="宋体"/>
                <w:spacing w:val="-1"/>
                <w:sz w:val="21"/>
              </w:rPr>
              <w:t>2,670,845.87</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231"/>
              <w:jc w:val="right"/>
              <w:rPr>
                <w:rFonts w:ascii="宋体" w:hAnsi="宋体" w:cs="宋体" w:eastAsia="宋体" w:hint="default"/>
                <w:sz w:val="21"/>
                <w:szCs w:val="21"/>
              </w:rPr>
            </w:pPr>
            <w:r>
              <w:rPr>
                <w:rFonts w:ascii="宋体"/>
                <w:spacing w:val="-1"/>
                <w:sz w:val="21"/>
              </w:rPr>
              <w:t>1,714,047.98</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231"/>
              <w:jc w:val="right"/>
              <w:rPr>
                <w:rFonts w:ascii="宋体" w:hAnsi="宋体" w:cs="宋体" w:eastAsia="宋体" w:hint="default"/>
                <w:sz w:val="21"/>
                <w:szCs w:val="21"/>
              </w:rPr>
            </w:pPr>
            <w:r>
              <w:rPr>
                <w:rFonts w:ascii="宋体"/>
                <w:spacing w:val="-1"/>
                <w:sz w:val="21"/>
              </w:rPr>
              <w:t>679,692.79</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left="170" w:right="0"/>
              <w:jc w:val="left"/>
              <w:rPr>
                <w:rFonts w:ascii="宋体" w:hAnsi="宋体" w:cs="宋体" w:eastAsia="宋体" w:hint="default"/>
                <w:sz w:val="21"/>
                <w:szCs w:val="21"/>
              </w:rPr>
            </w:pPr>
            <w:r>
              <w:rPr>
                <w:rFonts w:ascii="宋体"/>
                <w:sz w:val="21"/>
              </w:rPr>
              <w:t>3,705,201.06</w:t>
            </w:r>
          </w:p>
        </w:tc>
      </w:tr>
      <w:tr>
        <w:trPr>
          <w:trHeight w:val="325"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12" w:space="0" w:color="000000"/>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spacing w:val="-1"/>
                <w:sz w:val="21"/>
              </w:rPr>
              <w:t>1,126,564.48</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230"/>
              <w:jc w:val="right"/>
              <w:rPr>
                <w:rFonts w:ascii="宋体" w:hAnsi="宋体" w:cs="宋体" w:eastAsia="宋体" w:hint="default"/>
                <w:sz w:val="21"/>
                <w:szCs w:val="21"/>
              </w:rPr>
            </w:pPr>
            <w:r>
              <w:rPr>
                <w:rFonts w:ascii="宋体"/>
                <w:spacing w:val="-1"/>
                <w:sz w:val="21"/>
              </w:rPr>
              <w:t>230,103.29</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231"/>
              <w:jc w:val="right"/>
              <w:rPr>
                <w:rFonts w:ascii="宋体" w:hAnsi="宋体" w:cs="宋体" w:eastAsia="宋体" w:hint="default"/>
                <w:sz w:val="21"/>
                <w:szCs w:val="21"/>
              </w:rPr>
            </w:pPr>
            <w:r>
              <w:rPr>
                <w:rFonts w:ascii="宋体"/>
                <w:spacing w:val="-1"/>
                <w:sz w:val="21"/>
              </w:rPr>
              <w:t>679,692.79</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left="381" w:right="0"/>
              <w:jc w:val="left"/>
              <w:rPr>
                <w:rFonts w:ascii="宋体" w:hAnsi="宋体" w:cs="宋体" w:eastAsia="宋体" w:hint="default"/>
                <w:sz w:val="21"/>
                <w:szCs w:val="21"/>
              </w:rPr>
            </w:pPr>
            <w:r>
              <w:rPr>
                <w:rFonts w:ascii="宋体"/>
                <w:sz w:val="21"/>
              </w:rPr>
              <w:t>676,974.98</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3" w:type="dxa"/>
            <w:tcBorders>
              <w:top w:val="nil" w:sz="6" w:space="0" w:color="auto"/>
              <w:left w:val="nil" w:sz="6" w:space="0" w:color="auto"/>
              <w:bottom w:val="nil" w:sz="6" w:space="0" w:color="auto"/>
              <w:right w:val="nil" w:sz="6" w:space="0" w:color="auto"/>
            </w:tcBorders>
          </w:tcPr>
          <w:p>
            <w:pPr>
              <w:pStyle w:val="TableParagraph"/>
              <w:spacing w:line="264" w:lineRule="exact"/>
              <w:ind w:right="233"/>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宋体" w:hAnsi="宋体" w:cs="宋体" w:eastAsia="宋体" w:hint="default"/>
                <w:sz w:val="21"/>
                <w:szCs w:val="21"/>
              </w:rPr>
            </w:pPr>
            <w:r>
              <w:rPr>
                <w:rFonts w:ascii="宋体"/>
                <w:w w:val="100"/>
                <w:sz w:val="21"/>
              </w:rPr>
              <w:t>-</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宋体" w:hAnsi="宋体" w:cs="宋体" w:eastAsia="宋体" w:hint="default"/>
                <w:sz w:val="21"/>
                <w:szCs w:val="21"/>
              </w:rPr>
            </w:pPr>
            <w:r>
              <w:rPr>
                <w:rFonts w:ascii="宋体"/>
                <w:w w:val="100"/>
                <w:sz w:val="21"/>
              </w:rPr>
              <w:t>-</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5"/>
              <w:jc w:val="right"/>
              <w:rPr>
                <w:rFonts w:ascii="宋体" w:hAnsi="宋体" w:cs="宋体" w:eastAsia="宋体" w:hint="default"/>
                <w:sz w:val="21"/>
                <w:szCs w:val="21"/>
              </w:rPr>
            </w:pPr>
            <w:r>
              <w:rPr>
                <w:rFonts w:ascii="宋体"/>
                <w:w w:val="100"/>
                <w:sz w:val="21"/>
              </w:rPr>
              <w:t>-</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spacing w:val="-1"/>
                <w:sz w:val="21"/>
              </w:rPr>
              <w:t>1,288,685.59</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0"/>
              <w:jc w:val="right"/>
              <w:rPr>
                <w:rFonts w:ascii="宋体" w:hAnsi="宋体" w:cs="宋体" w:eastAsia="宋体" w:hint="default"/>
                <w:sz w:val="21"/>
                <w:szCs w:val="21"/>
              </w:rPr>
            </w:pPr>
            <w:r>
              <w:rPr>
                <w:rFonts w:ascii="宋体"/>
                <w:spacing w:val="-1"/>
                <w:sz w:val="21"/>
              </w:rPr>
              <w:t>773,211.34</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3"/>
              <w:jc w:val="right"/>
              <w:rPr>
                <w:rFonts w:ascii="宋体" w:hAnsi="宋体" w:cs="宋体" w:eastAsia="宋体" w:hint="default"/>
                <w:sz w:val="21"/>
                <w:szCs w:val="21"/>
              </w:rPr>
            </w:pPr>
            <w:r>
              <w:rPr>
                <w:rFonts w:ascii="宋体"/>
                <w:w w:val="100"/>
                <w:sz w:val="21"/>
              </w:rPr>
              <w:t>-</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0" w:right="0"/>
              <w:jc w:val="left"/>
              <w:rPr>
                <w:rFonts w:ascii="宋体" w:hAnsi="宋体" w:cs="宋体" w:eastAsia="宋体" w:hint="default"/>
                <w:sz w:val="21"/>
                <w:szCs w:val="21"/>
              </w:rPr>
            </w:pPr>
            <w:r>
              <w:rPr>
                <w:rFonts w:ascii="宋体"/>
                <w:sz w:val="21"/>
              </w:rPr>
              <w:t>2,061,896.93</w:t>
            </w:r>
          </w:p>
        </w:tc>
      </w:tr>
      <w:tr>
        <w:trPr>
          <w:trHeight w:val="467"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4" w:lineRule="exact"/>
              <w:ind w:right="230"/>
              <w:jc w:val="right"/>
              <w:rPr>
                <w:rFonts w:ascii="宋体" w:hAnsi="宋体" w:cs="宋体" w:eastAsia="宋体" w:hint="default"/>
                <w:sz w:val="21"/>
                <w:szCs w:val="21"/>
              </w:rPr>
            </w:pPr>
            <w:r>
              <w:rPr>
                <w:rFonts w:ascii="宋体"/>
                <w:spacing w:val="-1"/>
                <w:sz w:val="21"/>
              </w:rPr>
              <w:t>255,595.80</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0"/>
              <w:jc w:val="right"/>
              <w:rPr>
                <w:rFonts w:ascii="宋体" w:hAnsi="宋体" w:cs="宋体" w:eastAsia="宋体" w:hint="default"/>
                <w:sz w:val="21"/>
                <w:szCs w:val="21"/>
              </w:rPr>
            </w:pPr>
            <w:r>
              <w:rPr>
                <w:rFonts w:ascii="宋体"/>
                <w:spacing w:val="-1"/>
                <w:sz w:val="21"/>
              </w:rPr>
              <w:t>710,733.35</w:t>
            </w: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3"/>
              <w:jc w:val="right"/>
              <w:rPr>
                <w:rFonts w:ascii="宋体" w:hAnsi="宋体" w:cs="宋体" w:eastAsia="宋体" w:hint="default"/>
                <w:sz w:val="21"/>
                <w:szCs w:val="21"/>
              </w:rPr>
            </w:pPr>
            <w:r>
              <w:rPr>
                <w:rFonts w:ascii="宋体"/>
                <w:w w:val="100"/>
                <w:sz w:val="21"/>
              </w:rPr>
              <w:t>-</w:t>
            </w: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9" w:right="0"/>
              <w:jc w:val="left"/>
              <w:rPr>
                <w:rFonts w:ascii="宋体" w:hAnsi="宋体" w:cs="宋体" w:eastAsia="宋体" w:hint="default"/>
                <w:sz w:val="21"/>
                <w:szCs w:val="21"/>
              </w:rPr>
            </w:pPr>
            <w:r>
              <w:rPr>
                <w:rFonts w:ascii="宋体"/>
                <w:sz w:val="21"/>
              </w:rPr>
              <w:t>966,329.15</w:t>
            </w:r>
          </w:p>
        </w:tc>
      </w:tr>
      <w:tr>
        <w:trPr>
          <w:trHeight w:val="64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 w:right="135"/>
              <w:jc w:val="left"/>
              <w:rPr>
                <w:rFonts w:ascii="宋体" w:hAnsi="宋体" w:cs="宋体" w:eastAsia="宋体" w:hint="default"/>
                <w:sz w:val="18"/>
                <w:szCs w:val="18"/>
              </w:rPr>
            </w:pPr>
            <w:r>
              <w:rPr>
                <w:rFonts w:ascii="宋体" w:hAnsi="宋体" w:cs="宋体" w:eastAsia="宋体" w:hint="default"/>
                <w:spacing w:val="4"/>
                <w:sz w:val="18"/>
                <w:szCs w:val="18"/>
              </w:rPr>
              <w:t>三、无形资产账面净值 </w:t>
            </w:r>
            <w:r>
              <w:rPr>
                <w:rFonts w:ascii="宋体" w:hAnsi="宋体" w:cs="宋体" w:eastAsia="宋体" w:hint="default"/>
                <w:sz w:val="18"/>
                <w:szCs w:val="18"/>
              </w:rPr>
              <w:t>合计</w:t>
            </w: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30"/>
              <w:jc w:val="right"/>
              <w:rPr>
                <w:rFonts w:ascii="宋体" w:hAnsi="宋体" w:cs="宋体" w:eastAsia="宋体" w:hint="default"/>
                <w:sz w:val="21"/>
                <w:szCs w:val="21"/>
              </w:rPr>
            </w:pPr>
            <w:r>
              <w:rPr>
                <w:rFonts w:ascii="宋体"/>
                <w:spacing w:val="-1"/>
                <w:sz w:val="21"/>
              </w:rPr>
              <w:t>7,697,953.23</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70" w:right="0"/>
              <w:jc w:val="left"/>
              <w:rPr>
                <w:rFonts w:ascii="宋体" w:hAnsi="宋体" w:cs="宋体" w:eastAsia="宋体" w:hint="default"/>
                <w:sz w:val="21"/>
                <w:szCs w:val="21"/>
              </w:rPr>
            </w:pPr>
            <w:r>
              <w:rPr>
                <w:rFonts w:ascii="宋体"/>
                <w:sz w:val="21"/>
              </w:rPr>
              <w:t>9,508,636.16</w:t>
            </w:r>
          </w:p>
        </w:tc>
      </w:tr>
      <w:tr>
        <w:trPr>
          <w:trHeight w:val="324"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20" w:lineRule="exact"/>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12" w:space="0" w:color="000000"/>
              <w:left w:val="nil" w:sz="6" w:space="0" w:color="auto"/>
              <w:bottom w:val="nil" w:sz="6" w:space="0" w:color="auto"/>
              <w:right w:val="nil" w:sz="6" w:space="0" w:color="auto"/>
            </w:tcBorders>
          </w:tcPr>
          <w:p>
            <w:pPr>
              <w:pStyle w:val="TableParagraph"/>
              <w:spacing w:line="260" w:lineRule="exact"/>
              <w:ind w:right="230"/>
              <w:jc w:val="right"/>
              <w:rPr>
                <w:rFonts w:ascii="宋体" w:hAnsi="宋体" w:cs="宋体" w:eastAsia="宋体" w:hint="default"/>
                <w:sz w:val="21"/>
                <w:szCs w:val="21"/>
              </w:rPr>
            </w:pPr>
            <w:r>
              <w:rPr>
                <w:rFonts w:ascii="宋体"/>
                <w:spacing w:val="-1"/>
                <w:sz w:val="21"/>
              </w:rPr>
              <w:t>687,482.32</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left="381" w:right="0"/>
              <w:jc w:val="left"/>
              <w:rPr>
                <w:rFonts w:ascii="宋体" w:hAnsi="宋体" w:cs="宋体" w:eastAsia="宋体" w:hint="default"/>
                <w:sz w:val="21"/>
                <w:szCs w:val="21"/>
              </w:rPr>
            </w:pPr>
            <w:r>
              <w:rPr>
                <w:rFonts w:ascii="宋体"/>
                <w:sz w:val="21"/>
              </w:rPr>
              <w:t>688,300.67</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3" w:type="dxa"/>
            <w:tcBorders>
              <w:top w:val="nil" w:sz="6" w:space="0" w:color="auto"/>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spacing w:val="-1"/>
                <w:sz w:val="21"/>
              </w:rPr>
              <w:t>1,621,546.00</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0" w:right="0"/>
              <w:jc w:val="left"/>
              <w:rPr>
                <w:rFonts w:ascii="宋体" w:hAnsi="宋体" w:cs="宋体" w:eastAsia="宋体" w:hint="default"/>
                <w:sz w:val="21"/>
                <w:szCs w:val="21"/>
              </w:rPr>
            </w:pPr>
            <w:r>
              <w:rPr>
                <w:rFonts w:ascii="宋体"/>
                <w:sz w:val="21"/>
              </w:rPr>
              <w:t>1,996,252.19</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4" w:lineRule="exact"/>
              <w:ind w:right="230"/>
              <w:jc w:val="right"/>
              <w:rPr>
                <w:rFonts w:ascii="宋体" w:hAnsi="宋体" w:cs="宋体" w:eastAsia="宋体" w:hint="default"/>
                <w:sz w:val="21"/>
                <w:szCs w:val="21"/>
              </w:rPr>
            </w:pPr>
            <w:r>
              <w:rPr>
                <w:rFonts w:ascii="宋体"/>
                <w:spacing w:val="-1"/>
                <w:sz w:val="21"/>
              </w:rPr>
              <w:t>2,577,371.14</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0" w:right="0"/>
              <w:jc w:val="left"/>
              <w:rPr>
                <w:rFonts w:ascii="宋体" w:hAnsi="宋体" w:cs="宋体" w:eastAsia="宋体" w:hint="default"/>
                <w:sz w:val="21"/>
                <w:szCs w:val="21"/>
              </w:rPr>
            </w:pPr>
            <w:r>
              <w:rPr>
                <w:rFonts w:ascii="宋体"/>
                <w:sz w:val="21"/>
              </w:rPr>
              <w:t>1,804,159.80</w:t>
            </w:r>
          </w:p>
        </w:tc>
      </w:tr>
      <w:tr>
        <w:trPr>
          <w:trHeight w:val="480"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spacing w:val="-1"/>
                <w:sz w:val="21"/>
              </w:rPr>
              <w:t>2,811,553.77</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21"/>
                <w:szCs w:val="21"/>
              </w:rPr>
            </w:pPr>
            <w:r>
              <w:rPr>
                <w:rFonts w:ascii="宋体"/>
                <w:sz w:val="21"/>
              </w:rPr>
              <w:t>5,019,923.50</w:t>
            </w:r>
          </w:p>
        </w:tc>
      </w:tr>
      <w:tr>
        <w:trPr>
          <w:trHeight w:val="47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132"/>
              <w:ind w:right="233"/>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12" w:space="0" w:color="000000"/>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12" w:space="0" w:color="000000"/>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132"/>
              <w:ind w:right="235"/>
              <w:jc w:val="right"/>
              <w:rPr>
                <w:rFonts w:ascii="宋体" w:hAnsi="宋体" w:cs="宋体" w:eastAsia="宋体" w:hint="default"/>
                <w:sz w:val="21"/>
                <w:szCs w:val="21"/>
              </w:rPr>
            </w:pPr>
            <w:r>
              <w:rPr>
                <w:rFonts w:ascii="宋体"/>
                <w:w w:val="100"/>
                <w:sz w:val="21"/>
              </w:rPr>
              <w:t>-</w:t>
            </w:r>
          </w:p>
        </w:tc>
      </w:tr>
      <w:tr>
        <w:trPr>
          <w:trHeight w:val="316"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22" w:lineRule="exact"/>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12" w:space="0" w:color="000000"/>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single" w:sz="12" w:space="0" w:color="000000"/>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single" w:sz="12" w:space="0" w:color="000000"/>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Style w:val="TableParagraph"/>
              <w:spacing w:line="262" w:lineRule="exact"/>
              <w:ind w:right="233"/>
              <w:jc w:val="right"/>
              <w:rPr>
                <w:rFonts w:ascii="宋体" w:hAnsi="宋体" w:cs="宋体" w:eastAsia="宋体" w:hint="default"/>
                <w:sz w:val="21"/>
                <w:szCs w:val="21"/>
              </w:rPr>
            </w:pPr>
            <w:r>
              <w:rPr>
                <w:rFonts w:ascii="宋体"/>
                <w:w w:val="100"/>
                <w:sz w:val="21"/>
              </w:rPr>
              <w:t>-</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3" w:type="dxa"/>
            <w:tcBorders>
              <w:top w:val="nil" w:sz="6" w:space="0" w:color="auto"/>
              <w:left w:val="nil" w:sz="6" w:space="0" w:color="auto"/>
              <w:bottom w:val="nil" w:sz="6" w:space="0" w:color="auto"/>
              <w:right w:val="nil" w:sz="6" w:space="0" w:color="auto"/>
            </w:tcBorders>
          </w:tcPr>
          <w:p>
            <w:pPr>
              <w:pStyle w:val="TableParagraph"/>
              <w:spacing w:line="273" w:lineRule="exact"/>
              <w:ind w:right="233"/>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73" w:lineRule="exact"/>
              <w:ind w:right="235"/>
              <w:jc w:val="right"/>
              <w:rPr>
                <w:rFonts w:ascii="宋体" w:hAnsi="宋体" w:cs="宋体" w:eastAsia="宋体" w:hint="default"/>
                <w:sz w:val="21"/>
                <w:szCs w:val="21"/>
              </w:rPr>
            </w:pPr>
            <w:r>
              <w:rPr>
                <w:rFonts w:ascii="宋体"/>
                <w:w w:val="100"/>
                <w:sz w:val="21"/>
              </w:rPr>
              <w:t>-</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72" w:lineRule="exact"/>
              <w:ind w:right="233"/>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72" w:lineRule="exact"/>
              <w:ind w:right="235"/>
              <w:jc w:val="right"/>
              <w:rPr>
                <w:rFonts w:ascii="宋体" w:hAnsi="宋体" w:cs="宋体" w:eastAsia="宋体" w:hint="default"/>
                <w:sz w:val="21"/>
                <w:szCs w:val="21"/>
              </w:rPr>
            </w:pPr>
            <w:r>
              <w:rPr>
                <w:rFonts w:ascii="宋体"/>
                <w:w w:val="100"/>
                <w:sz w:val="21"/>
              </w:rPr>
              <w:t>-</w:t>
            </w:r>
          </w:p>
        </w:tc>
      </w:tr>
      <w:tr>
        <w:trPr>
          <w:trHeight w:val="467"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73" w:lineRule="exact"/>
              <w:ind w:right="233"/>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73" w:lineRule="exact"/>
              <w:ind w:right="235"/>
              <w:jc w:val="right"/>
              <w:rPr>
                <w:rFonts w:ascii="宋体" w:hAnsi="宋体" w:cs="宋体" w:eastAsia="宋体" w:hint="default"/>
                <w:sz w:val="21"/>
                <w:szCs w:val="21"/>
              </w:rPr>
            </w:pPr>
            <w:r>
              <w:rPr>
                <w:rFonts w:ascii="宋体"/>
                <w:w w:val="100"/>
                <w:sz w:val="21"/>
              </w:rPr>
              <w:t>-</w:t>
            </w:r>
          </w:p>
        </w:tc>
      </w:tr>
      <w:tr>
        <w:trPr>
          <w:trHeight w:val="650"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 w:right="135"/>
              <w:jc w:val="left"/>
              <w:rPr>
                <w:rFonts w:ascii="宋体" w:hAnsi="宋体" w:cs="宋体" w:eastAsia="宋体" w:hint="default"/>
                <w:sz w:val="18"/>
                <w:szCs w:val="18"/>
              </w:rPr>
            </w:pPr>
            <w:r>
              <w:rPr>
                <w:rFonts w:ascii="宋体" w:hAnsi="宋体" w:cs="宋体" w:eastAsia="宋体" w:hint="default"/>
                <w:spacing w:val="4"/>
                <w:sz w:val="18"/>
                <w:szCs w:val="18"/>
              </w:rPr>
              <w:t>五、无形资产账面价值 </w:t>
            </w:r>
            <w:r>
              <w:rPr>
                <w:rFonts w:ascii="宋体" w:hAnsi="宋体" w:cs="宋体" w:eastAsia="宋体" w:hint="default"/>
                <w:sz w:val="18"/>
                <w:szCs w:val="18"/>
              </w:rPr>
              <w:t>合计</w:t>
            </w: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30"/>
              <w:jc w:val="right"/>
              <w:rPr>
                <w:rFonts w:ascii="宋体" w:hAnsi="宋体" w:cs="宋体" w:eastAsia="宋体" w:hint="default"/>
                <w:sz w:val="21"/>
                <w:szCs w:val="21"/>
              </w:rPr>
            </w:pPr>
            <w:r>
              <w:rPr>
                <w:rFonts w:ascii="宋体"/>
                <w:spacing w:val="-1"/>
                <w:sz w:val="21"/>
              </w:rPr>
              <w:t>7,697,953.23</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70" w:right="0"/>
              <w:jc w:val="left"/>
              <w:rPr>
                <w:rFonts w:ascii="宋体" w:hAnsi="宋体" w:cs="宋体" w:eastAsia="宋体" w:hint="default"/>
                <w:sz w:val="21"/>
                <w:szCs w:val="21"/>
              </w:rPr>
            </w:pPr>
            <w:r>
              <w:rPr>
                <w:rFonts w:ascii="宋体"/>
                <w:sz w:val="21"/>
              </w:rPr>
              <w:t>9,508,636.16</w:t>
            </w:r>
          </w:p>
        </w:tc>
      </w:tr>
      <w:tr>
        <w:trPr>
          <w:trHeight w:val="324"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20" w:lineRule="exact"/>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12" w:space="0" w:color="000000"/>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spacing w:val="-1"/>
                <w:sz w:val="21"/>
              </w:rPr>
              <w:t>687,482.32</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left="381" w:right="0"/>
              <w:jc w:val="left"/>
              <w:rPr>
                <w:rFonts w:ascii="宋体" w:hAnsi="宋体" w:cs="宋体" w:eastAsia="宋体" w:hint="default"/>
                <w:sz w:val="21"/>
                <w:szCs w:val="21"/>
              </w:rPr>
            </w:pPr>
            <w:r>
              <w:rPr>
                <w:rFonts w:ascii="宋体"/>
                <w:sz w:val="21"/>
              </w:rPr>
              <w:t>688,300.67</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843" w:type="dxa"/>
            <w:tcBorders>
              <w:top w:val="nil" w:sz="6" w:space="0" w:color="auto"/>
              <w:left w:val="nil" w:sz="6" w:space="0" w:color="auto"/>
              <w:bottom w:val="nil" w:sz="6" w:space="0" w:color="auto"/>
              <w:right w:val="nil" w:sz="6" w:space="0" w:color="auto"/>
            </w:tcBorders>
          </w:tcPr>
          <w:p>
            <w:pPr>
              <w:pStyle w:val="TableParagraph"/>
              <w:spacing w:line="262" w:lineRule="exact"/>
              <w:ind w:right="230"/>
              <w:jc w:val="right"/>
              <w:rPr>
                <w:rFonts w:ascii="宋体" w:hAnsi="宋体" w:cs="宋体" w:eastAsia="宋体" w:hint="default"/>
                <w:sz w:val="21"/>
                <w:szCs w:val="21"/>
              </w:rPr>
            </w:pPr>
            <w:r>
              <w:rPr>
                <w:rFonts w:ascii="宋体"/>
                <w:spacing w:val="-1"/>
                <w:sz w:val="21"/>
              </w:rPr>
              <w:t>1,621,546.00</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0" w:right="0"/>
              <w:jc w:val="left"/>
              <w:rPr>
                <w:rFonts w:ascii="宋体" w:hAnsi="宋体" w:cs="宋体" w:eastAsia="宋体" w:hint="default"/>
                <w:sz w:val="21"/>
                <w:szCs w:val="21"/>
              </w:rPr>
            </w:pPr>
            <w:r>
              <w:rPr>
                <w:rFonts w:ascii="宋体"/>
                <w:sz w:val="21"/>
              </w:rPr>
              <w:t>1,996,252.19</w:t>
            </w:r>
          </w:p>
        </w:tc>
      </w:tr>
      <w:tr>
        <w:trPr>
          <w:trHeight w:val="311"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9" w:lineRule="exact"/>
              <w:ind w:left="-2"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4" w:lineRule="exact"/>
              <w:ind w:right="230"/>
              <w:jc w:val="right"/>
              <w:rPr>
                <w:rFonts w:ascii="宋体" w:hAnsi="宋体" w:cs="宋体" w:eastAsia="宋体" w:hint="default"/>
                <w:sz w:val="21"/>
                <w:szCs w:val="21"/>
              </w:rPr>
            </w:pPr>
            <w:r>
              <w:rPr>
                <w:rFonts w:ascii="宋体"/>
                <w:spacing w:val="-1"/>
                <w:sz w:val="21"/>
              </w:rPr>
              <w:t>2,577,371.14</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70" w:right="0"/>
              <w:jc w:val="left"/>
              <w:rPr>
                <w:rFonts w:ascii="宋体" w:hAnsi="宋体" w:cs="宋体" w:eastAsia="宋体" w:hint="default"/>
                <w:sz w:val="21"/>
                <w:szCs w:val="21"/>
              </w:rPr>
            </w:pPr>
            <w:r>
              <w:rPr>
                <w:rFonts w:ascii="宋体"/>
                <w:sz w:val="21"/>
              </w:rPr>
              <w:t>1,804,159.80</w:t>
            </w:r>
          </w:p>
        </w:tc>
      </w:tr>
      <w:tr>
        <w:trPr>
          <w:trHeight w:val="470" w:hRule="exact"/>
        </w:trPr>
        <w:tc>
          <w:tcPr>
            <w:tcW w:w="94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843" w:type="dxa"/>
            <w:tcBorders>
              <w:top w:val="nil" w:sz="6" w:space="0" w:color="auto"/>
              <w:left w:val="nil" w:sz="6" w:space="0" w:color="auto"/>
              <w:bottom w:val="nil" w:sz="6" w:space="0" w:color="auto"/>
              <w:right w:val="nil" w:sz="6" w:space="0" w:color="auto"/>
            </w:tcBorders>
          </w:tcPr>
          <w:p>
            <w:pPr>
              <w:pStyle w:val="TableParagraph"/>
              <w:spacing w:line="265" w:lineRule="exact"/>
              <w:ind w:right="230"/>
              <w:jc w:val="right"/>
              <w:rPr>
                <w:rFonts w:ascii="宋体" w:hAnsi="宋体" w:cs="宋体" w:eastAsia="宋体" w:hint="default"/>
                <w:sz w:val="21"/>
                <w:szCs w:val="21"/>
              </w:rPr>
            </w:pPr>
            <w:r>
              <w:rPr>
                <w:rFonts w:ascii="宋体"/>
                <w:spacing w:val="-1"/>
                <w:sz w:val="21"/>
              </w:rPr>
              <w:t>2,811,553.77</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21"/>
                <w:szCs w:val="21"/>
              </w:rPr>
            </w:pPr>
            <w:r>
              <w:rPr>
                <w:rFonts w:ascii="宋体"/>
                <w:sz w:val="21"/>
              </w:rPr>
              <w:t>5,019,923.50</w:t>
            </w:r>
          </w:p>
        </w:tc>
      </w:tr>
      <w:tr>
        <w:trPr>
          <w:trHeight w:val="564" w:hRule="exact"/>
        </w:trPr>
        <w:tc>
          <w:tcPr>
            <w:tcW w:w="946" w:type="dxa"/>
            <w:tcBorders>
              <w:top w:val="nil" w:sz="6" w:space="0" w:color="auto"/>
              <w:left w:val="nil" w:sz="6" w:space="0" w:color="auto"/>
              <w:bottom w:val="nil" w:sz="6" w:space="0" w:color="auto"/>
              <w:right w:val="nil" w:sz="6" w:space="0" w:color="auto"/>
            </w:tcBorders>
          </w:tcPr>
          <w:p>
            <w:pPr/>
          </w:p>
        </w:tc>
        <w:tc>
          <w:tcPr>
            <w:tcW w:w="38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106" w:right="0"/>
              <w:jc w:val="left"/>
              <w:rPr>
                <w:rFonts w:ascii="宋体" w:hAnsi="宋体" w:cs="宋体" w:eastAsia="宋体" w:hint="default"/>
                <w:sz w:val="21"/>
                <w:szCs w:val="21"/>
              </w:rPr>
            </w:pPr>
            <w:r>
              <w:rPr>
                <w:rFonts w:ascii="宋体" w:hAnsi="宋体" w:cs="宋体" w:eastAsia="宋体" w:hint="default"/>
                <w:sz w:val="21"/>
                <w:szCs w:val="21"/>
              </w:rPr>
              <w:t>本年摊销额：</w:t>
            </w:r>
            <w:r>
              <w:rPr>
                <w:rFonts w:ascii="宋体" w:hAnsi="宋体" w:cs="宋体" w:eastAsia="宋体" w:hint="default"/>
                <w:sz w:val="21"/>
                <w:szCs w:val="21"/>
              </w:rPr>
            </w:r>
            <w:r>
              <w:rPr>
                <w:rFonts w:ascii="宋体" w:hAnsi="宋体" w:cs="宋体" w:eastAsia="宋体" w:hint="default"/>
                <w:sz w:val="21"/>
                <w:szCs w:val="21"/>
                <w:u w:val="single" w:color="000000"/>
              </w:rPr>
              <w:t>1,714,047.98</w:t>
            </w:r>
            <w:r>
              <w:rPr>
                <w:rFonts w:ascii="宋体" w:hAnsi="宋体" w:cs="宋体" w:eastAsia="宋体" w:hint="default"/>
                <w:spacing w:val="-55"/>
                <w:sz w:val="21"/>
                <w:szCs w:val="21"/>
                <w:u w:val="single" w:color="000000"/>
              </w:rPr>
              <w:t> </w:t>
            </w:r>
            <w:r>
              <w:rPr>
                <w:rFonts w:ascii="宋体" w:hAnsi="宋体" w:cs="宋体" w:eastAsia="宋体" w:hint="default"/>
                <w:sz w:val="21"/>
                <w:szCs w:val="21"/>
                <w:u w:val="single" w:color="000000"/>
              </w:rPr>
              <w:t>元</w:t>
            </w:r>
            <w:r>
              <w:rPr>
                <w:rFonts w:ascii="宋体" w:hAnsi="宋体" w:cs="宋体" w:eastAsia="宋体" w:hint="default"/>
                <w:sz w:val="21"/>
                <w:szCs w:val="21"/>
              </w:rPr>
              <w:t>。</w:t>
            </w:r>
          </w:p>
        </w:tc>
        <w:tc>
          <w:tcPr>
            <w:tcW w:w="144"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649" w:hRule="exact"/>
        </w:trPr>
        <w:tc>
          <w:tcPr>
            <w:tcW w:w="946" w:type="dxa"/>
            <w:tcBorders>
              <w:top w:val="nil" w:sz="6" w:space="0" w:color="auto"/>
              <w:left w:val="nil" w:sz="6" w:space="0" w:color="auto"/>
              <w:bottom w:val="nil" w:sz="6" w:space="0" w:color="auto"/>
              <w:right w:val="nil" w:sz="6" w:space="0" w:color="auto"/>
            </w:tcBorders>
          </w:tcPr>
          <w:p>
            <w:pPr/>
          </w:p>
        </w:tc>
        <w:tc>
          <w:tcPr>
            <w:tcW w:w="9464" w:type="dxa"/>
            <w:gridSpan w:val="8"/>
            <w:tcBorders>
              <w:top w:val="nil" w:sz="6" w:space="0" w:color="auto"/>
              <w:left w:val="nil" w:sz="6" w:space="0" w:color="auto"/>
              <w:bottom w:val="nil" w:sz="6" w:space="0" w:color="auto"/>
              <w:right w:val="nil" w:sz="6" w:space="0" w:color="auto"/>
            </w:tcBorders>
          </w:tcPr>
          <w:p>
            <w:pPr>
              <w:pStyle w:val="TableParagraph"/>
              <w:spacing w:line="272" w:lineRule="exact" w:before="130"/>
              <w:ind w:left="106" w:right="100"/>
              <w:jc w:val="left"/>
              <w:rPr>
                <w:rFonts w:ascii="宋体" w:hAnsi="宋体" w:cs="宋体" w:eastAsia="宋体" w:hint="default"/>
                <w:sz w:val="21"/>
                <w:szCs w:val="21"/>
              </w:rPr>
            </w:pPr>
            <w:r>
              <w:rPr>
                <w:rFonts w:ascii="宋体" w:hAnsi="宋体" w:cs="宋体" w:eastAsia="宋体" w:hint="default"/>
                <w:sz w:val="21"/>
                <w:szCs w:val="21"/>
              </w:rPr>
              <w:t>无形资产年末数比年初数增加</w:t>
            </w:r>
            <w:r>
              <w:rPr>
                <w:rFonts w:ascii="宋体" w:hAnsi="宋体" w:cs="宋体" w:eastAsia="宋体" w:hint="default"/>
                <w:spacing w:val="-35"/>
                <w:sz w:val="21"/>
                <w:szCs w:val="21"/>
              </w:rPr>
              <w:t> </w:t>
            </w:r>
            <w:r>
              <w:rPr>
                <w:rFonts w:ascii="宋体" w:hAnsi="宋体" w:cs="宋体" w:eastAsia="宋体" w:hint="default"/>
                <w:sz w:val="21"/>
                <w:szCs w:val="21"/>
              </w:rPr>
              <w:t>1,810,682.93</w:t>
            </w:r>
            <w:r>
              <w:rPr>
                <w:rFonts w:ascii="宋体" w:hAnsi="宋体" w:cs="宋体" w:eastAsia="宋体" w:hint="default"/>
                <w:spacing w:val="-36"/>
                <w:sz w:val="21"/>
                <w:szCs w:val="21"/>
              </w:rPr>
              <w:t> </w:t>
            </w:r>
            <w:r>
              <w:rPr>
                <w:rFonts w:ascii="宋体" w:hAnsi="宋体" w:cs="宋体" w:eastAsia="宋体" w:hint="default"/>
                <w:sz w:val="21"/>
                <w:szCs w:val="21"/>
              </w:rPr>
              <w:t>元，增加比例为</w:t>
            </w:r>
            <w:r>
              <w:rPr>
                <w:rFonts w:ascii="宋体" w:hAnsi="宋体" w:cs="宋体" w:eastAsia="宋体" w:hint="default"/>
                <w:spacing w:val="-35"/>
                <w:sz w:val="21"/>
                <w:szCs w:val="21"/>
              </w:rPr>
              <w:t> </w:t>
            </w:r>
            <w:r>
              <w:rPr>
                <w:rFonts w:ascii="宋体" w:hAnsi="宋体" w:cs="宋体" w:eastAsia="宋体" w:hint="default"/>
                <w:sz w:val="21"/>
                <w:szCs w:val="21"/>
              </w:rPr>
              <w:t>23.52%</w:t>
            </w:r>
            <w:r>
              <w:rPr>
                <w:rFonts w:ascii="宋体" w:hAnsi="宋体" w:cs="宋体" w:eastAsia="宋体" w:hint="default"/>
                <w:sz w:val="21"/>
                <w:szCs w:val="21"/>
              </w:rPr>
              <w:t>，主要原因为：本年嵌入式系统</w:t>
            </w:r>
            <w:r>
              <w:rPr>
                <w:rFonts w:ascii="宋体" w:hAnsi="宋体" w:cs="宋体" w:eastAsia="宋体" w:hint="default"/>
                <w:w w:val="100"/>
                <w:sz w:val="21"/>
                <w:szCs w:val="21"/>
              </w:rPr>
              <w:t> </w:t>
            </w:r>
            <w:r>
              <w:rPr>
                <w:rFonts w:ascii="宋体" w:hAnsi="宋体" w:cs="宋体" w:eastAsia="宋体" w:hint="default"/>
                <w:sz w:val="21"/>
                <w:szCs w:val="21"/>
              </w:rPr>
              <w:t>软件项目下的手机图片检索软件开发完成，从开发支出转入无形资产。</w:t>
            </w:r>
          </w:p>
        </w:tc>
      </w:tr>
    </w:tbl>
    <w:p>
      <w:pPr>
        <w:spacing w:after="0" w:line="272" w:lineRule="exact"/>
        <w:jc w:val="left"/>
        <w:rPr>
          <w:rFonts w:ascii="宋体" w:hAnsi="宋体" w:cs="宋体" w:eastAsia="宋体" w:hint="default"/>
          <w:sz w:val="21"/>
          <w:szCs w:val="21"/>
        </w:rPr>
        <w:sectPr>
          <w:pgSz w:w="11910" w:h="16840"/>
          <w:pgMar w:header="886" w:footer="980" w:top="1740" w:bottom="1160" w:left="900" w:right="380"/>
        </w:sectPr>
      </w:pPr>
    </w:p>
    <w:p>
      <w:pPr>
        <w:spacing w:line="240" w:lineRule="auto" w:before="9"/>
        <w:rPr>
          <w:rFonts w:ascii="Times New Roman" w:hAnsi="Times New Roman" w:cs="Times New Roman" w:eastAsia="Times New Roman" w:hint="default"/>
          <w:sz w:val="4"/>
          <w:szCs w:val="4"/>
        </w:rPr>
      </w:pPr>
      <w:r>
        <w:rPr/>
        <w:pict>
          <v:group style="position:absolute;margin-left:394.269989pt;margin-top:203.899979pt;width:76.75pt;height:.1pt;mso-position-horizontal-relative:page;mso-position-vertical-relative:page;z-index:-794992" coordorigin="7885,4078" coordsize="1535,2">
            <v:shape style="position:absolute;left:7885;top:4078;width:1535;height:2" coordorigin="7885,4078" coordsize="1535,0" path="m7885,4078l9419,4078e" filled="false" stroked="true" strokeweight=".48pt" strokecolor="#000000">
              <v:path arrowok="t"/>
            </v:shape>
            <w10:wrap type="none"/>
          </v:group>
        </w:pict>
      </w:r>
      <w:r>
        <w:rPr/>
        <w:pict>
          <v:group style="position:absolute;margin-left:200.570007pt;margin-top:217.939972pt;width:86.3pt;height:.1pt;mso-position-horizontal-relative:page;mso-position-vertical-relative:page;z-index:-794968" coordorigin="4011,4359" coordsize="1726,2">
            <v:shape style="position:absolute;left:4011;top:4359;width:1726;height:2" coordorigin="4011,4359" coordsize="1726,0" path="m4011,4359l5737,4359e" filled="false" stroked="true" strokeweight=".48001pt" strokecolor="#000000">
              <v:path arrowok="t"/>
            </v:shape>
            <w10:wrap type="none"/>
          </v:group>
        </w:pict>
      </w:r>
      <w:r>
        <w:rPr/>
        <w:pict>
          <v:group style="position:absolute;margin-left:200.210007pt;margin-top:269.779968pt;width:87pt;height:2.2pt;mso-position-horizontal-relative:page;mso-position-vertical-relative:page;z-index:-794944" coordorigin="4004,5396" coordsize="1740,44">
            <v:group style="position:absolute;left:4011;top:5403;width:1726;height:2" coordorigin="4011,5403" coordsize="1726,2">
              <v:shape style="position:absolute;left:4011;top:5403;width:1726;height:2" coordorigin="4011,5403" coordsize="1726,0" path="m4011,5403l5737,5403e" filled="false" stroked="true" strokeweight=".72pt" strokecolor="#000000">
                <v:path arrowok="t"/>
              </v:shape>
            </v:group>
            <v:group style="position:absolute;left:4011;top:5432;width:1726;height:2" coordorigin="4011,5432" coordsize="1726,2">
              <v:shape style="position:absolute;left:4011;top:5432;width:1726;height:2" coordorigin="4011,5432" coordsize="1726,0" path="m4011,5432l5737,5432e" filled="false" stroked="true" strokeweight=".72pt" strokecolor="#000000">
                <v:path arrowok="t"/>
              </v:shape>
            </v:group>
            <w10:wrap type="none"/>
          </v:group>
        </w:pict>
      </w:r>
      <w:r>
        <w:rPr/>
        <w:pict>
          <v:group style="position:absolute;margin-left:390.309998pt;margin-top:481.029968pt;width:75.05pt;height:.1pt;mso-position-horizontal-relative:page;mso-position-vertical-relative:page;z-index:-794920" coordorigin="7806,9621" coordsize="1501,2">
            <v:shape style="position:absolute;left:7806;top:9621;width:1501;height:2" coordorigin="7806,9621" coordsize="1501,0" path="m7806,9621l9307,9621e" filled="false" stroked="true" strokeweight=".48001pt" strokecolor="#000000">
              <v:path arrowok="t"/>
            </v:shape>
            <w10:wrap type="none"/>
          </v:group>
        </w:pict>
      </w:r>
      <w:r>
        <w:rPr/>
        <w:pict>
          <v:group style="position:absolute;margin-left:90.024002pt;margin-top:605.589966pt;width:60.85pt;height:.1pt;mso-position-horizontal-relative:page;mso-position-vertical-relative:page;z-index:-794896" coordorigin="1800,12112" coordsize="1217,2">
            <v:shape style="position:absolute;left:1800;top:12112;width:1217;height:2" coordorigin="1800,12112" coordsize="1217,0" path="m1800,12112l3017,12112e" filled="false" stroked="true" strokeweight=".48004pt" strokecolor="#000000">
              <v:path arrowok="t"/>
            </v:shape>
            <w10:wrap type="none"/>
          </v:group>
        </w:pict>
      </w:r>
      <w:r>
        <w:rPr/>
        <w:pict>
          <v:group style="position:absolute;margin-left:234.289993pt;margin-top:654.669983pt;width:60.75pt;height:.1pt;mso-position-horizontal-relative:page;mso-position-vertical-relative:page;z-index:-794872" coordorigin="4686,13093" coordsize="1215,2">
            <v:shape style="position:absolute;left:4686;top:13093;width:1215;height:2" coordorigin="4686,13093" coordsize="1215,0" path="m4686,13093l5900,13093e" filled="false" stroked="true" strokeweight=".47998pt" strokecolor="#000000">
              <v:path arrowok="t"/>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697"/>
        <w:gridCol w:w="1493"/>
        <w:gridCol w:w="67"/>
        <w:gridCol w:w="365"/>
        <w:gridCol w:w="286"/>
        <w:gridCol w:w="446"/>
        <w:gridCol w:w="228"/>
        <w:gridCol w:w="441"/>
        <w:gridCol w:w="286"/>
        <w:gridCol w:w="745"/>
        <w:gridCol w:w="1185"/>
        <w:gridCol w:w="144"/>
        <w:gridCol w:w="106"/>
        <w:gridCol w:w="253"/>
        <w:gridCol w:w="433"/>
        <w:gridCol w:w="238"/>
        <w:gridCol w:w="1196"/>
        <w:gridCol w:w="259"/>
        <w:gridCol w:w="1469"/>
      </w:tblGrid>
      <w:tr>
        <w:trPr>
          <w:trHeight w:val="744"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2885"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441"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745" w:type="dxa"/>
            <w:tcBorders>
              <w:top w:val="single" w:sz="4" w:space="0" w:color="000000"/>
              <w:left w:val="nil" w:sz="6" w:space="0" w:color="auto"/>
              <w:bottom w:val="nil" w:sz="6" w:space="0" w:color="auto"/>
              <w:right w:val="nil" w:sz="6" w:space="0" w:color="auto"/>
            </w:tcBorders>
          </w:tcPr>
          <w:p>
            <w:pPr/>
          </w:p>
        </w:tc>
        <w:tc>
          <w:tcPr>
            <w:tcW w:w="1185" w:type="dxa"/>
            <w:tcBorders>
              <w:top w:val="single" w:sz="4" w:space="0" w:color="000000"/>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253" w:type="dxa"/>
            <w:tcBorders>
              <w:top w:val="single" w:sz="4" w:space="0" w:color="000000"/>
              <w:left w:val="nil" w:sz="6" w:space="0" w:color="auto"/>
              <w:bottom w:val="nil" w:sz="6" w:space="0" w:color="auto"/>
              <w:right w:val="nil" w:sz="6" w:space="0" w:color="auto"/>
            </w:tcBorders>
          </w:tcPr>
          <w:p>
            <w:pPr/>
          </w:p>
        </w:tc>
        <w:tc>
          <w:tcPr>
            <w:tcW w:w="433"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
        </w:tc>
        <w:tc>
          <w:tcPr>
            <w:tcW w:w="259"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
        </w:tc>
      </w:tr>
      <w:tr>
        <w:trPr>
          <w:trHeight w:val="564"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74" w:right="0"/>
              <w:jc w:val="left"/>
              <w:rPr>
                <w:rFonts w:ascii="宋体" w:hAnsi="宋体" w:cs="宋体" w:eastAsia="宋体" w:hint="default"/>
                <w:sz w:val="21"/>
                <w:szCs w:val="21"/>
              </w:rPr>
            </w:pPr>
            <w:r>
              <w:rPr>
                <w:rFonts w:ascii="宋体"/>
                <w:sz w:val="21"/>
              </w:rPr>
              <w:t>6.8</w:t>
            </w:r>
          </w:p>
        </w:tc>
        <w:tc>
          <w:tcPr>
            <w:tcW w:w="19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2"/>
              <w:ind w:left="213" w:right="0"/>
              <w:jc w:val="left"/>
              <w:rPr>
                <w:rFonts w:ascii="宋体" w:hAnsi="宋体" w:cs="宋体" w:eastAsia="宋体" w:hint="default"/>
                <w:sz w:val="21"/>
                <w:szCs w:val="21"/>
              </w:rPr>
            </w:pPr>
            <w:r>
              <w:rPr>
                <w:rFonts w:ascii="宋体" w:hAnsi="宋体" w:cs="宋体" w:eastAsia="宋体" w:hint="default"/>
                <w:sz w:val="21"/>
                <w:szCs w:val="21"/>
              </w:rPr>
              <w:t>无形资产（续）</w:t>
            </w:r>
          </w:p>
        </w:tc>
        <w:tc>
          <w:tcPr>
            <w:tcW w:w="286"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44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552" w:hRule="exact"/>
        </w:trPr>
        <w:tc>
          <w:tcPr>
            <w:tcW w:w="10337" w:type="dxa"/>
            <w:gridSpan w:val="19"/>
            <w:tcBorders>
              <w:top w:val="nil" w:sz="6" w:space="0" w:color="auto"/>
              <w:left w:val="nil" w:sz="6" w:space="0" w:color="auto"/>
              <w:bottom w:val="nil" w:sz="6" w:space="0" w:color="auto"/>
              <w:right w:val="nil" w:sz="6" w:space="0" w:color="auto"/>
            </w:tcBorders>
          </w:tcPr>
          <w:p>
            <w:pPr>
              <w:pStyle w:val="TableParagraph"/>
              <w:spacing w:line="240" w:lineRule="auto" w:before="103"/>
              <w:ind w:left="804" w:right="0"/>
              <w:jc w:val="left"/>
              <w:rPr>
                <w:rFonts w:ascii="宋体" w:hAnsi="宋体" w:cs="宋体" w:eastAsia="宋体" w:hint="default"/>
                <w:sz w:val="21"/>
                <w:szCs w:val="21"/>
              </w:rPr>
            </w:pPr>
            <w:r>
              <w:rPr>
                <w:rFonts w:ascii="宋体" w:hAnsi="宋体" w:cs="宋体" w:eastAsia="宋体" w:hint="default"/>
                <w:sz w:val="21"/>
                <w:szCs w:val="21"/>
              </w:rPr>
              <w:t>6.8.2</w:t>
            </w:r>
            <w:r>
              <w:rPr>
                <w:rFonts w:ascii="宋体" w:hAnsi="宋体" w:cs="宋体" w:eastAsia="宋体" w:hint="default"/>
                <w:spacing w:val="1"/>
                <w:sz w:val="21"/>
                <w:szCs w:val="21"/>
              </w:rPr>
              <w:t> </w:t>
            </w:r>
            <w:r>
              <w:rPr>
                <w:rFonts w:ascii="宋体" w:hAnsi="宋体" w:cs="宋体" w:eastAsia="宋体" w:hint="default"/>
                <w:sz w:val="21"/>
                <w:szCs w:val="21"/>
              </w:rPr>
              <w:t>公司开发项目支出</w:t>
            </w:r>
          </w:p>
        </w:tc>
      </w:tr>
      <w:tr>
        <w:trPr>
          <w:trHeight w:val="335"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2433" w:type="dxa"/>
            <w:gridSpan w:val="6"/>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8"/>
              <w:ind w:left="70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142"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161" w:lineRule="exact"/>
              <w:ind w:left="78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2433" w:type="dxa"/>
            <w:gridSpan w:val="6"/>
            <w:tcBorders>
              <w:top w:val="nil" w:sz="6" w:space="0" w:color="auto"/>
              <w:left w:val="nil" w:sz="6" w:space="0" w:color="auto"/>
              <w:bottom w:val="nil" w:sz="6" w:space="0" w:color="auto"/>
              <w:right w:val="nil" w:sz="6" w:space="0" w:color="auto"/>
            </w:tcBorders>
          </w:tcPr>
          <w:p>
            <w:pPr>
              <w:pStyle w:val="TableParagraph"/>
              <w:spacing w:line="161" w:lineRule="exact"/>
              <w:ind w:left="40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5" w:type="dxa"/>
            <w:tcBorders>
              <w:top w:val="nil" w:sz="6" w:space="0" w:color="auto"/>
              <w:left w:val="nil" w:sz="6" w:space="0" w:color="auto"/>
              <w:bottom w:val="nil" w:sz="6" w:space="0" w:color="auto"/>
              <w:right w:val="nil" w:sz="6" w:space="0" w:color="auto"/>
            </w:tcBorders>
          </w:tcPr>
          <w:p>
            <w:pPr>
              <w:pStyle w:val="TableParagraph"/>
              <w:spacing w:line="161" w:lineRule="exact"/>
              <w:ind w:left="29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848" w:type="dxa"/>
            <w:gridSpan w:val="6"/>
            <w:tcBorders>
              <w:top w:val="nil" w:sz="6" w:space="0" w:color="auto"/>
              <w:left w:val="nil" w:sz="6" w:space="0" w:color="auto"/>
              <w:bottom w:val="nil" w:sz="6" w:space="0" w:color="auto"/>
              <w:right w:val="nil" w:sz="6" w:space="0" w:color="auto"/>
            </w:tcBorders>
          </w:tcPr>
          <w:p>
            <w:pPr>
              <w:pStyle w:val="TableParagraph"/>
              <w:spacing w:line="161" w:lineRule="exact"/>
              <w:ind w:left="223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12" w:hRule="exact"/>
        </w:trPr>
        <w:tc>
          <w:tcPr>
            <w:tcW w:w="10337" w:type="dxa"/>
            <w:gridSpan w:val="19"/>
            <w:tcBorders>
              <w:top w:val="nil" w:sz="6" w:space="0" w:color="auto"/>
              <w:left w:val="nil" w:sz="6" w:space="0" w:color="auto"/>
              <w:bottom w:val="nil" w:sz="6" w:space="0" w:color="auto"/>
              <w:right w:val="nil" w:sz="6" w:space="0" w:color="auto"/>
            </w:tcBorders>
          </w:tcPr>
          <w:p>
            <w:pPr>
              <w:pStyle w:val="TableParagraph"/>
              <w:spacing w:line="161" w:lineRule="exact"/>
              <w:ind w:right="2156"/>
              <w:jc w:val="right"/>
              <w:rPr>
                <w:rFonts w:ascii="宋体" w:hAnsi="宋体" w:cs="宋体" w:eastAsia="宋体" w:hint="default"/>
                <w:sz w:val="18"/>
                <w:szCs w:val="18"/>
              </w:rPr>
            </w:pPr>
            <w:r>
              <w:rPr>
                <w:rFonts w:ascii="宋体" w:hAnsi="宋体" w:cs="宋体" w:eastAsia="宋体" w:hint="default"/>
                <w:sz w:val="18"/>
                <w:szCs w:val="18"/>
              </w:rPr>
              <w:t>确认为无形资产</w:t>
            </w:r>
          </w:p>
        </w:tc>
      </w:tr>
      <w:tr>
        <w:trPr>
          <w:trHeight w:val="276"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手机嵌入式项目</w:t>
            </w:r>
          </w:p>
        </w:tc>
        <w:tc>
          <w:tcPr>
            <w:tcW w:w="67" w:type="dxa"/>
            <w:tcBorders>
              <w:top w:val="single" w:sz="4" w:space="0" w:color="000000"/>
              <w:left w:val="nil" w:sz="6" w:space="0" w:color="auto"/>
              <w:bottom w:val="nil" w:sz="6" w:space="0" w:color="auto"/>
              <w:right w:val="nil" w:sz="6" w:space="0" w:color="auto"/>
            </w:tcBorders>
          </w:tcPr>
          <w:p>
            <w:pPr/>
          </w:p>
        </w:tc>
        <w:tc>
          <w:tcPr>
            <w:tcW w:w="365" w:type="dxa"/>
            <w:tcBorders>
              <w:top w:val="single" w:sz="4" w:space="0" w:color="000000"/>
              <w:left w:val="nil" w:sz="6" w:space="0" w:color="auto"/>
              <w:bottom w:val="nil" w:sz="6" w:space="0" w:color="auto"/>
              <w:right w:val="nil" w:sz="6" w:space="0" w:color="auto"/>
            </w:tcBorders>
          </w:tcPr>
          <w:p>
            <w:pPr/>
          </w:p>
        </w:tc>
        <w:tc>
          <w:tcPr>
            <w:tcW w:w="2433" w:type="dxa"/>
            <w:gridSpan w:val="6"/>
            <w:tcBorders>
              <w:top w:val="nil" w:sz="6" w:space="0" w:color="auto"/>
              <w:left w:val="nil" w:sz="6" w:space="0" w:color="auto"/>
              <w:bottom w:val="nil" w:sz="6" w:space="0" w:color="auto"/>
              <w:right w:val="nil" w:sz="6" w:space="0" w:color="auto"/>
            </w:tcBorders>
          </w:tcPr>
          <w:p>
            <w:pPr>
              <w:pStyle w:val="TableParagraph"/>
              <w:spacing w:line="248" w:lineRule="exact"/>
              <w:ind w:left="643" w:right="0"/>
              <w:jc w:val="left"/>
              <w:rPr>
                <w:rFonts w:ascii="宋体" w:hAnsi="宋体" w:cs="宋体" w:eastAsia="宋体" w:hint="default"/>
                <w:sz w:val="21"/>
                <w:szCs w:val="21"/>
              </w:rPr>
            </w:pPr>
            <w:r>
              <w:rPr>
                <w:rFonts w:ascii="宋体"/>
                <w:sz w:val="21"/>
              </w:rPr>
              <w:t>1,715,732.24</w:t>
            </w:r>
          </w:p>
        </w:tc>
        <w:tc>
          <w:tcPr>
            <w:tcW w:w="1434" w:type="dxa"/>
            <w:gridSpan w:val="3"/>
            <w:tcBorders>
              <w:top w:val="single" w:sz="4" w:space="0" w:color="000000"/>
              <w:left w:val="nil" w:sz="6" w:space="0" w:color="auto"/>
              <w:bottom w:val="nil" w:sz="6" w:space="0" w:color="auto"/>
              <w:right w:val="nil" w:sz="6" w:space="0" w:color="auto"/>
            </w:tcBorders>
          </w:tcPr>
          <w:p>
            <w:pPr>
              <w:pStyle w:val="TableParagraph"/>
              <w:spacing w:line="243" w:lineRule="exact"/>
              <w:ind w:left="66" w:right="0"/>
              <w:jc w:val="left"/>
              <w:rPr>
                <w:rFonts w:ascii="宋体" w:hAnsi="宋体" w:cs="宋体" w:eastAsia="宋体" w:hint="default"/>
                <w:sz w:val="21"/>
                <w:szCs w:val="21"/>
              </w:rPr>
            </w:pPr>
            <w:r>
              <w:rPr>
                <w:rFonts w:ascii="宋体"/>
                <w:sz w:val="21"/>
              </w:rPr>
              <w:t>1,203,370.84</w:t>
            </w: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460" w:right="0"/>
              <w:jc w:val="left"/>
              <w:rPr>
                <w:rFonts w:ascii="宋体" w:hAnsi="宋体" w:cs="宋体" w:eastAsia="宋体" w:hint="default"/>
                <w:sz w:val="21"/>
                <w:szCs w:val="21"/>
              </w:rPr>
            </w:pPr>
            <w:r>
              <w:rPr>
                <w:rFonts w:ascii="宋体"/>
                <w:sz w:val="21"/>
              </w:rPr>
              <w:t>2,919,103.08</w:t>
            </w:r>
          </w:p>
        </w:tc>
        <w:tc>
          <w:tcPr>
            <w:tcW w:w="259"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3" w:lineRule="exact"/>
              <w:ind w:right="118"/>
              <w:jc w:val="right"/>
              <w:rPr>
                <w:rFonts w:ascii="宋体" w:hAnsi="宋体" w:cs="宋体" w:eastAsia="宋体" w:hint="default"/>
                <w:sz w:val="21"/>
                <w:szCs w:val="21"/>
              </w:rPr>
            </w:pPr>
            <w:r>
              <w:rPr>
                <w:rFonts w:ascii="宋体"/>
                <w:w w:val="100"/>
                <w:sz w:val="21"/>
              </w:rPr>
              <w:t>-</w:t>
            </w:r>
          </w:p>
        </w:tc>
      </w:tr>
      <w:tr>
        <w:trPr>
          <w:trHeight w:val="480" w:hRule="exact"/>
        </w:trPr>
        <w:tc>
          <w:tcPr>
            <w:tcW w:w="697" w:type="dxa"/>
            <w:tcBorders>
              <w:top w:val="nil" w:sz="6" w:space="0" w:color="auto"/>
              <w:left w:val="nil" w:sz="6" w:space="0" w:color="auto"/>
              <w:bottom w:val="nil" w:sz="6" w:space="0" w:color="auto"/>
              <w:right w:val="nil" w:sz="6" w:space="0" w:color="auto"/>
            </w:tcBorders>
          </w:tcPr>
          <w:p>
            <w:pPr/>
          </w:p>
        </w:tc>
        <w:tc>
          <w:tcPr>
            <w:tcW w:w="1925" w:type="dxa"/>
            <w:gridSpan w:val="3"/>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轨道交通站务设备嵌</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入式软件项目</w:t>
            </w:r>
          </w:p>
        </w:tc>
        <w:tc>
          <w:tcPr>
            <w:tcW w:w="286"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single" w:sz="8" w:space="0" w:color="000000"/>
              <w:right w:val="nil" w:sz="6" w:space="0" w:color="auto"/>
            </w:tcBorders>
          </w:tcPr>
          <w:p>
            <w:pPr/>
          </w:p>
        </w:tc>
        <w:tc>
          <w:tcPr>
            <w:tcW w:w="228" w:type="dxa"/>
            <w:tcBorders>
              <w:top w:val="nil" w:sz="6" w:space="0" w:color="auto"/>
              <w:left w:val="nil" w:sz="6" w:space="0" w:color="auto"/>
              <w:bottom w:val="single" w:sz="8" w:space="0" w:color="000000"/>
              <w:right w:val="nil" w:sz="6" w:space="0" w:color="auto"/>
            </w:tcBorders>
          </w:tcPr>
          <w:p>
            <w:pPr/>
          </w:p>
        </w:tc>
        <w:tc>
          <w:tcPr>
            <w:tcW w:w="441" w:type="dxa"/>
            <w:tcBorders>
              <w:top w:val="nil" w:sz="6" w:space="0" w:color="auto"/>
              <w:left w:val="nil" w:sz="6" w:space="0" w:color="auto"/>
              <w:bottom w:val="single" w:sz="8" w:space="0" w:color="000000"/>
              <w:right w:val="nil" w:sz="6" w:space="0" w:color="auto"/>
            </w:tcBorders>
          </w:tcPr>
          <w:p>
            <w:pPr/>
          </w:p>
        </w:tc>
        <w:tc>
          <w:tcPr>
            <w:tcW w:w="286" w:type="dxa"/>
            <w:tcBorders>
              <w:top w:val="nil" w:sz="6" w:space="0" w:color="auto"/>
              <w:left w:val="nil" w:sz="6" w:space="0" w:color="auto"/>
              <w:bottom w:val="single" w:sz="8" w:space="0" w:color="000000"/>
              <w:right w:val="nil" w:sz="6" w:space="0" w:color="auto"/>
            </w:tcBorders>
          </w:tcPr>
          <w:p>
            <w:pPr/>
          </w:p>
        </w:tc>
        <w:tc>
          <w:tcPr>
            <w:tcW w:w="745"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left="110" w:right="0"/>
              <w:jc w:val="left"/>
              <w:rPr>
                <w:rFonts w:ascii="宋体" w:hAnsi="宋体" w:cs="宋体" w:eastAsia="宋体" w:hint="default"/>
                <w:sz w:val="21"/>
                <w:szCs w:val="21"/>
              </w:rPr>
            </w:pPr>
            <w:r>
              <w:rPr>
                <w:rFonts w:ascii="宋体"/>
                <w:w w:val="100"/>
                <w:sz w:val="21"/>
              </w:rPr>
              <w:t>-</w:t>
            </w:r>
          </w:p>
        </w:tc>
        <w:tc>
          <w:tcPr>
            <w:tcW w:w="1434"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67"/>
              <w:ind w:left="66" w:right="0"/>
              <w:jc w:val="left"/>
              <w:rPr>
                <w:rFonts w:ascii="宋体" w:hAnsi="宋体" w:cs="宋体" w:eastAsia="宋体" w:hint="default"/>
                <w:sz w:val="21"/>
                <w:szCs w:val="21"/>
              </w:rPr>
            </w:pPr>
            <w:r>
              <w:rPr>
                <w:rFonts w:ascii="宋体"/>
                <w:sz w:val="21"/>
              </w:rPr>
              <w:t>3,194,138.72</w:t>
            </w:r>
          </w:p>
        </w:tc>
        <w:tc>
          <w:tcPr>
            <w:tcW w:w="253" w:type="dxa"/>
            <w:tcBorders>
              <w:top w:val="nil" w:sz="6" w:space="0" w:color="auto"/>
              <w:left w:val="nil" w:sz="6" w:space="0" w:color="auto"/>
              <w:bottom w:val="nil" w:sz="6" w:space="0" w:color="auto"/>
              <w:right w:val="nil" w:sz="6" w:space="0" w:color="auto"/>
            </w:tcBorders>
          </w:tcPr>
          <w:p>
            <w:pPr/>
          </w:p>
        </w:tc>
        <w:tc>
          <w:tcPr>
            <w:tcW w:w="433" w:type="dxa"/>
            <w:tcBorders>
              <w:top w:val="nil" w:sz="6" w:space="0" w:color="auto"/>
              <w:left w:val="nil" w:sz="6" w:space="0" w:color="auto"/>
              <w:bottom w:val="single" w:sz="8" w:space="0" w:color="000000"/>
              <w:right w:val="nil" w:sz="6" w:space="0" w:color="auto"/>
            </w:tcBorders>
          </w:tcPr>
          <w:p>
            <w:pPr/>
          </w:p>
        </w:tc>
        <w:tc>
          <w:tcPr>
            <w:tcW w:w="238" w:type="dxa"/>
            <w:tcBorders>
              <w:top w:val="nil" w:sz="6" w:space="0" w:color="auto"/>
              <w:left w:val="nil" w:sz="6" w:space="0" w:color="auto"/>
              <w:bottom w:val="single" w:sz="8" w:space="0" w:color="000000"/>
              <w:right w:val="nil" w:sz="6" w:space="0" w:color="auto"/>
            </w:tcBorders>
          </w:tcPr>
          <w:p>
            <w:pPr/>
          </w:p>
        </w:tc>
        <w:tc>
          <w:tcPr>
            <w:tcW w:w="1196"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left="691" w:right="0"/>
              <w:jc w:val="left"/>
              <w:rPr>
                <w:rFonts w:ascii="宋体" w:hAnsi="宋体" w:cs="宋体" w:eastAsia="宋体" w:hint="default"/>
                <w:sz w:val="21"/>
                <w:szCs w:val="21"/>
              </w:rPr>
            </w:pPr>
            <w:r>
              <w:rPr>
                <w:rFonts w:ascii="宋体"/>
                <w:w w:val="100"/>
                <w:sz w:val="21"/>
              </w:rPr>
              <w:t>-</w:t>
            </w:r>
          </w:p>
        </w:tc>
        <w:tc>
          <w:tcPr>
            <w:tcW w:w="259" w:type="dxa"/>
            <w:tcBorders>
              <w:top w:val="nil" w:sz="6" w:space="0" w:color="auto"/>
              <w:left w:val="nil" w:sz="6" w:space="0" w:color="auto"/>
              <w:bottom w:val="single" w:sz="8" w:space="0" w:color="000000"/>
              <w:right w:val="nil" w:sz="6" w:space="0" w:color="auto"/>
            </w:tcBorders>
          </w:tcPr>
          <w:p>
            <w:pP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left="88" w:right="0"/>
              <w:jc w:val="left"/>
              <w:rPr>
                <w:rFonts w:ascii="宋体" w:hAnsi="宋体" w:cs="宋体" w:eastAsia="宋体" w:hint="default"/>
                <w:sz w:val="21"/>
                <w:szCs w:val="21"/>
              </w:rPr>
            </w:pPr>
            <w:r>
              <w:rPr>
                <w:rFonts w:ascii="宋体"/>
                <w:sz w:val="21"/>
              </w:rPr>
              <w:t>3,194,138.72</w:t>
            </w:r>
          </w:p>
        </w:tc>
      </w:tr>
      <w:tr>
        <w:trPr>
          <w:trHeight w:val="302"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2433" w:type="dxa"/>
            <w:gridSpan w:val="6"/>
            <w:tcBorders>
              <w:top w:val="nil" w:sz="6" w:space="0" w:color="auto"/>
              <w:left w:val="nil" w:sz="6" w:space="0" w:color="auto"/>
              <w:bottom w:val="nil" w:sz="6" w:space="0" w:color="auto"/>
              <w:right w:val="nil" w:sz="6" w:space="0" w:color="auto"/>
            </w:tcBorders>
          </w:tcPr>
          <w:p>
            <w:pPr>
              <w:pStyle w:val="TableParagraph"/>
              <w:spacing w:line="250" w:lineRule="exact"/>
              <w:ind w:left="643" w:right="0"/>
              <w:jc w:val="left"/>
              <w:rPr>
                <w:rFonts w:ascii="宋体" w:hAnsi="宋体" w:cs="宋体" w:eastAsia="宋体" w:hint="default"/>
                <w:sz w:val="21"/>
                <w:szCs w:val="21"/>
              </w:rPr>
            </w:pPr>
            <w:r>
              <w:rPr>
                <w:rFonts w:ascii="宋体"/>
                <w:sz w:val="21"/>
              </w:rPr>
              <w:t>1,715,732.24</w:t>
            </w:r>
          </w:p>
        </w:tc>
        <w:tc>
          <w:tcPr>
            <w:tcW w:w="1434" w:type="dxa"/>
            <w:gridSpan w:val="3"/>
            <w:tcBorders>
              <w:top w:val="single" w:sz="8" w:space="0" w:color="000000"/>
              <w:left w:val="nil" w:sz="6" w:space="0" w:color="auto"/>
              <w:bottom w:val="single" w:sz="17" w:space="0" w:color="000000"/>
              <w:right w:val="nil" w:sz="6" w:space="0" w:color="auto"/>
            </w:tcBorders>
          </w:tcPr>
          <w:p>
            <w:pPr>
              <w:pStyle w:val="TableParagraph"/>
              <w:spacing w:line="241" w:lineRule="exact"/>
              <w:ind w:left="66" w:right="0"/>
              <w:jc w:val="left"/>
              <w:rPr>
                <w:rFonts w:ascii="宋体" w:hAnsi="宋体" w:cs="宋体" w:eastAsia="宋体" w:hint="default"/>
                <w:sz w:val="21"/>
                <w:szCs w:val="21"/>
              </w:rPr>
            </w:pPr>
            <w:r>
              <w:rPr>
                <w:rFonts w:ascii="宋体"/>
                <w:sz w:val="21"/>
              </w:rPr>
              <w:t>4,397,509.56</w:t>
            </w: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50" w:lineRule="exact"/>
              <w:ind w:left="460" w:right="0"/>
              <w:jc w:val="left"/>
              <w:rPr>
                <w:rFonts w:ascii="宋体" w:hAnsi="宋体" w:cs="宋体" w:eastAsia="宋体" w:hint="default"/>
                <w:sz w:val="21"/>
                <w:szCs w:val="21"/>
              </w:rPr>
            </w:pPr>
            <w:r>
              <w:rPr>
                <w:rFonts w:ascii="宋体"/>
                <w:sz w:val="21"/>
              </w:rPr>
              <w:t>2,919,103.08</w:t>
            </w:r>
          </w:p>
        </w:tc>
        <w:tc>
          <w:tcPr>
            <w:tcW w:w="259" w:type="dxa"/>
            <w:tcBorders>
              <w:top w:val="single" w:sz="8" w:space="0" w:color="000000"/>
              <w:left w:val="nil" w:sz="6" w:space="0" w:color="auto"/>
              <w:bottom w:val="single" w:sz="17" w:space="0" w:color="000000"/>
              <w:right w:val="nil" w:sz="6" w:space="0" w:color="auto"/>
            </w:tcBorders>
          </w:tcPr>
          <w:p>
            <w:pPr/>
          </w:p>
        </w:tc>
        <w:tc>
          <w:tcPr>
            <w:tcW w:w="1469" w:type="dxa"/>
            <w:tcBorders>
              <w:top w:val="single" w:sz="8" w:space="0" w:color="000000"/>
              <w:left w:val="nil" w:sz="6" w:space="0" w:color="auto"/>
              <w:bottom w:val="single" w:sz="17" w:space="0" w:color="000000"/>
              <w:right w:val="nil" w:sz="6" w:space="0" w:color="auto"/>
            </w:tcBorders>
          </w:tcPr>
          <w:p>
            <w:pPr>
              <w:pStyle w:val="TableParagraph"/>
              <w:spacing w:line="241" w:lineRule="exact"/>
              <w:ind w:left="88" w:right="0"/>
              <w:jc w:val="left"/>
              <w:rPr>
                <w:rFonts w:ascii="宋体" w:hAnsi="宋体" w:cs="宋体" w:eastAsia="宋体" w:hint="default"/>
                <w:sz w:val="21"/>
                <w:szCs w:val="21"/>
              </w:rPr>
            </w:pPr>
            <w:r>
              <w:rPr>
                <w:rFonts w:ascii="宋体"/>
                <w:sz w:val="21"/>
              </w:rPr>
              <w:t>3,194,138.72</w:t>
            </w:r>
          </w:p>
        </w:tc>
      </w:tr>
      <w:tr>
        <w:trPr>
          <w:trHeight w:val="977" w:hRule="exact"/>
        </w:trPr>
        <w:tc>
          <w:tcPr>
            <w:tcW w:w="10337" w:type="dxa"/>
            <w:gridSpan w:val="19"/>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804" w:right="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宋体" w:hAnsi="宋体" w:cs="宋体" w:eastAsia="宋体" w:hint="default"/>
                <w:spacing w:val="-57"/>
                <w:sz w:val="21"/>
                <w:szCs w:val="21"/>
              </w:rPr>
              <w:t> </w:t>
            </w:r>
            <w:r>
              <w:rPr>
                <w:rFonts w:ascii="宋体" w:hAnsi="宋体" w:cs="宋体" w:eastAsia="宋体" w:hint="default"/>
                <w:sz w:val="21"/>
                <w:szCs w:val="21"/>
              </w:rPr>
              <w:t>27.40%</w:t>
            </w:r>
            <w:r>
              <w:rPr>
                <w:rFonts w:ascii="宋体" w:hAnsi="宋体" w:cs="宋体" w:eastAsia="宋体" w:hint="default"/>
                <w:sz w:val="21"/>
                <w:szCs w:val="21"/>
              </w:rPr>
              <w:t>。</w:t>
            </w:r>
          </w:p>
        </w:tc>
      </w:tr>
      <w:tr>
        <w:trPr>
          <w:trHeight w:val="545" w:hRule="exact"/>
        </w:trPr>
        <w:tc>
          <w:tcPr>
            <w:tcW w:w="10337" w:type="dxa"/>
            <w:gridSpan w:val="19"/>
            <w:tcBorders>
              <w:top w:val="nil" w:sz="6" w:space="0" w:color="auto"/>
              <w:left w:val="nil" w:sz="6" w:space="0" w:color="auto"/>
              <w:bottom w:val="nil" w:sz="6" w:space="0" w:color="auto"/>
              <w:right w:val="nil" w:sz="6" w:space="0" w:color="auto"/>
            </w:tcBorders>
          </w:tcPr>
          <w:p>
            <w:pPr>
              <w:pStyle w:val="TableParagraph"/>
              <w:spacing w:line="240" w:lineRule="auto" w:before="103"/>
              <w:ind w:left="804" w:right="0"/>
              <w:jc w:val="left"/>
              <w:rPr>
                <w:rFonts w:ascii="宋体" w:hAnsi="宋体" w:cs="宋体" w:eastAsia="宋体" w:hint="default"/>
                <w:sz w:val="21"/>
                <w:szCs w:val="21"/>
              </w:rPr>
            </w:pPr>
            <w:r>
              <w:rPr>
                <w:rFonts w:ascii="宋体" w:hAnsi="宋体" w:cs="宋体" w:eastAsia="宋体" w:hint="default"/>
                <w:spacing w:val="-2"/>
                <w:sz w:val="21"/>
                <w:szCs w:val="21"/>
              </w:rPr>
              <w:t>通过公司内部研发形成的无形资产占无形资产期末账面价值的比例</w:t>
            </w:r>
            <w:r>
              <w:rPr>
                <w:rFonts w:ascii="宋体" w:hAnsi="宋体" w:cs="宋体" w:eastAsia="宋体" w:hint="default"/>
                <w:spacing w:val="6"/>
                <w:sz w:val="21"/>
                <w:szCs w:val="21"/>
              </w:rPr>
              <w:t> </w:t>
            </w:r>
            <w:r>
              <w:rPr>
                <w:rFonts w:ascii="宋体" w:hAnsi="宋体" w:cs="宋体" w:eastAsia="宋体" w:hint="default"/>
                <w:spacing w:val="-1"/>
                <w:sz w:val="21"/>
                <w:szCs w:val="21"/>
              </w:rPr>
              <w:t>71.77%</w:t>
            </w:r>
            <w:r>
              <w:rPr>
                <w:rFonts w:ascii="宋体" w:hAnsi="宋体" w:cs="宋体" w:eastAsia="宋体" w:hint="default"/>
                <w:spacing w:val="-1"/>
                <w:sz w:val="21"/>
                <w:szCs w:val="21"/>
              </w:rPr>
              <w:t>。</w:t>
            </w:r>
          </w:p>
        </w:tc>
      </w:tr>
      <w:tr>
        <w:trPr>
          <w:trHeight w:val="816" w:hRule="exact"/>
        </w:trPr>
        <w:tc>
          <w:tcPr>
            <w:tcW w:w="10337" w:type="dxa"/>
            <w:gridSpan w:val="19"/>
            <w:tcBorders>
              <w:top w:val="nil" w:sz="6" w:space="0" w:color="auto"/>
              <w:left w:val="nil" w:sz="6" w:space="0" w:color="auto"/>
              <w:bottom w:val="nil" w:sz="6" w:space="0" w:color="auto"/>
              <w:right w:val="nil" w:sz="6" w:space="0" w:color="auto"/>
            </w:tcBorders>
          </w:tcPr>
          <w:p>
            <w:pPr>
              <w:pStyle w:val="TableParagraph"/>
              <w:spacing w:line="272" w:lineRule="exact" w:before="130"/>
              <w:ind w:left="804" w:right="113"/>
              <w:jc w:val="left"/>
              <w:rPr>
                <w:rFonts w:ascii="宋体" w:hAnsi="宋体" w:cs="宋体" w:eastAsia="宋体" w:hint="default"/>
                <w:sz w:val="21"/>
                <w:szCs w:val="21"/>
              </w:rPr>
            </w:pPr>
            <w:r>
              <w:rPr>
                <w:rFonts w:ascii="宋体" w:hAnsi="宋体" w:cs="宋体" w:eastAsia="宋体" w:hint="default"/>
                <w:sz w:val="21"/>
                <w:szCs w:val="21"/>
              </w:rPr>
              <w:t>开发支出年末数比年初数增加</w:t>
            </w:r>
            <w:r>
              <w:rPr>
                <w:rFonts w:ascii="宋体" w:hAnsi="宋体" w:cs="宋体" w:eastAsia="宋体" w:hint="default"/>
                <w:spacing w:val="-51"/>
                <w:sz w:val="21"/>
                <w:szCs w:val="21"/>
              </w:rPr>
              <w:t> </w:t>
            </w:r>
            <w:r>
              <w:rPr>
                <w:rFonts w:ascii="宋体" w:hAnsi="宋体" w:cs="宋体" w:eastAsia="宋体" w:hint="default"/>
                <w:sz w:val="21"/>
                <w:szCs w:val="21"/>
              </w:rPr>
              <w:t>1,478,406.48</w:t>
            </w:r>
            <w:r>
              <w:rPr>
                <w:rFonts w:ascii="宋体" w:hAnsi="宋体" w:cs="宋体" w:eastAsia="宋体" w:hint="default"/>
                <w:spacing w:val="-54"/>
                <w:sz w:val="21"/>
                <w:szCs w:val="21"/>
              </w:rPr>
              <w:t> </w:t>
            </w:r>
            <w:r>
              <w:rPr>
                <w:rFonts w:ascii="宋体" w:hAnsi="宋体" w:cs="宋体" w:eastAsia="宋体" w:hint="default"/>
                <w:sz w:val="21"/>
                <w:szCs w:val="21"/>
              </w:rPr>
              <w:t>元，增加比例为</w:t>
            </w:r>
            <w:r>
              <w:rPr>
                <w:rFonts w:ascii="宋体" w:hAnsi="宋体" w:cs="宋体" w:eastAsia="宋体" w:hint="default"/>
                <w:spacing w:val="-51"/>
                <w:sz w:val="21"/>
                <w:szCs w:val="21"/>
              </w:rPr>
              <w:t> </w:t>
            </w:r>
            <w:r>
              <w:rPr>
                <w:rFonts w:ascii="宋体" w:hAnsi="宋体" w:cs="宋体" w:eastAsia="宋体" w:hint="default"/>
                <w:sz w:val="21"/>
                <w:szCs w:val="21"/>
              </w:rPr>
              <w:t>86.17%</w:t>
            </w:r>
            <w:r>
              <w:rPr>
                <w:rFonts w:ascii="宋体" w:hAnsi="宋体" w:cs="宋体" w:eastAsia="宋体" w:hint="default"/>
                <w:sz w:val="21"/>
                <w:szCs w:val="21"/>
              </w:rPr>
              <w:t>，主要原因为：本年新增开发轨道</w:t>
            </w:r>
            <w:r>
              <w:rPr>
                <w:rFonts w:ascii="宋体" w:hAnsi="宋体" w:cs="宋体" w:eastAsia="宋体" w:hint="default"/>
                <w:w w:val="100"/>
                <w:sz w:val="21"/>
                <w:szCs w:val="21"/>
              </w:rPr>
              <w:t> </w:t>
            </w:r>
            <w:r>
              <w:rPr>
                <w:rFonts w:ascii="宋体" w:hAnsi="宋体" w:cs="宋体" w:eastAsia="宋体" w:hint="default"/>
                <w:sz w:val="21"/>
                <w:szCs w:val="21"/>
              </w:rPr>
              <w:t>交通站务设备嵌入式软件项目所致。</w:t>
            </w:r>
          </w:p>
        </w:tc>
      </w:tr>
      <w:tr>
        <w:trPr>
          <w:trHeight w:val="561"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4" w:right="0"/>
              <w:jc w:val="left"/>
              <w:rPr>
                <w:rFonts w:ascii="宋体" w:hAnsi="宋体" w:cs="宋体" w:eastAsia="宋体" w:hint="default"/>
                <w:sz w:val="21"/>
                <w:szCs w:val="21"/>
              </w:rPr>
            </w:pPr>
            <w:r>
              <w:rPr>
                <w:rFonts w:ascii="宋体"/>
                <w:sz w:val="21"/>
              </w:rPr>
              <w:t>6.9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44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555"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left="364" w:right="0" w:hanging="226"/>
              <w:jc w:val="left"/>
              <w:rPr>
                <w:rFonts w:ascii="宋体" w:hAnsi="宋体" w:cs="宋体" w:eastAsia="宋体" w:hint="default"/>
                <w:sz w:val="15"/>
                <w:szCs w:val="15"/>
              </w:rPr>
            </w:pPr>
            <w:r>
              <w:rPr>
                <w:rFonts w:ascii="宋体" w:hAnsi="宋体" w:cs="宋体" w:eastAsia="宋体" w:hint="default"/>
                <w:spacing w:val="-1"/>
                <w:sz w:val="15"/>
                <w:szCs w:val="15"/>
              </w:rPr>
              <w:t>被投资单位名称或形</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成商誉的事项</w:t>
            </w:r>
          </w:p>
        </w:tc>
        <w:tc>
          <w:tcPr>
            <w:tcW w:w="67" w:type="dxa"/>
            <w:tcBorders>
              <w:top w:val="nil" w:sz="6" w:space="0" w:color="auto"/>
              <w:left w:val="nil" w:sz="6" w:space="0" w:color="auto"/>
              <w:bottom w:val="single" w:sz="4" w:space="0" w:color="000000"/>
              <w:right w:val="nil" w:sz="6" w:space="0" w:color="auto"/>
            </w:tcBorders>
          </w:tcPr>
          <w:p>
            <w:pPr/>
          </w:p>
        </w:tc>
        <w:tc>
          <w:tcPr>
            <w:tcW w:w="365" w:type="dxa"/>
            <w:tcBorders>
              <w:top w:val="nil" w:sz="6" w:space="0" w:color="auto"/>
              <w:left w:val="nil" w:sz="6" w:space="0" w:color="auto"/>
              <w:bottom w:val="single" w:sz="4" w:space="0" w:color="000000"/>
              <w:right w:val="nil" w:sz="6" w:space="0" w:color="auto"/>
            </w:tcBorders>
          </w:tcPr>
          <w:p>
            <w:pPr/>
          </w:p>
        </w:tc>
        <w:tc>
          <w:tcPr>
            <w:tcW w:w="1402"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56" w:right="-14"/>
              <w:jc w:val="left"/>
              <w:rPr>
                <w:rFonts w:ascii="宋体" w:hAnsi="宋体" w:cs="宋体" w:eastAsia="宋体" w:hint="default"/>
                <w:sz w:val="15"/>
                <w:szCs w:val="15"/>
              </w:rPr>
            </w:pPr>
            <w:r>
              <w:rPr>
                <w:rFonts w:ascii="宋体" w:hAnsi="宋体" w:cs="宋体" w:eastAsia="宋体" w:hint="default"/>
                <w:spacing w:val="-1"/>
                <w:sz w:val="15"/>
                <w:szCs w:val="15"/>
              </w:rPr>
              <w:t>本年增加</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84" w:right="-3"/>
              <w:jc w:val="left"/>
              <w:rPr>
                <w:rFonts w:ascii="宋体" w:hAnsi="宋体" w:cs="宋体" w:eastAsia="宋体" w:hint="default"/>
                <w:sz w:val="15"/>
                <w:szCs w:val="15"/>
              </w:rPr>
            </w:pPr>
            <w:r>
              <w:rPr>
                <w:rFonts w:ascii="宋体" w:hAnsi="宋体" w:cs="宋体" w:eastAsia="宋体" w:hint="default"/>
                <w:spacing w:val="-1"/>
                <w:sz w:val="15"/>
                <w:szCs w:val="15"/>
              </w:rPr>
              <w:t>本年减少</w:t>
            </w:r>
          </w:p>
        </w:tc>
        <w:tc>
          <w:tcPr>
            <w:tcW w:w="144"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5"/>
                <w:sz w:val="15"/>
                <w:szCs w:val="15"/>
              </w:rPr>
              <w:t> </w:t>
            </w:r>
            <w:r>
              <w:rPr>
                <w:rFonts w:ascii="宋体" w:hAnsi="宋体" w:cs="宋体" w:eastAsia="宋体" w:hint="default"/>
                <w:sz w:val="15"/>
                <w:szCs w:val="15"/>
              </w:rPr>
              <w:t>日</w:t>
            </w:r>
          </w:p>
        </w:tc>
        <w:tc>
          <w:tcPr>
            <w:tcW w:w="259" w:type="dxa"/>
            <w:tcBorders>
              <w:top w:val="nil" w:sz="6" w:space="0" w:color="auto"/>
              <w:left w:val="nil" w:sz="6" w:space="0" w:color="auto"/>
              <w:bottom w:val="single" w:sz="4" w:space="0" w:color="000000"/>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z w:val="15"/>
                <w:szCs w:val="15"/>
              </w:rPr>
              <w:t>年末减值准备</w:t>
            </w:r>
          </w:p>
        </w:tc>
      </w:tr>
      <w:tr>
        <w:trPr>
          <w:trHeight w:val="470" w:hRule="exact"/>
        </w:trPr>
        <w:tc>
          <w:tcPr>
            <w:tcW w:w="697" w:type="dxa"/>
            <w:tcBorders>
              <w:top w:val="nil" w:sz="6" w:space="0" w:color="auto"/>
              <w:left w:val="nil" w:sz="6" w:space="0" w:color="auto"/>
              <w:bottom w:val="nil" w:sz="6" w:space="0" w:color="auto"/>
              <w:right w:val="nil" w:sz="6" w:space="0" w:color="auto"/>
            </w:tcBorders>
          </w:tcPr>
          <w:p>
            <w:pPr/>
          </w:p>
        </w:tc>
        <w:tc>
          <w:tcPr>
            <w:tcW w:w="1925" w:type="dxa"/>
            <w:gridSpan w:val="3"/>
            <w:tcBorders>
              <w:top w:val="nil" w:sz="6" w:space="0" w:color="auto"/>
              <w:left w:val="nil" w:sz="6" w:space="0" w:color="auto"/>
              <w:bottom w:val="nil" w:sz="6" w:space="0" w:color="auto"/>
              <w:right w:val="nil" w:sz="6" w:space="0" w:color="auto"/>
            </w:tcBorders>
          </w:tcPr>
          <w:p>
            <w:pPr>
              <w:pStyle w:val="TableParagraph"/>
              <w:spacing w:line="209" w:lineRule="exact"/>
              <w:ind w:left="40" w:right="0"/>
              <w:jc w:val="left"/>
              <w:rPr>
                <w:rFonts w:ascii="宋体" w:hAnsi="宋体" w:cs="宋体" w:eastAsia="宋体" w:hint="default"/>
                <w:sz w:val="18"/>
                <w:szCs w:val="18"/>
              </w:rPr>
            </w:pPr>
            <w:r>
              <w:rPr>
                <w:rFonts w:ascii="宋体" w:hAnsi="宋体" w:cs="宋体" w:eastAsia="宋体" w:hint="default"/>
                <w:sz w:val="18"/>
                <w:szCs w:val="18"/>
              </w:rPr>
              <w:t>上海华钟计算机软件</w:t>
            </w:r>
          </w:p>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402"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62"/>
              <w:ind w:left="300" w:right="0"/>
              <w:jc w:val="left"/>
              <w:rPr>
                <w:rFonts w:ascii="宋体" w:hAnsi="宋体" w:cs="宋体" w:eastAsia="宋体" w:hint="default"/>
                <w:sz w:val="21"/>
                <w:szCs w:val="21"/>
              </w:rPr>
            </w:pPr>
            <w:r>
              <w:rPr>
                <w:rFonts w:ascii="宋体"/>
                <w:sz w:val="21"/>
              </w:rPr>
              <w:t>146,337.55</w:t>
            </w: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single" w:sz="4" w:space="0" w:color="000000"/>
              <w:left w:val="nil" w:sz="6" w:space="0" w:color="auto"/>
              <w:bottom w:val="nil" w:sz="6" w:space="0" w:color="auto"/>
              <w:right w:val="nil" w:sz="6" w:space="0" w:color="auto"/>
            </w:tcBorders>
          </w:tcPr>
          <w:p>
            <w:pP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14" w:right="0"/>
              <w:jc w:val="left"/>
              <w:rPr>
                <w:rFonts w:ascii="宋体" w:hAnsi="宋体" w:cs="宋体" w:eastAsia="宋体" w:hint="default"/>
                <w:sz w:val="15"/>
                <w:szCs w:val="15"/>
              </w:rPr>
            </w:pPr>
            <w:r>
              <w:rPr>
                <w:rFonts w:ascii="宋体"/>
                <w:w w:val="100"/>
                <w:sz w:val="15"/>
              </w:rPr>
              <w:t>-</w:t>
            </w:r>
          </w:p>
        </w:tc>
        <w:tc>
          <w:tcPr>
            <w:tcW w:w="14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3" w:right="0"/>
              <w:jc w:val="left"/>
              <w:rPr>
                <w:rFonts w:ascii="宋体" w:hAnsi="宋体" w:cs="宋体" w:eastAsia="宋体" w:hint="default"/>
                <w:sz w:val="15"/>
                <w:szCs w:val="15"/>
              </w:rPr>
            </w:pPr>
            <w:r>
              <w:rPr>
                <w:rFonts w:ascii="宋体"/>
                <w:w w:val="100"/>
                <w:sz w:val="15"/>
              </w:rPr>
              <w:t>-</w:t>
            </w:r>
          </w:p>
        </w:tc>
        <w:tc>
          <w:tcPr>
            <w:tcW w:w="106" w:type="dxa"/>
            <w:tcBorders>
              <w:top w:val="single" w:sz="4" w:space="0" w:color="000000"/>
              <w:left w:val="nil" w:sz="6" w:space="0" w:color="auto"/>
              <w:bottom w:val="nil" w:sz="6" w:space="0" w:color="auto"/>
              <w:right w:val="nil" w:sz="6" w:space="0" w:color="auto"/>
            </w:tcBorders>
          </w:tcPr>
          <w:p>
            <w:pP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20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55pt;height:.5pt;mso-position-horizontal-relative:char;mso-position-vertical-relative:line" coordorigin="0,0" coordsize="1511,10">
                  <v:group style="position:absolute;left:5;top:5;width:1501;height:2" coordorigin="5,5" coordsize="1501,2">
                    <v:shape style="position:absolute;left:5;top:5;width:1501;height:2" coordorigin="5,5" coordsize="1501,0" path="m5,5l1505,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1"/>
              <w:ind w:left="554" w:right="0"/>
              <w:jc w:val="left"/>
              <w:rPr>
                <w:rFonts w:ascii="宋体" w:hAnsi="宋体" w:cs="宋体" w:eastAsia="宋体" w:hint="default"/>
                <w:sz w:val="21"/>
                <w:szCs w:val="21"/>
              </w:rPr>
            </w:pPr>
            <w:r>
              <w:rPr>
                <w:rFonts w:ascii="宋体"/>
                <w:sz w:val="21"/>
              </w:rPr>
              <w:t>146,337.55</w:t>
            </w:r>
          </w:p>
        </w:tc>
        <w:tc>
          <w:tcPr>
            <w:tcW w:w="259"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5"/>
              <w:jc w:val="right"/>
              <w:rPr>
                <w:rFonts w:ascii="宋体" w:hAnsi="宋体" w:cs="宋体" w:eastAsia="宋体" w:hint="default"/>
                <w:sz w:val="15"/>
                <w:szCs w:val="15"/>
              </w:rPr>
            </w:pPr>
            <w:r>
              <w:rPr>
                <w:rFonts w:ascii="宋体"/>
                <w:w w:val="100"/>
                <w:sz w:val="15"/>
              </w:rPr>
              <w:t>-</w:t>
            </w:r>
          </w:p>
        </w:tc>
      </w:tr>
      <w:tr>
        <w:trPr>
          <w:trHeight w:val="280"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07" w:lineRule="exact"/>
              <w:ind w:left="40"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single" w:sz="4" w:space="0" w:color="000000"/>
              <w:right w:val="nil" w:sz="6" w:space="0" w:color="auto"/>
            </w:tcBorders>
          </w:tcPr>
          <w:p>
            <w:pPr/>
          </w:p>
        </w:tc>
        <w:tc>
          <w:tcPr>
            <w:tcW w:w="1402" w:type="dxa"/>
            <w:gridSpan w:val="4"/>
            <w:tcBorders>
              <w:top w:val="nil" w:sz="6" w:space="0" w:color="auto"/>
              <w:left w:val="nil" w:sz="6" w:space="0" w:color="auto"/>
              <w:bottom w:val="single" w:sz="4" w:space="0" w:color="000000"/>
              <w:right w:val="nil" w:sz="6" w:space="0" w:color="auto"/>
            </w:tcBorders>
          </w:tcPr>
          <w:p>
            <w:pPr>
              <w:pStyle w:val="TableParagraph"/>
              <w:spacing w:line="242" w:lineRule="exact"/>
              <w:ind w:left="91" w:right="0"/>
              <w:jc w:val="left"/>
              <w:rPr>
                <w:rFonts w:ascii="宋体" w:hAnsi="宋体" w:cs="宋体" w:eastAsia="宋体" w:hint="default"/>
                <w:sz w:val="21"/>
                <w:szCs w:val="21"/>
              </w:rPr>
            </w:pPr>
            <w:r>
              <w:rPr>
                <w:rFonts w:ascii="宋体"/>
                <w:sz w:val="21"/>
              </w:rPr>
              <w:t>1,655,442.06</w:t>
            </w: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single" w:sz="4" w:space="0" w:color="000000"/>
              <w:right w:val="nil" w:sz="6" w:space="0" w:color="auto"/>
            </w:tcBorders>
          </w:tcPr>
          <w:p>
            <w:pP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4" w:right="0"/>
              <w:jc w:val="left"/>
              <w:rPr>
                <w:rFonts w:ascii="宋体" w:hAnsi="宋体" w:cs="宋体" w:eastAsia="宋体" w:hint="default"/>
                <w:sz w:val="15"/>
                <w:szCs w:val="15"/>
              </w:rPr>
            </w:pPr>
            <w:r>
              <w:rPr>
                <w:rFonts w:ascii="宋体"/>
                <w:w w:val="100"/>
                <w:sz w:val="15"/>
              </w:rPr>
              <w:t>-</w:t>
            </w:r>
          </w:p>
        </w:tc>
        <w:tc>
          <w:tcPr>
            <w:tcW w:w="14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 w:right="0"/>
              <w:jc w:val="left"/>
              <w:rPr>
                <w:rFonts w:ascii="宋体" w:hAnsi="宋体" w:cs="宋体" w:eastAsia="宋体" w:hint="default"/>
                <w:sz w:val="15"/>
                <w:szCs w:val="15"/>
              </w:rPr>
            </w:pPr>
            <w:r>
              <w:rPr>
                <w:rFonts w:ascii="宋体"/>
                <w:w w:val="100"/>
                <w:sz w:val="15"/>
              </w:rPr>
              <w:t>-</w:t>
            </w:r>
          </w:p>
        </w:tc>
        <w:tc>
          <w:tcPr>
            <w:tcW w:w="106" w:type="dxa"/>
            <w:tcBorders>
              <w:top w:val="nil" w:sz="6" w:space="0" w:color="auto"/>
              <w:left w:val="nil" w:sz="6" w:space="0" w:color="auto"/>
              <w:bottom w:val="single" w:sz="4" w:space="0" w:color="000000"/>
              <w:right w:val="nil" w:sz="6" w:space="0" w:color="auto"/>
            </w:tcBorders>
          </w:tcPr>
          <w:p>
            <w:pP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345" w:right="0"/>
              <w:jc w:val="left"/>
              <w:rPr>
                <w:rFonts w:ascii="宋体" w:hAnsi="宋体" w:cs="宋体" w:eastAsia="宋体" w:hint="default"/>
                <w:sz w:val="21"/>
                <w:szCs w:val="21"/>
              </w:rPr>
            </w:pPr>
            <w:r>
              <w:rPr>
                <w:rFonts w:ascii="宋体"/>
                <w:sz w:val="21"/>
              </w:rPr>
              <w:t>1,655,442.06</w:t>
            </w:r>
          </w:p>
        </w:tc>
        <w:tc>
          <w:tcPr>
            <w:tcW w:w="259" w:type="dxa"/>
            <w:tcBorders>
              <w:top w:val="nil" w:sz="6" w:space="0" w:color="auto"/>
              <w:left w:val="nil" w:sz="6" w:space="0" w:color="auto"/>
              <w:bottom w:val="single" w:sz="4" w:space="0" w:color="000000"/>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1,655,442.06</w:t>
            </w:r>
          </w:p>
        </w:tc>
      </w:tr>
      <w:tr>
        <w:trPr>
          <w:trHeight w:val="290"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10" w:lineRule="exact"/>
              <w:ind w:left="4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single" w:sz="4" w:space="0" w:color="000000"/>
              <w:left w:val="nil" w:sz="6" w:space="0" w:color="auto"/>
              <w:bottom w:val="single" w:sz="12" w:space="0" w:color="000000"/>
              <w:right w:val="nil" w:sz="6" w:space="0" w:color="auto"/>
            </w:tcBorders>
          </w:tcPr>
          <w:p>
            <w:pPr/>
          </w:p>
        </w:tc>
        <w:tc>
          <w:tcPr>
            <w:tcW w:w="1402" w:type="dxa"/>
            <w:gridSpan w:val="4"/>
            <w:tcBorders>
              <w:top w:val="single" w:sz="4" w:space="0" w:color="000000"/>
              <w:left w:val="nil" w:sz="6" w:space="0" w:color="auto"/>
              <w:bottom w:val="single" w:sz="12" w:space="0" w:color="000000"/>
              <w:right w:val="nil" w:sz="6" w:space="0" w:color="auto"/>
            </w:tcBorders>
          </w:tcPr>
          <w:p>
            <w:pPr>
              <w:pStyle w:val="TableParagraph"/>
              <w:spacing w:line="241" w:lineRule="exact"/>
              <w:ind w:left="91" w:right="0"/>
              <w:jc w:val="left"/>
              <w:rPr>
                <w:rFonts w:ascii="宋体" w:hAnsi="宋体" w:cs="宋体" w:eastAsia="宋体" w:hint="default"/>
                <w:sz w:val="21"/>
                <w:szCs w:val="21"/>
              </w:rPr>
            </w:pPr>
            <w:r>
              <w:rPr>
                <w:rFonts w:ascii="宋体"/>
                <w:sz w:val="21"/>
              </w:rPr>
              <w:t>1,801,779.61</w:t>
            </w: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single" w:sz="4" w:space="0" w:color="000000"/>
              <w:left w:val="nil" w:sz="6" w:space="0" w:color="auto"/>
              <w:bottom w:val="single" w:sz="12" w:space="0" w:color="000000"/>
              <w:right w:val="nil" w:sz="6" w:space="0" w:color="auto"/>
            </w:tcBorders>
          </w:tcPr>
          <w:p>
            <w:pP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14" w:right="0"/>
              <w:jc w:val="left"/>
              <w:rPr>
                <w:rFonts w:ascii="宋体" w:hAnsi="宋体" w:cs="宋体" w:eastAsia="宋体" w:hint="default"/>
                <w:sz w:val="15"/>
                <w:szCs w:val="15"/>
              </w:rPr>
            </w:pPr>
            <w:r>
              <w:rPr>
                <w:rFonts w:ascii="宋体"/>
                <w:w w:val="100"/>
                <w:sz w:val="15"/>
              </w:rPr>
              <w:t>-</w:t>
            </w:r>
          </w:p>
        </w:tc>
        <w:tc>
          <w:tcPr>
            <w:tcW w:w="1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3" w:right="0"/>
              <w:jc w:val="left"/>
              <w:rPr>
                <w:rFonts w:ascii="宋体" w:hAnsi="宋体" w:cs="宋体" w:eastAsia="宋体" w:hint="default"/>
                <w:sz w:val="15"/>
                <w:szCs w:val="15"/>
              </w:rPr>
            </w:pPr>
            <w:r>
              <w:rPr>
                <w:rFonts w:ascii="宋体"/>
                <w:w w:val="100"/>
                <w:sz w:val="15"/>
              </w:rPr>
              <w:t>-</w:t>
            </w:r>
          </w:p>
        </w:tc>
        <w:tc>
          <w:tcPr>
            <w:tcW w:w="106" w:type="dxa"/>
            <w:tcBorders>
              <w:top w:val="single" w:sz="4" w:space="0" w:color="000000"/>
              <w:left w:val="nil" w:sz="6" w:space="0" w:color="auto"/>
              <w:bottom w:val="single" w:sz="12" w:space="0" w:color="000000"/>
              <w:right w:val="nil" w:sz="6" w:space="0" w:color="auto"/>
            </w:tcBorders>
          </w:tcPr>
          <w:p>
            <w:pPr/>
          </w:p>
        </w:tc>
        <w:tc>
          <w:tcPr>
            <w:tcW w:w="2120"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345" w:right="0"/>
              <w:jc w:val="left"/>
              <w:rPr>
                <w:rFonts w:ascii="宋体" w:hAnsi="宋体" w:cs="宋体" w:eastAsia="宋体" w:hint="default"/>
                <w:sz w:val="21"/>
                <w:szCs w:val="21"/>
              </w:rPr>
            </w:pPr>
            <w:r>
              <w:rPr>
                <w:rFonts w:ascii="宋体"/>
                <w:sz w:val="21"/>
              </w:rPr>
              <w:t>1,801,779.61</w:t>
            </w:r>
          </w:p>
        </w:tc>
        <w:tc>
          <w:tcPr>
            <w:tcW w:w="259" w:type="dxa"/>
            <w:tcBorders>
              <w:top w:val="single" w:sz="4" w:space="0" w:color="000000"/>
              <w:left w:val="nil" w:sz="6" w:space="0" w:color="auto"/>
              <w:bottom w:val="single" w:sz="12" w:space="0" w:color="000000"/>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1,655,442.06</w:t>
            </w:r>
          </w:p>
        </w:tc>
      </w:tr>
      <w:tr>
        <w:trPr>
          <w:trHeight w:val="1241" w:hRule="exact"/>
        </w:trPr>
        <w:tc>
          <w:tcPr>
            <w:tcW w:w="10337" w:type="dxa"/>
            <w:gridSpan w:val="19"/>
            <w:tcBorders>
              <w:top w:val="nil" w:sz="6" w:space="0" w:color="auto"/>
              <w:left w:val="nil" w:sz="6" w:space="0" w:color="auto"/>
              <w:bottom w:val="nil" w:sz="6" w:space="0" w:color="auto"/>
              <w:right w:val="nil" w:sz="6" w:space="0" w:color="auto"/>
            </w:tcBorders>
          </w:tcPr>
          <w:p>
            <w:pPr>
              <w:pStyle w:val="TableParagraph"/>
              <w:spacing w:line="28" w:lineRule="exact"/>
              <w:ind w:left="669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5.55pt;height:1.45pt;mso-position-horizontal-relative:char;mso-position-vertical-relative:line" coordorigin="0,0" coordsize="1511,29">
                  <v:group style="position:absolute;left:5;top:5;width:1501;height:2" coordorigin="5,5" coordsize="1501,2">
                    <v:shape style="position:absolute;left:5;top:5;width:1501;height:2" coordorigin="5,5" coordsize="1501,0" path="m5,5l1505,5e" filled="false" stroked="true" strokeweight=".48001pt" strokecolor="#000000">
                      <v:path arrowok="t"/>
                    </v:shape>
                  </v:group>
                  <v:group style="position:absolute;left:5;top:24;width:1501;height:2" coordorigin="5,24" coordsize="1501,2">
                    <v:shape style="position:absolute;left:5;top:24;width:1501;height:2" coordorigin="5,24" coordsize="1501,0" path="m5,24l1505,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804" w:right="77"/>
              <w:jc w:val="both"/>
              <w:rPr>
                <w:rFonts w:ascii="宋体" w:hAnsi="宋体" w:cs="宋体" w:eastAsia="宋体" w:hint="default"/>
                <w:sz w:val="21"/>
                <w:szCs w:val="21"/>
              </w:rPr>
            </w:pPr>
            <w:r>
              <w:rPr>
                <w:rFonts w:ascii="宋体" w:hAnsi="宋体" w:cs="宋体" w:eastAsia="宋体" w:hint="default"/>
                <w:sz w:val="21"/>
                <w:szCs w:val="21"/>
              </w:rPr>
              <w:t>上述上海华钟计算机软件开发有限公司商誉系</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年内本公司以货币资金增资该公司</w:t>
            </w:r>
            <w:r>
              <w:rPr>
                <w:rFonts w:ascii="宋体" w:hAnsi="宋体" w:cs="宋体" w:eastAsia="宋体" w:hint="default"/>
                <w:spacing w:val="-54"/>
                <w:sz w:val="21"/>
                <w:szCs w:val="21"/>
              </w:rPr>
              <w:t> </w:t>
            </w:r>
            <w:r>
              <w:rPr>
                <w:rFonts w:ascii="宋体" w:hAnsi="宋体" w:cs="宋体" w:eastAsia="宋体" w:hint="default"/>
                <w:sz w:val="21"/>
                <w:szCs w:val="21"/>
              </w:rPr>
              <w:t>676,326.53</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股权比例由原先的</w:t>
            </w:r>
            <w:r>
              <w:rPr>
                <w:rFonts w:ascii="宋体" w:hAnsi="宋体" w:cs="宋体" w:eastAsia="宋体" w:hint="default"/>
                <w:spacing w:val="-48"/>
                <w:sz w:val="21"/>
                <w:szCs w:val="21"/>
              </w:rPr>
              <w:t> </w:t>
            </w:r>
            <w:r>
              <w:rPr>
                <w:rFonts w:ascii="宋体" w:hAnsi="宋体" w:cs="宋体" w:eastAsia="宋体" w:hint="default"/>
                <w:sz w:val="21"/>
                <w:szCs w:val="21"/>
              </w:rPr>
              <w:t>50%</w:t>
            </w:r>
            <w:r>
              <w:rPr>
                <w:rFonts w:ascii="宋体" w:hAnsi="宋体" w:cs="宋体" w:eastAsia="宋体" w:hint="default"/>
                <w:sz w:val="21"/>
                <w:szCs w:val="21"/>
              </w:rPr>
              <w:t>增加到</w:t>
            </w:r>
            <w:r>
              <w:rPr>
                <w:rFonts w:ascii="宋体" w:hAnsi="宋体" w:cs="宋体" w:eastAsia="宋体" w:hint="default"/>
                <w:spacing w:val="-48"/>
                <w:sz w:val="21"/>
                <w:szCs w:val="21"/>
              </w:rPr>
              <w:t> </w:t>
            </w:r>
            <w:r>
              <w:rPr>
                <w:rFonts w:ascii="宋体" w:hAnsi="宋体" w:cs="宋体" w:eastAsia="宋体" w:hint="default"/>
                <w:sz w:val="21"/>
                <w:szCs w:val="21"/>
              </w:rPr>
              <w:t>51%</w:t>
            </w:r>
            <w:r>
              <w:rPr>
                <w:rFonts w:ascii="宋体" w:hAnsi="宋体" w:cs="宋体" w:eastAsia="宋体" w:hint="default"/>
                <w:sz w:val="21"/>
                <w:szCs w:val="21"/>
              </w:rPr>
              <w:t>，合并成本（货币资金增资溢价金额）</w:t>
            </w:r>
            <w:r>
              <w:rPr>
                <w:rFonts w:ascii="宋体" w:hAnsi="宋体" w:cs="宋体" w:eastAsia="宋体" w:hint="default"/>
                <w:sz w:val="21"/>
                <w:szCs w:val="21"/>
              </w:rPr>
              <w:t>331,400.00</w:t>
            </w:r>
            <w:r>
              <w:rPr>
                <w:rFonts w:ascii="宋体" w:hAnsi="宋体" w:cs="宋体" w:eastAsia="宋体" w:hint="default"/>
                <w:spacing w:val="-49"/>
                <w:sz w:val="21"/>
                <w:szCs w:val="21"/>
              </w:rPr>
              <w:t> </w:t>
            </w:r>
            <w:r>
              <w:rPr>
                <w:rFonts w:ascii="宋体" w:hAnsi="宋体" w:cs="宋体" w:eastAsia="宋体" w:hint="default"/>
                <w:sz w:val="21"/>
                <w:szCs w:val="21"/>
              </w:rPr>
              <w:t>元大于合并日取得</w:t>
            </w:r>
            <w:r>
              <w:rPr>
                <w:rFonts w:ascii="宋体" w:hAnsi="宋体" w:cs="宋体" w:eastAsia="宋体" w:hint="default"/>
                <w:w w:val="100"/>
                <w:sz w:val="21"/>
                <w:szCs w:val="21"/>
              </w:rPr>
              <w:t> </w:t>
            </w:r>
            <w:r>
              <w:rPr>
                <w:rFonts w:ascii="宋体" w:hAnsi="宋体" w:cs="宋体" w:eastAsia="宋体" w:hint="default"/>
                <w:sz w:val="21"/>
                <w:szCs w:val="21"/>
              </w:rPr>
              <w:t>该公司可辨认净资产公允价值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份额</w:t>
            </w:r>
            <w:r>
              <w:rPr>
                <w:rFonts w:ascii="宋体" w:hAnsi="宋体" w:cs="宋体" w:eastAsia="宋体" w:hint="default"/>
                <w:spacing w:val="-53"/>
                <w:sz w:val="21"/>
                <w:szCs w:val="21"/>
              </w:rPr>
              <w:t> </w:t>
            </w:r>
            <w:r>
              <w:rPr>
                <w:rFonts w:ascii="宋体" w:hAnsi="宋体" w:cs="宋体" w:eastAsia="宋体" w:hint="default"/>
                <w:sz w:val="21"/>
                <w:szCs w:val="21"/>
              </w:rPr>
              <w:t>185,062.45</w:t>
            </w:r>
            <w:r>
              <w:rPr>
                <w:rFonts w:ascii="宋体" w:hAnsi="宋体" w:cs="宋体" w:eastAsia="宋体" w:hint="default"/>
                <w:spacing w:val="-55"/>
                <w:sz w:val="21"/>
                <w:szCs w:val="21"/>
              </w:rPr>
              <w:t> </w:t>
            </w:r>
            <w:r>
              <w:rPr>
                <w:rFonts w:ascii="宋体" w:hAnsi="宋体" w:cs="宋体" w:eastAsia="宋体" w:hint="default"/>
                <w:sz w:val="21"/>
                <w:szCs w:val="21"/>
              </w:rPr>
              <w:t>元的差额所致。</w:t>
            </w:r>
          </w:p>
        </w:tc>
      </w:tr>
      <w:tr>
        <w:trPr>
          <w:trHeight w:val="562"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62" w:right="0"/>
              <w:jc w:val="left"/>
              <w:rPr>
                <w:rFonts w:ascii="宋体" w:hAnsi="宋体" w:cs="宋体" w:eastAsia="宋体" w:hint="default"/>
                <w:sz w:val="21"/>
                <w:szCs w:val="21"/>
              </w:rPr>
            </w:pPr>
            <w:r>
              <w:rPr>
                <w:rFonts w:ascii="宋体"/>
                <w:sz w:val="21"/>
              </w:rPr>
              <w:t>6.10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67" w:type="dxa"/>
            <w:tcBorders>
              <w:top w:val="nil" w:sz="6" w:space="0" w:color="auto"/>
              <w:left w:val="nil" w:sz="6" w:space="0" w:color="auto"/>
              <w:bottom w:val="nil" w:sz="6" w:space="0" w:color="auto"/>
              <w:right w:val="nil" w:sz="6" w:space="0" w:color="auto"/>
            </w:tcBorders>
          </w:tcPr>
          <w:p>
            <w:pPr/>
          </w:p>
        </w:tc>
        <w:tc>
          <w:tcPr>
            <w:tcW w:w="36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44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44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4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398"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7" w:type="dxa"/>
            <w:tcBorders>
              <w:top w:val="nil" w:sz="6" w:space="0" w:color="auto"/>
              <w:left w:val="nil" w:sz="6" w:space="0" w:color="auto"/>
              <w:bottom w:val="single" w:sz="4" w:space="0" w:color="000000"/>
              <w:right w:val="nil" w:sz="6" w:space="0" w:color="auto"/>
            </w:tcBorders>
          </w:tcPr>
          <w:p>
            <w:pPr/>
          </w:p>
        </w:tc>
        <w:tc>
          <w:tcPr>
            <w:tcW w:w="132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8"/>
              <w:ind w:left="24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本年摊销</w:t>
            </w:r>
          </w:p>
        </w:tc>
        <w:tc>
          <w:tcPr>
            <w:tcW w:w="93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28"/>
              <w:ind w:left="84"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03"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09" w:lineRule="exact"/>
              <w:ind w:left="108" w:right="0"/>
              <w:jc w:val="left"/>
              <w:rPr>
                <w:rFonts w:ascii="宋体" w:hAnsi="宋体" w:cs="宋体" w:eastAsia="宋体" w:hint="default"/>
                <w:sz w:val="18"/>
                <w:szCs w:val="18"/>
              </w:rPr>
            </w:pPr>
            <w:r>
              <w:rPr>
                <w:rFonts w:ascii="宋体" w:hAnsi="宋体" w:cs="宋体" w:eastAsia="宋体" w:hint="default"/>
                <w:sz w:val="18"/>
                <w:szCs w:val="18"/>
              </w:rPr>
              <w:t>经营性租入固</w:t>
            </w:r>
          </w:p>
          <w:p>
            <w:pPr>
              <w:pStyle w:val="TableParagraph"/>
              <w:spacing w:line="232" w:lineRule="exact" w:before="23"/>
              <w:ind w:left="108" w:right="302"/>
              <w:jc w:val="left"/>
              <w:rPr>
                <w:rFonts w:ascii="宋体" w:hAnsi="宋体" w:cs="宋体" w:eastAsia="宋体" w:hint="default"/>
                <w:sz w:val="18"/>
                <w:szCs w:val="18"/>
              </w:rPr>
            </w:pPr>
            <w:r>
              <w:rPr>
                <w:rFonts w:ascii="宋体" w:hAnsi="宋体" w:cs="宋体" w:eastAsia="宋体" w:hint="default"/>
                <w:sz w:val="18"/>
                <w:szCs w:val="18"/>
              </w:rPr>
              <w:t>定资产改良支 出</w:t>
            </w:r>
          </w:p>
        </w:tc>
        <w:tc>
          <w:tcPr>
            <w:tcW w:w="67" w:type="dxa"/>
            <w:tcBorders>
              <w:top w:val="single" w:sz="4" w:space="0" w:color="000000"/>
              <w:left w:val="nil" w:sz="6" w:space="0" w:color="auto"/>
              <w:bottom w:val="nil" w:sz="6" w:space="0" w:color="auto"/>
              <w:right w:val="nil" w:sz="6" w:space="0" w:color="auto"/>
            </w:tcBorders>
          </w:tcPr>
          <w:p>
            <w:pPr/>
          </w:p>
        </w:tc>
        <w:tc>
          <w:tcPr>
            <w:tcW w:w="132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宋体" w:hAnsi="宋体" w:cs="宋体" w:eastAsia="宋体" w:hint="default"/>
                <w:sz w:val="18"/>
                <w:szCs w:val="18"/>
              </w:rPr>
            </w:pPr>
            <w:r>
              <w:rPr>
                <w:rFonts w:ascii="宋体"/>
                <w:sz w:val="18"/>
              </w:rPr>
              <w:t>2,834,010.34</w:t>
            </w:r>
          </w:p>
        </w:tc>
        <w:tc>
          <w:tcPr>
            <w:tcW w:w="1472"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1.2pt;height:.5pt;mso-position-horizontal-relative:char;mso-position-vertical-relative:line" coordorigin="0,0" coordsize="1224,10">
                  <v:group style="position:absolute;left:5;top:5;width:1215;height:2" coordorigin="5,5" coordsize="1215,2">
                    <v:shape style="position:absolute;left:5;top:5;width:1215;height:2" coordorigin="5,5" coordsize="1215,0" path="m5,5l1219,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8" w:right="0"/>
              <w:jc w:val="left"/>
              <w:rPr>
                <w:rFonts w:ascii="宋体" w:hAnsi="宋体" w:cs="宋体" w:eastAsia="宋体" w:hint="default"/>
                <w:sz w:val="18"/>
                <w:szCs w:val="18"/>
              </w:rPr>
            </w:pPr>
            <w:r>
              <w:rPr>
                <w:rFonts w:ascii="宋体"/>
                <w:sz w:val="18"/>
              </w:rPr>
              <w:t>1,556,656.80</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5" w:right="0"/>
              <w:jc w:val="left"/>
              <w:rPr>
                <w:rFonts w:ascii="宋体" w:hAnsi="宋体" w:cs="宋体" w:eastAsia="宋体" w:hint="default"/>
                <w:sz w:val="18"/>
                <w:szCs w:val="18"/>
              </w:rPr>
            </w:pPr>
            <w:r>
              <w:rPr>
                <w:rFonts w:ascii="宋体"/>
                <w:sz w:val="18"/>
              </w:rPr>
              <w:t>845,251.24</w:t>
            </w:r>
          </w:p>
        </w:tc>
        <w:tc>
          <w:tcPr>
            <w:tcW w:w="144"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253" w:type="dxa"/>
            <w:tcBorders>
              <w:top w:val="single" w:sz="4" w:space="0" w:color="000000"/>
              <w:left w:val="nil" w:sz="6" w:space="0" w:color="auto"/>
              <w:bottom w:val="nil" w:sz="6" w:space="0" w:color="auto"/>
              <w:right w:val="nil" w:sz="6" w:space="0" w:color="auto"/>
            </w:tcBorders>
          </w:tcPr>
          <w:p>
            <w:pPr/>
          </w:p>
        </w:tc>
        <w:tc>
          <w:tcPr>
            <w:tcW w:w="433"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right="103"/>
              <w:jc w:val="right"/>
              <w:rPr>
                <w:rFonts w:ascii="宋体" w:hAnsi="宋体" w:cs="宋体" w:eastAsia="宋体" w:hint="default"/>
                <w:sz w:val="21"/>
                <w:szCs w:val="21"/>
              </w:rPr>
            </w:pPr>
            <w:r>
              <w:rPr>
                <w:rFonts w:ascii="宋体"/>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3,545,415.90</w:t>
            </w: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79"/>
              <w:ind w:right="106"/>
              <w:jc w:val="right"/>
              <w:rPr>
                <w:rFonts w:ascii="宋体" w:hAnsi="宋体" w:cs="宋体" w:eastAsia="宋体" w:hint="default"/>
                <w:sz w:val="21"/>
                <w:szCs w:val="21"/>
              </w:rPr>
            </w:pPr>
            <w:r>
              <w:rPr>
                <w:rFonts w:ascii="宋体"/>
                <w:w w:val="100"/>
                <w:sz w:val="21"/>
              </w:rPr>
              <w:t>-</w:t>
            </w:r>
          </w:p>
        </w:tc>
      </w:tr>
      <w:tr>
        <w:trPr>
          <w:trHeight w:val="278"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 w:type="dxa"/>
            <w:tcBorders>
              <w:top w:val="nil" w:sz="6" w:space="0" w:color="auto"/>
              <w:left w:val="nil" w:sz="6" w:space="0" w:color="auto"/>
              <w:bottom w:val="single" w:sz="4" w:space="0" w:color="000000"/>
              <w:right w:val="nil" w:sz="6" w:space="0" w:color="auto"/>
            </w:tcBorders>
          </w:tcPr>
          <w:p>
            <w:pPr/>
          </w:p>
        </w:tc>
        <w:tc>
          <w:tcPr>
            <w:tcW w:w="365"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446" w:type="dxa"/>
            <w:tcBorders>
              <w:top w:val="nil" w:sz="6" w:space="0" w:color="auto"/>
              <w:left w:val="nil" w:sz="6" w:space="0" w:color="auto"/>
              <w:bottom w:val="single" w:sz="4" w:space="0" w:color="000000"/>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z w:val="18"/>
              </w:rPr>
              <w:t>-</w:t>
            </w:r>
          </w:p>
        </w:tc>
        <w:tc>
          <w:tcPr>
            <w:tcW w:w="228" w:type="dxa"/>
            <w:tcBorders>
              <w:top w:val="nil" w:sz="6" w:space="0" w:color="auto"/>
              <w:left w:val="nil" w:sz="6" w:space="0" w:color="auto"/>
              <w:bottom w:val="nil" w:sz="6" w:space="0" w:color="auto"/>
              <w:right w:val="nil" w:sz="6" w:space="0" w:color="auto"/>
            </w:tcBorders>
          </w:tcPr>
          <w:p>
            <w:pPr/>
          </w:p>
        </w:tc>
        <w:tc>
          <w:tcPr>
            <w:tcW w:w="1472"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360" w:right="0"/>
              <w:jc w:val="left"/>
              <w:rPr>
                <w:rFonts w:ascii="宋体" w:hAnsi="宋体" w:cs="宋体" w:eastAsia="宋体" w:hint="default"/>
                <w:sz w:val="18"/>
                <w:szCs w:val="18"/>
              </w:rPr>
            </w:pPr>
            <w:r>
              <w:rPr>
                <w:rFonts w:ascii="宋体"/>
                <w:sz w:val="18"/>
              </w:rPr>
              <w:t>20,000.00</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27" w:lineRule="exact"/>
              <w:ind w:left="256" w:right="0"/>
              <w:jc w:val="left"/>
              <w:rPr>
                <w:rFonts w:ascii="宋体" w:hAnsi="宋体" w:cs="宋体" w:eastAsia="宋体" w:hint="default"/>
                <w:sz w:val="18"/>
                <w:szCs w:val="18"/>
              </w:rPr>
            </w:pPr>
            <w:r>
              <w:rPr>
                <w:rFonts w:ascii="宋体"/>
                <w:sz w:val="18"/>
              </w:rPr>
              <w:t>3,892.00</w:t>
            </w:r>
          </w:p>
        </w:tc>
        <w:tc>
          <w:tcPr>
            <w:tcW w:w="144"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253" w:type="dxa"/>
            <w:tcBorders>
              <w:top w:val="nil" w:sz="6" w:space="0" w:color="auto"/>
              <w:left w:val="nil" w:sz="6" w:space="0" w:color="auto"/>
              <w:bottom w:val="single" w:sz="4" w:space="0" w:color="000000"/>
              <w:right w:val="nil" w:sz="6" w:space="0" w:color="auto"/>
            </w:tcBorders>
          </w:tcPr>
          <w:p>
            <w:pPr/>
          </w:p>
        </w:tc>
        <w:tc>
          <w:tcPr>
            <w:tcW w:w="433" w:type="dxa"/>
            <w:tcBorders>
              <w:top w:val="nil" w:sz="6" w:space="0" w:color="auto"/>
              <w:left w:val="nil" w:sz="6" w:space="0" w:color="auto"/>
              <w:bottom w:val="single" w:sz="4" w:space="0" w:color="000000"/>
              <w:right w:val="nil" w:sz="6" w:space="0" w:color="auto"/>
            </w:tcBorders>
          </w:tcPr>
          <w:p>
            <w:pPr>
              <w:pStyle w:val="TableParagraph"/>
              <w:spacing w:line="227" w:lineRule="exact"/>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227" w:lineRule="exact"/>
              <w:ind w:right="1"/>
              <w:jc w:val="right"/>
              <w:rPr>
                <w:rFonts w:ascii="宋体" w:hAnsi="宋体" w:cs="宋体" w:eastAsia="宋体" w:hint="default"/>
                <w:sz w:val="18"/>
                <w:szCs w:val="18"/>
              </w:rPr>
            </w:pPr>
            <w:r>
              <w:rPr>
                <w:rFonts w:ascii="宋体"/>
                <w:spacing w:val="-1"/>
                <w:sz w:val="18"/>
              </w:rPr>
              <w:t>16,108.00</w:t>
            </w: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w:t>
            </w:r>
          </w:p>
        </w:tc>
      </w:tr>
      <w:tr>
        <w:trPr>
          <w:trHeight w:val="293" w:hRule="exact"/>
        </w:trPr>
        <w:tc>
          <w:tcPr>
            <w:tcW w:w="69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 w:type="dxa"/>
            <w:tcBorders>
              <w:top w:val="single" w:sz="4" w:space="0" w:color="000000"/>
              <w:left w:val="nil" w:sz="6" w:space="0" w:color="auto"/>
              <w:bottom w:val="single" w:sz="12" w:space="0" w:color="000000"/>
              <w:right w:val="nil" w:sz="6" w:space="0" w:color="auto"/>
            </w:tcBorders>
          </w:tcPr>
          <w:p>
            <w:pPr/>
          </w:p>
        </w:tc>
        <w:tc>
          <w:tcPr>
            <w:tcW w:w="1325"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6" w:right="0"/>
              <w:jc w:val="left"/>
              <w:rPr>
                <w:rFonts w:ascii="宋体" w:hAnsi="宋体" w:cs="宋体" w:eastAsia="宋体" w:hint="default"/>
                <w:sz w:val="18"/>
                <w:szCs w:val="18"/>
              </w:rPr>
            </w:pPr>
            <w:r>
              <w:rPr>
                <w:rFonts w:ascii="宋体"/>
                <w:sz w:val="18"/>
              </w:rPr>
              <w:t>2,834,010.34</w:t>
            </w:r>
          </w:p>
        </w:tc>
        <w:tc>
          <w:tcPr>
            <w:tcW w:w="1472"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91" w:right="0"/>
              <w:jc w:val="left"/>
              <w:rPr>
                <w:rFonts w:ascii="宋体" w:hAnsi="宋体" w:cs="宋体" w:eastAsia="宋体" w:hint="default"/>
                <w:sz w:val="18"/>
                <w:szCs w:val="18"/>
              </w:rPr>
            </w:pPr>
            <w:r>
              <w:rPr>
                <w:rFonts w:ascii="宋体"/>
                <w:sz w:val="18"/>
              </w:rPr>
              <w:t>1,576,656.80</w:t>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06" w:lineRule="exact"/>
              <w:ind w:left="75" w:right="0"/>
              <w:jc w:val="left"/>
              <w:rPr>
                <w:rFonts w:ascii="宋体" w:hAnsi="宋体" w:cs="宋体" w:eastAsia="宋体" w:hint="default"/>
                <w:sz w:val="18"/>
                <w:szCs w:val="18"/>
              </w:rPr>
            </w:pPr>
            <w:r>
              <w:rPr>
                <w:rFonts w:ascii="宋体"/>
                <w:sz w:val="18"/>
              </w:rPr>
              <w:t>849,143.24</w:t>
            </w:r>
          </w:p>
        </w:tc>
        <w:tc>
          <w:tcPr>
            <w:tcW w:w="144" w:type="dxa"/>
            <w:tcBorders>
              <w:top w:val="single" w:sz="4" w:space="0" w:color="000000"/>
              <w:left w:val="nil" w:sz="6" w:space="0" w:color="auto"/>
              <w:bottom w:val="single" w:sz="12" w:space="0" w:color="000000"/>
              <w:right w:val="nil" w:sz="6" w:space="0" w:color="auto"/>
            </w:tcBorders>
          </w:tcPr>
          <w:p>
            <w:pPr/>
          </w:p>
        </w:tc>
        <w:tc>
          <w:tcPr>
            <w:tcW w:w="106" w:type="dxa"/>
            <w:tcBorders>
              <w:top w:val="single" w:sz="4" w:space="0" w:color="000000"/>
              <w:left w:val="nil" w:sz="6" w:space="0" w:color="auto"/>
              <w:bottom w:val="single" w:sz="12" w:space="0" w:color="000000"/>
              <w:right w:val="nil" w:sz="6" w:space="0" w:color="auto"/>
            </w:tcBorders>
          </w:tcPr>
          <w:p>
            <w:pPr/>
          </w:p>
        </w:tc>
        <w:tc>
          <w:tcPr>
            <w:tcW w:w="253" w:type="dxa"/>
            <w:tcBorders>
              <w:top w:val="single" w:sz="4" w:space="0" w:color="000000"/>
              <w:left w:val="nil" w:sz="6" w:space="0" w:color="auto"/>
              <w:bottom w:val="single" w:sz="12" w:space="0" w:color="000000"/>
              <w:right w:val="nil" w:sz="6" w:space="0" w:color="auto"/>
            </w:tcBorders>
          </w:tcPr>
          <w:p>
            <w:pPr/>
          </w:p>
        </w:tc>
        <w:tc>
          <w:tcPr>
            <w:tcW w:w="433" w:type="dxa"/>
            <w:tcBorders>
              <w:top w:val="single" w:sz="4" w:space="0" w:color="000000"/>
              <w:left w:val="nil" w:sz="6" w:space="0" w:color="auto"/>
              <w:bottom w:val="single" w:sz="12" w:space="0" w:color="000000"/>
              <w:right w:val="nil" w:sz="6" w:space="0" w:color="auto"/>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single" w:sz="12" w:space="0" w:color="000000"/>
              <w:right w:val="nil" w:sz="6" w:space="0" w:color="auto"/>
            </w:tcBorders>
          </w:tcPr>
          <w:p>
            <w:pPr>
              <w:pStyle w:val="TableParagraph"/>
              <w:spacing w:line="206" w:lineRule="exact"/>
              <w:ind w:right="0"/>
              <w:jc w:val="right"/>
              <w:rPr>
                <w:rFonts w:ascii="宋体" w:hAnsi="宋体" w:cs="宋体" w:eastAsia="宋体" w:hint="default"/>
                <w:sz w:val="18"/>
                <w:szCs w:val="18"/>
              </w:rPr>
            </w:pPr>
            <w:r>
              <w:rPr>
                <w:rFonts w:ascii="宋体"/>
                <w:spacing w:val="-1"/>
                <w:sz w:val="18"/>
              </w:rPr>
              <w:t>3,561,523.90</w:t>
            </w:r>
          </w:p>
        </w:tc>
        <w:tc>
          <w:tcPr>
            <w:tcW w:w="259"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w:t>
            </w:r>
          </w:p>
        </w:tc>
      </w:tr>
      <w:tr>
        <w:trPr>
          <w:trHeight w:val="862" w:hRule="exact"/>
        </w:trPr>
        <w:tc>
          <w:tcPr>
            <w:tcW w:w="697" w:type="dxa"/>
            <w:tcBorders>
              <w:top w:val="nil" w:sz="6" w:space="0" w:color="auto"/>
              <w:left w:val="nil" w:sz="6" w:space="0" w:color="auto"/>
              <w:bottom w:val="nil" w:sz="6" w:space="0" w:color="auto"/>
              <w:right w:val="nil" w:sz="6" w:space="0" w:color="auto"/>
            </w:tcBorders>
          </w:tcPr>
          <w:p>
            <w:pPr/>
          </w:p>
        </w:tc>
        <w:tc>
          <w:tcPr>
            <w:tcW w:w="9640" w:type="dxa"/>
            <w:gridSpan w:val="18"/>
            <w:tcBorders>
              <w:top w:val="nil" w:sz="6" w:space="0" w:color="auto"/>
              <w:left w:val="nil" w:sz="6" w:space="0" w:color="auto"/>
              <w:bottom w:val="nil" w:sz="6" w:space="0" w:color="auto"/>
              <w:right w:val="nil" w:sz="6" w:space="0" w:color="auto"/>
            </w:tcBorders>
          </w:tcPr>
          <w:p>
            <w:pPr>
              <w:pStyle w:val="TableParagraph"/>
              <w:spacing w:line="28" w:lineRule="exact"/>
              <w:ind w:left="288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1.2pt;height:1.45pt;mso-position-horizontal-relative:char;mso-position-vertical-relative:line" coordorigin="0,0" coordsize="1224,29">
                  <v:group style="position:absolute;left:5;top:5;width:1215;height:2" coordorigin="5,5" coordsize="1215,2">
                    <v:shape style="position:absolute;left:5;top:5;width:1215;height:2" coordorigin="5,5" coordsize="1215,0" path="m5,5l1219,5e" filled="false" stroked="true" strokeweight=".47998pt" strokecolor="#000000">
                      <v:path arrowok="t"/>
                    </v:shape>
                  </v:group>
                  <v:group style="position:absolute;left:5;top:24;width:1215;height:2" coordorigin="5,24" coordsize="1215,2">
                    <v:shape style="position:absolute;left:5;top:24;width:1215;height:2" coordorigin="5,24" coordsize="1215,0" path="m5,24l1219,24e" filled="false" stroked="true" strokeweight=".48004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3" w:lineRule="auto"/>
              <w:ind w:left="108" w:right="101"/>
              <w:jc w:val="left"/>
              <w:rPr>
                <w:rFonts w:ascii="宋体" w:hAnsi="宋体" w:cs="宋体" w:eastAsia="宋体" w:hint="default"/>
                <w:sz w:val="21"/>
                <w:szCs w:val="21"/>
              </w:rPr>
            </w:pPr>
            <w:r>
              <w:rPr>
                <w:rFonts w:ascii="宋体" w:hAnsi="宋体" w:cs="宋体" w:eastAsia="宋体" w:hint="default"/>
                <w:sz w:val="21"/>
                <w:szCs w:val="21"/>
              </w:rPr>
              <w:t>长期待摊费用年末数比年初数增加</w:t>
            </w:r>
            <w:r>
              <w:rPr>
                <w:rFonts w:ascii="宋体" w:hAnsi="宋体" w:cs="宋体" w:eastAsia="宋体" w:hint="default"/>
                <w:spacing w:val="-47"/>
                <w:sz w:val="21"/>
                <w:szCs w:val="21"/>
              </w:rPr>
              <w:t> </w:t>
            </w:r>
            <w:r>
              <w:rPr>
                <w:rFonts w:ascii="宋体" w:hAnsi="宋体" w:cs="宋体" w:eastAsia="宋体" w:hint="default"/>
                <w:sz w:val="21"/>
                <w:szCs w:val="21"/>
              </w:rPr>
              <w:t>727,513.56</w:t>
            </w:r>
            <w:r>
              <w:rPr>
                <w:rFonts w:ascii="宋体" w:hAnsi="宋体" w:cs="宋体" w:eastAsia="宋体" w:hint="default"/>
                <w:spacing w:val="-47"/>
                <w:sz w:val="21"/>
                <w:szCs w:val="21"/>
              </w:rPr>
              <w:t> </w:t>
            </w:r>
            <w:r>
              <w:rPr>
                <w:rFonts w:ascii="宋体" w:hAnsi="宋体" w:cs="宋体" w:eastAsia="宋体" w:hint="default"/>
                <w:sz w:val="21"/>
                <w:szCs w:val="21"/>
              </w:rPr>
              <w:t>元，增加比例为</w:t>
            </w:r>
            <w:r>
              <w:rPr>
                <w:rFonts w:ascii="宋体" w:hAnsi="宋体" w:cs="宋体" w:eastAsia="宋体" w:hint="default"/>
                <w:spacing w:val="-47"/>
                <w:sz w:val="21"/>
                <w:szCs w:val="21"/>
              </w:rPr>
              <w:t> </w:t>
            </w:r>
            <w:r>
              <w:rPr>
                <w:rFonts w:ascii="宋体" w:hAnsi="宋体" w:cs="宋体" w:eastAsia="宋体" w:hint="default"/>
                <w:sz w:val="21"/>
                <w:szCs w:val="21"/>
              </w:rPr>
              <w:t>25.67%</w:t>
            </w:r>
            <w:r>
              <w:rPr>
                <w:rFonts w:ascii="宋体" w:hAnsi="宋体" w:cs="宋体" w:eastAsia="宋体" w:hint="default"/>
                <w:sz w:val="21"/>
                <w:szCs w:val="21"/>
              </w:rPr>
              <w:t>，主要原因为：本年新增租赁房</w:t>
            </w:r>
            <w:r>
              <w:rPr>
                <w:rFonts w:ascii="宋体" w:hAnsi="宋体" w:cs="宋体" w:eastAsia="宋体" w:hint="default"/>
                <w:w w:val="100"/>
                <w:sz w:val="21"/>
                <w:szCs w:val="21"/>
              </w:rPr>
              <w:t> </w:t>
            </w:r>
            <w:r>
              <w:rPr>
                <w:rFonts w:ascii="宋体" w:hAnsi="宋体" w:cs="宋体" w:eastAsia="宋体" w:hint="default"/>
                <w:sz w:val="21"/>
                <w:szCs w:val="21"/>
              </w:rPr>
              <w:t>屋的装修款所致。</w:t>
            </w:r>
          </w:p>
        </w:tc>
      </w:tr>
    </w:tbl>
    <w:p>
      <w:pPr>
        <w:spacing w:after="0" w:line="273" w:lineRule="auto"/>
        <w:jc w:val="left"/>
        <w:rPr>
          <w:rFonts w:ascii="宋体" w:hAnsi="宋体" w:cs="宋体" w:eastAsia="宋体" w:hint="default"/>
          <w:sz w:val="21"/>
          <w:szCs w:val="21"/>
        </w:rPr>
        <w:sectPr>
          <w:pgSz w:w="11910" w:h="16840"/>
          <w:pgMar w:header="886" w:footer="980" w:top="1740" w:bottom="1160" w:left="1000" w:right="360"/>
        </w:sectPr>
      </w:pPr>
    </w:p>
    <w:p>
      <w:pPr>
        <w:spacing w:line="240" w:lineRule="auto" w:before="9"/>
        <w:rPr>
          <w:rFonts w:ascii="Times New Roman" w:hAnsi="Times New Roman" w:cs="Times New Roman" w:eastAsia="Times New Roman" w:hint="default"/>
          <w:sz w:val="4"/>
          <w:szCs w:val="4"/>
        </w:rPr>
      </w:pPr>
      <w:r>
        <w:rPr/>
        <w:pict>
          <v:group style="position:absolute;margin-left:95.664001pt;margin-top:383.449982pt;width:69.4pt;height:.1pt;mso-position-horizontal-relative:page;mso-position-vertical-relative:page;z-index:-794848" coordorigin="1913,7669" coordsize="1388,2">
            <v:shape style="position:absolute;left:1913;top:7669;width:1388;height:2" coordorigin="1913,7669" coordsize="1388,0" path="m1913,7669l3300,7669e" filled="false" stroked="true" strokeweight=".47998pt" strokecolor="#000000">
              <v:path arrowok="t"/>
            </v:shape>
            <w10:wrap type="none"/>
          </v:group>
        </w:pict>
      </w:r>
      <w:r>
        <w:rPr/>
        <w:pict>
          <v:group style="position:absolute;margin-left:316.610016pt;margin-top:490.75pt;width:163.65pt;height:.5pt;mso-position-horizontal-relative:page;mso-position-vertical-relative:page;z-index:-794824" coordorigin="6332,9815" coordsize="3273,10">
            <v:group style="position:absolute;left:6337;top:9820;width:995;height:2" coordorigin="6337,9820" coordsize="995,2">
              <v:shape style="position:absolute;left:6337;top:9820;width:995;height:2" coordorigin="6337,9820" coordsize="995,0" path="m6337,9820l7331,9820e" filled="false" stroked="true" strokeweight=".47998pt" strokecolor="#000000">
                <v:path arrowok="t"/>
              </v:shape>
            </v:group>
            <v:group style="position:absolute;left:7331;top:9820;width:10;height:2" coordorigin="7331,9820" coordsize="10,2">
              <v:shape style="position:absolute;left:7331;top:9820;width:10;height:2" coordorigin="7331,9820" coordsize="10,0" path="m7331,9820l7341,9820e" filled="false" stroked="true" strokeweight=".47998pt" strokecolor="#000000">
                <v:path arrowok="t"/>
              </v:shape>
            </v:group>
            <v:group style="position:absolute;left:7341;top:9820;width:274;height:2" coordorigin="7341,9820" coordsize="274,2">
              <v:shape style="position:absolute;left:7341;top:9820;width:274;height:2" coordorigin="7341,9820" coordsize="274,0" path="m7341,9820l7614,9820e" filled="false" stroked="true" strokeweight=".47998pt" strokecolor="#000000">
                <v:path arrowok="t"/>
              </v:shape>
            </v:group>
            <v:group style="position:absolute;left:7614;top:9820;width:10;height:2" coordorigin="7614,9820" coordsize="10,2">
              <v:shape style="position:absolute;left:7614;top:9820;width:10;height:2" coordorigin="7614,9820" coordsize="10,0" path="m7614,9820l7624,9820e" filled="false" stroked="true" strokeweight=".47998pt" strokecolor="#000000">
                <v:path arrowok="t"/>
              </v:shape>
            </v:group>
            <v:group style="position:absolute;left:7624;top:9820;width:699;height:2" coordorigin="7624,9820" coordsize="699,2">
              <v:shape style="position:absolute;left:7624;top:9820;width:699;height:2" coordorigin="7624,9820" coordsize="699,0" path="m7624,9820l8322,9820e" filled="false" stroked="true" strokeweight=".47998pt" strokecolor="#000000">
                <v:path arrowok="t"/>
              </v:shape>
            </v:group>
            <v:group style="position:absolute;left:8322;top:9820;width:10;height:2" coordorigin="8322,9820" coordsize="10,2">
              <v:shape style="position:absolute;left:8322;top:9820;width:10;height:2" coordorigin="8322,9820" coordsize="10,0" path="m8322,9820l8332,9820e" filled="false" stroked="true" strokeweight=".47998pt" strokecolor="#000000">
                <v:path arrowok="t"/>
              </v:shape>
            </v:group>
            <v:group style="position:absolute;left:8332;top:9820;width:274;height:2" coordorigin="8332,9820" coordsize="274,2">
              <v:shape style="position:absolute;left:8332;top:9820;width:274;height:2" coordorigin="8332,9820" coordsize="274,0" path="m8332,9820l8605,9820e" filled="false" stroked="true" strokeweight=".47998pt" strokecolor="#000000">
                <v:path arrowok="t"/>
              </v:shape>
            </v:group>
            <v:group style="position:absolute;left:8605;top:9820;width:10;height:2" coordorigin="8605,9820" coordsize="10,2">
              <v:shape style="position:absolute;left:8605;top:9820;width:10;height:2" coordorigin="8605,9820" coordsize="10,0" path="m8605,9820l8615,9820e" filled="false" stroked="true" strokeweight=".47998pt" strokecolor="#000000">
                <v:path arrowok="t"/>
              </v:shape>
            </v:group>
            <v:group style="position:absolute;left:8615;top:9820;width:985;height:2" coordorigin="8615,9820" coordsize="985,2">
              <v:shape style="position:absolute;left:8615;top:9820;width:985;height:2" coordorigin="8615,9820" coordsize="985,0" path="m8615,9820l9599,9820e" filled="false" stroked="true" strokeweight=".47998pt" strokecolor="#000000">
                <v:path arrowok="t"/>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646"/>
        <w:gridCol w:w="106"/>
        <w:gridCol w:w="2972"/>
        <w:gridCol w:w="293"/>
        <w:gridCol w:w="2900"/>
        <w:gridCol w:w="278"/>
        <w:gridCol w:w="3104"/>
      </w:tblGrid>
      <w:tr>
        <w:trPr>
          <w:trHeight w:val="725"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6" w:type="dxa"/>
            <w:tcBorders>
              <w:top w:val="single" w:sz="4" w:space="0" w:color="000000"/>
              <w:left w:val="nil" w:sz="6" w:space="0" w:color="auto"/>
              <w:bottom w:val="nil" w:sz="6" w:space="0" w:color="auto"/>
              <w:right w:val="nil" w:sz="6" w:space="0" w:color="auto"/>
            </w:tcBorders>
          </w:tcPr>
          <w:p>
            <w:pPr/>
          </w:p>
        </w:tc>
        <w:tc>
          <w:tcPr>
            <w:tcW w:w="297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93" w:type="dxa"/>
            <w:tcBorders>
              <w:top w:val="single" w:sz="4" w:space="0" w:color="000000"/>
              <w:left w:val="nil" w:sz="6" w:space="0" w:color="auto"/>
              <w:bottom w:val="nil" w:sz="6" w:space="0" w:color="auto"/>
              <w:right w:val="nil" w:sz="6" w:space="0" w:color="auto"/>
            </w:tcBorders>
          </w:tcPr>
          <w:p>
            <w:pPr/>
          </w:p>
        </w:tc>
        <w:tc>
          <w:tcPr>
            <w:tcW w:w="2900" w:type="dxa"/>
            <w:tcBorders>
              <w:top w:val="single" w:sz="4" w:space="0" w:color="000000"/>
              <w:left w:val="nil" w:sz="6" w:space="0" w:color="auto"/>
              <w:bottom w:val="nil" w:sz="6" w:space="0" w:color="auto"/>
              <w:right w:val="nil" w:sz="6" w:space="0" w:color="auto"/>
            </w:tcBorders>
          </w:tcPr>
          <w:p>
            <w:pPr/>
          </w:p>
        </w:tc>
        <w:tc>
          <w:tcPr>
            <w:tcW w:w="278" w:type="dxa"/>
            <w:tcBorders>
              <w:top w:val="single" w:sz="4" w:space="0" w:color="000000"/>
              <w:left w:val="nil" w:sz="6" w:space="0" w:color="auto"/>
              <w:bottom w:val="nil" w:sz="6" w:space="0" w:color="auto"/>
              <w:right w:val="nil" w:sz="6" w:space="0" w:color="auto"/>
            </w:tcBorders>
          </w:tcPr>
          <w:p>
            <w:pPr/>
          </w:p>
        </w:tc>
        <w:tc>
          <w:tcPr>
            <w:tcW w:w="3104" w:type="dxa"/>
            <w:tcBorders>
              <w:top w:val="single" w:sz="4" w:space="0" w:color="000000"/>
              <w:left w:val="nil" w:sz="6" w:space="0" w:color="auto"/>
              <w:bottom w:val="nil" w:sz="6" w:space="0" w:color="auto"/>
              <w:right w:val="nil" w:sz="6" w:space="0" w:color="auto"/>
            </w:tcBorders>
          </w:tcPr>
          <w:p>
            <w:pPr/>
          </w:p>
        </w:tc>
      </w:tr>
      <w:tr>
        <w:trPr>
          <w:trHeight w:val="545"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4" w:right="0"/>
              <w:jc w:val="left"/>
              <w:rPr>
                <w:rFonts w:ascii="宋体" w:hAnsi="宋体" w:cs="宋体" w:eastAsia="宋体" w:hint="default"/>
                <w:sz w:val="21"/>
                <w:szCs w:val="21"/>
              </w:rPr>
            </w:pPr>
            <w:r>
              <w:rPr>
                <w:rFonts w:ascii="宋体"/>
                <w:sz w:val="21"/>
              </w:rPr>
              <w:t>6.11</w:t>
            </w:r>
          </w:p>
        </w:tc>
        <w:tc>
          <w:tcPr>
            <w:tcW w:w="106"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93" w:type="dxa"/>
            <w:tcBorders>
              <w:top w:val="nil" w:sz="6" w:space="0" w:color="auto"/>
              <w:left w:val="nil" w:sz="6" w:space="0" w:color="auto"/>
              <w:bottom w:val="nil" w:sz="6" w:space="0" w:color="auto"/>
              <w:right w:val="nil" w:sz="6" w:space="0" w:color="auto"/>
            </w:tcBorders>
          </w:tcPr>
          <w:p>
            <w:pPr/>
          </w:p>
        </w:tc>
        <w:tc>
          <w:tcPr>
            <w:tcW w:w="2900"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3104" w:type="dxa"/>
            <w:tcBorders>
              <w:top w:val="nil" w:sz="6" w:space="0" w:color="auto"/>
              <w:left w:val="nil" w:sz="6" w:space="0" w:color="auto"/>
              <w:bottom w:val="nil" w:sz="6" w:space="0" w:color="auto"/>
              <w:right w:val="nil" w:sz="6" w:space="0" w:color="auto"/>
            </w:tcBorders>
          </w:tcPr>
          <w:p>
            <w:pPr/>
          </w:p>
        </w:tc>
      </w:tr>
      <w:tr>
        <w:trPr>
          <w:trHeight w:val="545" w:hRule="exact"/>
        </w:trPr>
        <w:tc>
          <w:tcPr>
            <w:tcW w:w="6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61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6.11.1</w:t>
            </w:r>
            <w:r>
              <w:rPr>
                <w:rFonts w:ascii="宋体" w:hAnsi="宋体" w:cs="宋体" w:eastAsia="宋体" w:hint="default"/>
                <w:spacing w:val="-1"/>
                <w:sz w:val="21"/>
                <w:szCs w:val="21"/>
              </w:rPr>
              <w:t> </w:t>
            </w:r>
            <w:r>
              <w:rPr>
                <w:rFonts w:ascii="宋体" w:hAnsi="宋体" w:cs="宋体" w:eastAsia="宋体" w:hint="default"/>
                <w:sz w:val="21"/>
                <w:szCs w:val="21"/>
              </w:rPr>
              <w:t>已确认的递延所得税资产</w:t>
            </w:r>
          </w:p>
        </w:tc>
        <w:tc>
          <w:tcPr>
            <w:tcW w:w="278" w:type="dxa"/>
            <w:tcBorders>
              <w:top w:val="nil" w:sz="6" w:space="0" w:color="auto"/>
              <w:left w:val="nil" w:sz="6" w:space="0" w:color="auto"/>
              <w:bottom w:val="nil" w:sz="6" w:space="0" w:color="auto"/>
              <w:right w:val="nil" w:sz="6" w:space="0" w:color="auto"/>
            </w:tcBorders>
          </w:tcPr>
          <w:p>
            <w:pPr/>
          </w:p>
        </w:tc>
        <w:tc>
          <w:tcPr>
            <w:tcW w:w="3104" w:type="dxa"/>
            <w:tcBorders>
              <w:top w:val="nil" w:sz="6" w:space="0" w:color="auto"/>
              <w:left w:val="nil" w:sz="6" w:space="0" w:color="auto"/>
              <w:bottom w:val="nil" w:sz="6" w:space="0" w:color="auto"/>
              <w:right w:val="nil" w:sz="6" w:space="0" w:color="auto"/>
            </w:tcBorders>
          </w:tcPr>
          <w:p>
            <w:pPr/>
          </w:p>
        </w:tc>
      </w:tr>
      <w:tr>
        <w:trPr>
          <w:trHeight w:val="413" w:hRule="exact"/>
        </w:trPr>
        <w:tc>
          <w:tcPr>
            <w:tcW w:w="6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 w:type="dxa"/>
            <w:tcBorders>
              <w:top w:val="nil" w:sz="6" w:space="0" w:color="auto"/>
              <w:left w:val="nil" w:sz="6" w:space="0" w:color="auto"/>
              <w:bottom w:val="nil" w:sz="6" w:space="0" w:color="auto"/>
              <w:right w:val="nil" w:sz="6" w:space="0" w:color="auto"/>
            </w:tcBorders>
          </w:tcPr>
          <w:p>
            <w:pPr/>
          </w:p>
        </w:tc>
        <w:tc>
          <w:tcPr>
            <w:tcW w:w="290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8" w:type="dxa"/>
            <w:tcBorders>
              <w:top w:val="nil" w:sz="6" w:space="0" w:color="auto"/>
              <w:left w:val="nil" w:sz="6" w:space="0" w:color="auto"/>
              <w:bottom w:val="nil" w:sz="6" w:space="0" w:color="auto"/>
              <w:right w:val="nil" w:sz="6" w:space="0" w:color="auto"/>
            </w:tcBorders>
          </w:tcPr>
          <w:p>
            <w:pPr/>
          </w:p>
        </w:tc>
        <w:tc>
          <w:tcPr>
            <w:tcW w:w="310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9"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5" w:hRule="exact"/>
        </w:trPr>
        <w:tc>
          <w:tcPr>
            <w:tcW w:w="6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972"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3" w:type="dxa"/>
            <w:tcBorders>
              <w:top w:val="nil" w:sz="6" w:space="0" w:color="auto"/>
              <w:left w:val="nil" w:sz="6" w:space="0" w:color="auto"/>
              <w:bottom w:val="nil" w:sz="6" w:space="0" w:color="auto"/>
              <w:right w:val="nil" w:sz="6" w:space="0" w:color="auto"/>
            </w:tcBorders>
          </w:tcPr>
          <w:p>
            <w:pPr/>
          </w:p>
        </w:tc>
        <w:tc>
          <w:tcPr>
            <w:tcW w:w="2900"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5" w:right="0"/>
              <w:jc w:val="center"/>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3104"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9" w:right="0"/>
              <w:jc w:val="center"/>
              <w:rPr>
                <w:rFonts w:ascii="宋体" w:hAnsi="宋体" w:cs="宋体" w:eastAsia="宋体" w:hint="default"/>
                <w:sz w:val="21"/>
                <w:szCs w:val="21"/>
              </w:rPr>
            </w:pPr>
            <w:r>
              <w:rPr>
                <w:rFonts w:ascii="宋体"/>
                <w:sz w:val="21"/>
              </w:rPr>
              <w:t>20,000.00</w:t>
            </w:r>
          </w:p>
        </w:tc>
      </w:tr>
    </w:tbl>
    <w:p>
      <w:pPr>
        <w:spacing w:line="240" w:lineRule="auto" w:before="2"/>
        <w:rPr>
          <w:rFonts w:ascii="Times New Roman" w:hAnsi="Times New Roman" w:cs="Times New Roman" w:eastAsia="Times New Roman" w:hint="default"/>
          <w:sz w:val="26"/>
          <w:szCs w:val="26"/>
        </w:rPr>
      </w:pPr>
    </w:p>
    <w:tbl>
      <w:tblPr>
        <w:tblW w:w="0" w:type="auto"/>
        <w:jc w:val="left"/>
        <w:tblInd w:w="873" w:type="dxa"/>
        <w:tblLayout w:type="fixed"/>
        <w:tblCellMar>
          <w:top w:w="0" w:type="dxa"/>
          <w:left w:w="0" w:type="dxa"/>
          <w:bottom w:w="0" w:type="dxa"/>
          <w:right w:w="0" w:type="dxa"/>
        </w:tblCellMar>
        <w:tblLook w:val="01E0"/>
      </w:tblPr>
      <w:tblGrid>
        <w:gridCol w:w="1830"/>
        <w:gridCol w:w="1957"/>
        <w:gridCol w:w="235"/>
        <w:gridCol w:w="2386"/>
        <w:gridCol w:w="278"/>
        <w:gridCol w:w="2840"/>
      </w:tblGrid>
      <w:tr>
        <w:trPr>
          <w:trHeight w:val="378" w:hRule="exact"/>
        </w:trPr>
        <w:tc>
          <w:tcPr>
            <w:tcW w:w="9528" w:type="dxa"/>
            <w:gridSpan w:val="6"/>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6.11.2</w:t>
            </w:r>
            <w:r>
              <w:rPr>
                <w:rFonts w:ascii="宋体" w:hAnsi="宋体" w:cs="宋体" w:eastAsia="宋体" w:hint="default"/>
                <w:spacing w:val="-2"/>
                <w:sz w:val="21"/>
                <w:szCs w:val="21"/>
              </w:rPr>
              <w:t> </w:t>
            </w:r>
            <w:r>
              <w:rPr>
                <w:rFonts w:ascii="宋体" w:hAnsi="宋体" w:cs="宋体" w:eastAsia="宋体" w:hint="default"/>
                <w:sz w:val="21"/>
                <w:szCs w:val="21"/>
              </w:rPr>
              <w:t>未确认递延所得税资产明细</w:t>
            </w:r>
          </w:p>
        </w:tc>
      </w:tr>
      <w:tr>
        <w:trPr>
          <w:trHeight w:val="415" w:hRule="exact"/>
        </w:trPr>
        <w:tc>
          <w:tcPr>
            <w:tcW w:w="183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16"/>
              <w:jc w:val="right"/>
              <w:rPr>
                <w:rFonts w:ascii="宋体" w:hAnsi="宋体" w:cs="宋体" w:eastAsia="宋体" w:hint="default"/>
                <w:sz w:val="21"/>
                <w:szCs w:val="21"/>
              </w:rPr>
            </w:pPr>
            <w:r>
              <w:rPr>
                <w:rFonts w:ascii="宋体" w:hAnsi="宋体" w:cs="宋体" w:eastAsia="宋体" w:hint="default"/>
                <w:sz w:val="21"/>
                <w:szCs w:val="21"/>
              </w:rPr>
              <w:t>项目</w:t>
            </w:r>
          </w:p>
        </w:tc>
        <w:tc>
          <w:tcPr>
            <w:tcW w:w="457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01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8" w:type="dxa"/>
            <w:tcBorders>
              <w:top w:val="nil" w:sz="6" w:space="0" w:color="auto"/>
              <w:left w:val="nil" w:sz="6" w:space="0" w:color="auto"/>
              <w:bottom w:val="single" w:sz="4" w:space="0" w:color="000000"/>
              <w:right w:val="nil" w:sz="6" w:space="0" w:color="auto"/>
            </w:tcBorders>
          </w:tcPr>
          <w:p>
            <w:pPr/>
          </w:p>
        </w:tc>
        <w:tc>
          <w:tcPr>
            <w:tcW w:w="284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1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6" w:hRule="exact"/>
        </w:trPr>
        <w:tc>
          <w:tcPr>
            <w:tcW w:w="183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57"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Style w:val="TableParagraph"/>
              <w:spacing w:line="241" w:lineRule="exact"/>
              <w:ind w:left="636" w:right="0"/>
              <w:jc w:val="left"/>
              <w:rPr>
                <w:rFonts w:ascii="宋体" w:hAnsi="宋体" w:cs="宋体" w:eastAsia="宋体" w:hint="default"/>
                <w:sz w:val="21"/>
                <w:szCs w:val="21"/>
              </w:rPr>
            </w:pPr>
            <w:r>
              <w:rPr>
                <w:rFonts w:ascii="宋体"/>
                <w:w w:val="100"/>
                <w:sz w:val="21"/>
              </w:rPr>
              <w:t>-</w:t>
            </w:r>
          </w:p>
        </w:tc>
        <w:tc>
          <w:tcPr>
            <w:tcW w:w="278" w:type="dxa"/>
            <w:tcBorders>
              <w:top w:val="single" w:sz="4" w:space="0" w:color="000000"/>
              <w:left w:val="nil" w:sz="6" w:space="0" w:color="auto"/>
              <w:bottom w:val="nil" w:sz="6" w:space="0" w:color="auto"/>
              <w:right w:val="nil" w:sz="6" w:space="0" w:color="auto"/>
            </w:tcBorders>
          </w:tcPr>
          <w:p>
            <w:pPr/>
          </w:p>
        </w:tc>
        <w:tc>
          <w:tcPr>
            <w:tcW w:w="2840" w:type="dxa"/>
            <w:tcBorders>
              <w:top w:val="single" w:sz="4" w:space="0" w:color="000000"/>
              <w:left w:val="nil" w:sz="6" w:space="0" w:color="auto"/>
              <w:bottom w:val="nil" w:sz="6" w:space="0" w:color="auto"/>
              <w:right w:val="nil" w:sz="6" w:space="0" w:color="auto"/>
            </w:tcBorders>
          </w:tcPr>
          <w:p>
            <w:pPr>
              <w:pStyle w:val="TableParagraph"/>
              <w:spacing w:line="241" w:lineRule="exact"/>
              <w:ind w:right="278"/>
              <w:jc w:val="center"/>
              <w:rPr>
                <w:rFonts w:ascii="宋体" w:hAnsi="宋体" w:cs="宋体" w:eastAsia="宋体" w:hint="default"/>
                <w:sz w:val="21"/>
                <w:szCs w:val="21"/>
              </w:rPr>
            </w:pPr>
            <w:r>
              <w:rPr>
                <w:rFonts w:ascii="宋体"/>
                <w:w w:val="100"/>
                <w:sz w:val="21"/>
              </w:rPr>
              <w:t>-</w:t>
            </w:r>
          </w:p>
        </w:tc>
      </w:tr>
      <w:tr>
        <w:trPr>
          <w:trHeight w:val="279"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57"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948,615.87</w:t>
            </w:r>
          </w:p>
        </w:tc>
        <w:tc>
          <w:tcPr>
            <w:tcW w:w="278" w:type="dxa"/>
            <w:tcBorders>
              <w:top w:val="nil" w:sz="6" w:space="0" w:color="auto"/>
              <w:left w:val="nil" w:sz="6" w:space="0" w:color="auto"/>
              <w:bottom w:val="single" w:sz="4" w:space="0" w:color="000000"/>
              <w:right w:val="nil" w:sz="6" w:space="0" w:color="auto"/>
            </w:tcBorders>
          </w:tcPr>
          <w:p>
            <w:pPr/>
          </w:p>
        </w:tc>
        <w:tc>
          <w:tcPr>
            <w:tcW w:w="2840" w:type="dxa"/>
            <w:tcBorders>
              <w:top w:val="nil" w:sz="6" w:space="0" w:color="auto"/>
              <w:left w:val="nil" w:sz="6" w:space="0" w:color="auto"/>
              <w:bottom w:val="single" w:sz="4" w:space="0" w:color="000000"/>
              <w:right w:val="nil" w:sz="6" w:space="0" w:color="auto"/>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153,097.54</w:t>
            </w:r>
          </w:p>
        </w:tc>
      </w:tr>
      <w:tr>
        <w:trPr>
          <w:trHeight w:val="290" w:hRule="exact"/>
        </w:trPr>
        <w:tc>
          <w:tcPr>
            <w:tcW w:w="1830"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7" w:type="dxa"/>
            <w:tcBorders>
              <w:top w:val="single" w:sz="4" w:space="0" w:color="000000"/>
              <w:left w:val="nil" w:sz="6" w:space="0" w:color="auto"/>
              <w:bottom w:val="single" w:sz="12" w:space="0" w:color="000000"/>
              <w:right w:val="nil" w:sz="6" w:space="0" w:color="auto"/>
            </w:tcBorders>
          </w:tcPr>
          <w:p>
            <w:pPr/>
          </w:p>
        </w:tc>
        <w:tc>
          <w:tcPr>
            <w:tcW w:w="235" w:type="dxa"/>
            <w:tcBorders>
              <w:top w:val="single" w:sz="4" w:space="0" w:color="000000"/>
              <w:left w:val="nil" w:sz="6" w:space="0" w:color="auto"/>
              <w:bottom w:val="single" w:sz="12" w:space="0" w:color="000000"/>
              <w:right w:val="nil" w:sz="6" w:space="0" w:color="auto"/>
            </w:tcBorders>
          </w:tcPr>
          <w:p>
            <w:pPr/>
          </w:p>
        </w:tc>
        <w:tc>
          <w:tcPr>
            <w:tcW w:w="2386"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948,615.87</w:t>
            </w:r>
          </w:p>
        </w:tc>
        <w:tc>
          <w:tcPr>
            <w:tcW w:w="278" w:type="dxa"/>
            <w:tcBorders>
              <w:top w:val="single" w:sz="4" w:space="0" w:color="000000"/>
              <w:left w:val="nil" w:sz="6" w:space="0" w:color="auto"/>
              <w:bottom w:val="single" w:sz="12" w:space="0" w:color="000000"/>
              <w:right w:val="nil" w:sz="6" w:space="0" w:color="auto"/>
            </w:tcBorders>
          </w:tcPr>
          <w:p>
            <w:pPr/>
          </w:p>
        </w:tc>
        <w:tc>
          <w:tcPr>
            <w:tcW w:w="2840"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153,097.54</w:t>
            </w:r>
          </w:p>
        </w:tc>
      </w:tr>
      <w:tr>
        <w:trPr>
          <w:trHeight w:val="969" w:hRule="exact"/>
        </w:trPr>
        <w:tc>
          <w:tcPr>
            <w:tcW w:w="9528"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6.11.3</w:t>
            </w:r>
            <w:r>
              <w:rPr>
                <w:rFonts w:ascii="宋体" w:hAnsi="宋体" w:cs="宋体" w:eastAsia="宋体" w:hint="default"/>
                <w:spacing w:val="-3"/>
                <w:sz w:val="21"/>
                <w:szCs w:val="21"/>
              </w:rPr>
              <w:t> </w:t>
            </w:r>
            <w:r>
              <w:rPr>
                <w:rFonts w:ascii="宋体" w:hAnsi="宋体" w:cs="宋体" w:eastAsia="宋体" w:hint="default"/>
                <w:sz w:val="21"/>
                <w:szCs w:val="21"/>
              </w:rPr>
              <w:t>未确认递延所得税资产的可抵扣亏损将于以下年度到期</w:t>
            </w:r>
          </w:p>
        </w:tc>
      </w:tr>
      <w:tr>
        <w:trPr>
          <w:trHeight w:val="413" w:hRule="exact"/>
        </w:trPr>
        <w:tc>
          <w:tcPr>
            <w:tcW w:w="183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8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5"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1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8" w:type="dxa"/>
            <w:tcBorders>
              <w:top w:val="nil" w:sz="6" w:space="0" w:color="auto"/>
              <w:left w:val="nil" w:sz="6" w:space="0" w:color="auto"/>
              <w:bottom w:val="nil" w:sz="6" w:space="0" w:color="auto"/>
              <w:right w:val="nil" w:sz="6" w:space="0" w:color="auto"/>
            </w:tcBorders>
          </w:tcPr>
          <w:p>
            <w:pPr/>
          </w:p>
        </w:tc>
        <w:tc>
          <w:tcPr>
            <w:tcW w:w="284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77" w:hRule="exact"/>
        </w:trPr>
        <w:tc>
          <w:tcPr>
            <w:tcW w:w="183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2015</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432,366.33</w:t>
            </w:r>
          </w:p>
        </w:tc>
        <w:tc>
          <w:tcPr>
            <w:tcW w:w="235" w:type="dxa"/>
            <w:tcBorders>
              <w:top w:val="nil" w:sz="6" w:space="0" w:color="auto"/>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612,390.16</w:t>
            </w:r>
          </w:p>
        </w:tc>
        <w:tc>
          <w:tcPr>
            <w:tcW w:w="278" w:type="dxa"/>
            <w:tcBorders>
              <w:top w:val="nil" w:sz="6" w:space="0" w:color="auto"/>
              <w:left w:val="nil" w:sz="6" w:space="0" w:color="auto"/>
              <w:bottom w:val="nil" w:sz="6" w:space="0" w:color="auto"/>
              <w:right w:val="nil" w:sz="6" w:space="0" w:color="auto"/>
            </w:tcBorders>
          </w:tcPr>
          <w:p>
            <w:pPr/>
          </w:p>
        </w:tc>
        <w:tc>
          <w:tcPr>
            <w:tcW w:w="2840"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78" w:hRule="exact"/>
        </w:trPr>
        <w:tc>
          <w:tcPr>
            <w:tcW w:w="1830" w:type="dxa"/>
            <w:tcBorders>
              <w:top w:val="nil" w:sz="6" w:space="0" w:color="auto"/>
              <w:left w:val="nil" w:sz="6" w:space="0" w:color="auto"/>
              <w:bottom w:val="single" w:sz="4" w:space="0" w:color="000000"/>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sz w:val="21"/>
              </w:rPr>
              <w:t>2016</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3,362,097.16</w:t>
            </w:r>
          </w:p>
        </w:tc>
        <w:tc>
          <w:tcPr>
            <w:tcW w:w="235"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Style w:val="TableParagraph"/>
              <w:spacing w:line="242" w:lineRule="exact"/>
              <w:ind w:right="127"/>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840"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w w:val="100"/>
                <w:sz w:val="21"/>
              </w:rPr>
              <w:t>-</w:t>
            </w:r>
          </w:p>
        </w:tc>
      </w:tr>
      <w:tr>
        <w:trPr>
          <w:trHeight w:val="293" w:hRule="exact"/>
        </w:trPr>
        <w:tc>
          <w:tcPr>
            <w:tcW w:w="1830"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3,794,463.49</w:t>
            </w:r>
          </w:p>
        </w:tc>
        <w:tc>
          <w:tcPr>
            <w:tcW w:w="235" w:type="dxa"/>
            <w:tcBorders>
              <w:top w:val="nil" w:sz="6" w:space="0" w:color="auto"/>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612,390.16</w:t>
            </w:r>
          </w:p>
        </w:tc>
        <w:tc>
          <w:tcPr>
            <w:tcW w:w="278" w:type="dxa"/>
            <w:tcBorders>
              <w:top w:val="nil" w:sz="6" w:space="0" w:color="auto"/>
              <w:left w:val="nil" w:sz="6" w:space="0" w:color="auto"/>
              <w:bottom w:val="nil" w:sz="6" w:space="0" w:color="auto"/>
              <w:right w:val="nil" w:sz="6" w:space="0" w:color="auto"/>
            </w:tcBorders>
          </w:tcPr>
          <w:p>
            <w:pPr/>
          </w:p>
        </w:tc>
        <w:tc>
          <w:tcPr>
            <w:tcW w:w="284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40" w:type="dxa"/>
        <w:tblLayout w:type="fixed"/>
        <w:tblCellMar>
          <w:top w:w="0" w:type="dxa"/>
          <w:left w:w="0" w:type="dxa"/>
          <w:bottom w:w="0" w:type="dxa"/>
          <w:right w:w="0" w:type="dxa"/>
        </w:tblCellMar>
        <w:tblLook w:val="01E0"/>
      </w:tblPr>
      <w:tblGrid>
        <w:gridCol w:w="728"/>
        <w:gridCol w:w="1310"/>
        <w:gridCol w:w="283"/>
        <w:gridCol w:w="1419"/>
        <w:gridCol w:w="283"/>
        <w:gridCol w:w="898"/>
        <w:gridCol w:w="235"/>
        <w:gridCol w:w="994"/>
        <w:gridCol w:w="283"/>
        <w:gridCol w:w="708"/>
        <w:gridCol w:w="283"/>
        <w:gridCol w:w="994"/>
        <w:gridCol w:w="283"/>
        <w:gridCol w:w="1558"/>
      </w:tblGrid>
      <w:tr>
        <w:trPr>
          <w:trHeight w:val="374" w:hRule="exact"/>
        </w:trPr>
        <w:tc>
          <w:tcPr>
            <w:tcW w:w="72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6.12</w:t>
            </w:r>
          </w:p>
        </w:tc>
        <w:tc>
          <w:tcPr>
            <w:tcW w:w="3012"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资产减值准备明细</w:t>
            </w:r>
          </w:p>
        </w:tc>
        <w:tc>
          <w:tcPr>
            <w:tcW w:w="283"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290" w:hRule="exact"/>
        </w:trPr>
        <w:tc>
          <w:tcPr>
            <w:tcW w:w="72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283" w:type="dxa"/>
            <w:vMerge w:val="restart"/>
            <w:tcBorders>
              <w:top w:val="nil" w:sz="6" w:space="0" w:color="auto"/>
              <w:left w:val="nil" w:sz="6" w:space="0" w:color="auto"/>
              <w:right w:val="nil" w:sz="6" w:space="0" w:color="auto"/>
            </w:tcBorders>
          </w:tcPr>
          <w:p>
            <w:pPr/>
          </w:p>
        </w:tc>
        <w:tc>
          <w:tcPr>
            <w:tcW w:w="898" w:type="dxa"/>
            <w:vMerge w:val="restart"/>
            <w:tcBorders>
              <w:top w:val="nil" w:sz="6" w:space="0" w:color="auto"/>
              <w:left w:val="nil" w:sz="6" w:space="0" w:color="auto"/>
              <w:right w:val="nil" w:sz="6" w:space="0" w:color="auto"/>
            </w:tcBorders>
          </w:tcPr>
          <w:p>
            <w:pPr>
              <w:pStyle w:val="TableParagraph"/>
              <w:spacing w:line="240" w:lineRule="auto" w:before="122"/>
              <w:ind w:left="223" w:right="218" w:firstLine="74"/>
              <w:jc w:val="left"/>
              <w:rPr>
                <w:rFonts w:ascii="宋体" w:hAnsi="宋体" w:cs="宋体" w:eastAsia="宋体" w:hint="default"/>
                <w:sz w:val="15"/>
                <w:szCs w:val="15"/>
              </w:rPr>
            </w:pPr>
            <w:r>
              <w:rPr>
                <w:rFonts w:ascii="宋体" w:hAnsi="宋体" w:cs="宋体" w:eastAsia="宋体" w:hint="default"/>
                <w:sz w:val="15"/>
                <w:szCs w:val="15"/>
              </w:rPr>
              <w:t>本年</w:t>
            </w:r>
            <w:r>
              <w:rPr>
                <w:rFonts w:ascii="宋体" w:hAnsi="宋体" w:cs="宋体" w:eastAsia="宋体" w:hint="default"/>
                <w:w w:val="100"/>
                <w:sz w:val="15"/>
                <w:szCs w:val="15"/>
              </w:rPr>
              <w:t> </w:t>
            </w:r>
            <w:r>
              <w:rPr>
                <w:rFonts w:ascii="宋体" w:hAnsi="宋体" w:cs="宋体" w:eastAsia="宋体" w:hint="default"/>
                <w:sz w:val="15"/>
                <w:szCs w:val="15"/>
              </w:rPr>
              <w:t>计提额</w:t>
            </w: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2" w:right="-24"/>
              <w:jc w:val="right"/>
              <w:rPr>
                <w:rFonts w:ascii="宋体" w:hAnsi="宋体" w:cs="宋体" w:eastAsia="宋体" w:hint="default"/>
                <w:sz w:val="15"/>
                <w:szCs w:val="15"/>
              </w:rPr>
            </w:pPr>
            <w:r>
              <w:rPr>
                <w:rFonts w:ascii="宋体" w:hAnsi="宋体" w:cs="宋体" w:eastAsia="宋体" w:hint="default"/>
                <w:spacing w:val="-1"/>
                <w:sz w:val="15"/>
                <w:szCs w:val="15"/>
              </w:rPr>
              <w:t>本年减少额</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103" w:hRule="exact"/>
        </w:trPr>
        <w:tc>
          <w:tcPr>
            <w:tcW w:w="72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127" w:lineRule="exact"/>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8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127" w:lineRule="exact"/>
              <w:ind w:right="103"/>
              <w:jc w:val="righ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5"/>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宋体" w:hAnsi="宋体" w:cs="宋体" w:eastAsia="宋体" w:hint="default"/>
                <w:sz w:val="15"/>
                <w:szCs w:val="15"/>
              </w:rPr>
              <w:t>12</w:t>
            </w:r>
            <w:r>
              <w:rPr>
                <w:rFonts w:ascii="宋体" w:hAnsi="宋体" w:cs="宋体" w:eastAsia="宋体" w:hint="default"/>
                <w:spacing w:val="-45"/>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宋体" w:hAnsi="宋体" w:cs="宋体" w:eastAsia="宋体" w:hint="default"/>
                <w:sz w:val="15"/>
                <w:szCs w:val="15"/>
              </w:rPr>
              <w:t>31</w:t>
            </w:r>
            <w:r>
              <w:rPr>
                <w:rFonts w:ascii="宋体" w:hAnsi="宋体" w:cs="宋体" w:eastAsia="宋体" w:hint="default"/>
                <w:spacing w:val="-43"/>
                <w:sz w:val="15"/>
                <w:szCs w:val="15"/>
              </w:rPr>
              <w:t> </w:t>
            </w:r>
            <w:r>
              <w:rPr>
                <w:rFonts w:ascii="宋体" w:hAnsi="宋体" w:cs="宋体" w:eastAsia="宋体" w:hint="default"/>
                <w:sz w:val="15"/>
                <w:szCs w:val="15"/>
              </w:rPr>
              <w:t>日</w:t>
            </w:r>
          </w:p>
        </w:tc>
        <w:tc>
          <w:tcPr>
            <w:tcW w:w="283" w:type="dxa"/>
            <w:vMerge/>
            <w:tcBorders>
              <w:left w:val="nil" w:sz="6" w:space="0" w:color="auto"/>
              <w:right w:val="nil" w:sz="6" w:space="0" w:color="auto"/>
            </w:tcBorders>
          </w:tcPr>
          <w:p>
            <w:pPr/>
          </w:p>
        </w:tc>
        <w:tc>
          <w:tcPr>
            <w:tcW w:w="898" w:type="dxa"/>
            <w:vMerge/>
            <w:tcBorders>
              <w:left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127" w:lineRule="exact"/>
              <w:ind w:right="154"/>
              <w:jc w:val="righ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r>
          </w:p>
        </w:tc>
      </w:tr>
      <w:tr>
        <w:trPr>
          <w:trHeight w:val="154" w:hRule="exact"/>
        </w:trPr>
        <w:tc>
          <w:tcPr>
            <w:tcW w:w="72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
        </w:tc>
        <w:tc>
          <w:tcPr>
            <w:tcW w:w="283" w:type="dxa"/>
            <w:vMerge/>
            <w:tcBorders>
              <w:left w:val="nil" w:sz="6" w:space="0" w:color="auto"/>
              <w:bottom w:val="nil" w:sz="6" w:space="0" w:color="auto"/>
              <w:right w:val="nil" w:sz="6" w:space="0" w:color="auto"/>
            </w:tcBorders>
          </w:tcPr>
          <w:p>
            <w:pPr/>
          </w:p>
        </w:tc>
        <w:tc>
          <w:tcPr>
            <w:tcW w:w="898" w:type="dxa"/>
            <w:vMerge/>
            <w:tcBorders>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27" w:lineRule="exact"/>
              <w:ind w:right="0"/>
              <w:jc w:val="center"/>
              <w:rPr>
                <w:rFonts w:ascii="宋体" w:hAnsi="宋体" w:cs="宋体" w:eastAsia="宋体" w:hint="default"/>
                <w:sz w:val="15"/>
                <w:szCs w:val="15"/>
              </w:rPr>
            </w:pPr>
            <w:r>
              <w:rPr>
                <w:rFonts w:ascii="宋体" w:hAnsi="宋体" w:cs="宋体" w:eastAsia="宋体" w:hint="default"/>
                <w:sz w:val="15"/>
                <w:szCs w:val="15"/>
              </w:rPr>
              <w:t>转回</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127" w:lineRule="exact"/>
              <w:ind w:left="204" w:right="0"/>
              <w:jc w:val="left"/>
              <w:rPr>
                <w:rFonts w:ascii="宋体" w:hAnsi="宋体" w:cs="宋体" w:eastAsia="宋体" w:hint="default"/>
                <w:sz w:val="15"/>
                <w:szCs w:val="15"/>
              </w:rPr>
            </w:pPr>
            <w:r>
              <w:rPr>
                <w:rFonts w:ascii="宋体" w:hAnsi="宋体" w:cs="宋体" w:eastAsia="宋体" w:hint="default"/>
                <w:sz w:val="15"/>
                <w:szCs w:val="15"/>
              </w:rPr>
              <w:t>转销</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27"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r>
      <w:tr>
        <w:trPr>
          <w:trHeight w:val="199" w:hRule="exact"/>
        </w:trPr>
        <w:tc>
          <w:tcPr>
            <w:tcW w:w="728"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Style w:val="TableParagraph"/>
              <w:spacing w:line="172" w:lineRule="exact"/>
              <w:ind w:left="10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83"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503,100.13</w:t>
            </w:r>
          </w:p>
        </w:tc>
        <w:tc>
          <w:tcPr>
            <w:tcW w:w="283"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149,605.65</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172" w:lineRule="exact"/>
              <w:ind w:right="104"/>
              <w:jc w:val="right"/>
              <w:rPr>
                <w:rFonts w:ascii="宋体" w:hAnsi="宋体" w:cs="宋体" w:eastAsia="宋体" w:hint="default"/>
                <w:sz w:val="15"/>
                <w:szCs w:val="15"/>
              </w:rPr>
            </w:pPr>
            <w:r>
              <w:rPr>
                <w:rFonts w:ascii="宋体"/>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pacing w:val="-1"/>
                <w:sz w:val="15"/>
              </w:rPr>
              <w:t>149,605.65</w:t>
            </w: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353,494.48</w:t>
            </w:r>
          </w:p>
        </w:tc>
      </w:tr>
      <w:tr>
        <w:trPr>
          <w:trHeight w:val="200" w:hRule="exact"/>
        </w:trPr>
        <w:tc>
          <w:tcPr>
            <w:tcW w:w="72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173" w:lineRule="exact"/>
              <w:ind w:left="107" w:right="0"/>
              <w:jc w:val="left"/>
              <w:rPr>
                <w:rFonts w:ascii="宋体" w:hAnsi="宋体" w:cs="宋体" w:eastAsia="宋体" w:hint="default"/>
                <w:sz w:val="15"/>
                <w:szCs w:val="15"/>
              </w:rPr>
            </w:pPr>
            <w:r>
              <w:rPr>
                <w:rFonts w:ascii="宋体" w:hAnsi="宋体" w:cs="宋体" w:eastAsia="宋体" w:hint="default"/>
                <w:sz w:val="15"/>
                <w:szCs w:val="15"/>
              </w:rPr>
              <w:t>商誉减值准备</w:t>
            </w:r>
          </w:p>
        </w:tc>
        <w:tc>
          <w:tcPr>
            <w:tcW w:w="28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pacing w:val="-2"/>
                <w:sz w:val="15"/>
              </w:rPr>
              <w:t>1,655,442.06</w:t>
            </w:r>
          </w:p>
        </w:tc>
        <w:tc>
          <w:tcPr>
            <w:tcW w:w="283"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173" w:lineRule="exact"/>
              <w:ind w:right="103"/>
              <w:jc w:val="right"/>
              <w:rPr>
                <w:rFonts w:ascii="宋体" w:hAnsi="宋体" w:cs="宋体" w:eastAsia="宋体" w:hint="default"/>
                <w:sz w:val="15"/>
                <w:szCs w:val="15"/>
              </w:rPr>
            </w:pPr>
            <w:r>
              <w:rPr>
                <w:rFonts w:ascii="宋体"/>
                <w:spacing w:val="-2"/>
                <w:sz w:val="15"/>
              </w:rPr>
              <w:t>1,655,442.06</w:t>
            </w:r>
          </w:p>
        </w:tc>
      </w:tr>
      <w:tr>
        <w:trPr>
          <w:trHeight w:val="230" w:hRule="exact"/>
        </w:trPr>
        <w:tc>
          <w:tcPr>
            <w:tcW w:w="728"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184" w:lineRule="exact"/>
              <w:ind w:left="10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83"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single" w:sz="12" w:space="0" w:color="000000"/>
              <w:right w:val="nil" w:sz="6" w:space="0" w:color="auto"/>
            </w:tcBorders>
          </w:tcPr>
          <w:p>
            <w:pPr>
              <w:pStyle w:val="TableParagraph"/>
              <w:spacing w:line="179" w:lineRule="exact"/>
              <w:ind w:right="105"/>
              <w:jc w:val="right"/>
              <w:rPr>
                <w:rFonts w:ascii="宋体" w:hAnsi="宋体" w:cs="宋体" w:eastAsia="宋体" w:hint="default"/>
                <w:sz w:val="15"/>
                <w:szCs w:val="15"/>
              </w:rPr>
            </w:pPr>
            <w:r>
              <w:rPr>
                <w:rFonts w:ascii="宋体"/>
                <w:spacing w:val="-2"/>
                <w:sz w:val="15"/>
              </w:rPr>
              <w:t>2,158,542.19</w:t>
            </w:r>
          </w:p>
        </w:tc>
        <w:tc>
          <w:tcPr>
            <w:tcW w:w="283"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single" w:sz="12" w:space="0" w:color="000000"/>
              <w:right w:val="nil" w:sz="6" w:space="0" w:color="auto"/>
            </w:tcBorders>
          </w:tcPr>
          <w:p>
            <w:pPr>
              <w:pStyle w:val="TableParagraph"/>
              <w:spacing w:line="179" w:lineRule="exact"/>
              <w:ind w:right="104"/>
              <w:jc w:val="right"/>
              <w:rPr>
                <w:rFonts w:ascii="宋体" w:hAnsi="宋体" w:cs="宋体" w:eastAsia="宋体" w:hint="default"/>
                <w:sz w:val="15"/>
                <w:szCs w:val="15"/>
              </w:rPr>
            </w:pPr>
            <w:r>
              <w:rPr>
                <w:rFonts w:ascii="宋体"/>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single" w:sz="12" w:space="0" w:color="000000"/>
              <w:right w:val="nil" w:sz="6" w:space="0" w:color="auto"/>
            </w:tcBorders>
          </w:tcPr>
          <w:p>
            <w:pPr>
              <w:pStyle w:val="TableParagraph"/>
              <w:spacing w:line="179" w:lineRule="exact"/>
              <w:ind w:right="105"/>
              <w:jc w:val="right"/>
              <w:rPr>
                <w:rFonts w:ascii="宋体" w:hAnsi="宋体" w:cs="宋体" w:eastAsia="宋体" w:hint="default"/>
                <w:sz w:val="15"/>
                <w:szCs w:val="15"/>
              </w:rPr>
            </w:pPr>
            <w:r>
              <w:rPr>
                <w:rFonts w:ascii="宋体"/>
                <w:spacing w:val="-1"/>
                <w:sz w:val="15"/>
              </w:rPr>
              <w:t>149,605.65</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179" w:lineRule="exact"/>
              <w:ind w:right="104"/>
              <w:jc w:val="right"/>
              <w:rPr>
                <w:rFonts w:ascii="宋体" w:hAnsi="宋体" w:cs="宋体" w:eastAsia="宋体" w:hint="default"/>
                <w:sz w:val="15"/>
                <w:szCs w:val="15"/>
              </w:rPr>
            </w:pPr>
            <w:r>
              <w:rPr>
                <w:rFonts w:ascii="宋体"/>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single" w:sz="12" w:space="0" w:color="000000"/>
              <w:right w:val="nil" w:sz="6" w:space="0" w:color="auto"/>
            </w:tcBorders>
          </w:tcPr>
          <w:p>
            <w:pPr>
              <w:pStyle w:val="TableParagraph"/>
              <w:spacing w:line="179" w:lineRule="exact"/>
              <w:ind w:right="105"/>
              <w:jc w:val="right"/>
              <w:rPr>
                <w:rFonts w:ascii="宋体" w:hAnsi="宋体" w:cs="宋体" w:eastAsia="宋体" w:hint="default"/>
                <w:sz w:val="15"/>
                <w:szCs w:val="15"/>
              </w:rPr>
            </w:pPr>
            <w:r>
              <w:rPr>
                <w:rFonts w:ascii="宋体"/>
                <w:spacing w:val="-1"/>
                <w:sz w:val="15"/>
              </w:rPr>
              <w:t>149,605.65</w:t>
            </w:r>
          </w:p>
        </w:tc>
        <w:tc>
          <w:tcPr>
            <w:tcW w:w="283"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179" w:lineRule="exact"/>
              <w:ind w:right="103"/>
              <w:jc w:val="right"/>
              <w:rPr>
                <w:rFonts w:ascii="宋体" w:hAnsi="宋体" w:cs="宋体" w:eastAsia="宋体" w:hint="default"/>
                <w:sz w:val="15"/>
                <w:szCs w:val="15"/>
              </w:rPr>
            </w:pPr>
            <w:r>
              <w:rPr>
                <w:rFonts w:ascii="宋体"/>
                <w:spacing w:val="-2"/>
                <w:sz w:val="15"/>
              </w:rPr>
              <w:t>2,008,936.54</w:t>
            </w:r>
          </w:p>
        </w:tc>
      </w:tr>
    </w:tbl>
    <w:p>
      <w:pPr>
        <w:spacing w:after="0" w:line="179" w:lineRule="exact"/>
        <w:jc w:val="right"/>
        <w:rPr>
          <w:rFonts w:ascii="宋体" w:hAnsi="宋体" w:cs="宋体" w:eastAsia="宋体" w:hint="default"/>
          <w:sz w:val="15"/>
          <w:szCs w:val="15"/>
        </w:rPr>
        <w:sectPr>
          <w:pgSz w:w="11910" w:h="16840"/>
          <w:pgMar w:header="886" w:footer="980" w:top="1740" w:bottom="1160" w:left="1040" w:right="3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805"/>
        <w:gridCol w:w="106"/>
        <w:gridCol w:w="2866"/>
        <w:gridCol w:w="271"/>
        <w:gridCol w:w="2849"/>
        <w:gridCol w:w="283"/>
        <w:gridCol w:w="2751"/>
      </w:tblGrid>
      <w:tr>
        <w:trPr>
          <w:trHeight w:val="687"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6" w:type="dxa"/>
            <w:tcBorders>
              <w:top w:val="single" w:sz="4" w:space="0" w:color="000000"/>
              <w:left w:val="nil" w:sz="6" w:space="0" w:color="auto"/>
              <w:bottom w:val="nil" w:sz="6" w:space="0" w:color="auto"/>
              <w:right w:val="nil" w:sz="6" w:space="0" w:color="auto"/>
            </w:tcBorders>
          </w:tcPr>
          <w:p>
            <w:pPr/>
          </w:p>
        </w:tc>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71" w:type="dxa"/>
            <w:tcBorders>
              <w:top w:val="single" w:sz="4" w:space="0" w:color="000000"/>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82" w:right="0"/>
              <w:jc w:val="left"/>
              <w:rPr>
                <w:rFonts w:ascii="宋体" w:hAnsi="宋体" w:cs="宋体" w:eastAsia="宋体" w:hint="default"/>
                <w:sz w:val="21"/>
                <w:szCs w:val="21"/>
              </w:rPr>
            </w:pPr>
            <w:r>
              <w:rPr>
                <w:rFonts w:ascii="宋体"/>
                <w:sz w:val="21"/>
              </w:rPr>
              <w:t>6.13</w:t>
            </w:r>
          </w:p>
        </w:tc>
        <w:tc>
          <w:tcPr>
            <w:tcW w:w="106"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1"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544"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6.13.1</w:t>
            </w:r>
            <w:r>
              <w:rPr>
                <w:rFonts w:ascii="宋体" w:hAnsi="宋体" w:cs="宋体" w:eastAsia="宋体" w:hint="default"/>
                <w:spacing w:val="-1"/>
                <w:sz w:val="21"/>
                <w:szCs w:val="21"/>
              </w:rPr>
              <w:t> </w:t>
            </w:r>
            <w:r>
              <w:rPr>
                <w:rFonts w:ascii="宋体" w:hAnsi="宋体" w:cs="宋体" w:eastAsia="宋体" w:hint="default"/>
                <w:sz w:val="21"/>
                <w:szCs w:val="21"/>
              </w:rPr>
              <w:t>短期借款分类</w:t>
            </w:r>
          </w:p>
        </w:tc>
        <w:tc>
          <w:tcPr>
            <w:tcW w:w="271"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414"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71"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6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7"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86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71" w:type="dxa"/>
            <w:tcBorders>
              <w:top w:val="nil" w:sz="6" w:space="0" w:color="auto"/>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4,866,180.00</w:t>
            </w:r>
          </w:p>
        </w:tc>
        <w:tc>
          <w:tcPr>
            <w:tcW w:w="283" w:type="dxa"/>
            <w:tcBorders>
              <w:top w:val="nil" w:sz="6" w:space="0" w:color="auto"/>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nil" w:sz="6" w:space="0" w:color="auto"/>
              <w:right w:val="nil" w:sz="6" w:space="0" w:color="auto"/>
            </w:tcBorders>
          </w:tcPr>
          <w:p>
            <w:pPr>
              <w:pStyle w:val="TableParagraph"/>
              <w:spacing w:line="241" w:lineRule="exact"/>
              <w:ind w:right="160"/>
              <w:jc w:val="right"/>
              <w:rPr>
                <w:rFonts w:ascii="宋体" w:hAnsi="宋体" w:cs="宋体" w:eastAsia="宋体" w:hint="default"/>
                <w:sz w:val="21"/>
                <w:szCs w:val="21"/>
              </w:rPr>
            </w:pPr>
            <w:r>
              <w:rPr>
                <w:rFonts w:ascii="宋体"/>
                <w:spacing w:val="-1"/>
                <w:sz w:val="21"/>
              </w:rPr>
              <w:t>4,063,000.00</w:t>
            </w:r>
          </w:p>
        </w:tc>
      </w:tr>
      <w:tr>
        <w:trPr>
          <w:trHeight w:val="277"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71"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10,000,000.00</w:t>
            </w:r>
          </w:p>
        </w:tc>
        <w:tc>
          <w:tcPr>
            <w:tcW w:w="283"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single" w:sz="4" w:space="0" w:color="000000"/>
              <w:right w:val="nil" w:sz="6" w:space="0" w:color="auto"/>
            </w:tcBorders>
          </w:tcPr>
          <w:p>
            <w:pPr>
              <w:pStyle w:val="TableParagraph"/>
              <w:spacing w:line="242" w:lineRule="exact"/>
              <w:ind w:right="160"/>
              <w:jc w:val="right"/>
              <w:rPr>
                <w:rFonts w:ascii="宋体" w:hAnsi="宋体" w:cs="宋体" w:eastAsia="宋体" w:hint="default"/>
                <w:sz w:val="21"/>
                <w:szCs w:val="21"/>
              </w:rPr>
            </w:pPr>
            <w:r>
              <w:rPr>
                <w:rFonts w:ascii="宋体"/>
                <w:spacing w:val="-1"/>
                <w:sz w:val="21"/>
              </w:rPr>
              <w:t>10,000,000.00</w:t>
            </w:r>
          </w:p>
        </w:tc>
      </w:tr>
      <w:tr>
        <w:trPr>
          <w:trHeight w:val="293"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866" w:type="dxa"/>
            <w:tcBorders>
              <w:top w:val="nil" w:sz="6" w:space="0" w:color="auto"/>
              <w:left w:val="nil" w:sz="6" w:space="0" w:color="auto"/>
              <w:bottom w:val="nil" w:sz="6" w:space="0" w:color="auto"/>
              <w:right w:val="nil" w:sz="6" w:space="0" w:color="auto"/>
            </w:tcBorders>
          </w:tcPr>
          <w:p>
            <w:pPr>
              <w:pStyle w:val="TableParagraph"/>
              <w:tabs>
                <w:tab w:pos="426" w:val="left" w:leader="none"/>
              </w:tabs>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1" w:type="dxa"/>
            <w:tcBorders>
              <w:top w:val="nil" w:sz="6" w:space="0" w:color="auto"/>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14,866,180.00</w:t>
            </w:r>
          </w:p>
        </w:tc>
        <w:tc>
          <w:tcPr>
            <w:tcW w:w="283" w:type="dxa"/>
            <w:tcBorders>
              <w:top w:val="nil" w:sz="6" w:space="0" w:color="auto"/>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60"/>
              <w:jc w:val="right"/>
              <w:rPr>
                <w:rFonts w:ascii="宋体" w:hAnsi="宋体" w:cs="宋体" w:eastAsia="宋体" w:hint="default"/>
                <w:sz w:val="21"/>
                <w:szCs w:val="21"/>
              </w:rPr>
            </w:pPr>
            <w:r>
              <w:rPr>
                <w:rFonts w:ascii="宋体"/>
                <w:spacing w:val="-1"/>
                <w:sz w:val="21"/>
              </w:rPr>
              <w:t>14,063,000.00</w:t>
            </w:r>
          </w:p>
        </w:tc>
      </w:tr>
      <w:tr>
        <w:trPr>
          <w:trHeight w:val="696"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02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年末保证借款系自然人股东包叔平先生提供个人连带责任的保证担保。</w:t>
            </w:r>
          </w:p>
        </w:tc>
      </w:tr>
      <w:tr>
        <w:trPr>
          <w:trHeight w:val="649" w:hRule="exact"/>
        </w:trPr>
        <w:tc>
          <w:tcPr>
            <w:tcW w:w="80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021" w:type="dxa"/>
            <w:gridSpan w:val="5"/>
            <w:tcBorders>
              <w:top w:val="nil" w:sz="6" w:space="0" w:color="auto"/>
              <w:left w:val="nil" w:sz="6" w:space="0" w:color="auto"/>
              <w:bottom w:val="nil" w:sz="6" w:space="0" w:color="auto"/>
              <w:right w:val="nil" w:sz="6" w:space="0" w:color="auto"/>
            </w:tcBorders>
          </w:tcPr>
          <w:p>
            <w:pPr>
              <w:pStyle w:val="TableParagraph"/>
              <w:spacing w:line="272" w:lineRule="exact" w:before="131"/>
              <w:ind w:left="107" w:right="158"/>
              <w:jc w:val="left"/>
              <w:rPr>
                <w:rFonts w:ascii="宋体" w:hAnsi="宋体" w:cs="宋体" w:eastAsia="宋体" w:hint="default"/>
                <w:sz w:val="21"/>
                <w:szCs w:val="21"/>
              </w:rPr>
            </w:pPr>
            <w:r>
              <w:rPr>
                <w:rFonts w:ascii="宋体" w:hAnsi="宋体" w:cs="宋体" w:eastAsia="宋体" w:hint="default"/>
                <w:spacing w:val="-3"/>
                <w:sz w:val="21"/>
                <w:szCs w:val="21"/>
              </w:rPr>
              <w:t>年末保证借款系本公司下属子公司日本海隆株式会社日币借款，借款本金为</w:t>
            </w:r>
            <w:r>
              <w:rPr>
                <w:rFonts w:ascii="宋体" w:hAnsi="宋体" w:cs="宋体" w:eastAsia="宋体" w:hint="default"/>
                <w:spacing w:val="-27"/>
                <w:sz w:val="21"/>
                <w:szCs w:val="21"/>
              </w:rPr>
              <w:t> </w:t>
            </w:r>
            <w:r>
              <w:rPr>
                <w:rFonts w:ascii="宋体" w:hAnsi="宋体" w:cs="宋体" w:eastAsia="宋体" w:hint="default"/>
                <w:sz w:val="21"/>
                <w:szCs w:val="21"/>
              </w:rPr>
              <w:t>6</w:t>
            </w:r>
            <w:r>
              <w:rPr>
                <w:rFonts w:ascii="宋体" w:hAnsi="宋体" w:cs="宋体" w:eastAsia="宋体" w:hint="default"/>
                <w:spacing w:val="-24"/>
                <w:sz w:val="21"/>
                <w:szCs w:val="21"/>
              </w:rPr>
              <w:t> </w:t>
            </w:r>
            <w:r>
              <w:rPr>
                <w:rFonts w:ascii="宋体" w:hAnsi="宋体" w:cs="宋体" w:eastAsia="宋体" w:hint="default"/>
                <w:spacing w:val="-6"/>
                <w:sz w:val="21"/>
                <w:szCs w:val="21"/>
              </w:rPr>
              <w:t>千万日元，折算汇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率</w:t>
            </w:r>
            <w:r>
              <w:rPr>
                <w:rFonts w:ascii="宋体" w:hAnsi="宋体" w:cs="宋体" w:eastAsia="宋体" w:hint="default"/>
                <w:spacing w:val="-54"/>
                <w:sz w:val="21"/>
                <w:szCs w:val="21"/>
              </w:rPr>
              <w:t> </w:t>
            </w:r>
            <w:r>
              <w:rPr>
                <w:rFonts w:ascii="宋体" w:hAnsi="宋体" w:cs="宋体" w:eastAsia="宋体" w:hint="default"/>
                <w:sz w:val="21"/>
                <w:szCs w:val="21"/>
              </w:rPr>
              <w:t>0.081103</w:t>
            </w:r>
            <w:r>
              <w:rPr>
                <w:rFonts w:ascii="宋体" w:hAnsi="宋体" w:cs="宋体" w:eastAsia="宋体" w:hint="default"/>
                <w:sz w:val="21"/>
                <w:szCs w:val="21"/>
              </w:rPr>
              <w:t>，折合人民币</w:t>
            </w:r>
            <w:r>
              <w:rPr>
                <w:rFonts w:ascii="宋体" w:hAnsi="宋体" w:cs="宋体" w:eastAsia="宋体" w:hint="default"/>
                <w:spacing w:val="-56"/>
                <w:sz w:val="21"/>
                <w:szCs w:val="21"/>
              </w:rPr>
              <w:t> </w:t>
            </w:r>
            <w:r>
              <w:rPr>
                <w:rFonts w:ascii="宋体" w:hAnsi="宋体" w:cs="宋体" w:eastAsia="宋体" w:hint="default"/>
                <w:sz w:val="21"/>
                <w:szCs w:val="21"/>
              </w:rPr>
              <w:t>4,866,180.00</w:t>
            </w:r>
            <w:r>
              <w:rPr>
                <w:rFonts w:ascii="宋体" w:hAnsi="宋体" w:cs="宋体" w:eastAsia="宋体" w:hint="default"/>
                <w:spacing w:val="-56"/>
                <w:sz w:val="21"/>
                <w:szCs w:val="21"/>
              </w:rPr>
              <w:t> </w:t>
            </w:r>
            <w:r>
              <w:rPr>
                <w:rFonts w:ascii="宋体" w:hAnsi="宋体" w:cs="宋体" w:eastAsia="宋体" w:hint="default"/>
                <w:sz w:val="21"/>
                <w:szCs w:val="21"/>
              </w:rPr>
              <w:t>元。</w:t>
            </w:r>
          </w:p>
        </w:tc>
      </w:tr>
    </w:tbl>
    <w:p>
      <w:pPr>
        <w:spacing w:line="240" w:lineRule="auto" w:before="0"/>
        <w:rPr>
          <w:rFonts w:ascii="Times New Roman" w:hAnsi="Times New Roman" w:cs="Times New Roman" w:eastAsia="Times New Roman" w:hint="default"/>
          <w:sz w:val="29"/>
          <w:szCs w:val="29"/>
        </w:rPr>
      </w:pPr>
    </w:p>
    <w:tbl>
      <w:tblPr>
        <w:tblW w:w="0" w:type="auto"/>
        <w:jc w:val="left"/>
        <w:tblInd w:w="282" w:type="dxa"/>
        <w:tblLayout w:type="fixed"/>
        <w:tblCellMar>
          <w:top w:w="0" w:type="dxa"/>
          <w:left w:w="0" w:type="dxa"/>
          <w:bottom w:w="0" w:type="dxa"/>
          <w:right w:w="0" w:type="dxa"/>
        </w:tblCellMar>
        <w:tblLook w:val="01E0"/>
      </w:tblPr>
      <w:tblGrid>
        <w:gridCol w:w="729"/>
        <w:gridCol w:w="5561"/>
        <w:gridCol w:w="286"/>
        <w:gridCol w:w="3118"/>
      </w:tblGrid>
      <w:tr>
        <w:trPr>
          <w:trHeight w:val="378"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6.14</w:t>
            </w:r>
          </w:p>
        </w:tc>
        <w:tc>
          <w:tcPr>
            <w:tcW w:w="5561" w:type="dxa"/>
            <w:tcBorders>
              <w:top w:val="nil" w:sz="6" w:space="0" w:color="auto"/>
              <w:left w:val="nil" w:sz="6" w:space="0" w:color="auto"/>
              <w:bottom w:val="nil" w:sz="6" w:space="0" w:color="auto"/>
              <w:right w:val="nil" w:sz="6" w:space="0" w:color="auto"/>
            </w:tcBorders>
          </w:tcPr>
          <w:p>
            <w:pPr>
              <w:pStyle w:val="TableParagraph"/>
              <w:spacing w:line="211" w:lineRule="exact"/>
              <w:ind w:left="10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
        </w:tc>
      </w:tr>
      <w:tr>
        <w:trPr>
          <w:trHeight w:val="409" w:hRule="exact"/>
        </w:trPr>
        <w:tc>
          <w:tcPr>
            <w:tcW w:w="729" w:type="dxa"/>
            <w:tcBorders>
              <w:top w:val="nil" w:sz="6" w:space="0" w:color="auto"/>
              <w:left w:val="nil" w:sz="6" w:space="0" w:color="auto"/>
              <w:bottom w:val="nil" w:sz="6" w:space="0" w:color="auto"/>
              <w:right w:val="nil" w:sz="6" w:space="0" w:color="auto"/>
            </w:tcBorders>
          </w:tcPr>
          <w:p>
            <w:pPr/>
          </w:p>
        </w:tc>
        <w:tc>
          <w:tcPr>
            <w:tcW w:w="556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0"/>
              <w:jc w:val="left"/>
              <w:rPr>
                <w:rFonts w:ascii="宋体" w:hAnsi="宋体" w:cs="宋体" w:eastAsia="宋体" w:hint="default"/>
                <w:sz w:val="21"/>
                <w:szCs w:val="21"/>
              </w:rPr>
            </w:pPr>
            <w:r>
              <w:rPr>
                <w:rFonts w:ascii="宋体"/>
                <w:sz w:val="21"/>
              </w:rPr>
              <w:t>6.14.1</w:t>
            </w:r>
          </w:p>
        </w:tc>
        <w:tc>
          <w:tcPr>
            <w:tcW w:w="286"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
        </w:tc>
      </w:tr>
      <w:tr>
        <w:trPr>
          <w:trHeight w:val="278" w:hRule="exact"/>
        </w:trPr>
        <w:tc>
          <w:tcPr>
            <w:tcW w:w="729" w:type="dxa"/>
            <w:tcBorders>
              <w:top w:val="nil" w:sz="6" w:space="0" w:color="auto"/>
              <w:left w:val="nil" w:sz="6" w:space="0" w:color="auto"/>
              <w:bottom w:val="nil" w:sz="6" w:space="0" w:color="auto"/>
              <w:right w:val="nil" w:sz="6" w:space="0" w:color="auto"/>
            </w:tcBorders>
          </w:tcPr>
          <w:p>
            <w:pPr/>
          </w:p>
        </w:tc>
        <w:tc>
          <w:tcPr>
            <w:tcW w:w="5561" w:type="dxa"/>
            <w:tcBorders>
              <w:top w:val="nil" w:sz="6" w:space="0" w:color="auto"/>
              <w:left w:val="nil" w:sz="6" w:space="0" w:color="auto"/>
              <w:bottom w:val="single" w:sz="4" w:space="0" w:color="000000"/>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729" w:type="dxa"/>
            <w:tcBorders>
              <w:top w:val="nil" w:sz="6" w:space="0" w:color="auto"/>
              <w:left w:val="nil" w:sz="6" w:space="0" w:color="auto"/>
              <w:bottom w:val="nil" w:sz="6" w:space="0" w:color="auto"/>
              <w:right w:val="nil" w:sz="6" w:space="0" w:color="auto"/>
            </w:tcBorders>
          </w:tcPr>
          <w:p>
            <w:pPr/>
          </w:p>
        </w:tc>
        <w:tc>
          <w:tcPr>
            <w:tcW w:w="556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2,207,983.10</w:t>
            </w:r>
          </w:p>
        </w:tc>
        <w:tc>
          <w:tcPr>
            <w:tcW w:w="286" w:type="dxa"/>
            <w:tcBorders>
              <w:top w:val="nil" w:sz="6" w:space="0" w:color="auto"/>
              <w:left w:val="nil" w:sz="6" w:space="0" w:color="auto"/>
              <w:bottom w:val="nil" w:sz="6" w:space="0" w:color="auto"/>
              <w:right w:val="nil" w:sz="6" w:space="0" w:color="auto"/>
            </w:tcBorders>
          </w:tcPr>
          <w:p>
            <w:pPr/>
          </w:p>
        </w:tc>
        <w:tc>
          <w:tcPr>
            <w:tcW w:w="311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678,579.56</w:t>
            </w:r>
          </w:p>
        </w:tc>
      </w:tr>
      <w:tr>
        <w:trPr>
          <w:trHeight w:val="967" w:hRule="exact"/>
        </w:trPr>
        <w:tc>
          <w:tcPr>
            <w:tcW w:w="729" w:type="dxa"/>
            <w:tcBorders>
              <w:top w:val="nil" w:sz="6" w:space="0" w:color="auto"/>
              <w:left w:val="nil" w:sz="6" w:space="0" w:color="auto"/>
              <w:bottom w:val="nil" w:sz="6" w:space="0" w:color="auto"/>
              <w:right w:val="nil" w:sz="6" w:space="0" w:color="auto"/>
            </w:tcBorders>
          </w:tcPr>
          <w:p>
            <w:pPr/>
          </w:p>
        </w:tc>
        <w:tc>
          <w:tcPr>
            <w:tcW w:w="89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106" w:right="103"/>
              <w:jc w:val="left"/>
              <w:rPr>
                <w:rFonts w:ascii="宋体" w:hAnsi="宋体" w:cs="宋体" w:eastAsia="宋体" w:hint="default"/>
                <w:sz w:val="21"/>
                <w:szCs w:val="21"/>
              </w:rPr>
            </w:pPr>
            <w:r>
              <w:rPr>
                <w:rFonts w:ascii="宋体" w:hAnsi="宋体" w:cs="宋体" w:eastAsia="宋体" w:hint="default"/>
                <w:sz w:val="21"/>
                <w:szCs w:val="21"/>
              </w:rPr>
              <w:t>6.14.2 </w:t>
            </w:r>
            <w:r>
              <w:rPr>
                <w:rFonts w:ascii="宋体" w:hAnsi="宋体" w:cs="宋体" w:eastAsia="宋体" w:hint="default"/>
                <w:sz w:val="21"/>
                <w:szCs w:val="21"/>
              </w:rPr>
              <w:t>本报告期应付账款中无应付持有公司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30"/>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表决权股份的股东款项或关联方款</w:t>
            </w:r>
            <w:r>
              <w:rPr>
                <w:rFonts w:ascii="宋体" w:hAnsi="宋体" w:cs="宋体" w:eastAsia="宋体" w:hint="default"/>
                <w:w w:val="100"/>
                <w:sz w:val="21"/>
                <w:szCs w:val="21"/>
              </w:rPr>
              <w:t> </w:t>
            </w:r>
            <w:r>
              <w:rPr>
                <w:rFonts w:ascii="宋体" w:hAnsi="宋体" w:cs="宋体" w:eastAsia="宋体" w:hint="default"/>
                <w:sz w:val="21"/>
                <w:szCs w:val="21"/>
              </w:rPr>
              <w:t>项。</w:t>
            </w:r>
          </w:p>
        </w:tc>
      </w:tr>
      <w:tr>
        <w:trPr>
          <w:trHeight w:val="652" w:hRule="exact"/>
        </w:trPr>
        <w:tc>
          <w:tcPr>
            <w:tcW w:w="729" w:type="dxa"/>
            <w:tcBorders>
              <w:top w:val="nil" w:sz="6" w:space="0" w:color="auto"/>
              <w:left w:val="nil" w:sz="6" w:space="0" w:color="auto"/>
              <w:bottom w:val="nil" w:sz="6" w:space="0" w:color="auto"/>
              <w:right w:val="nil" w:sz="6" w:space="0" w:color="auto"/>
            </w:tcBorders>
          </w:tcPr>
          <w:p>
            <w:pPr/>
          </w:p>
        </w:tc>
        <w:tc>
          <w:tcPr>
            <w:tcW w:w="89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103"/>
              <w:jc w:val="left"/>
              <w:rPr>
                <w:rFonts w:ascii="宋体" w:hAnsi="宋体" w:cs="宋体" w:eastAsia="宋体" w:hint="default"/>
                <w:sz w:val="21"/>
                <w:szCs w:val="21"/>
              </w:rPr>
            </w:pPr>
            <w:r>
              <w:rPr>
                <w:rFonts w:ascii="宋体" w:hAnsi="宋体" w:cs="宋体" w:eastAsia="宋体" w:hint="default"/>
                <w:sz w:val="21"/>
                <w:szCs w:val="21"/>
              </w:rPr>
              <w:t>6.14.3</w:t>
            </w:r>
            <w:r>
              <w:rPr>
                <w:rFonts w:ascii="宋体" w:hAnsi="宋体" w:cs="宋体" w:eastAsia="宋体" w:hint="default"/>
                <w:spacing w:val="-48"/>
                <w:sz w:val="21"/>
                <w:szCs w:val="21"/>
              </w:rPr>
              <w:t> </w:t>
            </w:r>
            <w:r>
              <w:rPr>
                <w:rFonts w:ascii="宋体" w:hAnsi="宋体" w:cs="宋体" w:eastAsia="宋体" w:hint="default"/>
                <w:sz w:val="21"/>
                <w:szCs w:val="21"/>
              </w:rPr>
              <w:t>应付账款年末数比年初数增加</w:t>
            </w:r>
            <w:r>
              <w:rPr>
                <w:rFonts w:ascii="宋体" w:hAnsi="宋体" w:cs="宋体" w:eastAsia="宋体" w:hint="default"/>
                <w:spacing w:val="-45"/>
                <w:sz w:val="21"/>
                <w:szCs w:val="21"/>
              </w:rPr>
              <w:t> </w:t>
            </w:r>
            <w:r>
              <w:rPr>
                <w:rFonts w:ascii="宋体" w:hAnsi="宋体" w:cs="宋体" w:eastAsia="宋体" w:hint="default"/>
                <w:sz w:val="21"/>
                <w:szCs w:val="21"/>
              </w:rPr>
              <w:t>1,529,403.54</w:t>
            </w:r>
            <w:r>
              <w:rPr>
                <w:rFonts w:ascii="宋体" w:hAnsi="宋体" w:cs="宋体" w:eastAsia="宋体" w:hint="default"/>
                <w:spacing w:val="-48"/>
                <w:sz w:val="21"/>
                <w:szCs w:val="21"/>
              </w:rPr>
              <w:t> </w:t>
            </w:r>
            <w:r>
              <w:rPr>
                <w:rFonts w:ascii="宋体" w:hAnsi="宋体" w:cs="宋体" w:eastAsia="宋体" w:hint="default"/>
                <w:sz w:val="21"/>
                <w:szCs w:val="21"/>
              </w:rPr>
              <w:t>元，增加比例为</w:t>
            </w:r>
            <w:r>
              <w:rPr>
                <w:rFonts w:ascii="宋体" w:hAnsi="宋体" w:cs="宋体" w:eastAsia="宋体" w:hint="default"/>
                <w:spacing w:val="-46"/>
                <w:sz w:val="21"/>
                <w:szCs w:val="21"/>
              </w:rPr>
              <w:t> </w:t>
            </w:r>
            <w:r>
              <w:rPr>
                <w:rFonts w:ascii="宋体" w:hAnsi="宋体" w:cs="宋体" w:eastAsia="宋体" w:hint="default"/>
                <w:sz w:val="21"/>
                <w:szCs w:val="21"/>
              </w:rPr>
              <w:t>225.38%</w:t>
            </w:r>
            <w:r>
              <w:rPr>
                <w:rFonts w:ascii="宋体" w:hAnsi="宋体" w:cs="宋体" w:eastAsia="宋体" w:hint="default"/>
                <w:sz w:val="21"/>
                <w:szCs w:val="21"/>
              </w:rPr>
              <w:t>，主要原因为：年</w:t>
            </w:r>
            <w:r>
              <w:rPr>
                <w:rFonts w:ascii="宋体" w:hAnsi="宋体" w:cs="宋体" w:eastAsia="宋体" w:hint="default"/>
                <w:w w:val="100"/>
                <w:sz w:val="21"/>
                <w:szCs w:val="21"/>
              </w:rPr>
              <w:t> </w:t>
            </w:r>
            <w:r>
              <w:rPr>
                <w:rFonts w:ascii="宋体" w:hAnsi="宋体" w:cs="宋体" w:eastAsia="宋体" w:hint="default"/>
                <w:sz w:val="21"/>
                <w:szCs w:val="21"/>
              </w:rPr>
              <w:t>末应付外部公司软件开发费增加所致。</w:t>
            </w:r>
          </w:p>
        </w:tc>
      </w:tr>
    </w:tbl>
    <w:p>
      <w:pPr>
        <w:spacing w:line="240" w:lineRule="auto" w:before="9"/>
        <w:rPr>
          <w:rFonts w:ascii="Times New Roman" w:hAnsi="Times New Roman" w:cs="Times New Roman" w:eastAsia="Times New Roman" w:hint="default"/>
          <w:sz w:val="28"/>
          <w:szCs w:val="28"/>
        </w:rPr>
      </w:pPr>
    </w:p>
    <w:tbl>
      <w:tblPr>
        <w:tblW w:w="0" w:type="auto"/>
        <w:jc w:val="left"/>
        <w:tblInd w:w="282" w:type="dxa"/>
        <w:tblLayout w:type="fixed"/>
        <w:tblCellMar>
          <w:top w:w="0" w:type="dxa"/>
          <w:left w:w="0" w:type="dxa"/>
          <w:bottom w:w="0" w:type="dxa"/>
          <w:right w:w="0" w:type="dxa"/>
        </w:tblCellMar>
        <w:tblLook w:val="01E0"/>
      </w:tblPr>
      <w:tblGrid>
        <w:gridCol w:w="729"/>
        <w:gridCol w:w="5561"/>
        <w:gridCol w:w="425"/>
        <w:gridCol w:w="2979"/>
      </w:tblGrid>
      <w:tr>
        <w:trPr>
          <w:trHeight w:val="378"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6.15</w:t>
            </w:r>
          </w:p>
        </w:tc>
        <w:tc>
          <w:tcPr>
            <w:tcW w:w="5561" w:type="dxa"/>
            <w:tcBorders>
              <w:top w:val="nil" w:sz="6" w:space="0" w:color="auto"/>
              <w:left w:val="nil" w:sz="6" w:space="0" w:color="auto"/>
              <w:bottom w:val="nil" w:sz="6" w:space="0" w:color="auto"/>
              <w:right w:val="nil" w:sz="6" w:space="0" w:color="auto"/>
            </w:tcBorders>
          </w:tcPr>
          <w:p>
            <w:pPr>
              <w:pStyle w:val="TableParagraph"/>
              <w:spacing w:line="211" w:lineRule="exact"/>
              <w:ind w:left="10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25"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
        </w:tc>
      </w:tr>
      <w:tr>
        <w:trPr>
          <w:trHeight w:val="545" w:hRule="exact"/>
        </w:trPr>
        <w:tc>
          <w:tcPr>
            <w:tcW w:w="729" w:type="dxa"/>
            <w:tcBorders>
              <w:top w:val="nil" w:sz="6" w:space="0" w:color="auto"/>
              <w:left w:val="nil" w:sz="6" w:space="0" w:color="auto"/>
              <w:bottom w:val="nil" w:sz="6" w:space="0" w:color="auto"/>
              <w:right w:val="nil" w:sz="6" w:space="0" w:color="auto"/>
            </w:tcBorders>
          </w:tcPr>
          <w:p>
            <w:pPr/>
          </w:p>
        </w:tc>
        <w:tc>
          <w:tcPr>
            <w:tcW w:w="556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6" w:right="0"/>
              <w:jc w:val="left"/>
              <w:rPr>
                <w:rFonts w:ascii="宋体" w:hAnsi="宋体" w:cs="宋体" w:eastAsia="宋体" w:hint="default"/>
                <w:sz w:val="21"/>
                <w:szCs w:val="21"/>
              </w:rPr>
            </w:pPr>
            <w:r>
              <w:rPr>
                <w:rFonts w:ascii="宋体"/>
                <w:sz w:val="21"/>
              </w:rPr>
              <w:t>6.15.1</w:t>
            </w:r>
          </w:p>
        </w:tc>
        <w:tc>
          <w:tcPr>
            <w:tcW w:w="425"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
        </w:tc>
      </w:tr>
      <w:tr>
        <w:trPr>
          <w:trHeight w:val="416" w:hRule="exact"/>
        </w:trPr>
        <w:tc>
          <w:tcPr>
            <w:tcW w:w="729" w:type="dxa"/>
            <w:tcBorders>
              <w:top w:val="nil" w:sz="6" w:space="0" w:color="auto"/>
              <w:left w:val="nil" w:sz="6" w:space="0" w:color="auto"/>
              <w:bottom w:val="nil" w:sz="6" w:space="0" w:color="auto"/>
              <w:right w:val="nil" w:sz="6" w:space="0" w:color="auto"/>
            </w:tcBorders>
          </w:tcPr>
          <w:p>
            <w:pPr/>
          </w:p>
        </w:tc>
        <w:tc>
          <w:tcPr>
            <w:tcW w:w="556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5"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0" w:hRule="exact"/>
        </w:trPr>
        <w:tc>
          <w:tcPr>
            <w:tcW w:w="729" w:type="dxa"/>
            <w:tcBorders>
              <w:top w:val="nil" w:sz="6" w:space="0" w:color="auto"/>
              <w:left w:val="nil" w:sz="6" w:space="0" w:color="auto"/>
              <w:bottom w:val="nil" w:sz="6" w:space="0" w:color="auto"/>
              <w:right w:val="nil" w:sz="6" w:space="0" w:color="auto"/>
            </w:tcBorders>
          </w:tcPr>
          <w:p>
            <w:pPr/>
          </w:p>
        </w:tc>
        <w:tc>
          <w:tcPr>
            <w:tcW w:w="556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969,036.67</w:t>
            </w:r>
          </w:p>
        </w:tc>
        <w:tc>
          <w:tcPr>
            <w:tcW w:w="425"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1,487,591.04</w:t>
            </w:r>
          </w:p>
        </w:tc>
      </w:tr>
      <w:tr>
        <w:trPr>
          <w:trHeight w:val="969" w:hRule="exact"/>
        </w:trPr>
        <w:tc>
          <w:tcPr>
            <w:tcW w:w="729" w:type="dxa"/>
            <w:tcBorders>
              <w:top w:val="nil" w:sz="6" w:space="0" w:color="auto"/>
              <w:left w:val="nil" w:sz="6" w:space="0" w:color="auto"/>
              <w:bottom w:val="nil" w:sz="6" w:space="0" w:color="auto"/>
              <w:right w:val="nil" w:sz="6" w:space="0" w:color="auto"/>
            </w:tcBorders>
          </w:tcPr>
          <w:p>
            <w:pPr/>
          </w:p>
        </w:tc>
        <w:tc>
          <w:tcPr>
            <w:tcW w:w="89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6" w:right="100"/>
              <w:jc w:val="left"/>
              <w:rPr>
                <w:rFonts w:ascii="宋体" w:hAnsi="宋体" w:cs="宋体" w:eastAsia="宋体" w:hint="default"/>
                <w:sz w:val="21"/>
                <w:szCs w:val="21"/>
              </w:rPr>
            </w:pPr>
            <w:r>
              <w:rPr>
                <w:rFonts w:ascii="宋体" w:hAnsi="宋体" w:cs="宋体" w:eastAsia="宋体" w:hint="default"/>
                <w:sz w:val="21"/>
                <w:szCs w:val="21"/>
              </w:rPr>
              <w:t>6.15.2</w:t>
            </w:r>
            <w:r>
              <w:rPr>
                <w:rFonts w:ascii="宋体" w:hAnsi="宋体" w:cs="宋体" w:eastAsia="宋体" w:hint="default"/>
                <w:spacing w:val="-62"/>
                <w:sz w:val="21"/>
                <w:szCs w:val="21"/>
              </w:rPr>
              <w:t> </w:t>
            </w:r>
            <w:r>
              <w:rPr>
                <w:rFonts w:ascii="宋体" w:hAnsi="宋体" w:cs="宋体" w:eastAsia="宋体" w:hint="default"/>
                <w:sz w:val="21"/>
                <w:szCs w:val="21"/>
              </w:rPr>
              <w:t>本报告期预收款项中无预收持有本公司</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表决权股份的股东款项或关联方款</w:t>
            </w:r>
            <w:r>
              <w:rPr>
                <w:rFonts w:ascii="宋体" w:hAnsi="宋体" w:cs="宋体" w:eastAsia="宋体" w:hint="default"/>
                <w:w w:val="100"/>
                <w:sz w:val="21"/>
                <w:szCs w:val="21"/>
              </w:rPr>
              <w:t> </w:t>
            </w:r>
            <w:r>
              <w:rPr>
                <w:rFonts w:ascii="宋体" w:hAnsi="宋体" w:cs="宋体" w:eastAsia="宋体" w:hint="default"/>
                <w:sz w:val="21"/>
                <w:szCs w:val="21"/>
              </w:rPr>
              <w:t>项。</w:t>
            </w:r>
          </w:p>
        </w:tc>
      </w:tr>
      <w:tr>
        <w:trPr>
          <w:trHeight w:val="649" w:hRule="exact"/>
        </w:trPr>
        <w:tc>
          <w:tcPr>
            <w:tcW w:w="729" w:type="dxa"/>
            <w:tcBorders>
              <w:top w:val="nil" w:sz="6" w:space="0" w:color="auto"/>
              <w:left w:val="nil" w:sz="6" w:space="0" w:color="auto"/>
              <w:bottom w:val="nil" w:sz="6" w:space="0" w:color="auto"/>
              <w:right w:val="nil" w:sz="6" w:space="0" w:color="auto"/>
            </w:tcBorders>
          </w:tcPr>
          <w:p>
            <w:pPr/>
          </w:p>
        </w:tc>
        <w:tc>
          <w:tcPr>
            <w:tcW w:w="8964"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30"/>
              <w:ind w:left="106" w:right="105"/>
              <w:jc w:val="left"/>
              <w:rPr>
                <w:rFonts w:ascii="宋体" w:hAnsi="宋体" w:cs="宋体" w:eastAsia="宋体" w:hint="default"/>
                <w:sz w:val="21"/>
                <w:szCs w:val="21"/>
              </w:rPr>
            </w:pPr>
            <w:r>
              <w:rPr>
                <w:rFonts w:ascii="宋体" w:hAnsi="宋体" w:cs="宋体" w:eastAsia="宋体" w:hint="default"/>
                <w:sz w:val="21"/>
                <w:szCs w:val="21"/>
              </w:rPr>
              <w:t>6.15.3</w:t>
            </w:r>
            <w:r>
              <w:rPr>
                <w:rFonts w:ascii="宋体" w:hAnsi="宋体" w:cs="宋体" w:eastAsia="宋体" w:hint="default"/>
                <w:spacing w:val="-46"/>
                <w:sz w:val="21"/>
                <w:szCs w:val="21"/>
              </w:rPr>
              <w:t> </w:t>
            </w:r>
            <w:r>
              <w:rPr>
                <w:rFonts w:ascii="宋体" w:hAnsi="宋体" w:cs="宋体" w:eastAsia="宋体" w:hint="default"/>
                <w:sz w:val="21"/>
                <w:szCs w:val="21"/>
              </w:rPr>
              <w:t>预收款项年末数比年初数减少</w:t>
            </w:r>
            <w:r>
              <w:rPr>
                <w:rFonts w:ascii="宋体" w:hAnsi="宋体" w:cs="宋体" w:eastAsia="宋体" w:hint="default"/>
                <w:spacing w:val="-46"/>
                <w:sz w:val="21"/>
                <w:szCs w:val="21"/>
              </w:rPr>
              <w:t> </w:t>
            </w:r>
            <w:r>
              <w:rPr>
                <w:rFonts w:ascii="宋体" w:hAnsi="宋体" w:cs="宋体" w:eastAsia="宋体" w:hint="default"/>
                <w:sz w:val="21"/>
                <w:szCs w:val="21"/>
              </w:rPr>
              <w:t>518,554.37</w:t>
            </w:r>
            <w:r>
              <w:rPr>
                <w:rFonts w:ascii="宋体" w:hAnsi="宋体" w:cs="宋体" w:eastAsia="宋体" w:hint="default"/>
                <w:spacing w:val="-48"/>
                <w:sz w:val="21"/>
                <w:szCs w:val="21"/>
              </w:rPr>
              <w:t> </w:t>
            </w:r>
            <w:r>
              <w:rPr>
                <w:rFonts w:ascii="宋体" w:hAnsi="宋体" w:cs="宋体" w:eastAsia="宋体" w:hint="default"/>
                <w:spacing w:val="-5"/>
                <w:sz w:val="21"/>
                <w:szCs w:val="21"/>
              </w:rPr>
              <w:t>元，减少比例为</w:t>
            </w:r>
            <w:r>
              <w:rPr>
                <w:rFonts w:ascii="宋体" w:hAnsi="宋体" w:cs="宋体" w:eastAsia="宋体" w:hint="default"/>
                <w:spacing w:val="-46"/>
                <w:sz w:val="21"/>
                <w:szCs w:val="21"/>
              </w:rPr>
              <w:t> </w:t>
            </w:r>
            <w:r>
              <w:rPr>
                <w:rFonts w:ascii="宋体" w:hAnsi="宋体" w:cs="宋体" w:eastAsia="宋体" w:hint="default"/>
                <w:spacing w:val="-5"/>
                <w:sz w:val="21"/>
                <w:szCs w:val="21"/>
              </w:rPr>
              <w:t>34.86%</w:t>
            </w:r>
            <w:r>
              <w:rPr>
                <w:rFonts w:ascii="宋体" w:hAnsi="宋体" w:cs="宋体" w:eastAsia="宋体" w:hint="default"/>
                <w:spacing w:val="-5"/>
                <w:sz w:val="21"/>
                <w:szCs w:val="21"/>
              </w:rPr>
              <w:t>，主要原因为：子公司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上海华钟计算机软件开发有限公司较上年末签约预收客户的计算机系统服务款项减少所致。</w:t>
            </w:r>
          </w:p>
        </w:tc>
      </w:tr>
    </w:tbl>
    <w:p>
      <w:pPr>
        <w:spacing w:after="0" w:line="272" w:lineRule="exact"/>
        <w:jc w:val="left"/>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694"/>
        <w:gridCol w:w="2517"/>
        <w:gridCol w:w="238"/>
        <w:gridCol w:w="1483"/>
        <w:gridCol w:w="238"/>
        <w:gridCol w:w="1524"/>
        <w:gridCol w:w="240"/>
        <w:gridCol w:w="1455"/>
        <w:gridCol w:w="238"/>
        <w:gridCol w:w="1488"/>
      </w:tblGrid>
      <w:tr>
        <w:trPr>
          <w:trHeight w:val="687"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251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sz w:val="21"/>
                <w:szCs w:val="21"/>
              </w:rPr>
            </w:r>
          </w:p>
        </w:tc>
        <w:tc>
          <w:tcPr>
            <w:tcW w:w="23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8" w:right="0"/>
              <w:jc w:val="left"/>
              <w:rPr>
                <w:rFonts w:ascii="宋体" w:hAnsi="宋体" w:cs="宋体" w:eastAsia="宋体" w:hint="default"/>
                <w:sz w:val="21"/>
                <w:szCs w:val="21"/>
              </w:rPr>
            </w:pPr>
            <w:r>
              <w:rPr>
                <w:rFonts w:ascii="宋体"/>
                <w:b/>
                <w:w w:val="99"/>
                <w:sz w:val="21"/>
              </w:rPr>
              <w:t>)</w:t>
            </w:r>
            <w:r>
              <w:rPr>
                <w:rFonts w:ascii="宋体"/>
                <w:sz w:val="21"/>
              </w:rPr>
            </w:r>
          </w:p>
        </w:tc>
        <w:tc>
          <w:tcPr>
            <w:tcW w:w="1483"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240" w:type="dxa"/>
            <w:tcBorders>
              <w:top w:val="single" w:sz="4" w:space="0" w:color="000000"/>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
        </w:tc>
      </w:tr>
      <w:tr>
        <w:trPr>
          <w:trHeight w:val="543"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6" w:right="0"/>
              <w:jc w:val="left"/>
              <w:rPr>
                <w:rFonts w:ascii="宋体" w:hAnsi="宋体" w:cs="宋体" w:eastAsia="宋体" w:hint="default"/>
                <w:sz w:val="21"/>
                <w:szCs w:val="21"/>
              </w:rPr>
            </w:pPr>
            <w:r>
              <w:rPr>
                <w:rFonts w:ascii="宋体"/>
                <w:sz w:val="21"/>
              </w:rPr>
              <w:t>6.16</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6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383"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0"/>
              <w:jc w:val="center"/>
              <w:rPr>
                <w:rFonts w:ascii="宋体" w:hAnsi="宋体" w:cs="宋体" w:eastAsia="宋体" w:hint="default"/>
                <w:sz w:val="20"/>
                <w:szCs w:val="20"/>
              </w:rPr>
            </w:pPr>
            <w:r>
              <w:rPr>
                <w:rFonts w:ascii="宋体" w:hAnsi="宋体" w:cs="宋体" w:eastAsia="宋体" w:hint="default"/>
                <w:sz w:val="20"/>
                <w:szCs w:val="20"/>
              </w:rPr>
              <w:t>项目</w:t>
            </w:r>
          </w:p>
        </w:tc>
        <w:tc>
          <w:tcPr>
            <w:tcW w:w="238" w:type="dxa"/>
            <w:vMerge w:val="restart"/>
            <w:tcBorders>
              <w:top w:val="nil" w:sz="6" w:space="0" w:color="auto"/>
              <w:left w:val="nil" w:sz="6" w:space="0" w:color="auto"/>
              <w:right w:val="nil" w:sz="6" w:space="0" w:color="auto"/>
            </w:tcBorders>
          </w:tcPr>
          <w:p>
            <w:pPr/>
          </w:p>
        </w:tc>
        <w:tc>
          <w:tcPr>
            <w:tcW w:w="1483" w:type="dxa"/>
            <w:vMerge w:val="restart"/>
            <w:tcBorders>
              <w:top w:val="nil" w:sz="6" w:space="0" w:color="auto"/>
              <w:left w:val="nil" w:sz="6" w:space="0" w:color="auto"/>
              <w:right w:val="nil" w:sz="6" w:space="0" w:color="auto"/>
            </w:tcBorders>
          </w:tcPr>
          <w:p>
            <w:pPr>
              <w:pStyle w:val="TableParagraph"/>
              <w:spacing w:line="234" w:lineRule="exact" w:before="109"/>
              <w:ind w:right="5"/>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238" w:type="dxa"/>
            <w:vMerge w:val="restart"/>
            <w:tcBorders>
              <w:top w:val="nil" w:sz="6" w:space="0" w:color="auto"/>
              <w:left w:val="nil" w:sz="6" w:space="0" w:color="auto"/>
              <w:right w:val="nil" w:sz="6" w:space="0" w:color="auto"/>
            </w:tcBorders>
          </w:tcPr>
          <w:p>
            <w:pPr/>
          </w:p>
        </w:tc>
        <w:tc>
          <w:tcPr>
            <w:tcW w:w="1488" w:type="dxa"/>
            <w:vMerge w:val="restart"/>
            <w:tcBorders>
              <w:top w:val="nil" w:sz="6" w:space="0" w:color="auto"/>
              <w:left w:val="nil" w:sz="6" w:space="0" w:color="auto"/>
              <w:right w:val="nil" w:sz="6" w:space="0" w:color="auto"/>
            </w:tcBorders>
          </w:tcPr>
          <w:p>
            <w:pPr>
              <w:pStyle w:val="TableParagraph"/>
              <w:spacing w:line="234" w:lineRule="exact" w:before="109"/>
              <w:ind w:right="6"/>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日</w:t>
            </w:r>
          </w:p>
        </w:tc>
      </w:tr>
      <w:tr>
        <w:trPr>
          <w:trHeight w:val="227"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single" w:sz="4" w:space="0" w:color="000000"/>
              <w:right w:val="nil" w:sz="6" w:space="0" w:color="auto"/>
            </w:tcBorders>
          </w:tcPr>
          <w:p>
            <w:pPr/>
          </w:p>
        </w:tc>
        <w:tc>
          <w:tcPr>
            <w:tcW w:w="238" w:type="dxa"/>
            <w:vMerge/>
            <w:tcBorders>
              <w:left w:val="nil" w:sz="6" w:space="0" w:color="auto"/>
              <w:bottom w:val="nil" w:sz="6" w:space="0" w:color="auto"/>
              <w:right w:val="nil" w:sz="6" w:space="0" w:color="auto"/>
            </w:tcBorders>
          </w:tcPr>
          <w:p>
            <w:pPr/>
          </w:p>
        </w:tc>
        <w:tc>
          <w:tcPr>
            <w:tcW w:w="1483" w:type="dxa"/>
            <w:vMerge/>
            <w:tcBorders>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94" w:lineRule="exact"/>
              <w:ind w:left="40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194" w:lineRule="exact"/>
              <w:ind w:left="36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38" w:type="dxa"/>
            <w:vMerge/>
            <w:tcBorders>
              <w:left w:val="nil" w:sz="6" w:space="0" w:color="auto"/>
              <w:bottom w:val="nil" w:sz="6" w:space="0" w:color="auto"/>
              <w:right w:val="nil" w:sz="6" w:space="0" w:color="auto"/>
            </w:tcBorders>
          </w:tcPr>
          <w:p>
            <w:pPr/>
          </w:p>
        </w:tc>
        <w:tc>
          <w:tcPr>
            <w:tcW w:w="1488" w:type="dxa"/>
            <w:vMerge/>
            <w:tcBorders>
              <w:left w:val="nil" w:sz="6" w:space="0" w:color="auto"/>
              <w:bottom w:val="single" w:sz="4" w:space="0" w:color="000000"/>
              <w:right w:val="nil" w:sz="6" w:space="0" w:color="auto"/>
            </w:tcBorders>
          </w:tcPr>
          <w:p>
            <w:pPr/>
          </w:p>
        </w:tc>
      </w:tr>
      <w:tr>
        <w:trPr>
          <w:trHeight w:val="315"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single" w:sz="4" w:space="0" w:color="000000"/>
              <w:left w:val="nil" w:sz="6" w:space="0" w:color="auto"/>
              <w:bottom w:val="nil" w:sz="6" w:space="0" w:color="auto"/>
              <w:right w:val="nil" w:sz="6" w:space="0" w:color="auto"/>
            </w:tcBorders>
          </w:tcPr>
          <w:p>
            <w:pPr>
              <w:pStyle w:val="TableParagraph"/>
              <w:spacing w:line="205" w:lineRule="exact"/>
              <w:ind w:left="61"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58"/>
              <w:jc w:val="right"/>
              <w:rPr>
                <w:rFonts w:ascii="宋体" w:hAnsi="宋体" w:cs="宋体" w:eastAsia="宋体" w:hint="default"/>
                <w:sz w:val="20"/>
                <w:szCs w:val="20"/>
              </w:rPr>
            </w:pPr>
            <w:r>
              <w:rPr>
                <w:rFonts w:ascii="宋体"/>
                <w:w w:val="95"/>
                <w:sz w:val="20"/>
              </w:rPr>
              <w:t>7,836,755.62</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20"/>
                <w:szCs w:val="20"/>
              </w:rPr>
            </w:pPr>
            <w:r>
              <w:rPr>
                <w:rFonts w:ascii="宋体"/>
                <w:w w:val="95"/>
                <w:sz w:val="20"/>
              </w:rPr>
              <w:t>149,829,513.21</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39"/>
              <w:jc w:val="right"/>
              <w:rPr>
                <w:rFonts w:ascii="宋体" w:hAnsi="宋体" w:cs="宋体" w:eastAsia="宋体" w:hint="default"/>
                <w:sz w:val="20"/>
                <w:szCs w:val="20"/>
              </w:rPr>
            </w:pPr>
            <w:r>
              <w:rPr>
                <w:rFonts w:ascii="宋体"/>
                <w:w w:val="95"/>
                <w:sz w:val="20"/>
              </w:rPr>
              <w:t>150,519,859.31</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58"/>
              <w:jc w:val="right"/>
              <w:rPr>
                <w:rFonts w:ascii="宋体" w:hAnsi="宋体" w:cs="宋体" w:eastAsia="宋体" w:hint="default"/>
                <w:sz w:val="20"/>
                <w:szCs w:val="20"/>
              </w:rPr>
            </w:pPr>
            <w:r>
              <w:rPr>
                <w:rFonts w:ascii="宋体"/>
                <w:w w:val="95"/>
                <w:sz w:val="20"/>
              </w:rPr>
              <w:t>7,146,409.52</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宋体" w:hAnsi="宋体" w:cs="宋体" w:eastAsia="宋体" w:hint="default"/>
                <w:sz w:val="20"/>
                <w:szCs w:val="20"/>
              </w:rPr>
            </w:pPr>
            <w:r>
              <w:rPr>
                <w:rFonts w:ascii="宋体"/>
                <w:w w:val="99"/>
                <w:sz w:val="20"/>
              </w:rPr>
              <w:t>-</w:t>
            </w:r>
            <w:r>
              <w:rPr>
                <w:rFonts w:ascii="宋体"/>
                <w:sz w:val="20"/>
              </w:rPr>
            </w:r>
          </w:p>
        </w:tc>
      </w:tr>
      <w:tr>
        <w:trPr>
          <w:trHeight w:val="310"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8"/>
              <w:jc w:val="right"/>
              <w:rPr>
                <w:rFonts w:ascii="宋体" w:hAnsi="宋体" w:cs="宋体" w:eastAsia="宋体" w:hint="default"/>
                <w:sz w:val="20"/>
                <w:szCs w:val="20"/>
              </w:rPr>
            </w:pPr>
            <w:r>
              <w:rPr>
                <w:rFonts w:ascii="宋体"/>
                <w:w w:val="95"/>
                <w:sz w:val="20"/>
              </w:rPr>
              <w:t>2,702,286.63</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20"/>
                <w:szCs w:val="20"/>
              </w:rPr>
            </w:pPr>
            <w:r>
              <w:rPr>
                <w:rFonts w:ascii="宋体"/>
                <w:w w:val="95"/>
                <w:sz w:val="20"/>
              </w:rPr>
              <w:t>28,938,799.90</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9"/>
              <w:jc w:val="right"/>
              <w:rPr>
                <w:rFonts w:ascii="宋体" w:hAnsi="宋体" w:cs="宋体" w:eastAsia="宋体" w:hint="default"/>
                <w:sz w:val="20"/>
                <w:szCs w:val="20"/>
              </w:rPr>
            </w:pPr>
            <w:r>
              <w:rPr>
                <w:rFonts w:ascii="宋体"/>
                <w:w w:val="95"/>
                <w:sz w:val="20"/>
              </w:rPr>
              <w:t>28,457,504.05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8"/>
              <w:jc w:val="right"/>
              <w:rPr>
                <w:rFonts w:ascii="宋体" w:hAnsi="宋体" w:cs="宋体" w:eastAsia="宋体" w:hint="default"/>
                <w:sz w:val="20"/>
                <w:szCs w:val="20"/>
              </w:rPr>
            </w:pPr>
            <w:r>
              <w:rPr>
                <w:rFonts w:ascii="宋体"/>
                <w:w w:val="95"/>
                <w:sz w:val="20"/>
              </w:rPr>
              <w:t>3,183,582.48</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764,019.94</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w w:val="95"/>
                <w:sz w:val="20"/>
              </w:rPr>
              <w:t>8,067,409.08</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5"/>
                <w:sz w:val="20"/>
              </w:rPr>
              <w:t>7,906,737.02</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924,692.00</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1,738,112.02</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w w:val="95"/>
                <w:sz w:val="20"/>
              </w:rPr>
              <w:t>18,820,973.26</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5"/>
                <w:sz w:val="20"/>
              </w:rPr>
              <w:t>18,545,104.62</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2,013,980.66</w:t>
            </w:r>
            <w:r>
              <w:rPr>
                <w:rFonts w:ascii="宋体"/>
                <w:sz w:val="20"/>
              </w:rPr>
            </w:r>
          </w:p>
        </w:tc>
      </w:tr>
      <w:tr>
        <w:trPr>
          <w:trHeight w:val="310"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年金缴费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0"/>
              <w:jc w:val="right"/>
              <w:rPr>
                <w:rFonts w:ascii="宋体" w:hAnsi="宋体" w:cs="宋体" w:eastAsia="宋体" w:hint="default"/>
                <w:sz w:val="20"/>
                <w:szCs w:val="20"/>
              </w:rPr>
            </w:pPr>
            <w:r>
              <w:rPr>
                <w:rFonts w:ascii="宋体"/>
                <w:w w:val="99"/>
                <w:sz w:val="20"/>
              </w:rPr>
              <w:t>-</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8" w:lineRule="exact"/>
              <w:ind w:left="6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134,931.59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95"/>
                <w:sz w:val="20"/>
              </w:rPr>
              <w:t>1,391,944.24</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5"/>
                <w:sz w:val="20"/>
              </w:rPr>
              <w:t>1,358,269.07</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168,606.76</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工伤保险费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24,891.99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95"/>
                <w:sz w:val="20"/>
              </w:rPr>
              <w:t>250,771.87</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5"/>
                <w:sz w:val="20"/>
              </w:rPr>
              <w:t>246,602.83</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宋体" w:hAnsi="宋体" w:cs="宋体" w:eastAsia="宋体" w:hint="default"/>
                <w:sz w:val="20"/>
                <w:szCs w:val="20"/>
              </w:rPr>
            </w:pPr>
            <w:r>
              <w:rPr>
                <w:rFonts w:ascii="宋体"/>
                <w:w w:val="95"/>
                <w:sz w:val="20"/>
              </w:rPr>
              <w:t>29,061.03</w:t>
            </w:r>
            <w:r>
              <w:rPr>
                <w:rFonts w:ascii="宋体"/>
                <w:sz w:val="20"/>
              </w:rPr>
            </w:r>
          </w:p>
        </w:tc>
      </w:tr>
      <w:tr>
        <w:trPr>
          <w:trHeight w:val="310"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6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生育保险费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8"/>
              <w:jc w:val="right"/>
              <w:rPr>
                <w:rFonts w:ascii="宋体" w:hAnsi="宋体" w:cs="宋体" w:eastAsia="宋体" w:hint="default"/>
                <w:sz w:val="20"/>
                <w:szCs w:val="20"/>
              </w:rPr>
            </w:pPr>
            <w:r>
              <w:rPr>
                <w:rFonts w:ascii="宋体"/>
                <w:w w:val="95"/>
                <w:sz w:val="20"/>
              </w:rPr>
              <w:t>40,331.09</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20"/>
                <w:szCs w:val="20"/>
              </w:rPr>
            </w:pPr>
            <w:r>
              <w:rPr>
                <w:rFonts w:ascii="宋体"/>
                <w:w w:val="95"/>
                <w:sz w:val="20"/>
              </w:rPr>
              <w:t>407,701.45</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9"/>
              <w:jc w:val="right"/>
              <w:rPr>
                <w:rFonts w:ascii="宋体" w:hAnsi="宋体" w:cs="宋体" w:eastAsia="宋体" w:hint="default"/>
                <w:sz w:val="20"/>
                <w:szCs w:val="20"/>
              </w:rPr>
            </w:pPr>
            <w:r>
              <w:rPr>
                <w:rFonts w:ascii="宋体"/>
                <w:w w:val="95"/>
                <w:sz w:val="20"/>
              </w:rPr>
              <w:t>400,790.51</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7"/>
              <w:jc w:val="right"/>
              <w:rPr>
                <w:rFonts w:ascii="宋体" w:hAnsi="宋体" w:cs="宋体" w:eastAsia="宋体" w:hint="default"/>
                <w:sz w:val="20"/>
                <w:szCs w:val="20"/>
              </w:rPr>
            </w:pPr>
            <w:r>
              <w:rPr>
                <w:rFonts w:ascii="宋体"/>
                <w:w w:val="95"/>
                <w:sz w:val="20"/>
              </w:rPr>
              <w:t>47,242.03</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788,441.00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95"/>
                <w:sz w:val="20"/>
              </w:rPr>
              <w:t>7,915,797.00</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5"/>
                <w:sz w:val="20"/>
              </w:rPr>
              <w:t>8,299,200.00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宋体" w:hAnsi="宋体" w:cs="宋体" w:eastAsia="宋体" w:hint="default"/>
                <w:sz w:val="20"/>
                <w:szCs w:val="20"/>
              </w:rPr>
            </w:pPr>
            <w:r>
              <w:rPr>
                <w:rFonts w:ascii="宋体"/>
                <w:w w:val="95"/>
                <w:sz w:val="20"/>
              </w:rPr>
              <w:t>405,038.00</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hAnsi="宋体" w:cs="宋体" w:eastAsia="宋体" w:hint="default"/>
                <w:spacing w:val="-1"/>
                <w:sz w:val="18"/>
                <w:szCs w:val="18"/>
              </w:rPr>
              <w:t>五</w:t>
            </w:r>
            <w:r>
              <w:rPr>
                <w:rFonts w:ascii="宋体" w:hAnsi="宋体" w:cs="宋体" w:eastAsia="宋体" w:hint="default"/>
                <w:spacing w:val="-82"/>
                <w:sz w:val="18"/>
                <w:szCs w:val="18"/>
              </w:rPr>
              <w:t>、</w:t>
            </w:r>
            <w:r>
              <w:rPr>
                <w:rFonts w:ascii="宋体" w:hAnsi="宋体" w:cs="宋体" w:eastAsia="宋体" w:hint="default"/>
                <w:sz w:val="18"/>
                <w:szCs w:val="18"/>
              </w:rPr>
              <w:t>工会经费和职工教育经费</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w w:val="95"/>
                <w:sz w:val="20"/>
              </w:rPr>
              <w:t>1,315,195.10</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5"/>
                <w:sz w:val="20"/>
              </w:rPr>
              <w:t>1,315,195.10</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宋体" w:hAnsi="宋体" w:cs="宋体" w:eastAsia="宋体" w:hint="default"/>
                <w:sz w:val="20"/>
                <w:szCs w:val="20"/>
              </w:rPr>
            </w:pPr>
            <w:r>
              <w:rPr>
                <w:rFonts w:ascii="宋体"/>
                <w:w w:val="99"/>
                <w:sz w:val="20"/>
              </w:rPr>
              <w:t>-</w:t>
            </w:r>
            <w:r>
              <w:rPr>
                <w:rFonts w:ascii="宋体"/>
                <w:sz w:val="20"/>
              </w:rPr>
            </w:r>
          </w:p>
        </w:tc>
      </w:tr>
      <w:tr>
        <w:trPr>
          <w:trHeight w:val="310"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0"/>
              <w:jc w:val="right"/>
              <w:rPr>
                <w:rFonts w:ascii="宋体" w:hAnsi="宋体" w:cs="宋体" w:eastAsia="宋体" w:hint="default"/>
                <w:sz w:val="20"/>
                <w:szCs w:val="20"/>
              </w:rPr>
            </w:pPr>
            <w:r>
              <w:rPr>
                <w:rFonts w:ascii="宋体"/>
                <w:w w:val="99"/>
                <w:sz w:val="20"/>
              </w:rPr>
              <w:t>-</w:t>
            </w:r>
            <w:r>
              <w:rPr>
                <w:rFonts w:ascii="宋体"/>
                <w:sz w:val="20"/>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宋体" w:hAnsi="宋体" w:cs="宋体" w:eastAsia="宋体" w:hint="default"/>
                <w:sz w:val="20"/>
                <w:szCs w:val="20"/>
              </w:rPr>
            </w:pPr>
            <w:r>
              <w:rPr>
                <w:rFonts w:ascii="宋体"/>
                <w:w w:val="99"/>
                <w:sz w:val="20"/>
              </w:rPr>
              <w:t>-</w:t>
            </w:r>
            <w:r>
              <w:rPr>
                <w:rFonts w:ascii="宋体"/>
                <w:sz w:val="20"/>
              </w:rPr>
            </w:r>
          </w:p>
        </w:tc>
      </w:tr>
      <w:tr>
        <w:trPr>
          <w:trHeight w:val="319"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5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20"/>
                <w:szCs w:val="20"/>
              </w:rPr>
            </w:pPr>
            <w:r>
              <w:rPr>
                <w:rFonts w:ascii="宋体"/>
                <w:w w:val="99"/>
                <w:sz w:val="20"/>
              </w:rPr>
              <w:t>-</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39"/>
              <w:jc w:val="right"/>
              <w:rPr>
                <w:rFonts w:ascii="宋体" w:hAnsi="宋体" w:cs="宋体" w:eastAsia="宋体" w:hint="default"/>
                <w:sz w:val="20"/>
                <w:szCs w:val="20"/>
              </w:rPr>
            </w:pPr>
            <w:r>
              <w:rPr>
                <w:rFonts w:ascii="宋体"/>
                <w:w w:val="99"/>
                <w:sz w:val="20"/>
              </w:rPr>
              <w:t>-</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60"/>
              <w:jc w:val="right"/>
              <w:rPr>
                <w:rFonts w:ascii="宋体" w:hAnsi="宋体" w:cs="宋体" w:eastAsia="宋体" w:hint="default"/>
                <w:sz w:val="20"/>
                <w:szCs w:val="20"/>
              </w:rPr>
            </w:pPr>
            <w:r>
              <w:rPr>
                <w:rFonts w:ascii="宋体"/>
                <w:w w:val="99"/>
                <w:sz w:val="20"/>
              </w:rPr>
              <w:t>-</w:t>
            </w:r>
            <w:r>
              <w:rPr>
                <w:rFonts w:ascii="宋体"/>
                <w:sz w:val="20"/>
              </w:rPr>
            </w:r>
          </w:p>
        </w:tc>
      </w:tr>
      <w:tr>
        <w:trPr>
          <w:trHeight w:val="331" w:hRule="exact"/>
        </w:trPr>
        <w:tc>
          <w:tcPr>
            <w:tcW w:w="694" w:type="dxa"/>
            <w:tcBorders>
              <w:top w:val="nil" w:sz="6" w:space="0" w:color="auto"/>
              <w:left w:val="nil" w:sz="6" w:space="0" w:color="auto"/>
              <w:bottom w:val="nil" w:sz="6" w:space="0" w:color="auto"/>
              <w:right w:val="nil" w:sz="6" w:space="0" w:color="auto"/>
            </w:tcBorders>
          </w:tcPr>
          <w:p>
            <w:pPr/>
          </w:p>
        </w:tc>
        <w:tc>
          <w:tcPr>
            <w:tcW w:w="2517" w:type="dxa"/>
            <w:tcBorders>
              <w:top w:val="nil" w:sz="6" w:space="0" w:color="auto"/>
              <w:left w:val="nil" w:sz="6" w:space="0" w:color="auto"/>
              <w:bottom w:val="nil" w:sz="6" w:space="0" w:color="auto"/>
              <w:right w:val="nil" w:sz="6" w:space="0" w:color="auto"/>
            </w:tcBorders>
          </w:tcPr>
          <w:p>
            <w:pPr>
              <w:pStyle w:val="TableParagraph"/>
              <w:spacing w:line="210" w:lineRule="exact"/>
              <w:ind w:left="4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8"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58"/>
              <w:jc w:val="right"/>
              <w:rPr>
                <w:rFonts w:ascii="宋体" w:hAnsi="宋体" w:cs="宋体" w:eastAsia="宋体" w:hint="default"/>
                <w:sz w:val="20"/>
                <w:szCs w:val="20"/>
              </w:rPr>
            </w:pPr>
            <w:r>
              <w:rPr>
                <w:rFonts w:ascii="宋体"/>
                <w:w w:val="95"/>
                <w:sz w:val="20"/>
              </w:rPr>
              <w:t>11,327,483.25</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07"/>
              <w:jc w:val="right"/>
              <w:rPr>
                <w:rFonts w:ascii="宋体" w:hAnsi="宋体" w:cs="宋体" w:eastAsia="宋体" w:hint="default"/>
                <w:sz w:val="20"/>
                <w:szCs w:val="20"/>
              </w:rPr>
            </w:pPr>
            <w:r>
              <w:rPr>
                <w:rFonts w:ascii="宋体"/>
                <w:w w:val="95"/>
                <w:sz w:val="20"/>
              </w:rPr>
              <w:t>187,999,305.21</w:t>
            </w:r>
            <w:r>
              <w:rPr>
                <w:rFonts w:ascii="宋体"/>
                <w:sz w:val="20"/>
              </w:rPr>
            </w: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39"/>
              <w:jc w:val="right"/>
              <w:rPr>
                <w:rFonts w:ascii="宋体" w:hAnsi="宋体" w:cs="宋体" w:eastAsia="宋体" w:hint="default"/>
                <w:sz w:val="20"/>
                <w:szCs w:val="20"/>
              </w:rPr>
            </w:pPr>
            <w:r>
              <w:rPr>
                <w:rFonts w:ascii="宋体"/>
                <w:w w:val="95"/>
                <w:sz w:val="20"/>
              </w:rPr>
              <w:t>188,591,758.46</w:t>
            </w:r>
            <w:r>
              <w:rPr>
                <w:rFonts w:ascii="宋体"/>
                <w:sz w:val="20"/>
              </w:rPr>
            </w: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58"/>
              <w:jc w:val="right"/>
              <w:rPr>
                <w:rFonts w:ascii="宋体" w:hAnsi="宋体" w:cs="宋体" w:eastAsia="宋体" w:hint="default"/>
                <w:sz w:val="20"/>
                <w:szCs w:val="20"/>
              </w:rPr>
            </w:pPr>
            <w:r>
              <w:rPr>
                <w:rFonts w:ascii="宋体"/>
                <w:w w:val="95"/>
                <w:sz w:val="20"/>
              </w:rPr>
              <w:t>10,735,030.00</w:t>
            </w:r>
            <w:r>
              <w:rPr>
                <w:rFonts w:ascii="宋体"/>
                <w:sz w:val="20"/>
              </w:rPr>
            </w:r>
          </w:p>
        </w:tc>
      </w:tr>
      <w:tr>
        <w:trPr>
          <w:trHeight w:val="696" w:hRule="exact"/>
        </w:trPr>
        <w:tc>
          <w:tcPr>
            <w:tcW w:w="694" w:type="dxa"/>
            <w:tcBorders>
              <w:top w:val="nil" w:sz="6" w:space="0" w:color="auto"/>
              <w:left w:val="nil" w:sz="6" w:space="0" w:color="auto"/>
              <w:bottom w:val="nil" w:sz="6" w:space="0" w:color="auto"/>
              <w:right w:val="nil" w:sz="6" w:space="0" w:color="auto"/>
            </w:tcBorders>
          </w:tcPr>
          <w:p>
            <w:pPr/>
          </w:p>
        </w:tc>
        <w:tc>
          <w:tcPr>
            <w:tcW w:w="42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1" w:right="-29"/>
              <w:jc w:val="left"/>
              <w:rPr>
                <w:rFonts w:ascii="宋体" w:hAnsi="宋体" w:cs="宋体" w:eastAsia="宋体" w:hint="default"/>
                <w:sz w:val="21"/>
                <w:szCs w:val="21"/>
              </w:rPr>
            </w:pPr>
            <w:r>
              <w:rPr>
                <w:rFonts w:ascii="宋体" w:hAnsi="宋体" w:cs="宋体" w:eastAsia="宋体" w:hint="default"/>
                <w:spacing w:val="-2"/>
                <w:sz w:val="21"/>
                <w:szCs w:val="21"/>
              </w:rPr>
              <w:t>年末应付职工薪酬中无属于拖欠性质的金额。</w:t>
            </w:r>
          </w:p>
        </w:tc>
        <w:tc>
          <w:tcPr>
            <w:tcW w:w="238" w:type="dxa"/>
            <w:tcBorders>
              <w:top w:val="nil" w:sz="6" w:space="0" w:color="auto"/>
              <w:left w:val="nil" w:sz="6" w:space="0" w:color="auto"/>
              <w:bottom w:val="nil" w:sz="6" w:space="0" w:color="auto"/>
              <w:right w:val="nil" w:sz="6" w:space="0" w:color="auto"/>
            </w:tcBorders>
          </w:tcPr>
          <w:p>
            <w:pPr/>
          </w:p>
        </w:tc>
        <w:tc>
          <w:tcPr>
            <w:tcW w:w="1524"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55"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88" w:type="dxa"/>
            <w:tcBorders>
              <w:top w:val="single" w:sz="12" w:space="0" w:color="000000"/>
              <w:left w:val="nil" w:sz="6" w:space="0" w:color="auto"/>
              <w:bottom w:val="nil" w:sz="6" w:space="0" w:color="auto"/>
              <w:right w:val="nil" w:sz="6" w:space="0" w:color="auto"/>
            </w:tcBorders>
          </w:tcPr>
          <w:p>
            <w:pPr/>
          </w:p>
        </w:tc>
      </w:tr>
      <w:tr>
        <w:trPr>
          <w:trHeight w:val="650" w:hRule="exact"/>
        </w:trPr>
        <w:tc>
          <w:tcPr>
            <w:tcW w:w="694" w:type="dxa"/>
            <w:tcBorders>
              <w:top w:val="nil" w:sz="6" w:space="0" w:color="auto"/>
              <w:left w:val="nil" w:sz="6" w:space="0" w:color="auto"/>
              <w:bottom w:val="nil" w:sz="6" w:space="0" w:color="auto"/>
              <w:right w:val="nil" w:sz="6" w:space="0" w:color="auto"/>
            </w:tcBorders>
          </w:tcPr>
          <w:p>
            <w:pPr/>
          </w:p>
        </w:tc>
        <w:tc>
          <w:tcPr>
            <w:tcW w:w="9420" w:type="dxa"/>
            <w:gridSpan w:val="9"/>
            <w:tcBorders>
              <w:top w:val="nil" w:sz="6" w:space="0" w:color="auto"/>
              <w:left w:val="nil" w:sz="6" w:space="0" w:color="auto"/>
              <w:bottom w:val="nil" w:sz="6" w:space="0" w:color="auto"/>
              <w:right w:val="nil" w:sz="6" w:space="0" w:color="auto"/>
            </w:tcBorders>
          </w:tcPr>
          <w:p>
            <w:pPr>
              <w:pStyle w:val="TableParagraph"/>
              <w:spacing w:line="272" w:lineRule="exact" w:before="130"/>
              <w:ind w:left="61" w:right="0"/>
              <w:jc w:val="left"/>
              <w:rPr>
                <w:rFonts w:ascii="宋体" w:hAnsi="宋体" w:cs="宋体" w:eastAsia="宋体" w:hint="default"/>
                <w:sz w:val="21"/>
                <w:szCs w:val="21"/>
              </w:rPr>
            </w:pPr>
            <w:r>
              <w:rPr>
                <w:rFonts w:ascii="宋体" w:hAnsi="宋体" w:cs="宋体" w:eastAsia="宋体" w:hint="default"/>
                <w:spacing w:val="-4"/>
                <w:sz w:val="21"/>
                <w:szCs w:val="21"/>
              </w:rPr>
              <w:t>应付职工薪酬预计发放时间、金额等安排：年末余额为本公司及下属公司计提的年终奖和社会保险费，</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将于下一会计期间支付。</w:t>
            </w:r>
          </w:p>
        </w:tc>
      </w:tr>
    </w:tbl>
    <w:p>
      <w:pPr>
        <w:spacing w:after="0" w:line="272" w:lineRule="exact"/>
        <w:jc w:val="left"/>
        <w:rPr>
          <w:rFonts w:ascii="宋体" w:hAnsi="宋体" w:cs="宋体" w:eastAsia="宋体" w:hint="default"/>
          <w:sz w:val="21"/>
          <w:szCs w:val="21"/>
        </w:rPr>
        <w:sectPr>
          <w:pgSz w:w="11910" w:h="16840"/>
          <w:pgMar w:header="886" w:footer="980" w:top="1740" w:bottom="1160" w:left="900" w:right="68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91"/>
        <w:gridCol w:w="106"/>
        <w:gridCol w:w="2456"/>
        <w:gridCol w:w="569"/>
        <w:gridCol w:w="2835"/>
        <w:gridCol w:w="283"/>
        <w:gridCol w:w="2892"/>
      </w:tblGrid>
      <w:tr>
        <w:trPr>
          <w:trHeight w:val="687"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6" w:type="dxa"/>
            <w:tcBorders>
              <w:top w:val="single" w:sz="4" w:space="0" w:color="000000"/>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sz w:val="21"/>
                <w:szCs w:val="21"/>
              </w:rPr>
            </w: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49" w:right="0"/>
              <w:jc w:val="left"/>
              <w:rPr>
                <w:rFonts w:ascii="宋体" w:hAnsi="宋体" w:cs="宋体" w:eastAsia="宋体" w:hint="default"/>
                <w:sz w:val="21"/>
                <w:szCs w:val="21"/>
              </w:rPr>
            </w:pP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83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68" w:right="0"/>
              <w:jc w:val="left"/>
              <w:rPr>
                <w:rFonts w:ascii="宋体" w:hAnsi="宋体" w:cs="宋体" w:eastAsia="宋体" w:hint="default"/>
                <w:sz w:val="21"/>
                <w:szCs w:val="21"/>
              </w:rPr>
            </w:pPr>
            <w:r>
              <w:rPr>
                <w:rFonts w:ascii="宋体"/>
                <w:sz w:val="21"/>
              </w:rPr>
              <w:t>6.17</w:t>
            </w: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r>
      <w:tr>
        <w:trPr>
          <w:trHeight w:val="413"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61"/>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7"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-304,780.99</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nil" w:sz="6" w:space="0" w:color="auto"/>
              <w:right w:val="nil" w:sz="6" w:space="0" w:color="auto"/>
            </w:tcBorders>
          </w:tcPr>
          <w:p>
            <w:pPr>
              <w:pStyle w:val="TableParagraph"/>
              <w:spacing w:line="241" w:lineRule="exact"/>
              <w:ind w:right="160"/>
              <w:jc w:val="right"/>
              <w:rPr>
                <w:rFonts w:ascii="宋体" w:hAnsi="宋体" w:cs="宋体" w:eastAsia="宋体" w:hint="default"/>
                <w:sz w:val="21"/>
                <w:szCs w:val="21"/>
              </w:rPr>
            </w:pPr>
            <w:r>
              <w:rPr>
                <w:rFonts w:ascii="宋体"/>
                <w:spacing w:val="-1"/>
                <w:sz w:val="21"/>
              </w:rPr>
              <w:t>-113,889.03</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3,137,595.92</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2" w:lineRule="exact"/>
              <w:ind w:right="160"/>
              <w:jc w:val="right"/>
              <w:rPr>
                <w:rFonts w:ascii="宋体" w:hAnsi="宋体" w:cs="宋体" w:eastAsia="宋体" w:hint="default"/>
                <w:sz w:val="21"/>
                <w:szCs w:val="21"/>
              </w:rPr>
            </w:pPr>
            <w:r>
              <w:rPr>
                <w:rFonts w:ascii="宋体"/>
                <w:spacing w:val="-1"/>
                <w:sz w:val="21"/>
              </w:rPr>
              <w:t>2,434,122.75</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107,662.46</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1" w:lineRule="exact"/>
              <w:ind w:right="161"/>
              <w:jc w:val="right"/>
              <w:rPr>
                <w:rFonts w:ascii="宋体" w:hAnsi="宋体" w:cs="宋体" w:eastAsia="宋体" w:hint="default"/>
                <w:sz w:val="21"/>
                <w:szCs w:val="21"/>
              </w:rPr>
            </w:pPr>
            <w:r>
              <w:rPr>
                <w:rFonts w:ascii="宋体"/>
                <w:spacing w:val="-1"/>
                <w:sz w:val="21"/>
              </w:rPr>
              <w:t>5,612.58</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7,628,629.29</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2" w:lineRule="exact"/>
              <w:ind w:right="160"/>
              <w:jc w:val="right"/>
              <w:rPr>
                <w:rFonts w:ascii="宋体" w:hAnsi="宋体" w:cs="宋体" w:eastAsia="宋体" w:hint="default"/>
                <w:sz w:val="21"/>
                <w:szCs w:val="21"/>
              </w:rPr>
            </w:pPr>
            <w:r>
              <w:rPr>
                <w:rFonts w:ascii="宋体"/>
                <w:spacing w:val="-1"/>
                <w:sz w:val="21"/>
              </w:rPr>
              <w:t>3,339,394.25</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951,324.36</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1" w:lineRule="exact"/>
              <w:ind w:right="160"/>
              <w:jc w:val="right"/>
              <w:rPr>
                <w:rFonts w:ascii="宋体" w:hAnsi="宋体" w:cs="宋体" w:eastAsia="宋体" w:hint="default"/>
                <w:sz w:val="21"/>
                <w:szCs w:val="21"/>
              </w:rPr>
            </w:pPr>
            <w:r>
              <w:rPr>
                <w:rFonts w:ascii="宋体"/>
                <w:spacing w:val="-1"/>
                <w:sz w:val="21"/>
              </w:rPr>
              <w:t>1,351,870.80</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19,406.94</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2" w:lineRule="exact"/>
              <w:ind w:right="161"/>
              <w:jc w:val="right"/>
              <w:rPr>
                <w:rFonts w:ascii="宋体" w:hAnsi="宋体" w:cs="宋体" w:eastAsia="宋体" w:hint="default"/>
                <w:sz w:val="21"/>
                <w:szCs w:val="21"/>
              </w:rPr>
            </w:pPr>
            <w:r>
              <w:rPr>
                <w:rFonts w:ascii="宋体"/>
                <w:spacing w:val="-1"/>
                <w:sz w:val="21"/>
              </w:rPr>
              <w:t>22,303.22</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39,276.00</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1" w:lineRule="exact"/>
              <w:ind w:right="163"/>
              <w:jc w:val="right"/>
              <w:rPr>
                <w:rFonts w:ascii="宋体" w:hAnsi="宋体" w:cs="宋体" w:eastAsia="宋体" w:hint="default"/>
                <w:sz w:val="21"/>
                <w:szCs w:val="21"/>
              </w:rPr>
            </w:pPr>
            <w:r>
              <w:rPr>
                <w:rFonts w:ascii="宋体"/>
                <w:w w:val="100"/>
                <w:sz w:val="21"/>
              </w:rPr>
              <w:t>-</w:t>
            </w:r>
          </w:p>
        </w:tc>
      </w:tr>
      <w:tr>
        <w:trPr>
          <w:trHeight w:val="273"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13,848.88</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2" w:lineRule="exact"/>
              <w:ind w:right="161"/>
              <w:jc w:val="right"/>
              <w:rPr>
                <w:rFonts w:ascii="宋体" w:hAnsi="宋体" w:cs="宋体" w:eastAsia="宋体" w:hint="default"/>
                <w:sz w:val="21"/>
                <w:szCs w:val="21"/>
              </w:rPr>
            </w:pPr>
            <w:r>
              <w:rPr>
                <w:rFonts w:ascii="宋体"/>
                <w:spacing w:val="-1"/>
                <w:sz w:val="21"/>
              </w:rPr>
              <w:t>9,558.52</w:t>
            </w:r>
          </w:p>
        </w:tc>
      </w:tr>
      <w:tr>
        <w:trPr>
          <w:trHeight w:val="277"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2,606.32</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4" w:space="0" w:color="000000"/>
              <w:right w:val="nil" w:sz="6" w:space="0" w:color="auto"/>
            </w:tcBorders>
          </w:tcPr>
          <w:p>
            <w:pPr>
              <w:pStyle w:val="TableParagraph"/>
              <w:spacing w:line="241" w:lineRule="exact"/>
              <w:ind w:right="161"/>
              <w:jc w:val="right"/>
              <w:rPr>
                <w:rFonts w:ascii="宋体" w:hAnsi="宋体" w:cs="宋体" w:eastAsia="宋体" w:hint="default"/>
                <w:sz w:val="21"/>
                <w:szCs w:val="21"/>
              </w:rPr>
            </w:pPr>
            <w:r>
              <w:rPr>
                <w:rFonts w:ascii="宋体"/>
                <w:spacing w:val="-1"/>
                <w:sz w:val="21"/>
              </w:rPr>
              <w:t>3,186.18</w:t>
            </w:r>
          </w:p>
        </w:tc>
      </w:tr>
      <w:tr>
        <w:trPr>
          <w:trHeight w:val="293"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569" w:type="dxa"/>
            <w:tcBorders>
              <w:top w:val="nil" w:sz="6" w:space="0" w:color="auto"/>
              <w:left w:val="nil" w:sz="6" w:space="0" w:color="auto"/>
              <w:bottom w:val="nil" w:sz="6" w:space="0" w:color="auto"/>
              <w:right w:val="nil" w:sz="6" w:space="0" w:color="auto"/>
            </w:tcBorders>
          </w:tcPr>
          <w:p>
            <w:pPr/>
          </w:p>
        </w:tc>
        <w:tc>
          <w:tcPr>
            <w:tcW w:w="2835"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11,595,569.18</w:t>
            </w:r>
          </w:p>
        </w:tc>
        <w:tc>
          <w:tcPr>
            <w:tcW w:w="283" w:type="dxa"/>
            <w:tcBorders>
              <w:top w:val="nil" w:sz="6" w:space="0" w:color="auto"/>
              <w:left w:val="nil" w:sz="6" w:space="0" w:color="auto"/>
              <w:bottom w:val="nil" w:sz="6" w:space="0" w:color="auto"/>
              <w:right w:val="nil" w:sz="6" w:space="0" w:color="auto"/>
            </w:tcBorders>
          </w:tcPr>
          <w:p>
            <w:pPr/>
          </w:p>
        </w:tc>
        <w:tc>
          <w:tcPr>
            <w:tcW w:w="2892"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60"/>
              <w:jc w:val="right"/>
              <w:rPr>
                <w:rFonts w:ascii="宋体" w:hAnsi="宋体" w:cs="宋体" w:eastAsia="宋体" w:hint="default"/>
                <w:sz w:val="21"/>
                <w:szCs w:val="21"/>
              </w:rPr>
            </w:pPr>
            <w:r>
              <w:rPr>
                <w:rFonts w:ascii="宋体"/>
                <w:spacing w:val="-1"/>
                <w:sz w:val="21"/>
              </w:rPr>
              <w:t>7,052,159.27</w:t>
            </w:r>
          </w:p>
        </w:tc>
      </w:tr>
      <w:tr>
        <w:trPr>
          <w:trHeight w:val="1347"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03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7" w:lineRule="auto"/>
              <w:ind w:left="107" w:right="158"/>
              <w:jc w:val="both"/>
              <w:rPr>
                <w:rFonts w:ascii="宋体" w:hAnsi="宋体" w:cs="宋体" w:eastAsia="宋体" w:hint="default"/>
                <w:sz w:val="21"/>
                <w:szCs w:val="21"/>
              </w:rPr>
            </w:pPr>
            <w:r>
              <w:rPr>
                <w:rFonts w:ascii="宋体" w:hAnsi="宋体" w:cs="宋体" w:eastAsia="宋体" w:hint="default"/>
                <w:sz w:val="21"/>
                <w:szCs w:val="21"/>
              </w:rPr>
              <w:t>应交税费年末数比年初数增加</w:t>
            </w:r>
            <w:r>
              <w:rPr>
                <w:rFonts w:ascii="宋体" w:hAnsi="宋体" w:cs="宋体" w:eastAsia="宋体" w:hint="default"/>
                <w:spacing w:val="-57"/>
                <w:sz w:val="21"/>
                <w:szCs w:val="21"/>
              </w:rPr>
              <w:t> </w:t>
            </w:r>
            <w:r>
              <w:rPr>
                <w:rFonts w:ascii="宋体" w:hAnsi="宋体" w:cs="宋体" w:eastAsia="宋体" w:hint="default"/>
                <w:sz w:val="21"/>
                <w:szCs w:val="21"/>
              </w:rPr>
              <w:t>4,543,409.91</w:t>
            </w:r>
            <w:r>
              <w:rPr>
                <w:rFonts w:ascii="宋体" w:hAnsi="宋体" w:cs="宋体" w:eastAsia="宋体" w:hint="default"/>
                <w:spacing w:val="-60"/>
                <w:sz w:val="21"/>
                <w:szCs w:val="21"/>
              </w:rPr>
              <w:t> </w:t>
            </w:r>
            <w:r>
              <w:rPr>
                <w:rFonts w:ascii="宋体" w:hAnsi="宋体" w:cs="宋体" w:eastAsia="宋体" w:hint="default"/>
                <w:sz w:val="21"/>
                <w:szCs w:val="21"/>
              </w:rPr>
              <w:t>元，增加比例为</w:t>
            </w:r>
            <w:r>
              <w:rPr>
                <w:rFonts w:ascii="宋体" w:hAnsi="宋体" w:cs="宋体" w:eastAsia="宋体" w:hint="default"/>
                <w:spacing w:val="-57"/>
                <w:sz w:val="21"/>
                <w:szCs w:val="21"/>
              </w:rPr>
              <w:t> </w:t>
            </w:r>
            <w:r>
              <w:rPr>
                <w:rFonts w:ascii="宋体" w:hAnsi="宋体" w:cs="宋体" w:eastAsia="宋体" w:hint="default"/>
                <w:sz w:val="21"/>
                <w:szCs w:val="21"/>
              </w:rPr>
              <w:t>64.43%</w:t>
            </w:r>
            <w:r>
              <w:rPr>
                <w:rFonts w:ascii="宋体" w:hAnsi="宋体" w:cs="宋体" w:eastAsia="宋体" w:hint="default"/>
                <w:sz w:val="21"/>
                <w:szCs w:val="21"/>
              </w:rPr>
              <w:t>，主要原因为：年末应交所</w:t>
            </w:r>
            <w:r>
              <w:rPr>
                <w:rFonts w:ascii="宋体" w:hAnsi="宋体" w:cs="宋体" w:eastAsia="宋体" w:hint="default"/>
                <w:w w:val="100"/>
                <w:sz w:val="21"/>
                <w:szCs w:val="21"/>
              </w:rPr>
              <w:t> </w:t>
            </w:r>
            <w:r>
              <w:rPr>
                <w:rFonts w:ascii="宋体" w:hAnsi="宋体" w:cs="宋体" w:eastAsia="宋体" w:hint="default"/>
                <w:spacing w:val="-2"/>
                <w:sz w:val="21"/>
                <w:szCs w:val="21"/>
              </w:rPr>
              <w:t>得税余额大幅增加所致，上年末本公司享受国家布局内重点软件企业所得税减按</w:t>
            </w:r>
            <w:r>
              <w:rPr>
                <w:rFonts w:ascii="宋体" w:hAnsi="宋体" w:cs="宋体" w:eastAsia="宋体" w:hint="default"/>
                <w:sz w:val="21"/>
                <w:szCs w:val="21"/>
              </w:rPr>
              <w:t> </w:t>
            </w:r>
            <w:r>
              <w:rPr>
                <w:rFonts w:ascii="宋体" w:hAnsi="宋体" w:cs="宋体" w:eastAsia="宋体" w:hint="default"/>
                <w:spacing w:val="-2"/>
                <w:sz w:val="21"/>
                <w:szCs w:val="21"/>
              </w:rPr>
              <w:t>10%</w:t>
            </w:r>
            <w:r>
              <w:rPr>
                <w:rFonts w:ascii="宋体" w:hAnsi="宋体" w:cs="宋体" w:eastAsia="宋体" w:hint="default"/>
                <w:spacing w:val="-2"/>
                <w:sz w:val="21"/>
                <w:szCs w:val="21"/>
              </w:rPr>
              <w:t>计缴，本年</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末作为高新技术企业所得税按</w:t>
            </w:r>
            <w:r>
              <w:rPr>
                <w:rFonts w:ascii="宋体" w:hAnsi="宋体" w:cs="宋体" w:eastAsia="宋体" w:hint="default"/>
                <w:sz w:val="21"/>
                <w:szCs w:val="21"/>
              </w:rPr>
              <w:t> </w:t>
            </w:r>
            <w:r>
              <w:rPr>
                <w:rFonts w:ascii="宋体" w:hAnsi="宋体" w:cs="宋体" w:eastAsia="宋体" w:hint="default"/>
                <w:spacing w:val="-2"/>
                <w:sz w:val="21"/>
                <w:szCs w:val="21"/>
              </w:rPr>
              <w:t>15%</w:t>
            </w:r>
            <w:r>
              <w:rPr>
                <w:rFonts w:ascii="宋体" w:hAnsi="宋体" w:cs="宋体" w:eastAsia="宋体" w:hint="default"/>
                <w:spacing w:val="-2"/>
                <w:sz w:val="21"/>
                <w:szCs w:val="21"/>
              </w:rPr>
              <w:t>计缴，企业所得税率增加和利润总额增加导致应交所得税余额</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增加。</w:t>
            </w:r>
          </w:p>
        </w:tc>
      </w:tr>
    </w:tbl>
    <w:p>
      <w:pPr>
        <w:spacing w:line="240" w:lineRule="auto" w:before="9"/>
        <w:rPr>
          <w:rFonts w:ascii="Times New Roman" w:hAnsi="Times New Roman" w:cs="Times New Roman" w:eastAsia="Times New Roman" w:hint="default"/>
          <w:sz w:val="28"/>
          <w:szCs w:val="28"/>
        </w:rPr>
      </w:pPr>
    </w:p>
    <w:tbl>
      <w:tblPr>
        <w:tblW w:w="0" w:type="auto"/>
        <w:jc w:val="left"/>
        <w:tblInd w:w="268" w:type="dxa"/>
        <w:tblLayout w:type="fixed"/>
        <w:tblCellMar>
          <w:top w:w="0" w:type="dxa"/>
          <w:left w:w="0" w:type="dxa"/>
          <w:bottom w:w="0" w:type="dxa"/>
          <w:right w:w="0" w:type="dxa"/>
        </w:tblCellMar>
        <w:tblLook w:val="01E0"/>
      </w:tblPr>
      <w:tblGrid>
        <w:gridCol w:w="730"/>
        <w:gridCol w:w="3300"/>
        <w:gridCol w:w="283"/>
        <w:gridCol w:w="2556"/>
        <w:gridCol w:w="283"/>
        <w:gridCol w:w="2552"/>
      </w:tblGrid>
      <w:tr>
        <w:trPr>
          <w:trHeight w:val="378"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11" w:lineRule="exact"/>
              <w:ind w:left="96" w:right="0"/>
              <w:jc w:val="center"/>
              <w:rPr>
                <w:rFonts w:ascii="宋体" w:hAnsi="宋体" w:cs="宋体" w:eastAsia="宋体" w:hint="default"/>
                <w:sz w:val="21"/>
                <w:szCs w:val="21"/>
              </w:rPr>
            </w:pPr>
            <w:r>
              <w:rPr>
                <w:rFonts w:ascii="宋体"/>
                <w:sz w:val="21"/>
              </w:rPr>
              <w:t>6.18</w:t>
            </w:r>
          </w:p>
        </w:tc>
        <w:tc>
          <w:tcPr>
            <w:tcW w:w="3300"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415"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3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single" w:sz="4" w:space="0" w:color="000000"/>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3"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
        </w:tc>
        <w:tc>
          <w:tcPr>
            <w:tcW w:w="2556"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113" w:right="0"/>
              <w:jc w:val="left"/>
              <w:rPr>
                <w:rFonts w:ascii="宋体" w:hAnsi="宋体" w:cs="宋体" w:eastAsia="宋体" w:hint="default"/>
                <w:sz w:val="21"/>
                <w:szCs w:val="21"/>
              </w:rPr>
            </w:pPr>
            <w:r>
              <w:rPr>
                <w:rFonts w:ascii="宋体"/>
                <w:sz w:val="21"/>
              </w:rPr>
              <w:t>374,933.55</w:t>
            </w:r>
          </w:p>
        </w:tc>
        <w:tc>
          <w:tcPr>
            <w:tcW w:w="283" w:type="dxa"/>
            <w:tcBorders>
              <w:top w:val="single" w:sz="4" w:space="0" w:color="000000"/>
              <w:left w:val="nil" w:sz="6" w:space="0" w:color="auto"/>
              <w:bottom w:val="single" w:sz="12" w:space="0" w:color="000000"/>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958,910.34</w:t>
            </w:r>
          </w:p>
        </w:tc>
      </w:tr>
      <w:tr>
        <w:trPr>
          <w:trHeight w:val="967" w:hRule="exact"/>
        </w:trPr>
        <w:tc>
          <w:tcPr>
            <w:tcW w:w="970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838" w:right="103"/>
              <w:jc w:val="left"/>
              <w:rPr>
                <w:rFonts w:ascii="宋体" w:hAnsi="宋体" w:cs="宋体" w:eastAsia="宋体" w:hint="default"/>
                <w:sz w:val="21"/>
                <w:szCs w:val="21"/>
              </w:rPr>
            </w:pPr>
            <w:r>
              <w:rPr>
                <w:rFonts w:ascii="宋体" w:hAnsi="宋体" w:cs="宋体" w:eastAsia="宋体" w:hint="default"/>
                <w:sz w:val="21"/>
                <w:szCs w:val="21"/>
              </w:rPr>
              <w:t>6.18.1</w:t>
            </w:r>
            <w:r>
              <w:rPr>
                <w:rFonts w:ascii="宋体" w:hAnsi="宋体" w:cs="宋体" w:eastAsia="宋体" w:hint="default"/>
                <w:spacing w:val="-60"/>
                <w:sz w:val="21"/>
                <w:szCs w:val="21"/>
              </w:rPr>
              <w:t> </w:t>
            </w:r>
            <w:r>
              <w:rPr>
                <w:rFonts w:ascii="宋体" w:hAnsi="宋体" w:cs="宋体" w:eastAsia="宋体" w:hint="default"/>
                <w:sz w:val="21"/>
                <w:szCs w:val="21"/>
              </w:rPr>
              <w:t>本报告期其他应付款中无应付持有公司</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表决权股份的股东款项或关联方款</w:t>
            </w:r>
            <w:r>
              <w:rPr>
                <w:rFonts w:ascii="宋体" w:hAnsi="宋体" w:cs="宋体" w:eastAsia="宋体" w:hint="default"/>
                <w:w w:val="100"/>
                <w:sz w:val="21"/>
                <w:szCs w:val="21"/>
              </w:rPr>
              <w:t> </w:t>
            </w:r>
            <w:r>
              <w:rPr>
                <w:rFonts w:ascii="宋体" w:hAnsi="宋体" w:cs="宋体" w:eastAsia="宋体" w:hint="default"/>
                <w:sz w:val="21"/>
                <w:szCs w:val="21"/>
              </w:rPr>
              <w:t>项。</w:t>
            </w:r>
          </w:p>
        </w:tc>
      </w:tr>
      <w:tr>
        <w:trPr>
          <w:trHeight w:val="816" w:hRule="exact"/>
        </w:trPr>
        <w:tc>
          <w:tcPr>
            <w:tcW w:w="9705" w:type="dxa"/>
            <w:gridSpan w:val="6"/>
            <w:tcBorders>
              <w:top w:val="nil" w:sz="6" w:space="0" w:color="auto"/>
              <w:left w:val="nil" w:sz="6" w:space="0" w:color="auto"/>
              <w:bottom w:val="nil" w:sz="6" w:space="0" w:color="auto"/>
              <w:right w:val="nil" w:sz="6" w:space="0" w:color="auto"/>
            </w:tcBorders>
          </w:tcPr>
          <w:p>
            <w:pPr>
              <w:pStyle w:val="TableParagraph"/>
              <w:spacing w:line="272" w:lineRule="exact" w:before="130"/>
              <w:ind w:left="838" w:right="108"/>
              <w:jc w:val="left"/>
              <w:rPr>
                <w:rFonts w:ascii="宋体" w:hAnsi="宋体" w:cs="宋体" w:eastAsia="宋体" w:hint="default"/>
                <w:sz w:val="21"/>
                <w:szCs w:val="21"/>
              </w:rPr>
            </w:pPr>
            <w:r>
              <w:rPr>
                <w:rFonts w:ascii="宋体" w:hAnsi="宋体" w:cs="宋体" w:eastAsia="宋体" w:hint="default"/>
                <w:sz w:val="21"/>
                <w:szCs w:val="21"/>
              </w:rPr>
              <w:t>6.18.2</w:t>
            </w:r>
            <w:r>
              <w:rPr>
                <w:rFonts w:ascii="宋体" w:hAnsi="宋体" w:cs="宋体" w:eastAsia="宋体" w:hint="default"/>
                <w:spacing w:val="-47"/>
                <w:sz w:val="21"/>
                <w:szCs w:val="21"/>
              </w:rPr>
              <w:t> </w:t>
            </w:r>
            <w:r>
              <w:rPr>
                <w:rFonts w:ascii="宋体" w:hAnsi="宋体" w:cs="宋体" w:eastAsia="宋体" w:hint="default"/>
                <w:sz w:val="21"/>
                <w:szCs w:val="21"/>
              </w:rPr>
              <w:t>其他应付款年末数比年初数减少</w:t>
            </w:r>
            <w:r>
              <w:rPr>
                <w:rFonts w:ascii="宋体" w:hAnsi="宋体" w:cs="宋体" w:eastAsia="宋体" w:hint="default"/>
                <w:spacing w:val="-47"/>
                <w:sz w:val="21"/>
                <w:szCs w:val="21"/>
              </w:rPr>
              <w:t> </w:t>
            </w:r>
            <w:r>
              <w:rPr>
                <w:rFonts w:ascii="宋体" w:hAnsi="宋体" w:cs="宋体" w:eastAsia="宋体" w:hint="default"/>
                <w:sz w:val="21"/>
                <w:szCs w:val="21"/>
              </w:rPr>
              <w:t>583,976.79</w:t>
            </w:r>
            <w:r>
              <w:rPr>
                <w:rFonts w:ascii="宋体" w:hAnsi="宋体" w:cs="宋体" w:eastAsia="宋体" w:hint="default"/>
                <w:spacing w:val="-50"/>
                <w:sz w:val="21"/>
                <w:szCs w:val="21"/>
              </w:rPr>
              <w:t> </w:t>
            </w:r>
            <w:r>
              <w:rPr>
                <w:rFonts w:ascii="宋体" w:hAnsi="宋体" w:cs="宋体" w:eastAsia="宋体" w:hint="default"/>
                <w:spacing w:val="-4"/>
                <w:sz w:val="21"/>
                <w:szCs w:val="21"/>
              </w:rPr>
              <w:t>元，减少比例为</w:t>
            </w:r>
            <w:r>
              <w:rPr>
                <w:rFonts w:ascii="宋体" w:hAnsi="宋体" w:cs="宋体" w:eastAsia="宋体" w:hint="default"/>
                <w:spacing w:val="-47"/>
                <w:sz w:val="21"/>
                <w:szCs w:val="21"/>
              </w:rPr>
              <w:t> </w:t>
            </w:r>
            <w:r>
              <w:rPr>
                <w:rFonts w:ascii="宋体" w:hAnsi="宋体" w:cs="宋体" w:eastAsia="宋体" w:hint="default"/>
                <w:spacing w:val="-5"/>
                <w:sz w:val="21"/>
                <w:szCs w:val="21"/>
              </w:rPr>
              <w:t>60.90%</w:t>
            </w:r>
            <w:r>
              <w:rPr>
                <w:rFonts w:ascii="宋体" w:hAnsi="宋体" w:cs="宋体" w:eastAsia="宋体" w:hint="default"/>
                <w:spacing w:val="-5"/>
                <w:sz w:val="21"/>
                <w:szCs w:val="21"/>
              </w:rPr>
              <w:t>，主要原因为：本年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末偿付了较多暂收款所致。</w:t>
            </w:r>
          </w:p>
        </w:tc>
      </w:tr>
      <w:tr>
        <w:trPr>
          <w:trHeight w:val="545"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2" w:right="0"/>
              <w:jc w:val="center"/>
              <w:rPr>
                <w:rFonts w:ascii="宋体" w:hAnsi="宋体" w:cs="宋体" w:eastAsia="宋体" w:hint="default"/>
                <w:sz w:val="21"/>
                <w:szCs w:val="21"/>
              </w:rPr>
            </w:pPr>
            <w:r>
              <w:rPr>
                <w:rFonts w:ascii="宋体"/>
                <w:sz w:val="21"/>
              </w:rPr>
              <w:t>6.19</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416"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6"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自主创新产业化专项资金项目</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193,421.00</w:t>
            </w:r>
          </w:p>
        </w:tc>
      </w:tr>
      <w:tr>
        <w:trPr>
          <w:trHeight w:val="545"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高端移动电话内容大规模快速“工</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业化”外包服务</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196,000.00</w:t>
            </w:r>
          </w:p>
        </w:tc>
      </w:tr>
      <w:tr>
        <w:trPr>
          <w:trHeight w:val="550"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7"/>
                <w:sz w:val="21"/>
                <w:szCs w:val="21"/>
              </w:rPr>
              <w:t>轨交票务智能仿真检证系统专项</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资助资金</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750,000.00</w:t>
            </w:r>
          </w:p>
        </w:tc>
      </w:tr>
      <w:tr>
        <w:trPr>
          <w:trHeight w:val="414"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递延收益小计</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nil" w:sz="6" w:space="0" w:color="auto"/>
              <w:right w:val="nil" w:sz="6" w:space="0" w:color="auto"/>
            </w:tcBorders>
          </w:tcPr>
          <w:p>
            <w:pPr>
              <w:pStyle w:val="TableParagraph"/>
              <w:spacing w:line="244"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1,139,421.00</w:t>
            </w:r>
          </w:p>
        </w:tc>
      </w:tr>
      <w:tr>
        <w:trPr>
          <w:trHeight w:val="414"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预提办公用房折旧费用</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997,327.02</w:t>
            </w:r>
          </w:p>
        </w:tc>
      </w:tr>
      <w:tr>
        <w:trPr>
          <w:trHeight w:val="293" w:hRule="exact"/>
        </w:trPr>
        <w:tc>
          <w:tcPr>
            <w:tcW w:w="730"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3"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2,136,748.02</w:t>
            </w:r>
          </w:p>
        </w:tc>
      </w:tr>
      <w:tr>
        <w:trPr>
          <w:trHeight w:val="800" w:hRule="exact"/>
        </w:trPr>
        <w:tc>
          <w:tcPr>
            <w:tcW w:w="730" w:type="dxa"/>
            <w:tcBorders>
              <w:top w:val="nil" w:sz="6" w:space="0" w:color="auto"/>
              <w:left w:val="nil" w:sz="6" w:space="0" w:color="auto"/>
              <w:bottom w:val="nil" w:sz="6" w:space="0" w:color="auto"/>
              <w:right w:val="nil" w:sz="6" w:space="0" w:color="auto"/>
            </w:tcBorders>
          </w:tcPr>
          <w:p>
            <w:pPr/>
          </w:p>
        </w:tc>
        <w:tc>
          <w:tcPr>
            <w:tcW w:w="897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95" w:right="101"/>
              <w:jc w:val="left"/>
              <w:rPr>
                <w:rFonts w:ascii="宋体" w:hAnsi="宋体" w:cs="宋体" w:eastAsia="宋体" w:hint="default"/>
                <w:sz w:val="21"/>
                <w:szCs w:val="21"/>
              </w:rPr>
            </w:pPr>
            <w:r>
              <w:rPr>
                <w:rFonts w:ascii="宋体" w:hAnsi="宋体" w:cs="宋体" w:eastAsia="宋体" w:hint="default"/>
                <w:spacing w:val="-3"/>
                <w:sz w:val="21"/>
                <w:szCs w:val="21"/>
              </w:rPr>
              <w:t>上年末结余的递延收益于本年全部结转营业外收入，另外上年末预提的办公楼折旧费用在本年办</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公楼计入固定资产后相应结转累计折旧。</w:t>
            </w:r>
          </w:p>
        </w:tc>
      </w:tr>
    </w:tbl>
    <w:p>
      <w:pPr>
        <w:spacing w:after="0" w:line="272" w:lineRule="exact"/>
        <w:jc w:val="left"/>
        <w:rPr>
          <w:rFonts w:ascii="宋体" w:hAnsi="宋体" w:cs="宋体" w:eastAsia="宋体" w:hint="default"/>
          <w:sz w:val="21"/>
          <w:szCs w:val="21"/>
        </w:rPr>
        <w:sectPr>
          <w:footerReference w:type="default" r:id="rId35"/>
          <w:pgSz w:w="11910" w:h="16840"/>
          <w:pgMar w:footer="980" w:header="886" w:top="1740" w:bottom="1160" w:left="900" w:right="860"/>
          <w:pgNumType w:start="12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815"/>
        <w:gridCol w:w="1085"/>
        <w:gridCol w:w="1340"/>
        <w:gridCol w:w="235"/>
        <w:gridCol w:w="938"/>
        <w:gridCol w:w="238"/>
        <w:gridCol w:w="646"/>
        <w:gridCol w:w="238"/>
        <w:gridCol w:w="1356"/>
        <w:gridCol w:w="242"/>
        <w:gridCol w:w="1332"/>
        <w:gridCol w:w="238"/>
        <w:gridCol w:w="1399"/>
      </w:tblGrid>
      <w:tr>
        <w:trPr>
          <w:trHeight w:val="687"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598"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8" w:type="dxa"/>
            <w:tcBorders>
              <w:top w:val="single" w:sz="4" w:space="0" w:color="000000"/>
              <w:left w:val="nil" w:sz="6" w:space="0" w:color="auto"/>
              <w:bottom w:val="nil" w:sz="6" w:space="0" w:color="auto"/>
              <w:right w:val="nil" w:sz="6" w:space="0" w:color="auto"/>
            </w:tcBorders>
          </w:tcPr>
          <w:p>
            <w:pPr/>
          </w:p>
        </w:tc>
        <w:tc>
          <w:tcPr>
            <w:tcW w:w="646"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
        </w:tc>
        <w:tc>
          <w:tcPr>
            <w:tcW w:w="242" w:type="dxa"/>
            <w:tcBorders>
              <w:top w:val="single" w:sz="4" w:space="0" w:color="000000"/>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
        </w:tc>
      </w:tr>
      <w:tr>
        <w:trPr>
          <w:trHeight w:val="543"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92" w:right="0"/>
              <w:jc w:val="left"/>
              <w:rPr>
                <w:rFonts w:ascii="宋体" w:hAnsi="宋体" w:cs="宋体" w:eastAsia="宋体" w:hint="default"/>
                <w:sz w:val="21"/>
                <w:szCs w:val="21"/>
              </w:rPr>
            </w:pPr>
            <w:r>
              <w:rPr>
                <w:rFonts w:ascii="宋体"/>
                <w:sz w:val="21"/>
              </w:rPr>
              <w:t>6.20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34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4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377" w:hRule="exact"/>
        </w:trPr>
        <w:tc>
          <w:tcPr>
            <w:tcW w:w="815" w:type="dxa"/>
            <w:tcBorders>
              <w:top w:val="nil" w:sz="6" w:space="0" w:color="auto"/>
              <w:left w:val="nil" w:sz="6" w:space="0" w:color="auto"/>
              <w:bottom w:val="nil" w:sz="6" w:space="0" w:color="auto"/>
              <w:right w:val="nil" w:sz="6" w:space="0" w:color="auto"/>
            </w:tcBorders>
          </w:tcPr>
          <w:p>
            <w:pPr/>
          </w:p>
        </w:tc>
        <w:tc>
          <w:tcPr>
            <w:tcW w:w="1085" w:type="dxa"/>
            <w:vMerge w:val="restart"/>
            <w:tcBorders>
              <w:top w:val="nil" w:sz="6" w:space="0" w:color="auto"/>
              <w:left w:val="nil" w:sz="6" w:space="0" w:color="auto"/>
              <w:right w:val="nil" w:sz="6" w:space="0" w:color="auto"/>
            </w:tcBorders>
          </w:tcPr>
          <w:p>
            <w:pPr/>
          </w:p>
        </w:tc>
        <w:tc>
          <w:tcPr>
            <w:tcW w:w="1340" w:type="dxa"/>
            <w:vMerge w:val="restart"/>
            <w:tcBorders>
              <w:top w:val="nil" w:sz="6" w:space="0" w:color="auto"/>
              <w:left w:val="nil" w:sz="6" w:space="0" w:color="auto"/>
              <w:right w:val="nil" w:sz="6" w:space="0" w:color="auto"/>
            </w:tcBorders>
          </w:tcPr>
          <w:p>
            <w:pPr>
              <w:pStyle w:val="TableParagraph"/>
              <w:spacing w:line="234" w:lineRule="exact" w:before="114"/>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235" w:type="dxa"/>
            <w:vMerge w:val="restart"/>
            <w:tcBorders>
              <w:top w:val="nil" w:sz="6" w:space="0" w:color="auto"/>
              <w:left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247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9"/>
              <w:ind w:left="65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42" w:type="dxa"/>
            <w:tcBorders>
              <w:top w:val="nil" w:sz="6" w:space="0" w:color="auto"/>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
        </w:tc>
        <w:tc>
          <w:tcPr>
            <w:tcW w:w="238" w:type="dxa"/>
            <w:vMerge w:val="restart"/>
            <w:tcBorders>
              <w:top w:val="nil" w:sz="6" w:space="0" w:color="auto"/>
              <w:left w:val="nil" w:sz="6" w:space="0" w:color="auto"/>
              <w:right w:val="nil" w:sz="6" w:space="0" w:color="auto"/>
            </w:tcBorders>
          </w:tcPr>
          <w:p>
            <w:pPr/>
          </w:p>
        </w:tc>
        <w:tc>
          <w:tcPr>
            <w:tcW w:w="1399" w:type="dxa"/>
            <w:vMerge w:val="restart"/>
            <w:tcBorders>
              <w:top w:val="nil" w:sz="6" w:space="0" w:color="auto"/>
              <w:left w:val="nil" w:sz="6" w:space="0" w:color="auto"/>
              <w:right w:val="nil" w:sz="6" w:space="0" w:color="auto"/>
            </w:tcBorders>
          </w:tcPr>
          <w:p>
            <w:pPr>
              <w:pStyle w:val="TableParagraph"/>
              <w:spacing w:line="234" w:lineRule="exact" w:before="114"/>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2" w:hRule="exact"/>
        </w:trPr>
        <w:tc>
          <w:tcPr>
            <w:tcW w:w="815" w:type="dxa"/>
            <w:tcBorders>
              <w:top w:val="nil" w:sz="6" w:space="0" w:color="auto"/>
              <w:left w:val="nil" w:sz="6" w:space="0" w:color="auto"/>
              <w:bottom w:val="nil" w:sz="6" w:space="0" w:color="auto"/>
              <w:right w:val="nil" w:sz="6" w:space="0" w:color="auto"/>
            </w:tcBorders>
          </w:tcPr>
          <w:p>
            <w:pPr/>
          </w:p>
        </w:tc>
        <w:tc>
          <w:tcPr>
            <w:tcW w:w="1085" w:type="dxa"/>
            <w:vMerge/>
            <w:tcBorders>
              <w:left w:val="nil" w:sz="6" w:space="0" w:color="auto"/>
              <w:bottom w:val="nil" w:sz="6" w:space="0" w:color="auto"/>
              <w:right w:val="nil" w:sz="6" w:space="0" w:color="auto"/>
            </w:tcBorders>
          </w:tcPr>
          <w:p>
            <w:pPr/>
          </w:p>
        </w:tc>
        <w:tc>
          <w:tcPr>
            <w:tcW w:w="1340" w:type="dxa"/>
            <w:vMerge/>
            <w:tcBorders>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238" w:type="dxa"/>
            <w:tcBorders>
              <w:top w:val="single" w:sz="4" w:space="0" w:color="000000"/>
              <w:left w:val="nil" w:sz="6" w:space="0" w:color="auto"/>
              <w:bottom w:val="nil" w:sz="6" w:space="0" w:color="auto"/>
              <w:right w:val="nil" w:sz="6" w:space="0" w:color="auto"/>
            </w:tcBorders>
          </w:tcPr>
          <w:p>
            <w:pPr/>
          </w:p>
        </w:tc>
        <w:tc>
          <w:tcPr>
            <w:tcW w:w="64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43"/>
              <w:jc w:val="right"/>
              <w:rPr>
                <w:rFonts w:ascii="宋体" w:hAnsi="宋体" w:cs="宋体" w:eastAsia="宋体" w:hint="default"/>
                <w:sz w:val="18"/>
                <w:szCs w:val="18"/>
              </w:rPr>
            </w:pPr>
            <w:r>
              <w:rPr>
                <w:rFonts w:ascii="宋体" w:hAnsi="宋体" w:cs="宋体" w:eastAsia="宋体" w:hint="default"/>
                <w:sz w:val="18"/>
                <w:szCs w:val="18"/>
              </w:rPr>
              <w:t>送股</w:t>
            </w:r>
          </w:p>
        </w:tc>
        <w:tc>
          <w:tcPr>
            <w:tcW w:w="238"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资本公积转股</w:t>
            </w:r>
          </w:p>
        </w:tc>
        <w:tc>
          <w:tcPr>
            <w:tcW w:w="242" w:type="dxa"/>
            <w:tcBorders>
              <w:top w:val="single" w:sz="4" w:space="0" w:color="000000"/>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8" w:type="dxa"/>
            <w:vMerge/>
            <w:tcBorders>
              <w:left w:val="nil" w:sz="6" w:space="0" w:color="auto"/>
              <w:bottom w:val="nil" w:sz="6" w:space="0" w:color="auto"/>
              <w:right w:val="nil" w:sz="6" w:space="0" w:color="auto"/>
            </w:tcBorders>
          </w:tcPr>
          <w:p>
            <w:pPr/>
          </w:p>
        </w:tc>
        <w:tc>
          <w:tcPr>
            <w:tcW w:w="1399" w:type="dxa"/>
            <w:vMerge/>
            <w:tcBorders>
              <w:left w:val="nil" w:sz="6" w:space="0" w:color="auto"/>
              <w:bottom w:val="single" w:sz="4" w:space="0" w:color="000000"/>
              <w:right w:val="nil" w:sz="6" w:space="0" w:color="auto"/>
            </w:tcBorders>
          </w:tcPr>
          <w:p>
            <w:pPr/>
          </w:p>
        </w:tc>
      </w:tr>
      <w:tr>
        <w:trPr>
          <w:trHeight w:val="293" w:hRule="exact"/>
        </w:trPr>
        <w:tc>
          <w:tcPr>
            <w:tcW w:w="81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22" w:right="0"/>
              <w:jc w:val="left"/>
              <w:rPr>
                <w:rFonts w:ascii="宋体" w:hAnsi="宋体" w:cs="宋体" w:eastAsia="宋体" w:hint="default"/>
                <w:sz w:val="18"/>
                <w:szCs w:val="18"/>
              </w:rPr>
            </w:pPr>
            <w:r>
              <w:rPr>
                <w:rFonts w:ascii="宋体"/>
                <w:sz w:val="18"/>
              </w:rPr>
              <w:t>74,620,000.00</w:t>
            </w:r>
          </w:p>
        </w:tc>
        <w:tc>
          <w:tcPr>
            <w:tcW w:w="235"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64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12" w:right="0"/>
              <w:jc w:val="center"/>
              <w:rPr>
                <w:rFonts w:ascii="宋体" w:hAnsi="宋体" w:cs="宋体" w:eastAsia="宋体" w:hint="default"/>
                <w:sz w:val="18"/>
                <w:szCs w:val="18"/>
              </w:rPr>
            </w:pPr>
            <w:r>
              <w:rPr>
                <w:rFonts w:ascii="宋体"/>
                <w:sz w:val="18"/>
              </w:rPr>
              <w:t>37,310,000.00</w:t>
            </w:r>
          </w:p>
        </w:tc>
        <w:tc>
          <w:tcPr>
            <w:tcW w:w="242" w:type="dxa"/>
            <w:tcBorders>
              <w:top w:val="nil" w:sz="6" w:space="0" w:color="auto"/>
              <w:left w:val="nil" w:sz="6" w:space="0" w:color="auto"/>
              <w:bottom w:val="nil" w:sz="6" w:space="0" w:color="auto"/>
              <w:right w:val="nil" w:sz="6" w:space="0" w:color="auto"/>
            </w:tcBorders>
          </w:tcPr>
          <w:p>
            <w:pPr/>
          </w:p>
        </w:tc>
        <w:tc>
          <w:tcPr>
            <w:tcW w:w="1332"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64" w:right="0"/>
              <w:jc w:val="center"/>
              <w:rPr>
                <w:rFonts w:ascii="宋体" w:hAnsi="宋体" w:cs="宋体" w:eastAsia="宋体" w:hint="default"/>
                <w:sz w:val="18"/>
                <w:szCs w:val="18"/>
              </w:rPr>
            </w:pPr>
            <w:r>
              <w:rPr>
                <w:rFonts w:ascii="宋体"/>
                <w:sz w:val="18"/>
              </w:rPr>
              <w:t>37,310,000.00</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120" w:right="0"/>
              <w:jc w:val="left"/>
              <w:rPr>
                <w:rFonts w:ascii="宋体" w:hAnsi="宋体" w:cs="宋体" w:eastAsia="宋体" w:hint="default"/>
                <w:sz w:val="18"/>
                <w:szCs w:val="18"/>
              </w:rPr>
            </w:pPr>
            <w:r>
              <w:rPr>
                <w:rFonts w:ascii="宋体"/>
                <w:sz w:val="18"/>
              </w:rPr>
              <w:t>111,930,000.00</w:t>
            </w:r>
          </w:p>
        </w:tc>
      </w:tr>
      <w:tr>
        <w:trPr>
          <w:trHeight w:val="1345" w:hRule="exact"/>
        </w:trPr>
        <w:tc>
          <w:tcPr>
            <w:tcW w:w="815" w:type="dxa"/>
            <w:tcBorders>
              <w:top w:val="nil" w:sz="6" w:space="0" w:color="auto"/>
              <w:left w:val="nil" w:sz="6" w:space="0" w:color="auto"/>
              <w:bottom w:val="nil" w:sz="6" w:space="0" w:color="auto"/>
              <w:right w:val="nil" w:sz="6" w:space="0" w:color="auto"/>
            </w:tcBorders>
          </w:tcPr>
          <w:p>
            <w:pPr/>
          </w:p>
        </w:tc>
        <w:tc>
          <w:tcPr>
            <w:tcW w:w="9287" w:type="dxa"/>
            <w:gridSpan w:val="1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日股东大会决议，以</w:t>
            </w:r>
            <w:r>
              <w:rPr>
                <w:rFonts w:ascii="宋体" w:hAnsi="宋体" w:cs="宋体" w:eastAsia="宋体" w:hint="default"/>
                <w:spacing w:val="7"/>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年末总股本</w:t>
            </w:r>
            <w:r>
              <w:rPr>
                <w:rFonts w:ascii="宋体" w:hAnsi="宋体" w:cs="宋体" w:eastAsia="宋体" w:hint="default"/>
                <w:spacing w:val="-50"/>
                <w:sz w:val="21"/>
                <w:szCs w:val="21"/>
              </w:rPr>
              <w:t> </w:t>
            </w:r>
            <w:r>
              <w:rPr>
                <w:rFonts w:ascii="宋体" w:hAnsi="宋体" w:cs="宋体" w:eastAsia="宋体" w:hint="default"/>
                <w:sz w:val="21"/>
                <w:szCs w:val="21"/>
              </w:rPr>
              <w:t>7,462</w:t>
            </w:r>
            <w:r>
              <w:rPr>
                <w:rFonts w:ascii="宋体" w:hAnsi="宋体" w:cs="宋体" w:eastAsia="宋体" w:hint="default"/>
                <w:spacing w:val="-50"/>
                <w:sz w:val="21"/>
                <w:szCs w:val="21"/>
              </w:rPr>
              <w:t> </w:t>
            </w:r>
            <w:r>
              <w:rPr>
                <w:rFonts w:ascii="宋体" w:hAnsi="宋体" w:cs="宋体" w:eastAsia="宋体" w:hint="default"/>
                <w:spacing w:val="-3"/>
                <w:sz w:val="21"/>
                <w:szCs w:val="21"/>
              </w:rPr>
              <w:t>万股为基数，以资本公积</w:t>
            </w:r>
          </w:p>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z w:val="21"/>
                <w:szCs w:val="21"/>
              </w:rPr>
              <w:t>向全体股东每</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股转增</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pacing w:val="-5"/>
                <w:sz w:val="21"/>
                <w:szCs w:val="21"/>
              </w:rPr>
              <w:t>股，股本总额变更为</w:t>
            </w:r>
            <w:r>
              <w:rPr>
                <w:rFonts w:ascii="宋体" w:hAnsi="宋体" w:cs="宋体" w:eastAsia="宋体" w:hint="default"/>
                <w:spacing w:val="-47"/>
                <w:sz w:val="21"/>
                <w:szCs w:val="21"/>
              </w:rPr>
              <w:t> </w:t>
            </w:r>
            <w:r>
              <w:rPr>
                <w:rFonts w:ascii="宋体" w:hAnsi="宋体" w:cs="宋体" w:eastAsia="宋体" w:hint="default"/>
                <w:sz w:val="21"/>
                <w:szCs w:val="21"/>
              </w:rPr>
              <w:t>11,193</w:t>
            </w:r>
            <w:r>
              <w:rPr>
                <w:rFonts w:ascii="宋体" w:hAnsi="宋体" w:cs="宋体" w:eastAsia="宋体" w:hint="default"/>
                <w:spacing w:val="-45"/>
                <w:sz w:val="21"/>
                <w:szCs w:val="21"/>
              </w:rPr>
              <w:t> </w:t>
            </w:r>
            <w:r>
              <w:rPr>
                <w:rFonts w:ascii="宋体" w:hAnsi="宋体" w:cs="宋体" w:eastAsia="宋体" w:hint="default"/>
                <w:spacing w:val="-4"/>
                <w:sz w:val="21"/>
                <w:szCs w:val="21"/>
              </w:rPr>
              <w:t>万元；上述股本已经上海众华沪银会计师事</w:t>
            </w:r>
          </w:p>
          <w:p>
            <w:pPr>
              <w:pStyle w:val="TableParagraph"/>
              <w:spacing w:line="273" w:lineRule="exact"/>
              <w:ind w:left="213" w:right="0"/>
              <w:jc w:val="left"/>
              <w:rPr>
                <w:rFonts w:ascii="宋体" w:hAnsi="宋体" w:cs="宋体" w:eastAsia="宋体" w:hint="default"/>
                <w:sz w:val="21"/>
                <w:szCs w:val="21"/>
              </w:rPr>
            </w:pPr>
            <w:r>
              <w:rPr>
                <w:rFonts w:ascii="宋体" w:hAnsi="宋体" w:cs="宋体" w:eastAsia="宋体" w:hint="default"/>
                <w:sz w:val="21"/>
                <w:szCs w:val="21"/>
              </w:rPr>
              <w:t>务所沪众会验字（</w:t>
            </w:r>
            <w:r>
              <w:rPr>
                <w:rFonts w:ascii="宋体" w:hAnsi="宋体" w:cs="宋体" w:eastAsia="宋体" w:hint="default"/>
                <w:sz w:val="21"/>
                <w:szCs w:val="21"/>
              </w:rPr>
              <w:t>2011</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4008</w:t>
            </w:r>
            <w:r>
              <w:rPr>
                <w:rFonts w:ascii="宋体" w:hAnsi="宋体" w:cs="宋体" w:eastAsia="宋体" w:hint="default"/>
                <w:spacing w:val="-55"/>
                <w:sz w:val="21"/>
                <w:szCs w:val="21"/>
              </w:rPr>
              <w:t> </w:t>
            </w:r>
            <w:r>
              <w:rPr>
                <w:rFonts w:ascii="宋体" w:hAnsi="宋体" w:cs="宋体" w:eastAsia="宋体" w:hint="default"/>
                <w:sz w:val="21"/>
                <w:szCs w:val="21"/>
              </w:rPr>
              <w:t>号验资报告验证确认，年末股本与注册资本一致。</w:t>
            </w:r>
          </w:p>
        </w:tc>
      </w:tr>
    </w:tbl>
    <w:p>
      <w:pPr>
        <w:spacing w:line="240" w:lineRule="auto" w:before="1"/>
        <w:rPr>
          <w:rFonts w:ascii="Times New Roman" w:hAnsi="Times New Roman" w:cs="Times New Roman" w:eastAsia="Times New Roman" w:hint="default"/>
          <w:sz w:val="29"/>
          <w:szCs w:val="29"/>
        </w:rPr>
      </w:pPr>
    </w:p>
    <w:tbl>
      <w:tblPr>
        <w:tblW w:w="0" w:type="auto"/>
        <w:jc w:val="left"/>
        <w:tblInd w:w="314" w:type="dxa"/>
        <w:tblLayout w:type="fixed"/>
        <w:tblCellMar>
          <w:top w:w="0" w:type="dxa"/>
          <w:left w:w="0" w:type="dxa"/>
          <w:bottom w:w="0" w:type="dxa"/>
          <w:right w:w="0" w:type="dxa"/>
        </w:tblCellMar>
        <w:tblLook w:val="01E0"/>
      </w:tblPr>
      <w:tblGrid>
        <w:gridCol w:w="728"/>
        <w:gridCol w:w="2127"/>
        <w:gridCol w:w="196"/>
        <w:gridCol w:w="119"/>
        <w:gridCol w:w="1670"/>
        <w:gridCol w:w="247"/>
        <w:gridCol w:w="1277"/>
        <w:gridCol w:w="235"/>
        <w:gridCol w:w="1368"/>
        <w:gridCol w:w="235"/>
        <w:gridCol w:w="1709"/>
      </w:tblGrid>
      <w:tr>
        <w:trPr>
          <w:trHeight w:val="337" w:hRule="exact"/>
        </w:trPr>
        <w:tc>
          <w:tcPr>
            <w:tcW w:w="72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6.21</w:t>
            </w:r>
          </w:p>
        </w:tc>
        <w:tc>
          <w:tcPr>
            <w:tcW w:w="2127"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6"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338" w:hRule="exact"/>
        </w:trPr>
        <w:tc>
          <w:tcPr>
            <w:tcW w:w="7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 w:type="dxa"/>
            <w:tcBorders>
              <w:top w:val="nil" w:sz="6" w:space="0" w:color="auto"/>
              <w:left w:val="nil" w:sz="6" w:space="0" w:color="auto"/>
              <w:bottom w:val="nil" w:sz="6" w:space="0" w:color="auto"/>
              <w:right w:val="nil" w:sz="6" w:space="0" w:color="auto"/>
            </w:tcBorders>
          </w:tcPr>
          <w:p>
            <w:pPr/>
          </w:p>
        </w:tc>
        <w:tc>
          <w:tcPr>
            <w:tcW w:w="119" w:type="dxa"/>
            <w:tcBorders>
              <w:top w:val="nil" w:sz="6" w:space="0" w:color="auto"/>
              <w:left w:val="nil" w:sz="6" w:space="0" w:color="auto"/>
              <w:bottom w:val="single" w:sz="4" w:space="0" w:color="000000"/>
              <w:right w:val="nil" w:sz="6" w:space="0" w:color="auto"/>
            </w:tcBorders>
          </w:tcPr>
          <w:p>
            <w:pP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27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32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8"/>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66" w:hRule="exact"/>
        </w:trPr>
        <w:tc>
          <w:tcPr>
            <w:tcW w:w="728"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6" w:type="dxa"/>
            <w:tcBorders>
              <w:top w:val="nil" w:sz="6" w:space="0" w:color="auto"/>
              <w:left w:val="nil" w:sz="6" w:space="0" w:color="auto"/>
              <w:bottom w:val="single" w:sz="6" w:space="0" w:color="000000"/>
              <w:right w:val="nil" w:sz="6" w:space="0" w:color="auto"/>
            </w:tcBorders>
          </w:tcPr>
          <w:p>
            <w:pPr/>
          </w:p>
        </w:tc>
        <w:tc>
          <w:tcPr>
            <w:tcW w:w="119" w:type="dxa"/>
            <w:tcBorders>
              <w:top w:val="single" w:sz="4" w:space="0" w:color="000000"/>
              <w:left w:val="nil" w:sz="6" w:space="0" w:color="auto"/>
              <w:bottom w:val="nil" w:sz="6" w:space="0" w:color="auto"/>
              <w:right w:val="nil" w:sz="6" w:space="0" w:color="auto"/>
            </w:tcBorders>
          </w:tcPr>
          <w:p>
            <w:pPr/>
          </w:p>
        </w:tc>
        <w:tc>
          <w:tcPr>
            <w:tcW w:w="1670" w:type="dxa"/>
            <w:tcBorders>
              <w:top w:val="single" w:sz="4" w:space="0" w:color="000000"/>
              <w:left w:val="nil" w:sz="6" w:space="0" w:color="auto"/>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99,439,800.00</w:t>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22" w:lineRule="exact"/>
              <w:ind w:right="4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pacing w:val="-1"/>
                <w:sz w:val="18"/>
              </w:rPr>
              <w:t>37,310,000.00</w:t>
            </w:r>
          </w:p>
        </w:tc>
        <w:tc>
          <w:tcPr>
            <w:tcW w:w="23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62,129,800.00</w:t>
            </w:r>
          </w:p>
        </w:tc>
      </w:tr>
      <w:tr>
        <w:trPr>
          <w:trHeight w:val="269" w:hRule="exact"/>
        </w:trPr>
        <w:tc>
          <w:tcPr>
            <w:tcW w:w="7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6" w:type="dxa"/>
            <w:tcBorders>
              <w:top w:val="single" w:sz="6" w:space="0" w:color="000000"/>
              <w:left w:val="nil" w:sz="6" w:space="0" w:color="auto"/>
              <w:bottom w:val="single" w:sz="6" w:space="0" w:color="000000"/>
              <w:right w:val="nil" w:sz="6" w:space="0" w:color="auto"/>
            </w:tcBorders>
          </w:tcPr>
          <w:p>
            <w:pPr/>
          </w:p>
        </w:tc>
        <w:tc>
          <w:tcPr>
            <w:tcW w:w="119" w:type="dxa"/>
            <w:tcBorders>
              <w:top w:val="nil" w:sz="6" w:space="0" w:color="auto"/>
              <w:left w:val="nil" w:sz="6" w:space="0" w:color="auto"/>
              <w:bottom w:val="nil" w:sz="6" w:space="0" w:color="auto"/>
              <w:right w:val="nil" w:sz="6" w:space="0" w:color="auto"/>
            </w:tcBorders>
          </w:tcPr>
          <w:p>
            <w:pPr/>
          </w:p>
        </w:tc>
        <w:tc>
          <w:tcPr>
            <w:tcW w:w="1670"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87,108.26</w:t>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宋体" w:hAnsi="宋体" w:cs="宋体" w:eastAsia="宋体" w:hint="default"/>
                <w:sz w:val="18"/>
                <w:szCs w:val="18"/>
              </w:rPr>
            </w:pPr>
            <w:r>
              <w:rPr>
                <w:rFonts w:ascii="宋体"/>
                <w:spacing w:val="-1"/>
                <w:sz w:val="18"/>
              </w:rPr>
              <w:t>3,897,600.00</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29" w:lineRule="exact"/>
              <w:ind w:right="3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3,984,708.26</w:t>
            </w:r>
          </w:p>
        </w:tc>
      </w:tr>
      <w:tr>
        <w:trPr>
          <w:trHeight w:val="281" w:hRule="exact"/>
        </w:trPr>
        <w:tc>
          <w:tcPr>
            <w:tcW w:w="7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96" w:type="dxa"/>
            <w:tcBorders>
              <w:top w:val="single" w:sz="6" w:space="0" w:color="000000"/>
              <w:left w:val="nil" w:sz="6" w:space="0" w:color="auto"/>
              <w:bottom w:val="nil" w:sz="6" w:space="0" w:color="auto"/>
              <w:right w:val="nil" w:sz="6" w:space="0" w:color="auto"/>
            </w:tcBorders>
          </w:tcPr>
          <w:p>
            <w:pPr/>
          </w:p>
        </w:tc>
        <w:tc>
          <w:tcPr>
            <w:tcW w:w="119" w:type="dxa"/>
            <w:tcBorders>
              <w:top w:val="nil" w:sz="6" w:space="0" w:color="auto"/>
              <w:left w:val="nil" w:sz="6" w:space="0" w:color="auto"/>
              <w:bottom w:val="single" w:sz="4" w:space="0" w:color="000000"/>
              <w:right w:val="nil" w:sz="6" w:space="0" w:color="auto"/>
            </w:tcBorders>
          </w:tcPr>
          <w:p>
            <w:pPr/>
          </w:p>
        </w:tc>
        <w:tc>
          <w:tcPr>
            <w:tcW w:w="1670"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29" w:lineRule="exact"/>
              <w:ind w:right="38"/>
              <w:jc w:val="right"/>
              <w:rPr>
                <w:rFonts w:ascii="宋体" w:hAnsi="宋体" w:cs="宋体" w:eastAsia="宋体" w:hint="default"/>
                <w:sz w:val="18"/>
                <w:szCs w:val="18"/>
              </w:rPr>
            </w:pPr>
            <w:r>
              <w:rPr>
                <w:rFonts w:ascii="宋体"/>
                <w:spacing w:val="-1"/>
                <w:sz w:val="18"/>
              </w:rPr>
              <w:t>3,897,600.00</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29" w:lineRule="exact"/>
              <w:ind w:right="30"/>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3,897,600.00</w:t>
            </w:r>
          </w:p>
        </w:tc>
      </w:tr>
      <w:tr>
        <w:trPr>
          <w:trHeight w:val="288" w:hRule="exact"/>
        </w:trPr>
        <w:tc>
          <w:tcPr>
            <w:tcW w:w="728"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 w:type="dxa"/>
            <w:tcBorders>
              <w:top w:val="nil" w:sz="6" w:space="0" w:color="auto"/>
              <w:left w:val="nil" w:sz="6" w:space="0" w:color="auto"/>
              <w:bottom w:val="nil" w:sz="6" w:space="0" w:color="auto"/>
              <w:right w:val="nil" w:sz="6" w:space="0" w:color="auto"/>
            </w:tcBorders>
          </w:tcPr>
          <w:p>
            <w:pPr/>
          </w:p>
        </w:tc>
        <w:tc>
          <w:tcPr>
            <w:tcW w:w="119" w:type="dxa"/>
            <w:tcBorders>
              <w:top w:val="single" w:sz="4" w:space="0" w:color="000000"/>
              <w:left w:val="nil" w:sz="6" w:space="0" w:color="auto"/>
              <w:bottom w:val="single" w:sz="12" w:space="0" w:color="000000"/>
              <w:right w:val="nil" w:sz="6" w:space="0" w:color="auto"/>
            </w:tcBorders>
          </w:tcPr>
          <w:p>
            <w:pPr/>
          </w:p>
        </w:tc>
        <w:tc>
          <w:tcPr>
            <w:tcW w:w="1670" w:type="dxa"/>
            <w:tcBorders>
              <w:top w:val="single" w:sz="6" w:space="0" w:color="000000"/>
              <w:left w:val="nil" w:sz="6" w:space="0" w:color="auto"/>
              <w:bottom w:val="single" w:sz="17" w:space="0" w:color="000000"/>
              <w:right w:val="nil" w:sz="6" w:space="0" w:color="auto"/>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99,526,908.26</w:t>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38"/>
              <w:jc w:val="right"/>
              <w:rPr>
                <w:rFonts w:ascii="宋体" w:hAnsi="宋体" w:cs="宋体" w:eastAsia="宋体" w:hint="default"/>
                <w:sz w:val="18"/>
                <w:szCs w:val="18"/>
              </w:rPr>
            </w:pPr>
            <w:r>
              <w:rPr>
                <w:rFonts w:ascii="宋体"/>
                <w:spacing w:val="-1"/>
                <w:sz w:val="18"/>
              </w:rPr>
              <w:t>3,897,600.00</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pacing w:val="-1"/>
                <w:sz w:val="18"/>
              </w:rPr>
              <w:t>37,310,000.00</w:t>
            </w:r>
          </w:p>
        </w:tc>
        <w:tc>
          <w:tcPr>
            <w:tcW w:w="23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66,114,508.26</w:t>
            </w:r>
          </w:p>
        </w:tc>
      </w:tr>
      <w:tr>
        <w:trPr>
          <w:trHeight w:val="1010" w:hRule="exact"/>
        </w:trPr>
        <w:tc>
          <w:tcPr>
            <w:tcW w:w="728" w:type="dxa"/>
            <w:tcBorders>
              <w:top w:val="nil" w:sz="6" w:space="0" w:color="auto"/>
              <w:left w:val="nil" w:sz="6" w:space="0" w:color="auto"/>
              <w:bottom w:val="nil" w:sz="6" w:space="0" w:color="auto"/>
              <w:right w:val="nil" w:sz="6" w:space="0" w:color="auto"/>
            </w:tcBorders>
          </w:tcPr>
          <w:p>
            <w:pPr/>
          </w:p>
        </w:tc>
        <w:tc>
          <w:tcPr>
            <w:tcW w:w="918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本年资本公积</w:t>
            </w:r>
            <w:r>
              <w:rPr>
                <w:rFonts w:ascii="宋体" w:hAnsi="宋体" w:cs="宋体" w:eastAsia="宋体" w:hint="default"/>
                <w:sz w:val="21"/>
                <w:szCs w:val="21"/>
              </w:rPr>
              <w:t>-</w:t>
            </w:r>
            <w:r>
              <w:rPr>
                <w:rFonts w:ascii="宋体" w:hAnsi="宋体" w:cs="宋体" w:eastAsia="宋体" w:hint="default"/>
                <w:sz w:val="21"/>
                <w:szCs w:val="21"/>
              </w:rPr>
              <w:t>资本溢价减少</w:t>
            </w:r>
            <w:r>
              <w:rPr>
                <w:rFonts w:ascii="宋体" w:hAnsi="宋体" w:cs="宋体" w:eastAsia="宋体" w:hint="default"/>
                <w:spacing w:val="-43"/>
                <w:sz w:val="21"/>
                <w:szCs w:val="21"/>
              </w:rPr>
              <w:t> </w:t>
            </w:r>
            <w:r>
              <w:rPr>
                <w:rFonts w:ascii="宋体" w:hAnsi="宋体" w:cs="宋体" w:eastAsia="宋体" w:hint="default"/>
                <w:sz w:val="21"/>
                <w:szCs w:val="21"/>
              </w:rPr>
              <w:t>3,731</w:t>
            </w:r>
            <w:r>
              <w:rPr>
                <w:rFonts w:ascii="宋体" w:hAnsi="宋体" w:cs="宋体" w:eastAsia="宋体" w:hint="default"/>
                <w:spacing w:val="-45"/>
                <w:sz w:val="21"/>
                <w:szCs w:val="21"/>
              </w:rPr>
              <w:t> </w:t>
            </w:r>
            <w:r>
              <w:rPr>
                <w:rFonts w:ascii="宋体" w:hAnsi="宋体" w:cs="宋体" w:eastAsia="宋体" w:hint="default"/>
                <w:sz w:val="21"/>
                <w:szCs w:val="21"/>
              </w:rPr>
              <w:t>万元系根据</w:t>
            </w:r>
            <w:r>
              <w:rPr>
                <w:rFonts w:ascii="宋体" w:hAnsi="宋体" w:cs="宋体" w:eastAsia="宋体" w:hint="default"/>
                <w:spacing w:val="-43"/>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日股东大会决议，以</w:t>
            </w:r>
            <w:r>
              <w:rPr>
                <w:rFonts w:ascii="宋体" w:hAnsi="宋体" w:cs="宋体" w:eastAsia="宋体" w:hint="default"/>
                <w:spacing w:val="-2"/>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年末总</w:t>
            </w:r>
          </w:p>
          <w:p>
            <w:pPr>
              <w:pStyle w:val="TableParagraph"/>
              <w:spacing w:line="240" w:lineRule="auto" w:before="37"/>
              <w:ind w:left="107" w:right="0"/>
              <w:jc w:val="left"/>
              <w:rPr>
                <w:rFonts w:ascii="宋体" w:hAnsi="宋体" w:cs="宋体" w:eastAsia="宋体" w:hint="default"/>
                <w:sz w:val="21"/>
                <w:szCs w:val="21"/>
              </w:rPr>
            </w:pPr>
            <w:r>
              <w:rPr>
                <w:rFonts w:ascii="宋体" w:hAnsi="宋体" w:cs="宋体" w:eastAsia="宋体" w:hint="default"/>
                <w:sz w:val="21"/>
                <w:szCs w:val="21"/>
              </w:rPr>
              <w:t>股本</w:t>
            </w:r>
            <w:r>
              <w:rPr>
                <w:rFonts w:ascii="宋体" w:hAnsi="宋体" w:cs="宋体" w:eastAsia="宋体" w:hint="default"/>
                <w:spacing w:val="-54"/>
                <w:sz w:val="21"/>
                <w:szCs w:val="21"/>
              </w:rPr>
              <w:t> </w:t>
            </w:r>
            <w:r>
              <w:rPr>
                <w:rFonts w:ascii="宋体" w:hAnsi="宋体" w:cs="宋体" w:eastAsia="宋体" w:hint="default"/>
                <w:sz w:val="21"/>
                <w:szCs w:val="21"/>
              </w:rPr>
              <w:t>7,462</w:t>
            </w:r>
            <w:r>
              <w:rPr>
                <w:rFonts w:ascii="宋体" w:hAnsi="宋体" w:cs="宋体" w:eastAsia="宋体" w:hint="default"/>
                <w:spacing w:val="-56"/>
                <w:sz w:val="21"/>
                <w:szCs w:val="21"/>
              </w:rPr>
              <w:t> </w:t>
            </w:r>
            <w:r>
              <w:rPr>
                <w:rFonts w:ascii="宋体" w:hAnsi="宋体" w:cs="宋体" w:eastAsia="宋体" w:hint="default"/>
                <w:sz w:val="21"/>
                <w:szCs w:val="21"/>
              </w:rPr>
              <w:t>万股为基数，以资本公积向全体股东每</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股减少所致。</w:t>
            </w:r>
          </w:p>
        </w:tc>
      </w:tr>
      <w:tr>
        <w:trPr>
          <w:trHeight w:val="709" w:hRule="exact"/>
        </w:trPr>
        <w:tc>
          <w:tcPr>
            <w:tcW w:w="728" w:type="dxa"/>
            <w:tcBorders>
              <w:top w:val="nil" w:sz="6" w:space="0" w:color="auto"/>
              <w:left w:val="nil" w:sz="6" w:space="0" w:color="auto"/>
              <w:bottom w:val="nil" w:sz="6" w:space="0" w:color="auto"/>
              <w:right w:val="nil" w:sz="6" w:space="0" w:color="auto"/>
            </w:tcBorders>
          </w:tcPr>
          <w:p>
            <w:pPr/>
          </w:p>
        </w:tc>
        <w:tc>
          <w:tcPr>
            <w:tcW w:w="9184" w:type="dxa"/>
            <w:gridSpan w:val="10"/>
            <w:tcBorders>
              <w:top w:val="nil" w:sz="6" w:space="0" w:color="auto"/>
              <w:left w:val="nil" w:sz="6" w:space="0" w:color="auto"/>
              <w:bottom w:val="nil" w:sz="6" w:space="0" w:color="auto"/>
              <w:right w:val="nil" w:sz="6" w:space="0" w:color="auto"/>
            </w:tcBorders>
          </w:tcPr>
          <w:p>
            <w:pPr>
              <w:pStyle w:val="TableParagraph"/>
              <w:spacing w:line="273" w:lineRule="auto" w:before="122"/>
              <w:ind w:left="107" w:right="142"/>
              <w:jc w:val="left"/>
              <w:rPr>
                <w:rFonts w:ascii="宋体" w:hAnsi="宋体" w:cs="宋体" w:eastAsia="宋体" w:hint="default"/>
                <w:sz w:val="21"/>
                <w:szCs w:val="21"/>
              </w:rPr>
            </w:pPr>
            <w:r>
              <w:rPr>
                <w:rFonts w:ascii="宋体" w:hAnsi="宋体" w:cs="宋体" w:eastAsia="宋体" w:hint="default"/>
                <w:spacing w:val="-2"/>
                <w:sz w:val="21"/>
                <w:szCs w:val="21"/>
              </w:rPr>
              <w:t>本年资本公积</w:t>
            </w:r>
            <w:r>
              <w:rPr>
                <w:rFonts w:ascii="宋体" w:hAnsi="宋体" w:cs="宋体" w:eastAsia="宋体" w:hint="default"/>
                <w:spacing w:val="-2"/>
                <w:sz w:val="21"/>
                <w:szCs w:val="21"/>
              </w:rPr>
              <w:t>-</w:t>
            </w:r>
            <w:r>
              <w:rPr>
                <w:rFonts w:ascii="宋体" w:hAnsi="宋体" w:cs="宋体" w:eastAsia="宋体" w:hint="default"/>
                <w:spacing w:val="-2"/>
                <w:sz w:val="21"/>
                <w:szCs w:val="21"/>
              </w:rPr>
              <w:t>其他资本公积增加</w:t>
            </w:r>
            <w:r>
              <w:rPr>
                <w:rFonts w:ascii="宋体" w:hAnsi="宋体" w:cs="宋体" w:eastAsia="宋体" w:hint="default"/>
                <w:spacing w:val="-2"/>
                <w:sz w:val="21"/>
                <w:szCs w:val="21"/>
              </w:rPr>
              <w:t>389.76</w:t>
            </w:r>
            <w:r>
              <w:rPr>
                <w:rFonts w:ascii="宋体" w:hAnsi="宋体" w:cs="宋体" w:eastAsia="宋体" w:hint="default"/>
                <w:spacing w:val="-2"/>
                <w:sz w:val="21"/>
                <w:szCs w:val="21"/>
              </w:rPr>
              <w:t>万元系根据本年制定的“限制性股票激励计划”，按照股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份支付准则确认的本期股权激励费用对应增加的资本公积。</w:t>
            </w:r>
          </w:p>
        </w:tc>
      </w:tr>
    </w:tbl>
    <w:p>
      <w:pPr>
        <w:spacing w:after="0" w:line="273" w:lineRule="auto"/>
        <w:jc w:val="left"/>
        <w:rPr>
          <w:rFonts w:ascii="宋体" w:hAnsi="宋体" w:cs="宋体" w:eastAsia="宋体" w:hint="default"/>
          <w:sz w:val="21"/>
          <w:szCs w:val="21"/>
        </w:rPr>
        <w:sectPr>
          <w:pgSz w:w="11910" w:h="16840"/>
          <w:pgMar w:header="886" w:footer="980" w:top="1740" w:bottom="1160" w:left="900" w:right="680"/>
        </w:sectPr>
      </w:pPr>
    </w:p>
    <w:p>
      <w:pPr>
        <w:spacing w:line="240" w:lineRule="auto" w:before="9"/>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84"/>
        <w:gridCol w:w="1630"/>
        <w:gridCol w:w="199"/>
        <w:gridCol w:w="1985"/>
        <w:gridCol w:w="163"/>
        <w:gridCol w:w="298"/>
        <w:gridCol w:w="1756"/>
        <w:gridCol w:w="1098"/>
        <w:gridCol w:w="185"/>
        <w:gridCol w:w="1845"/>
      </w:tblGrid>
      <w:tr>
        <w:trPr>
          <w:trHeight w:val="687"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81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163" w:type="dxa"/>
            <w:tcBorders>
              <w:top w:val="single" w:sz="4" w:space="0" w:color="000000"/>
              <w:left w:val="nil" w:sz="6" w:space="0" w:color="auto"/>
              <w:bottom w:val="nil" w:sz="6" w:space="0" w:color="auto"/>
              <w:right w:val="nil" w:sz="6" w:space="0" w:color="auto"/>
            </w:tcBorders>
          </w:tcPr>
          <w:p>
            <w:pPr/>
          </w:p>
        </w:tc>
        <w:tc>
          <w:tcPr>
            <w:tcW w:w="298" w:type="dxa"/>
            <w:tcBorders>
              <w:top w:val="single" w:sz="4" w:space="0" w:color="000000"/>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
        </w:tc>
        <w:tc>
          <w:tcPr>
            <w:tcW w:w="1098" w:type="dxa"/>
            <w:tcBorders>
              <w:top w:val="single" w:sz="4" w:space="0" w:color="000000"/>
              <w:left w:val="nil" w:sz="6" w:space="0" w:color="auto"/>
              <w:bottom w:val="nil" w:sz="6" w:space="0" w:color="auto"/>
              <w:right w:val="nil" w:sz="6" w:space="0" w:color="auto"/>
            </w:tcBorders>
          </w:tcPr>
          <w:p>
            <w:pPr/>
          </w:p>
        </w:tc>
        <w:tc>
          <w:tcPr>
            <w:tcW w:w="185" w:type="dxa"/>
            <w:tcBorders>
              <w:top w:val="single" w:sz="4" w:space="0" w:color="000000"/>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6.22</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413" w:hRule="exact"/>
        </w:trPr>
        <w:tc>
          <w:tcPr>
            <w:tcW w:w="78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22"/>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single" w:sz="4" w:space="0" w:color="000000"/>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9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w:t>
            </w:r>
          </w:p>
        </w:tc>
      </w:tr>
      <w:tr>
        <w:trPr>
          <w:trHeight w:val="277" w:hRule="exact"/>
        </w:trPr>
        <w:tc>
          <w:tcPr>
            <w:tcW w:w="78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Style w:val="TableParagraph"/>
              <w:spacing w:line="241" w:lineRule="exact"/>
              <w:ind w:right="67"/>
              <w:jc w:val="right"/>
              <w:rPr>
                <w:rFonts w:ascii="宋体" w:hAnsi="宋体" w:cs="宋体" w:eastAsia="宋体" w:hint="default"/>
                <w:sz w:val="21"/>
                <w:szCs w:val="21"/>
              </w:rPr>
            </w:pPr>
            <w:r>
              <w:rPr>
                <w:rFonts w:ascii="宋体"/>
                <w:spacing w:val="-1"/>
                <w:sz w:val="21"/>
              </w:rPr>
              <w:t>18,203,483.87</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single" w:sz="4" w:space="0" w:color="000000"/>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1" w:lineRule="exact"/>
              <w:ind w:left="21" w:right="0"/>
              <w:jc w:val="left"/>
              <w:rPr>
                <w:rFonts w:ascii="宋体" w:hAnsi="宋体" w:cs="宋体" w:eastAsia="宋体" w:hint="default"/>
                <w:sz w:val="21"/>
                <w:szCs w:val="21"/>
              </w:rPr>
            </w:pPr>
            <w:r>
              <w:rPr>
                <w:rFonts w:ascii="宋体"/>
                <w:sz w:val="21"/>
              </w:rPr>
              <w:t>5,690,276.61</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1" w:lineRule="exact"/>
              <w:ind w:right="68"/>
              <w:jc w:val="right"/>
              <w:rPr>
                <w:rFonts w:ascii="宋体" w:hAnsi="宋体" w:cs="宋体" w:eastAsia="宋体" w:hint="default"/>
                <w:sz w:val="21"/>
                <w:szCs w:val="21"/>
              </w:rPr>
            </w:pPr>
            <w:r>
              <w:rPr>
                <w:rFonts w:ascii="宋体"/>
                <w:w w:val="100"/>
                <w:sz w:val="21"/>
              </w:rPr>
              <w:t>-</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23,893,760.48</w:t>
            </w:r>
          </w:p>
        </w:tc>
      </w:tr>
      <w:tr>
        <w:trPr>
          <w:trHeight w:val="272" w:hRule="exact"/>
        </w:trPr>
        <w:tc>
          <w:tcPr>
            <w:tcW w:w="784" w:type="dxa"/>
            <w:vMerge w:val="restart"/>
            <w:tcBorders>
              <w:top w:val="nil" w:sz="6" w:space="0" w:color="auto"/>
              <w:left w:val="nil" w:sz="6" w:space="0" w:color="auto"/>
              <w:right w:val="nil" w:sz="6" w:space="0" w:color="auto"/>
            </w:tcBorders>
          </w:tcPr>
          <w:p>
            <w:pPr/>
          </w:p>
        </w:tc>
        <w:tc>
          <w:tcPr>
            <w:tcW w:w="1630" w:type="dxa"/>
            <w:vMerge w:val="restart"/>
            <w:tcBorders>
              <w:top w:val="nil" w:sz="6" w:space="0" w:color="auto"/>
              <w:left w:val="nil" w:sz="6" w:space="0" w:color="auto"/>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69"/>
              <w:jc w:val="right"/>
              <w:rPr>
                <w:rFonts w:ascii="宋体" w:hAnsi="宋体" w:cs="宋体" w:eastAsia="宋体" w:hint="default"/>
                <w:sz w:val="21"/>
                <w:szCs w:val="21"/>
              </w:rPr>
            </w:pPr>
            <w:r>
              <w:rPr>
                <w:rFonts w:ascii="宋体"/>
                <w:w w:val="100"/>
                <w:sz w:val="21"/>
              </w:rPr>
              <w:t>-</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2" w:lineRule="exact"/>
              <w:ind w:right="472"/>
              <w:jc w:val="right"/>
              <w:rPr>
                <w:rFonts w:ascii="宋体" w:hAnsi="宋体" w:cs="宋体" w:eastAsia="宋体" w:hint="default"/>
                <w:sz w:val="21"/>
                <w:szCs w:val="21"/>
              </w:rPr>
            </w:pPr>
            <w:r>
              <w:rPr>
                <w:rFonts w:ascii="宋体"/>
                <w:w w:val="100"/>
                <w:sz w:val="21"/>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宋体" w:hAnsi="宋体" w:cs="宋体" w:eastAsia="宋体" w:hint="default"/>
                <w:sz w:val="21"/>
                <w:szCs w:val="21"/>
              </w:rPr>
            </w:pPr>
            <w:r>
              <w:rPr>
                <w:rFonts w:ascii="宋体"/>
                <w:w w:val="100"/>
                <w:sz w:val="21"/>
              </w:rPr>
              <w:t>-</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w w:val="100"/>
                <w:sz w:val="21"/>
              </w:rPr>
              <w:t>-</w:t>
            </w:r>
          </w:p>
        </w:tc>
      </w:tr>
      <w:tr>
        <w:trPr>
          <w:trHeight w:val="272" w:hRule="exact"/>
        </w:trPr>
        <w:tc>
          <w:tcPr>
            <w:tcW w:w="784" w:type="dxa"/>
            <w:vMerge/>
            <w:tcBorders>
              <w:left w:val="nil" w:sz="6" w:space="0" w:color="auto"/>
              <w:bottom w:val="nil" w:sz="6" w:space="0" w:color="auto"/>
              <w:right w:val="nil" w:sz="6" w:space="0" w:color="auto"/>
            </w:tcBorders>
          </w:tcPr>
          <w:p>
            <w:pPr/>
          </w:p>
        </w:tc>
        <w:tc>
          <w:tcPr>
            <w:tcW w:w="1630" w:type="dxa"/>
            <w:vMerge/>
            <w:tcBorders>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69"/>
              <w:jc w:val="right"/>
              <w:rPr>
                <w:rFonts w:ascii="宋体" w:hAnsi="宋体" w:cs="宋体" w:eastAsia="宋体" w:hint="default"/>
                <w:sz w:val="21"/>
                <w:szCs w:val="21"/>
              </w:rPr>
            </w:pPr>
            <w:r>
              <w:rPr>
                <w:rFonts w:ascii="宋体"/>
                <w:w w:val="100"/>
                <w:sz w:val="21"/>
              </w:rPr>
              <w:t>-</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1" w:lineRule="exact"/>
              <w:ind w:right="472"/>
              <w:jc w:val="right"/>
              <w:rPr>
                <w:rFonts w:ascii="宋体" w:hAnsi="宋体" w:cs="宋体" w:eastAsia="宋体" w:hint="default"/>
                <w:sz w:val="21"/>
                <w:szCs w:val="21"/>
              </w:rPr>
            </w:pPr>
            <w:r>
              <w:rPr>
                <w:rFonts w:ascii="宋体"/>
                <w:w w:val="100"/>
                <w:sz w:val="21"/>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41" w:lineRule="exact"/>
              <w:ind w:right="68"/>
              <w:jc w:val="right"/>
              <w:rPr>
                <w:rFonts w:ascii="宋体" w:hAnsi="宋体" w:cs="宋体" w:eastAsia="宋体" w:hint="default"/>
                <w:sz w:val="21"/>
                <w:szCs w:val="21"/>
              </w:rPr>
            </w:pPr>
            <w:r>
              <w:rPr>
                <w:rFonts w:ascii="宋体"/>
                <w:w w:val="100"/>
                <w:sz w:val="21"/>
              </w:rPr>
              <w:t>-</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72" w:hRule="exact"/>
        </w:trPr>
        <w:tc>
          <w:tcPr>
            <w:tcW w:w="78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69"/>
              <w:jc w:val="right"/>
              <w:rPr>
                <w:rFonts w:ascii="宋体" w:hAnsi="宋体" w:cs="宋体" w:eastAsia="宋体" w:hint="default"/>
                <w:sz w:val="21"/>
                <w:szCs w:val="21"/>
              </w:rPr>
            </w:pPr>
            <w:r>
              <w:rPr>
                <w:rFonts w:ascii="宋体"/>
                <w:w w:val="100"/>
                <w:sz w:val="21"/>
              </w:rPr>
              <w:t>-</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2" w:lineRule="exact"/>
              <w:ind w:right="472"/>
              <w:jc w:val="right"/>
              <w:rPr>
                <w:rFonts w:ascii="宋体" w:hAnsi="宋体" w:cs="宋体" w:eastAsia="宋体" w:hint="default"/>
                <w:sz w:val="21"/>
                <w:szCs w:val="21"/>
              </w:rPr>
            </w:pPr>
            <w:r>
              <w:rPr>
                <w:rFonts w:ascii="宋体"/>
                <w:w w:val="100"/>
                <w:sz w:val="21"/>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宋体" w:hAnsi="宋体" w:cs="宋体" w:eastAsia="宋体" w:hint="default"/>
                <w:sz w:val="21"/>
                <w:szCs w:val="21"/>
              </w:rPr>
            </w:pPr>
            <w:r>
              <w:rPr>
                <w:rFonts w:ascii="宋体"/>
                <w:w w:val="100"/>
                <w:sz w:val="21"/>
              </w:rPr>
              <w:t>-</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2" w:lineRule="exact"/>
              <w:ind w:right="98"/>
              <w:jc w:val="right"/>
              <w:rPr>
                <w:rFonts w:ascii="宋体" w:hAnsi="宋体" w:cs="宋体" w:eastAsia="宋体" w:hint="default"/>
                <w:sz w:val="21"/>
                <w:szCs w:val="21"/>
              </w:rPr>
            </w:pPr>
            <w:r>
              <w:rPr>
                <w:rFonts w:ascii="宋体"/>
                <w:w w:val="100"/>
                <w:sz w:val="21"/>
              </w:rPr>
              <w:t>-</w:t>
            </w:r>
          </w:p>
        </w:tc>
      </w:tr>
      <w:tr>
        <w:trPr>
          <w:trHeight w:val="279" w:hRule="exact"/>
        </w:trPr>
        <w:tc>
          <w:tcPr>
            <w:tcW w:w="78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1" w:lineRule="exact"/>
              <w:ind w:right="69"/>
              <w:jc w:val="right"/>
              <w:rPr>
                <w:rFonts w:ascii="宋体" w:hAnsi="宋体" w:cs="宋体" w:eastAsia="宋体" w:hint="default"/>
                <w:sz w:val="21"/>
                <w:szCs w:val="21"/>
              </w:rPr>
            </w:pPr>
            <w:r>
              <w:rPr>
                <w:rFonts w:ascii="宋体"/>
                <w:w w:val="100"/>
                <w:sz w:val="21"/>
              </w:rPr>
              <w:t>-</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single" w:sz="4" w:space="0" w:color="000000"/>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1" w:lineRule="exact"/>
              <w:ind w:right="472"/>
              <w:jc w:val="right"/>
              <w:rPr>
                <w:rFonts w:ascii="宋体" w:hAnsi="宋体" w:cs="宋体" w:eastAsia="宋体" w:hint="default"/>
                <w:sz w:val="21"/>
                <w:szCs w:val="21"/>
              </w:rPr>
            </w:pPr>
            <w:r>
              <w:rPr>
                <w:rFonts w:ascii="宋体"/>
                <w:w w:val="100"/>
                <w:sz w:val="21"/>
              </w:rPr>
              <w:t>-</w:t>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1" w:lineRule="exact"/>
              <w:ind w:right="68"/>
              <w:jc w:val="right"/>
              <w:rPr>
                <w:rFonts w:ascii="宋体" w:hAnsi="宋体" w:cs="宋体" w:eastAsia="宋体" w:hint="default"/>
                <w:sz w:val="21"/>
                <w:szCs w:val="21"/>
              </w:rPr>
            </w:pPr>
            <w:r>
              <w:rPr>
                <w:rFonts w:ascii="宋体"/>
                <w:w w:val="100"/>
                <w:sz w:val="21"/>
              </w:rPr>
              <w:t>-</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single" w:sz="4" w:space="0" w:color="000000"/>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90" w:hRule="exact"/>
        </w:trPr>
        <w:tc>
          <w:tcPr>
            <w:tcW w:w="78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7"/>
              <w:jc w:val="right"/>
              <w:rPr>
                <w:rFonts w:ascii="宋体" w:hAnsi="宋体" w:cs="宋体" w:eastAsia="宋体" w:hint="default"/>
                <w:sz w:val="21"/>
                <w:szCs w:val="21"/>
              </w:rPr>
            </w:pPr>
            <w:r>
              <w:rPr>
                <w:rFonts w:ascii="宋体"/>
                <w:spacing w:val="-1"/>
                <w:sz w:val="21"/>
              </w:rPr>
              <w:t>18,203,483.87</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single" w:sz="4" w:space="0" w:color="000000"/>
              <w:left w:val="nil" w:sz="6" w:space="0" w:color="auto"/>
              <w:bottom w:val="single" w:sz="12" w:space="0" w:color="000000"/>
              <w:right w:val="nil" w:sz="6" w:space="0" w:color="auto"/>
            </w:tcBorders>
          </w:tcPr>
          <w:p>
            <w:pPr/>
          </w:p>
        </w:tc>
        <w:tc>
          <w:tcPr>
            <w:tcW w:w="1756"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21" w:right="0"/>
              <w:jc w:val="left"/>
              <w:rPr>
                <w:rFonts w:ascii="宋体" w:hAnsi="宋体" w:cs="宋体" w:eastAsia="宋体" w:hint="default"/>
                <w:sz w:val="21"/>
                <w:szCs w:val="21"/>
              </w:rPr>
            </w:pPr>
            <w:r>
              <w:rPr>
                <w:rFonts w:ascii="宋体"/>
                <w:sz w:val="21"/>
              </w:rPr>
              <w:t>5,690,276.61</w:t>
            </w:r>
          </w:p>
        </w:tc>
        <w:tc>
          <w:tcPr>
            <w:tcW w:w="109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8"/>
              <w:jc w:val="right"/>
              <w:rPr>
                <w:rFonts w:ascii="宋体" w:hAnsi="宋体" w:cs="宋体" w:eastAsia="宋体" w:hint="default"/>
                <w:sz w:val="21"/>
                <w:szCs w:val="21"/>
              </w:rPr>
            </w:pPr>
            <w:r>
              <w:rPr>
                <w:rFonts w:ascii="宋体"/>
                <w:w w:val="100"/>
                <w:sz w:val="21"/>
              </w:rPr>
              <w:t>-</w:t>
            </w: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23,893,760.48</w:t>
            </w:r>
          </w:p>
        </w:tc>
      </w:tr>
      <w:tr>
        <w:trPr>
          <w:trHeight w:val="970" w:hRule="exact"/>
        </w:trPr>
        <w:tc>
          <w:tcPr>
            <w:tcW w:w="994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20" w:right="160"/>
              <w:jc w:val="left"/>
              <w:rPr>
                <w:rFonts w:ascii="宋体" w:hAnsi="宋体" w:cs="宋体" w:eastAsia="宋体" w:hint="default"/>
                <w:sz w:val="21"/>
                <w:szCs w:val="21"/>
              </w:rPr>
            </w:pPr>
            <w:r>
              <w:rPr>
                <w:rFonts w:ascii="宋体" w:hAnsi="宋体" w:cs="宋体" w:eastAsia="宋体" w:hint="default"/>
                <w:sz w:val="21"/>
                <w:szCs w:val="21"/>
              </w:rPr>
              <w:t>盈余公积年末数比年初数增加</w:t>
            </w:r>
            <w:r>
              <w:rPr>
                <w:rFonts w:ascii="宋体" w:hAnsi="宋体" w:cs="宋体" w:eastAsia="宋体" w:hint="default"/>
                <w:spacing w:val="-37"/>
                <w:sz w:val="21"/>
                <w:szCs w:val="21"/>
              </w:rPr>
              <w:t> </w:t>
            </w:r>
            <w:r>
              <w:rPr>
                <w:rFonts w:ascii="宋体" w:hAnsi="宋体" w:cs="宋体" w:eastAsia="宋体" w:hint="default"/>
                <w:sz w:val="21"/>
                <w:szCs w:val="21"/>
              </w:rPr>
              <w:t>5,690,276.61</w:t>
            </w:r>
            <w:r>
              <w:rPr>
                <w:rFonts w:ascii="宋体" w:hAnsi="宋体" w:cs="宋体" w:eastAsia="宋体" w:hint="default"/>
                <w:spacing w:val="-39"/>
                <w:sz w:val="21"/>
                <w:szCs w:val="21"/>
              </w:rPr>
              <w:t> </w:t>
            </w:r>
            <w:r>
              <w:rPr>
                <w:rFonts w:ascii="宋体" w:hAnsi="宋体" w:cs="宋体" w:eastAsia="宋体" w:hint="default"/>
                <w:sz w:val="21"/>
                <w:szCs w:val="21"/>
              </w:rPr>
              <w:t>元，增加比例为</w:t>
            </w:r>
            <w:r>
              <w:rPr>
                <w:rFonts w:ascii="宋体" w:hAnsi="宋体" w:cs="宋体" w:eastAsia="宋体" w:hint="default"/>
                <w:spacing w:val="-2"/>
                <w:sz w:val="21"/>
                <w:szCs w:val="21"/>
              </w:rPr>
              <w:t> </w:t>
            </w:r>
            <w:r>
              <w:rPr>
                <w:rFonts w:ascii="宋体" w:hAnsi="宋体" w:cs="宋体" w:eastAsia="宋体" w:hint="default"/>
                <w:sz w:val="21"/>
                <w:szCs w:val="21"/>
              </w:rPr>
              <w:t>31.26%</w:t>
            </w:r>
            <w:r>
              <w:rPr>
                <w:rFonts w:ascii="宋体" w:hAnsi="宋体" w:cs="宋体" w:eastAsia="宋体" w:hint="default"/>
                <w:sz w:val="21"/>
                <w:szCs w:val="21"/>
              </w:rPr>
              <w:t>，主要原因为：本公司按本</w:t>
            </w:r>
            <w:r>
              <w:rPr>
                <w:rFonts w:ascii="宋体" w:hAnsi="宋体" w:cs="宋体" w:eastAsia="宋体" w:hint="default"/>
                <w:w w:val="100"/>
                <w:sz w:val="21"/>
                <w:szCs w:val="21"/>
              </w:rPr>
              <w:t> </w:t>
            </w:r>
            <w:r>
              <w:rPr>
                <w:rFonts w:ascii="宋体" w:hAnsi="宋体" w:cs="宋体" w:eastAsia="宋体" w:hint="default"/>
                <w:sz w:val="21"/>
                <w:szCs w:val="21"/>
              </w:rPr>
              <w:t>年净利润计提</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z w:val="21"/>
                <w:szCs w:val="21"/>
              </w:rPr>
              <w:t>法定盈余公积所致。</w:t>
            </w:r>
          </w:p>
        </w:tc>
      </w:tr>
      <w:tr>
        <w:trPr>
          <w:trHeight w:val="545"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4"/>
              <w:jc w:val="right"/>
              <w:rPr>
                <w:rFonts w:ascii="宋体" w:hAnsi="宋体" w:cs="宋体" w:eastAsia="宋体" w:hint="default"/>
                <w:sz w:val="21"/>
                <w:szCs w:val="21"/>
              </w:rPr>
            </w:pPr>
            <w:r>
              <w:rPr>
                <w:rFonts w:ascii="宋体"/>
                <w:sz w:val="21"/>
              </w:rPr>
              <w:t>6.23</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413"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3"/>
              <w:ind w:right="68"/>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8"/>
              <w:jc w:val="right"/>
              <w:rPr>
                <w:rFonts w:ascii="宋体" w:hAnsi="宋体" w:cs="宋体" w:eastAsia="宋体" w:hint="default"/>
                <w:sz w:val="21"/>
                <w:szCs w:val="21"/>
              </w:rPr>
            </w:pPr>
            <w:r>
              <w:rPr>
                <w:rFonts w:ascii="宋体" w:hAnsi="宋体" w:cs="宋体" w:eastAsia="宋体" w:hint="default"/>
                <w:sz w:val="21"/>
                <w:szCs w:val="21"/>
              </w:rPr>
              <w:t>金额</w:t>
            </w:r>
          </w:p>
        </w:tc>
        <w:tc>
          <w:tcPr>
            <w:tcW w:w="1098"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single" w:sz="4" w:space="0" w:color="000000"/>
              <w:right w:val="nil" w:sz="6" w:space="0" w:color="auto"/>
            </w:tcBorders>
          </w:tcPr>
          <w:p>
            <w:pPr/>
          </w:p>
        </w:tc>
        <w:tc>
          <w:tcPr>
            <w:tcW w:w="184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60"/>
              <w:jc w:val="right"/>
              <w:rPr>
                <w:rFonts w:ascii="宋体" w:hAnsi="宋体" w:cs="宋体" w:eastAsia="宋体" w:hint="default"/>
                <w:sz w:val="21"/>
                <w:szCs w:val="21"/>
              </w:rPr>
            </w:pPr>
            <w:r>
              <w:rPr>
                <w:rFonts w:ascii="宋体" w:hAnsi="宋体" w:cs="宋体" w:eastAsia="宋体" w:hint="default"/>
                <w:spacing w:val="-1"/>
                <w:sz w:val="21"/>
                <w:szCs w:val="21"/>
              </w:rPr>
              <w:t>提取或分配比例</w:t>
            </w:r>
          </w:p>
        </w:tc>
      </w:tr>
      <w:tr>
        <w:trPr>
          <w:trHeight w:val="277"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single" w:sz="4" w:space="0" w:color="000000"/>
              <w:left w:val="nil" w:sz="6" w:space="0" w:color="auto"/>
              <w:bottom w:val="nil" w:sz="6" w:space="0" w:color="auto"/>
              <w:right w:val="nil" w:sz="6" w:space="0" w:color="auto"/>
            </w:tcBorders>
          </w:tcPr>
          <w:p>
            <w:pPr>
              <w:pStyle w:val="TableParagraph"/>
              <w:tabs>
                <w:tab w:pos="979" w:val="left" w:leader="none"/>
              </w:tabs>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调整前</w:t>
              <w:tab/>
              <w:t>上年末未分配利润</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112,584,973.95</w:t>
            </w:r>
          </w:p>
        </w:tc>
        <w:tc>
          <w:tcPr>
            <w:tcW w:w="1098" w:type="dxa"/>
            <w:tcBorders>
              <w:top w:val="single" w:sz="4" w:space="0" w:color="000000"/>
              <w:left w:val="nil" w:sz="6" w:space="0" w:color="auto"/>
              <w:bottom w:val="nil" w:sz="6" w:space="0" w:color="auto"/>
              <w:right w:val="nil" w:sz="6" w:space="0" w:color="auto"/>
            </w:tcBorders>
          </w:tcPr>
          <w:p>
            <w:pPr/>
          </w:p>
        </w:tc>
        <w:tc>
          <w:tcPr>
            <w:tcW w:w="185" w:type="dxa"/>
            <w:tcBorders>
              <w:top w:val="single" w:sz="4" w:space="0" w:color="000000"/>
              <w:left w:val="nil" w:sz="6" w:space="0" w:color="auto"/>
              <w:bottom w:val="nil" w:sz="6" w:space="0" w:color="auto"/>
              <w:right w:val="nil" w:sz="6" w:space="0" w:color="auto"/>
            </w:tcBorders>
          </w:tcPr>
          <w:p>
            <w:pPr/>
          </w:p>
        </w:tc>
        <w:tc>
          <w:tcPr>
            <w:tcW w:w="1845" w:type="dxa"/>
            <w:tcBorders>
              <w:top w:val="single" w:sz="4" w:space="0" w:color="000000"/>
              <w:left w:val="nil" w:sz="6" w:space="0" w:color="auto"/>
              <w:bottom w:val="nil" w:sz="6" w:space="0" w:color="auto"/>
              <w:right w:val="nil" w:sz="6" w:space="0" w:color="auto"/>
            </w:tcBorders>
          </w:tcPr>
          <w:p>
            <w:pPr/>
          </w:p>
        </w:tc>
      </w:tr>
      <w:tr>
        <w:trPr>
          <w:trHeight w:val="277"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tabs>
                <w:tab w:pos="767" w:val="left" w:leader="none"/>
              </w:tabs>
              <w:spacing w:line="242" w:lineRule="exact"/>
              <w:ind w:left="136" w:right="0"/>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z w:val="21"/>
                <w:szCs w:val="21"/>
              </w:rPr>
              <w:tab/>
            </w:r>
            <w:r>
              <w:rPr>
                <w:rFonts w:ascii="宋体" w:hAnsi="宋体" w:cs="宋体" w:eastAsia="宋体" w:hint="default"/>
                <w:w w:val="100"/>
                <w:sz w:val="21"/>
                <w:szCs w:val="21"/>
              </w:rPr>
              <w:t>年</w:t>
            </w:r>
            <w:r>
              <w:rPr>
                <w:rFonts w:ascii="宋体" w:hAnsi="宋体" w:cs="宋体" w:eastAsia="宋体" w:hint="default"/>
                <w:spacing w:val="-3"/>
                <w:w w:val="100"/>
                <w:sz w:val="21"/>
                <w:szCs w:val="21"/>
              </w:rPr>
              <w:t>初</w:t>
            </w:r>
            <w:r>
              <w:rPr>
                <w:rFonts w:ascii="宋体" w:hAnsi="宋体" w:cs="宋体" w:eastAsia="宋体" w:hint="default"/>
                <w:w w:val="100"/>
                <w:sz w:val="21"/>
                <w:szCs w:val="21"/>
              </w:rPr>
              <w:t>未</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调</w:t>
            </w:r>
            <w:r>
              <w:rPr>
                <w:rFonts w:ascii="宋体" w:hAnsi="宋体" w:cs="宋体" w:eastAsia="宋体" w:hint="default"/>
                <w:w w:val="100"/>
                <w:sz w:val="21"/>
                <w:szCs w:val="21"/>
              </w:rPr>
              <w:t>增</w:t>
            </w:r>
            <w:r>
              <w:rPr>
                <w:rFonts w:ascii="宋体" w:hAnsi="宋体" w:cs="宋体" w:eastAsia="宋体" w:hint="default"/>
                <w:w w:val="100"/>
                <w:sz w:val="21"/>
                <w:szCs w:val="21"/>
              </w:rPr>
              <w:t>+</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调</w:t>
            </w:r>
            <w:r>
              <w:rPr>
                <w:rFonts w:ascii="宋体" w:hAnsi="宋体" w:cs="宋体" w:eastAsia="宋体" w:hint="default"/>
                <w:spacing w:val="-1"/>
                <w:w w:val="100"/>
                <w:sz w:val="21"/>
                <w:szCs w:val="21"/>
              </w:rPr>
              <w:t>减</w:t>
            </w:r>
            <w:r>
              <w:rPr>
                <w:rFonts w:ascii="宋体" w:hAnsi="宋体" w:cs="宋体" w:eastAsia="宋体" w:hint="default"/>
                <w:w w:val="100"/>
                <w:sz w:val="21"/>
                <w:szCs w:val="21"/>
              </w:rPr>
              <w:t>-)</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2" w:lineRule="exact"/>
              <w:ind w:right="11"/>
              <w:jc w:val="right"/>
              <w:rPr>
                <w:rFonts w:ascii="宋体" w:hAnsi="宋体" w:cs="宋体" w:eastAsia="宋体" w:hint="default"/>
                <w:sz w:val="21"/>
                <w:szCs w:val="21"/>
              </w:rPr>
            </w:pPr>
            <w:r>
              <w:rPr>
                <w:rFonts w:ascii="宋体"/>
                <w:w w:val="100"/>
                <w:sz w:val="21"/>
              </w:rPr>
              <w:t>-</w:t>
            </w:r>
          </w:p>
        </w:tc>
        <w:tc>
          <w:tcPr>
            <w:tcW w:w="1098" w:type="dxa"/>
            <w:tcBorders>
              <w:top w:val="nil" w:sz="6" w:space="0" w:color="auto"/>
              <w:left w:val="nil" w:sz="6" w:space="0" w:color="auto"/>
              <w:bottom w:val="single" w:sz="4" w:space="0" w:color="000000"/>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277"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tabs>
                <w:tab w:pos="979" w:val="left" w:leader="none"/>
              </w:tabs>
              <w:spacing w:line="246" w:lineRule="exact"/>
              <w:ind w:left="136" w:right="0"/>
              <w:jc w:val="left"/>
              <w:rPr>
                <w:rFonts w:ascii="宋体" w:hAnsi="宋体" w:cs="宋体" w:eastAsia="宋体" w:hint="default"/>
                <w:sz w:val="21"/>
                <w:szCs w:val="21"/>
              </w:rPr>
            </w:pPr>
            <w:r>
              <w:rPr>
                <w:rFonts w:ascii="宋体" w:hAnsi="宋体" w:cs="宋体" w:eastAsia="宋体" w:hint="default"/>
                <w:sz w:val="21"/>
                <w:szCs w:val="21"/>
              </w:rPr>
              <w:t>调整后</w:t>
              <w:tab/>
              <w:t>年初未分配利润</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112,584,973.95</w:t>
            </w:r>
          </w:p>
        </w:tc>
        <w:tc>
          <w:tcPr>
            <w:tcW w:w="1098" w:type="dxa"/>
            <w:tcBorders>
              <w:top w:val="single" w:sz="4" w:space="0" w:color="000000"/>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272"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加：本年归属于公司所有者的净利润</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2" w:lineRule="exact"/>
              <w:ind w:right="8"/>
              <w:jc w:val="right"/>
              <w:rPr>
                <w:rFonts w:ascii="宋体" w:hAnsi="宋体" w:cs="宋体" w:eastAsia="宋体" w:hint="default"/>
                <w:sz w:val="21"/>
                <w:szCs w:val="21"/>
              </w:rPr>
            </w:pPr>
            <w:r>
              <w:rPr>
                <w:rFonts w:ascii="宋体"/>
                <w:spacing w:val="-1"/>
                <w:sz w:val="21"/>
              </w:rPr>
              <w:t>64,970,176.54</w:t>
            </w:r>
          </w:p>
        </w:tc>
        <w:tc>
          <w:tcPr>
            <w:tcW w:w="109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272"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5,690,276.61</w:t>
            </w:r>
          </w:p>
        </w:tc>
        <w:tc>
          <w:tcPr>
            <w:tcW w:w="3129"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124" w:right="0"/>
              <w:jc w:val="left"/>
              <w:rPr>
                <w:rFonts w:ascii="宋体" w:hAnsi="宋体" w:cs="宋体" w:eastAsia="宋体" w:hint="default"/>
                <w:sz w:val="21"/>
                <w:szCs w:val="21"/>
              </w:rPr>
            </w:pPr>
            <w:r>
              <w:rPr>
                <w:rFonts w:ascii="宋体" w:hAnsi="宋体" w:cs="宋体" w:eastAsia="宋体" w:hint="default"/>
                <w:sz w:val="21"/>
                <w:szCs w:val="21"/>
              </w:rPr>
              <w:t>母公司净利润的</w:t>
            </w:r>
            <w:r>
              <w:rPr>
                <w:rFonts w:ascii="宋体" w:hAnsi="宋体" w:cs="宋体" w:eastAsia="宋体" w:hint="default"/>
                <w:spacing w:val="-52"/>
                <w:sz w:val="21"/>
                <w:szCs w:val="21"/>
              </w:rPr>
              <w:t> </w:t>
            </w:r>
            <w:r>
              <w:rPr>
                <w:rFonts w:ascii="宋体" w:hAnsi="宋体" w:cs="宋体" w:eastAsia="宋体" w:hint="default"/>
                <w:sz w:val="21"/>
                <w:szCs w:val="21"/>
              </w:rPr>
              <w:t>10%</w:t>
            </w:r>
          </w:p>
        </w:tc>
      </w:tr>
      <w:tr>
        <w:trPr>
          <w:trHeight w:val="272"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spacing w:line="242" w:lineRule="exact"/>
              <w:ind w:left="559"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2" w:lineRule="exact"/>
              <w:ind w:right="11"/>
              <w:jc w:val="right"/>
              <w:rPr>
                <w:rFonts w:ascii="宋体" w:hAnsi="宋体" w:cs="宋体" w:eastAsia="宋体" w:hint="default"/>
                <w:sz w:val="21"/>
                <w:szCs w:val="21"/>
              </w:rPr>
            </w:pPr>
            <w:r>
              <w:rPr>
                <w:rFonts w:ascii="宋体"/>
                <w:w w:val="100"/>
                <w:sz w:val="21"/>
              </w:rPr>
              <w:t>-</w:t>
            </w:r>
          </w:p>
        </w:tc>
        <w:tc>
          <w:tcPr>
            <w:tcW w:w="109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r>
      <w:tr>
        <w:trPr>
          <w:trHeight w:val="545"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559"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7,462,000.00</w:t>
            </w:r>
          </w:p>
        </w:tc>
        <w:tc>
          <w:tcPr>
            <w:tcW w:w="3129"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年末可供分配利润</w:t>
            </w:r>
          </w:p>
          <w:p>
            <w:pPr>
              <w:pStyle w:val="TableParagraph"/>
              <w:spacing w:line="274" w:lineRule="exact"/>
              <w:ind w:left="485"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279" w:hRule="exact"/>
        </w:trPr>
        <w:tc>
          <w:tcPr>
            <w:tcW w:w="784" w:type="dxa"/>
            <w:tcBorders>
              <w:top w:val="nil" w:sz="6" w:space="0" w:color="auto"/>
              <w:left w:val="nil" w:sz="6" w:space="0" w:color="auto"/>
              <w:bottom w:val="nil" w:sz="6" w:space="0" w:color="auto"/>
              <w:right w:val="nil" w:sz="6" w:space="0" w:color="auto"/>
            </w:tcBorders>
          </w:tcPr>
          <w:p>
            <w:pPr/>
          </w:p>
        </w:tc>
        <w:tc>
          <w:tcPr>
            <w:tcW w:w="3814"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1" w:lineRule="exact"/>
              <w:ind w:right="11"/>
              <w:jc w:val="right"/>
              <w:rPr>
                <w:rFonts w:ascii="宋体" w:hAnsi="宋体" w:cs="宋体" w:eastAsia="宋体" w:hint="default"/>
                <w:sz w:val="21"/>
                <w:szCs w:val="21"/>
              </w:rPr>
            </w:pPr>
            <w:r>
              <w:rPr>
                <w:rFonts w:ascii="宋体"/>
                <w:w w:val="100"/>
                <w:sz w:val="21"/>
              </w:rPr>
              <w:t>-</w:t>
            </w:r>
          </w:p>
        </w:tc>
        <w:tc>
          <w:tcPr>
            <w:tcW w:w="3129" w:type="dxa"/>
            <w:gridSpan w:val="3"/>
            <w:tcBorders>
              <w:top w:val="nil" w:sz="6" w:space="0" w:color="auto"/>
              <w:left w:val="nil" w:sz="6" w:space="0" w:color="auto"/>
              <w:bottom w:val="nil" w:sz="6" w:space="0" w:color="auto"/>
              <w:right w:val="nil" w:sz="6" w:space="0" w:color="auto"/>
            </w:tcBorders>
          </w:tcPr>
          <w:p>
            <w:pPr/>
          </w:p>
        </w:tc>
      </w:tr>
      <w:tr>
        <w:trPr>
          <w:trHeight w:val="290" w:hRule="exact"/>
        </w:trPr>
        <w:tc>
          <w:tcPr>
            <w:tcW w:w="78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6" w:lineRule="exact"/>
              <w:ind w:left="136"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99"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164,402,873.88</w:t>
            </w:r>
          </w:p>
        </w:tc>
        <w:tc>
          <w:tcPr>
            <w:tcW w:w="3129" w:type="dxa"/>
            <w:gridSpan w:val="3"/>
            <w:tcBorders>
              <w:top w:val="nil" w:sz="6" w:space="0" w:color="auto"/>
              <w:left w:val="nil" w:sz="6" w:space="0" w:color="auto"/>
              <w:bottom w:val="nil" w:sz="6" w:space="0" w:color="auto"/>
              <w:right w:val="nil" w:sz="6" w:space="0" w:color="auto"/>
            </w:tcBorders>
          </w:tcPr>
          <w:p>
            <w:pPr/>
          </w:p>
        </w:tc>
      </w:tr>
    </w:tbl>
    <w:p>
      <w:pPr>
        <w:spacing w:after="0"/>
        <w:sectPr>
          <w:pgSz w:w="11910" w:h="16840"/>
          <w:pgMar w:header="886" w:footer="980" w:top="1740" w:bottom="1160" w:left="88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72"/>
        <w:gridCol w:w="1618"/>
        <w:gridCol w:w="175"/>
        <w:gridCol w:w="1709"/>
        <w:gridCol w:w="238"/>
        <w:gridCol w:w="1721"/>
        <w:gridCol w:w="233"/>
        <w:gridCol w:w="1707"/>
        <w:gridCol w:w="238"/>
        <w:gridCol w:w="1692"/>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502"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8" w:type="dxa"/>
            <w:tcBorders>
              <w:top w:val="single" w:sz="4" w:space="0" w:color="000000"/>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
        </w:tc>
        <w:tc>
          <w:tcPr>
            <w:tcW w:w="233" w:type="dxa"/>
            <w:tcBorders>
              <w:top w:val="single" w:sz="4" w:space="0" w:color="000000"/>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45" w:right="0"/>
              <w:jc w:val="left"/>
              <w:rPr>
                <w:rFonts w:ascii="宋体" w:hAnsi="宋体" w:cs="宋体" w:eastAsia="宋体" w:hint="default"/>
                <w:sz w:val="21"/>
                <w:szCs w:val="21"/>
              </w:rPr>
            </w:pPr>
            <w:r>
              <w:rPr>
                <w:rFonts w:ascii="宋体"/>
                <w:sz w:val="21"/>
              </w:rPr>
              <w:t>6.24</w:t>
            </w:r>
          </w:p>
        </w:tc>
        <w:tc>
          <w:tcPr>
            <w:tcW w:w="35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544"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
              <w:jc w:val="right"/>
              <w:rPr>
                <w:rFonts w:ascii="宋体" w:hAnsi="宋体" w:cs="宋体" w:eastAsia="宋体" w:hint="default"/>
                <w:sz w:val="21"/>
                <w:szCs w:val="21"/>
              </w:rPr>
            </w:pPr>
            <w:r>
              <w:rPr>
                <w:rFonts w:ascii="宋体" w:hAnsi="宋体" w:cs="宋体" w:eastAsia="宋体" w:hint="default"/>
                <w:sz w:val="21"/>
                <w:szCs w:val="21"/>
              </w:rPr>
              <w:t>6.24.1</w:t>
            </w:r>
            <w:r>
              <w:rPr>
                <w:rFonts w:ascii="宋体" w:hAnsi="宋体" w:cs="宋体" w:eastAsia="宋体" w:hint="default"/>
                <w:spacing w:val="-54"/>
                <w:sz w:val="21"/>
                <w:szCs w:val="21"/>
              </w:rPr>
              <w:t> </w:t>
            </w:r>
            <w:r>
              <w:rPr>
                <w:rFonts w:ascii="宋体" w:hAnsi="宋体" w:cs="宋体" w:eastAsia="宋体" w:hint="default"/>
                <w:sz w:val="21"/>
                <w:szCs w:val="21"/>
              </w:rPr>
              <w:t>营业收入</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14"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项目</w:t>
            </w:r>
          </w:p>
        </w:tc>
        <w:tc>
          <w:tcPr>
            <w:tcW w:w="175" w:type="dxa"/>
            <w:tcBorders>
              <w:top w:val="nil" w:sz="6" w:space="0" w:color="auto"/>
              <w:left w:val="nil" w:sz="6" w:space="0" w:color="auto"/>
              <w:bottom w:val="single" w:sz="4" w:space="0" w:color="000000"/>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
        </w:tc>
        <w:tc>
          <w:tcPr>
            <w:tcW w:w="38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2"/>
              <w:ind w:right="38"/>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single" w:sz="4" w:space="0" w:color="000000"/>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7"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5" w:type="dxa"/>
            <w:tcBorders>
              <w:top w:val="single" w:sz="4" w:space="0" w:color="000000"/>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
        </w:tc>
        <w:tc>
          <w:tcPr>
            <w:tcW w:w="3899"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902" w:right="0"/>
              <w:jc w:val="left"/>
              <w:rPr>
                <w:rFonts w:ascii="宋体" w:hAnsi="宋体" w:cs="宋体" w:eastAsia="宋体" w:hint="default"/>
                <w:sz w:val="21"/>
                <w:szCs w:val="21"/>
              </w:rPr>
            </w:pPr>
            <w:r>
              <w:rPr>
                <w:rFonts w:ascii="宋体"/>
                <w:sz w:val="21"/>
              </w:rPr>
              <w:t>390,264,616.77</w:t>
            </w:r>
          </w:p>
        </w:tc>
        <w:tc>
          <w:tcPr>
            <w:tcW w:w="238"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293,866,720.89</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2" w:lineRule="exact"/>
              <w:ind w:left="6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3899"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right="197"/>
              <w:jc w:val="center"/>
              <w:rPr>
                <w:rFonts w:ascii="宋体" w:hAnsi="宋体" w:cs="宋体" w:eastAsia="宋体" w:hint="default"/>
                <w:sz w:val="21"/>
                <w:szCs w:val="21"/>
              </w:rPr>
            </w:pPr>
            <w:r>
              <w:rPr>
                <w:rFonts w:ascii="宋体"/>
                <w:sz w:val="21"/>
              </w:rPr>
              <w:t>434,775.00</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383,400.00</w:t>
            </w:r>
          </w:p>
        </w:tc>
      </w:tr>
      <w:tr>
        <w:trPr>
          <w:trHeight w:val="408"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3899"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902" w:right="0"/>
              <w:jc w:val="left"/>
              <w:rPr>
                <w:rFonts w:ascii="宋体" w:hAnsi="宋体" w:cs="宋体" w:eastAsia="宋体" w:hint="default"/>
                <w:sz w:val="21"/>
                <w:szCs w:val="21"/>
              </w:rPr>
            </w:pPr>
            <w:r>
              <w:rPr>
                <w:rFonts w:ascii="宋体"/>
                <w:sz w:val="21"/>
              </w:rPr>
              <w:t>226,371,728.18</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175,755,281.47</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
        </w:tc>
        <w:tc>
          <w:tcPr>
            <w:tcW w:w="35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6.24.2</w:t>
            </w:r>
            <w:r>
              <w:rPr>
                <w:rFonts w:ascii="宋体" w:hAnsi="宋体" w:cs="宋体" w:eastAsia="宋体" w:hint="default"/>
                <w:spacing w:val="-58"/>
                <w:sz w:val="21"/>
                <w:szCs w:val="21"/>
              </w:rPr>
              <w:t> </w:t>
            </w:r>
            <w:r>
              <w:rPr>
                <w:rFonts w:ascii="宋体" w:hAnsi="宋体" w:cs="宋体" w:eastAsia="宋体" w:hint="default"/>
                <w:sz w:val="21"/>
                <w:szCs w:val="21"/>
              </w:rPr>
              <w:t>主营业务（分行业）</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1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4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175" w:type="dxa"/>
            <w:tcBorders>
              <w:top w:val="nil" w:sz="6" w:space="0" w:color="auto"/>
              <w:left w:val="nil" w:sz="6" w:space="0" w:color="auto"/>
              <w:bottom w:val="nil" w:sz="6" w:space="0" w:color="auto"/>
              <w:right w:val="nil" w:sz="6" w:space="0" w:color="auto"/>
            </w:tcBorders>
          </w:tcPr>
          <w:p>
            <w:pPr/>
          </w:p>
        </w:tc>
        <w:tc>
          <w:tcPr>
            <w:tcW w:w="366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86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237"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28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0"/>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4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8" w:type="dxa"/>
            <w:tcBorders>
              <w:top w:val="single" w:sz="4" w:space="0" w:color="000000"/>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8"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77"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352,782,734.61</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197,277,389.46</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261,949,910.64</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152,682,017.22</w:t>
            </w:r>
          </w:p>
        </w:tc>
      </w:tr>
      <w:tr>
        <w:trPr>
          <w:trHeight w:val="278"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37,481,882.16</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28,901,128.79</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2" w:lineRule="exact"/>
              <w:ind w:left="126" w:right="0"/>
              <w:jc w:val="center"/>
              <w:rPr>
                <w:rFonts w:ascii="宋体" w:hAnsi="宋体" w:cs="宋体" w:eastAsia="宋体" w:hint="default"/>
                <w:sz w:val="21"/>
                <w:szCs w:val="21"/>
              </w:rPr>
            </w:pPr>
            <w:r>
              <w:rPr>
                <w:rFonts w:ascii="宋体"/>
                <w:sz w:val="21"/>
              </w:rPr>
              <w:t>31,916,810.25</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22,961,851.27</w:t>
            </w:r>
          </w:p>
        </w:tc>
      </w:tr>
      <w:tr>
        <w:trPr>
          <w:trHeight w:val="29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390,264,616.77</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226,178,518.25</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293,866,720.89</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175,643,868.49</w:t>
            </w:r>
          </w:p>
        </w:tc>
      </w:tr>
      <w:tr>
        <w:trPr>
          <w:trHeight w:val="696" w:hRule="exact"/>
        </w:trPr>
        <w:tc>
          <w:tcPr>
            <w:tcW w:w="772" w:type="dxa"/>
            <w:tcBorders>
              <w:top w:val="nil" w:sz="6" w:space="0" w:color="auto"/>
              <w:left w:val="nil" w:sz="6" w:space="0" w:color="auto"/>
              <w:bottom w:val="nil" w:sz="6" w:space="0" w:color="auto"/>
              <w:right w:val="nil" w:sz="6" w:space="0" w:color="auto"/>
            </w:tcBorders>
          </w:tcPr>
          <w:p>
            <w:pPr/>
          </w:p>
        </w:tc>
        <w:tc>
          <w:tcPr>
            <w:tcW w:w="35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6.24.3 </w:t>
            </w:r>
            <w:r>
              <w:rPr>
                <w:rFonts w:ascii="宋体" w:hAnsi="宋体" w:cs="宋体" w:eastAsia="宋体" w:hint="default"/>
                <w:sz w:val="21"/>
                <w:szCs w:val="21"/>
              </w:rPr>
              <w:t>主营业务 （分地区）</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single" w:sz="12"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single" w:sz="12" w:space="0" w:color="000000"/>
              <w:left w:val="nil" w:sz="6" w:space="0" w:color="auto"/>
              <w:bottom w:val="nil" w:sz="6" w:space="0" w:color="auto"/>
              <w:right w:val="nil" w:sz="6" w:space="0" w:color="auto"/>
            </w:tcBorders>
          </w:tcPr>
          <w:p>
            <w:pPr/>
          </w:p>
        </w:tc>
      </w:tr>
      <w:tr>
        <w:trPr>
          <w:trHeight w:val="41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43"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175" w:type="dxa"/>
            <w:tcBorders>
              <w:top w:val="nil" w:sz="6" w:space="0" w:color="auto"/>
              <w:left w:val="nil" w:sz="6" w:space="0" w:color="auto"/>
              <w:bottom w:val="nil" w:sz="6" w:space="0" w:color="auto"/>
              <w:right w:val="nil" w:sz="6" w:space="0" w:color="auto"/>
            </w:tcBorders>
          </w:tcPr>
          <w:p>
            <w:pPr/>
          </w:p>
        </w:tc>
        <w:tc>
          <w:tcPr>
            <w:tcW w:w="366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3"/>
              <w:ind w:right="24"/>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86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227"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28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single" w:sz="4" w:space="0" w:color="000000"/>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8" w:type="dxa"/>
            <w:tcBorders>
              <w:top w:val="single" w:sz="4" w:space="0" w:color="000000"/>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8"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57"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日本国</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
        </w:tc>
      </w:tr>
      <w:tr>
        <w:trPr>
          <w:trHeight w:val="290"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软件销售</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311,668,271.80</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62" w:lineRule="exact"/>
              <w:ind w:right="115"/>
              <w:jc w:val="right"/>
              <w:rPr>
                <w:rFonts w:ascii="宋体" w:hAnsi="宋体" w:cs="宋体" w:eastAsia="宋体" w:hint="default"/>
                <w:sz w:val="21"/>
                <w:szCs w:val="21"/>
              </w:rPr>
            </w:pPr>
            <w:r>
              <w:rPr>
                <w:rFonts w:ascii="宋体"/>
                <w:spacing w:val="-1"/>
                <w:sz w:val="21"/>
              </w:rPr>
              <w:t>168,571,813.11</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229,035,935.40</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130,433,788.34</w:t>
            </w:r>
          </w:p>
        </w:tc>
      </w:tr>
      <w:tr>
        <w:trPr>
          <w:trHeight w:val="255"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美国</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290"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软件销售</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12,680,282.12</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62" w:lineRule="exact"/>
              <w:ind w:right="115"/>
              <w:jc w:val="right"/>
              <w:rPr>
                <w:rFonts w:ascii="宋体" w:hAnsi="宋体" w:cs="宋体" w:eastAsia="宋体" w:hint="default"/>
                <w:sz w:val="21"/>
                <w:szCs w:val="21"/>
              </w:rPr>
            </w:pPr>
            <w:r>
              <w:rPr>
                <w:rFonts w:ascii="宋体"/>
                <w:spacing w:val="-1"/>
                <w:sz w:val="21"/>
              </w:rPr>
              <w:t>7,821,001.93</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12,103,073.78</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7,284,171.92</w:t>
            </w:r>
          </w:p>
        </w:tc>
      </w:tr>
      <w:tr>
        <w:trPr>
          <w:trHeight w:val="25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中国</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290"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软件销售</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28,434,180.69</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61" w:lineRule="exact"/>
              <w:ind w:right="115"/>
              <w:jc w:val="right"/>
              <w:rPr>
                <w:rFonts w:ascii="宋体" w:hAnsi="宋体" w:cs="宋体" w:eastAsia="宋体" w:hint="default"/>
                <w:sz w:val="21"/>
                <w:szCs w:val="21"/>
              </w:rPr>
            </w:pPr>
            <w:r>
              <w:rPr>
                <w:rFonts w:ascii="宋体"/>
                <w:spacing w:val="-1"/>
                <w:sz w:val="21"/>
              </w:rPr>
              <w:t>20,884,574.42</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61" w:lineRule="exact"/>
              <w:ind w:left="131" w:right="0"/>
              <w:jc w:val="center"/>
              <w:rPr>
                <w:rFonts w:ascii="宋体" w:hAnsi="宋体" w:cs="宋体" w:eastAsia="宋体" w:hint="default"/>
                <w:sz w:val="21"/>
                <w:szCs w:val="21"/>
              </w:rPr>
            </w:pPr>
            <w:r>
              <w:rPr>
                <w:rFonts w:ascii="宋体"/>
                <w:sz w:val="21"/>
              </w:rPr>
              <w:t>20,810,901.46</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14,964,056.96</w:t>
            </w:r>
          </w:p>
        </w:tc>
      </w:tr>
      <w:tr>
        <w:trPr>
          <w:trHeight w:val="280"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09" w:lineRule="exact"/>
              <w:ind w:left="607"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37,481,882.16</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44" w:lineRule="exact"/>
              <w:ind w:right="115"/>
              <w:jc w:val="right"/>
              <w:rPr>
                <w:rFonts w:ascii="宋体" w:hAnsi="宋体" w:cs="宋体" w:eastAsia="宋体" w:hint="default"/>
                <w:sz w:val="21"/>
                <w:szCs w:val="21"/>
              </w:rPr>
            </w:pPr>
            <w:r>
              <w:rPr>
                <w:rFonts w:ascii="宋体"/>
                <w:spacing w:val="-1"/>
                <w:sz w:val="21"/>
              </w:rPr>
              <w:t>28,901,128.79</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4" w:lineRule="exact"/>
              <w:ind w:left="131" w:right="0"/>
              <w:jc w:val="center"/>
              <w:rPr>
                <w:rFonts w:ascii="宋体" w:hAnsi="宋体" w:cs="宋体" w:eastAsia="宋体" w:hint="default"/>
                <w:sz w:val="21"/>
                <w:szCs w:val="21"/>
              </w:rPr>
            </w:pPr>
            <w:r>
              <w:rPr>
                <w:rFonts w:ascii="宋体"/>
                <w:sz w:val="21"/>
              </w:rPr>
              <w:t>31,916,810.25</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22,961,851.27</w:t>
            </w:r>
          </w:p>
        </w:tc>
      </w:tr>
      <w:tr>
        <w:trPr>
          <w:trHeight w:val="293" w:hRule="exact"/>
        </w:trPr>
        <w:tc>
          <w:tcPr>
            <w:tcW w:w="77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390,264,616.77</w:t>
            </w:r>
          </w:p>
        </w:tc>
        <w:tc>
          <w:tcPr>
            <w:tcW w:w="238"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15"/>
              <w:jc w:val="right"/>
              <w:rPr>
                <w:rFonts w:ascii="宋体" w:hAnsi="宋体" w:cs="宋体" w:eastAsia="宋体" w:hint="default"/>
                <w:sz w:val="21"/>
                <w:szCs w:val="21"/>
              </w:rPr>
            </w:pPr>
            <w:r>
              <w:rPr>
                <w:rFonts w:ascii="宋体"/>
                <w:spacing w:val="-1"/>
                <w:sz w:val="21"/>
              </w:rPr>
              <w:t>226,178,518.25</w:t>
            </w:r>
          </w:p>
        </w:tc>
        <w:tc>
          <w:tcPr>
            <w:tcW w:w="233"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25" w:right="0"/>
              <w:jc w:val="center"/>
              <w:rPr>
                <w:rFonts w:ascii="宋体" w:hAnsi="宋体" w:cs="宋体" w:eastAsia="宋体" w:hint="default"/>
                <w:sz w:val="21"/>
                <w:szCs w:val="21"/>
              </w:rPr>
            </w:pPr>
            <w:r>
              <w:rPr>
                <w:rFonts w:ascii="宋体"/>
                <w:sz w:val="21"/>
              </w:rPr>
              <w:t>293,866,720.89</w:t>
            </w:r>
          </w:p>
        </w:tc>
        <w:tc>
          <w:tcPr>
            <w:tcW w:w="238"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175,643,868.49</w:t>
            </w:r>
          </w:p>
        </w:tc>
      </w:tr>
    </w:tbl>
    <w:p>
      <w:pPr>
        <w:spacing w:after="0" w:line="243" w:lineRule="exact"/>
        <w:jc w:val="right"/>
        <w:rPr>
          <w:rFonts w:ascii="宋体" w:hAnsi="宋体" w:cs="宋体" w:eastAsia="宋体" w:hint="default"/>
          <w:sz w:val="21"/>
          <w:szCs w:val="21"/>
        </w:rPr>
        <w:sectPr>
          <w:pgSz w:w="11910" w:h="16840"/>
          <w:pgMar w:header="886" w:footer="980" w:top="1740" w:bottom="1160" w:left="900" w:right="700"/>
        </w:sectPr>
      </w:pPr>
    </w:p>
    <w:p>
      <w:pPr>
        <w:spacing w:line="240" w:lineRule="auto" w:before="9"/>
        <w:rPr>
          <w:rFonts w:ascii="Times New Roman" w:hAnsi="Times New Roman" w:cs="Times New Roman" w:eastAsia="Times New Roman" w:hint="default"/>
          <w:sz w:val="4"/>
          <w:szCs w:val="4"/>
        </w:rPr>
      </w:pPr>
      <w:r>
        <w:rPr/>
        <w:pict>
          <v:group style="position:absolute;margin-left:253.130005pt;margin-top:268.579987pt;width:141.75pt;height:.1pt;mso-position-horizontal-relative:page;mso-position-vertical-relative:page;z-index:-794776" coordorigin="5063,5372" coordsize="2835,2">
            <v:shape style="position:absolute;left:5063;top:5372;width:2835;height:2" coordorigin="5063,5372" coordsize="2835,0" path="m5063,5372l7897,5372e" filled="false" stroked="true" strokeweight=".48001pt" strokecolor="#000000">
              <v:path arrowok="t"/>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772"/>
        <w:gridCol w:w="2374"/>
        <w:gridCol w:w="283"/>
        <w:gridCol w:w="348"/>
        <w:gridCol w:w="2133"/>
        <w:gridCol w:w="1631"/>
        <w:gridCol w:w="283"/>
        <w:gridCol w:w="2232"/>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5138"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1631"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6.24</w:t>
            </w:r>
          </w:p>
        </w:tc>
        <w:tc>
          <w:tcPr>
            <w:tcW w:w="513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91" w:right="0"/>
              <w:jc w:val="left"/>
              <w:rPr>
                <w:rFonts w:ascii="宋体" w:hAnsi="宋体" w:cs="宋体" w:eastAsia="宋体" w:hint="default"/>
                <w:sz w:val="21"/>
                <w:szCs w:val="21"/>
              </w:rPr>
            </w:pPr>
            <w:r>
              <w:rPr>
                <w:rFonts w:ascii="宋体" w:hAnsi="宋体" w:cs="宋体" w:eastAsia="宋体" w:hint="default"/>
                <w:sz w:val="21"/>
                <w:szCs w:val="21"/>
              </w:rPr>
              <w:t>营业收入及营业成本（续）</w:t>
            </w:r>
          </w:p>
        </w:tc>
        <w:tc>
          <w:tcPr>
            <w:tcW w:w="163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r>
      <w:tr>
        <w:trPr>
          <w:trHeight w:val="544" w:hRule="exact"/>
        </w:trPr>
        <w:tc>
          <w:tcPr>
            <w:tcW w:w="1005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3"/>
              <w:ind w:left="963" w:right="0"/>
              <w:jc w:val="left"/>
              <w:rPr>
                <w:rFonts w:ascii="宋体" w:hAnsi="宋体" w:cs="宋体" w:eastAsia="宋体" w:hint="default"/>
                <w:sz w:val="21"/>
                <w:szCs w:val="21"/>
              </w:rPr>
            </w:pPr>
            <w:r>
              <w:rPr>
                <w:rFonts w:ascii="宋体" w:hAnsi="宋体" w:cs="宋体" w:eastAsia="宋体" w:hint="default"/>
                <w:sz w:val="21"/>
                <w:szCs w:val="21"/>
              </w:rPr>
              <w:t>6.24.4</w:t>
            </w:r>
            <w:r>
              <w:rPr>
                <w:rFonts w:ascii="宋体" w:hAnsi="宋体" w:cs="宋体" w:eastAsia="宋体" w:hint="default"/>
                <w:spacing w:val="-3"/>
                <w:sz w:val="21"/>
                <w:szCs w:val="21"/>
              </w:rPr>
              <w:t> </w:t>
            </w:r>
            <w:r>
              <w:rPr>
                <w:rFonts w:ascii="宋体" w:hAnsi="宋体" w:cs="宋体" w:eastAsia="宋体" w:hint="default"/>
                <w:sz w:val="21"/>
                <w:szCs w:val="21"/>
              </w:rPr>
              <w:t>公司前五名客户的营业收入情况</w:t>
            </w:r>
          </w:p>
        </w:tc>
      </w:tr>
      <w:tr>
        <w:trPr>
          <w:trHeight w:val="414"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75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83" w:type="dxa"/>
            <w:tcBorders>
              <w:top w:val="nil" w:sz="6" w:space="0" w:color="auto"/>
              <w:left w:val="nil" w:sz="6" w:space="0" w:color="auto"/>
              <w:bottom w:val="single" w:sz="4" w:space="0" w:color="000000"/>
              <w:right w:val="nil" w:sz="6" w:space="0" w:color="auto"/>
            </w:tcBorders>
          </w:tcPr>
          <w:p>
            <w:pPr/>
          </w:p>
        </w:tc>
        <w:tc>
          <w:tcPr>
            <w:tcW w:w="348" w:type="dxa"/>
            <w:tcBorders>
              <w:top w:val="nil" w:sz="6" w:space="0" w:color="auto"/>
              <w:left w:val="nil" w:sz="6" w:space="0" w:color="auto"/>
              <w:bottom w:val="single" w:sz="4" w:space="0" w:color="000000"/>
              <w:right w:val="nil" w:sz="6" w:space="0" w:color="auto"/>
            </w:tcBorders>
          </w:tcPr>
          <w:p>
            <w:pPr/>
          </w:p>
        </w:tc>
        <w:tc>
          <w:tcPr>
            <w:tcW w:w="213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70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41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1446"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77"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single" w:sz="4" w:space="0" w:color="000000"/>
              <w:left w:val="nil" w:sz="6" w:space="0" w:color="auto"/>
              <w:bottom w:val="nil" w:sz="6" w:space="0" w:color="auto"/>
              <w:right w:val="nil" w:sz="6" w:space="0" w:color="auto"/>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第一名客户</w:t>
            </w:r>
          </w:p>
        </w:tc>
        <w:tc>
          <w:tcPr>
            <w:tcW w:w="283" w:type="dxa"/>
            <w:tcBorders>
              <w:top w:val="single" w:sz="4" w:space="0" w:color="000000"/>
              <w:left w:val="nil" w:sz="6" w:space="0" w:color="auto"/>
              <w:bottom w:val="nil" w:sz="6" w:space="0" w:color="auto"/>
              <w:right w:val="nil" w:sz="6" w:space="0" w:color="auto"/>
            </w:tcBorders>
          </w:tcPr>
          <w:p>
            <w:pPr/>
          </w:p>
        </w:tc>
        <w:tc>
          <w:tcPr>
            <w:tcW w:w="348" w:type="dxa"/>
            <w:tcBorders>
              <w:top w:val="single" w:sz="4" w:space="0" w:color="000000"/>
              <w:left w:val="nil" w:sz="6" w:space="0" w:color="auto"/>
              <w:bottom w:val="nil" w:sz="6" w:space="0" w:color="auto"/>
              <w:right w:val="nil" w:sz="6" w:space="0" w:color="auto"/>
            </w:tcBorders>
          </w:tcPr>
          <w:p>
            <w:pPr/>
          </w:p>
        </w:tc>
        <w:tc>
          <w:tcPr>
            <w:tcW w:w="3764"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540" w:right="0"/>
              <w:jc w:val="left"/>
              <w:rPr>
                <w:rFonts w:ascii="宋体" w:hAnsi="宋体" w:cs="宋体" w:eastAsia="宋体" w:hint="default"/>
                <w:sz w:val="21"/>
                <w:szCs w:val="21"/>
              </w:rPr>
            </w:pPr>
            <w:r>
              <w:rPr>
                <w:rFonts w:ascii="宋体"/>
                <w:sz w:val="21"/>
              </w:rPr>
              <w:t>116,426,819.68</w:t>
            </w:r>
          </w:p>
        </w:tc>
        <w:tc>
          <w:tcPr>
            <w:tcW w:w="283" w:type="dxa"/>
            <w:tcBorders>
              <w:top w:val="single" w:sz="4" w:space="0" w:color="000000"/>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29.80%</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2" w:lineRule="exact"/>
              <w:ind w:left="191" w:right="0"/>
              <w:jc w:val="left"/>
              <w:rPr>
                <w:rFonts w:ascii="宋体" w:hAnsi="宋体" w:cs="宋体" w:eastAsia="宋体" w:hint="default"/>
                <w:sz w:val="21"/>
                <w:szCs w:val="21"/>
              </w:rPr>
            </w:pPr>
            <w:r>
              <w:rPr>
                <w:rFonts w:ascii="宋体" w:hAnsi="宋体" w:cs="宋体" w:eastAsia="宋体" w:hint="default"/>
                <w:sz w:val="21"/>
                <w:szCs w:val="21"/>
              </w:rPr>
              <w:t>第二名客户</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3764"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1646" w:right="0"/>
              <w:jc w:val="left"/>
              <w:rPr>
                <w:rFonts w:ascii="宋体" w:hAnsi="宋体" w:cs="宋体" w:eastAsia="宋体" w:hint="default"/>
                <w:sz w:val="21"/>
                <w:szCs w:val="21"/>
              </w:rPr>
            </w:pPr>
            <w:r>
              <w:rPr>
                <w:rFonts w:ascii="宋体"/>
                <w:sz w:val="21"/>
              </w:rPr>
              <w:t>80,345,629.61</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20.56%</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第三名客户</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3764"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646" w:right="0"/>
              <w:jc w:val="left"/>
              <w:rPr>
                <w:rFonts w:ascii="宋体" w:hAnsi="宋体" w:cs="宋体" w:eastAsia="宋体" w:hint="default"/>
                <w:sz w:val="21"/>
                <w:szCs w:val="21"/>
              </w:rPr>
            </w:pPr>
            <w:r>
              <w:rPr>
                <w:rFonts w:ascii="宋体"/>
                <w:sz w:val="21"/>
              </w:rPr>
              <w:t>30,598,580.87</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7.83%</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2" w:lineRule="exact"/>
              <w:ind w:left="191" w:right="0"/>
              <w:jc w:val="left"/>
              <w:rPr>
                <w:rFonts w:ascii="宋体" w:hAnsi="宋体" w:cs="宋体" w:eastAsia="宋体" w:hint="default"/>
                <w:sz w:val="21"/>
                <w:szCs w:val="21"/>
              </w:rPr>
            </w:pPr>
            <w:r>
              <w:rPr>
                <w:rFonts w:ascii="宋体" w:hAnsi="宋体" w:cs="宋体" w:eastAsia="宋体" w:hint="default"/>
                <w:sz w:val="21"/>
                <w:szCs w:val="21"/>
              </w:rPr>
              <w:t>第三名客户</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3764"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1646" w:right="0"/>
              <w:jc w:val="left"/>
              <w:rPr>
                <w:rFonts w:ascii="宋体" w:hAnsi="宋体" w:cs="宋体" w:eastAsia="宋体" w:hint="default"/>
                <w:sz w:val="21"/>
                <w:szCs w:val="21"/>
              </w:rPr>
            </w:pPr>
            <w:r>
              <w:rPr>
                <w:rFonts w:ascii="宋体"/>
                <w:sz w:val="21"/>
              </w:rPr>
              <w:t>22,446,232.00</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5.75%</w:t>
            </w:r>
          </w:p>
        </w:tc>
      </w:tr>
      <w:tr>
        <w:trPr>
          <w:trHeight w:val="279"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第五名客户</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3764"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646" w:right="0"/>
              <w:jc w:val="left"/>
              <w:rPr>
                <w:rFonts w:ascii="宋体" w:hAnsi="宋体" w:cs="宋体" w:eastAsia="宋体" w:hint="default"/>
                <w:sz w:val="21"/>
                <w:szCs w:val="21"/>
              </w:rPr>
            </w:pPr>
            <w:r>
              <w:rPr>
                <w:rFonts w:ascii="宋体"/>
                <w:sz w:val="21"/>
              </w:rPr>
              <w:t>19,256,710.57</w:t>
            </w:r>
          </w:p>
        </w:tc>
        <w:tc>
          <w:tcPr>
            <w:tcW w:w="283" w:type="dxa"/>
            <w:tcBorders>
              <w:top w:val="nil" w:sz="6" w:space="0" w:color="auto"/>
              <w:left w:val="nil" w:sz="6" w:space="0" w:color="auto"/>
              <w:bottom w:val="single" w:sz="4" w:space="0" w:color="000000"/>
              <w:right w:val="nil" w:sz="6" w:space="0" w:color="auto"/>
            </w:tcBorders>
          </w:tcPr>
          <w:p>
            <w:pPr/>
          </w:p>
        </w:tc>
        <w:tc>
          <w:tcPr>
            <w:tcW w:w="2232"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4.93%</w:t>
            </w:r>
          </w:p>
        </w:tc>
      </w:tr>
      <w:tr>
        <w:trPr>
          <w:trHeight w:val="291"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6" w:lineRule="exact"/>
              <w:ind w:left="1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3764"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540" w:right="0"/>
              <w:jc w:val="left"/>
              <w:rPr>
                <w:rFonts w:ascii="宋体" w:hAnsi="宋体" w:cs="宋体" w:eastAsia="宋体" w:hint="default"/>
                <w:sz w:val="21"/>
                <w:szCs w:val="21"/>
              </w:rPr>
            </w:pPr>
            <w:r>
              <w:rPr>
                <w:rFonts w:ascii="宋体"/>
                <w:sz w:val="21"/>
              </w:rPr>
              <w:t>269,073,972.73</w:t>
            </w:r>
          </w:p>
        </w:tc>
        <w:tc>
          <w:tcPr>
            <w:tcW w:w="283" w:type="dxa"/>
            <w:tcBorders>
              <w:top w:val="single" w:sz="4" w:space="0" w:color="000000"/>
              <w:left w:val="nil" w:sz="6" w:space="0" w:color="auto"/>
              <w:bottom w:val="single" w:sz="12" w:space="0" w:color="000000"/>
              <w:right w:val="nil" w:sz="6" w:space="0" w:color="auto"/>
            </w:tcBorders>
          </w:tcPr>
          <w:p>
            <w:pPr/>
          </w:p>
        </w:tc>
        <w:tc>
          <w:tcPr>
            <w:tcW w:w="223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68.87%</w:t>
            </w:r>
          </w:p>
        </w:tc>
      </w:tr>
      <w:tr>
        <w:trPr>
          <w:trHeight w:val="970" w:hRule="exact"/>
        </w:trPr>
        <w:tc>
          <w:tcPr>
            <w:tcW w:w="10056" w:type="dxa"/>
            <w:gridSpan w:val="8"/>
            <w:tcBorders>
              <w:top w:val="nil" w:sz="6" w:space="0" w:color="auto"/>
              <w:left w:val="nil" w:sz="6" w:space="0" w:color="auto"/>
              <w:bottom w:val="nil" w:sz="6" w:space="0" w:color="auto"/>
              <w:right w:val="nil" w:sz="6" w:space="0" w:color="auto"/>
            </w:tcBorders>
          </w:tcPr>
          <w:p>
            <w:pPr>
              <w:pStyle w:val="TableParagraph"/>
              <w:spacing w:line="29" w:lineRule="exact"/>
              <w:ind w:left="405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42.25pt;height:1.5pt;mso-position-horizontal-relative:char;mso-position-vertical-relative:line" coordorigin="0,0" coordsize="2845,30">
                  <v:group style="position:absolute;left:5;top:5;width:2835;height:2" coordorigin="5,5" coordsize="2835,2">
                    <v:shape style="position:absolute;left:5;top:5;width:2835;height:2" coordorigin="5,5" coordsize="2835,0" path="m5,5l2840,5e" filled="false" stroked="true" strokeweight=".48001pt" strokecolor="#000000">
                      <v:path arrowok="t"/>
                    </v:shape>
                  </v:group>
                  <v:group style="position:absolute;left:5;top:25;width:2835;height:2" coordorigin="5,25" coordsize="2835,2">
                    <v:shape style="position:absolute;left:5;top:25;width:2835;height:2" coordorigin="5,25" coordsize="2835,0" path="m5,25l2840,25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63" w:right="117"/>
              <w:jc w:val="left"/>
              <w:rPr>
                <w:rFonts w:ascii="宋体" w:hAnsi="宋体" w:cs="宋体" w:eastAsia="宋体" w:hint="default"/>
                <w:sz w:val="21"/>
                <w:szCs w:val="21"/>
              </w:rPr>
            </w:pPr>
            <w:r>
              <w:rPr>
                <w:rFonts w:ascii="宋体" w:hAnsi="宋体" w:cs="宋体" w:eastAsia="宋体" w:hint="default"/>
                <w:sz w:val="21"/>
                <w:szCs w:val="21"/>
              </w:rPr>
              <w:t>营业收入本年发生数比上年发生数增加 </w:t>
            </w:r>
            <w:r>
              <w:rPr>
                <w:rFonts w:ascii="宋体" w:hAnsi="宋体" w:cs="宋体" w:eastAsia="宋体" w:hint="default"/>
                <w:sz w:val="21"/>
                <w:szCs w:val="21"/>
              </w:rPr>
              <w:t>96,449,270.88 </w:t>
            </w:r>
            <w:r>
              <w:rPr>
                <w:rFonts w:ascii="宋体" w:hAnsi="宋体" w:cs="宋体" w:eastAsia="宋体" w:hint="default"/>
                <w:sz w:val="21"/>
                <w:szCs w:val="21"/>
              </w:rPr>
              <w:t>元，增加比例为</w:t>
            </w:r>
            <w:r>
              <w:rPr>
                <w:rFonts w:ascii="宋体" w:hAnsi="宋体" w:cs="宋体" w:eastAsia="宋体" w:hint="default"/>
                <w:spacing w:val="-71"/>
                <w:sz w:val="21"/>
                <w:szCs w:val="21"/>
              </w:rPr>
              <w:t> </w:t>
            </w:r>
            <w:r>
              <w:rPr>
                <w:rFonts w:ascii="宋体" w:hAnsi="宋体" w:cs="宋体" w:eastAsia="宋体" w:hint="default"/>
                <w:sz w:val="21"/>
                <w:szCs w:val="21"/>
              </w:rPr>
              <w:t>32.78%</w:t>
            </w:r>
            <w:r>
              <w:rPr>
                <w:rFonts w:ascii="宋体" w:hAnsi="宋体" w:cs="宋体" w:eastAsia="宋体" w:hint="default"/>
                <w:sz w:val="21"/>
                <w:szCs w:val="21"/>
              </w:rPr>
              <w:t>，主要原因为：本</w:t>
            </w:r>
            <w:r>
              <w:rPr>
                <w:rFonts w:ascii="宋体" w:hAnsi="宋体" w:cs="宋体" w:eastAsia="宋体" w:hint="default"/>
                <w:w w:val="100"/>
                <w:sz w:val="21"/>
                <w:szCs w:val="21"/>
              </w:rPr>
              <w:t> </w:t>
            </w:r>
            <w:r>
              <w:rPr>
                <w:rFonts w:ascii="宋体" w:hAnsi="宋体" w:cs="宋体" w:eastAsia="宋体" w:hint="default"/>
                <w:sz w:val="21"/>
                <w:szCs w:val="21"/>
              </w:rPr>
              <w:t>年来自主要业务市场日本企业的订单增加，对日本企业销售增长较快所致。</w:t>
            </w:r>
          </w:p>
        </w:tc>
      </w:tr>
      <w:tr>
        <w:trPr>
          <w:trHeight w:val="5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
              <w:jc w:val="right"/>
              <w:rPr>
                <w:rFonts w:ascii="宋体" w:hAnsi="宋体" w:cs="宋体" w:eastAsia="宋体" w:hint="default"/>
                <w:sz w:val="21"/>
                <w:szCs w:val="21"/>
              </w:rPr>
            </w:pPr>
            <w:r>
              <w:rPr>
                <w:rFonts w:ascii="宋体"/>
                <w:sz w:val="21"/>
              </w:rPr>
              <w:t>6.25</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r>
      <w:tr>
        <w:trPr>
          <w:trHeight w:val="413"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8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single" w:sz="4" w:space="0" w:color="000000"/>
              <w:right w:val="nil" w:sz="6" w:space="0" w:color="auto"/>
            </w:tcBorders>
          </w:tcPr>
          <w:p>
            <w:pPr/>
          </w:p>
        </w:tc>
        <w:tc>
          <w:tcPr>
            <w:tcW w:w="213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6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687"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77"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single" w:sz="4" w:space="0" w:color="000000"/>
              <w:left w:val="nil" w:sz="6" w:space="0" w:color="auto"/>
              <w:bottom w:val="nil" w:sz="6" w:space="0" w:color="auto"/>
              <w:right w:val="nil" w:sz="6" w:space="0" w:color="auto"/>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single" w:sz="4" w:space="0" w:color="000000"/>
              <w:left w:val="nil" w:sz="6" w:space="0" w:color="auto"/>
              <w:bottom w:val="nil" w:sz="6" w:space="0" w:color="auto"/>
              <w:right w:val="nil" w:sz="6" w:space="0" w:color="auto"/>
            </w:tcBorders>
          </w:tcPr>
          <w:p>
            <w:pPr/>
          </w:p>
        </w:tc>
        <w:tc>
          <w:tcPr>
            <w:tcW w:w="2133" w:type="dxa"/>
            <w:tcBorders>
              <w:top w:val="single" w:sz="4" w:space="0" w:color="000000"/>
              <w:left w:val="nil" w:sz="6" w:space="0" w:color="auto"/>
              <w:bottom w:val="nil" w:sz="6" w:space="0" w:color="auto"/>
              <w:right w:val="nil" w:sz="6" w:space="0" w:color="auto"/>
            </w:tcBorders>
          </w:tcPr>
          <w:p>
            <w:pPr>
              <w:pStyle w:val="TableParagraph"/>
              <w:spacing w:line="241" w:lineRule="exact"/>
              <w:ind w:left="328" w:right="0"/>
              <w:jc w:val="left"/>
              <w:rPr>
                <w:rFonts w:ascii="宋体" w:hAnsi="宋体" w:cs="宋体" w:eastAsia="宋体" w:hint="default"/>
                <w:sz w:val="21"/>
                <w:szCs w:val="21"/>
              </w:rPr>
            </w:pPr>
            <w:r>
              <w:rPr>
                <w:rFonts w:ascii="宋体"/>
                <w:sz w:val="21"/>
              </w:rPr>
              <w:t>482,510.48</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302,838.84</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single" w:sz="4" w:space="0" w:color="000000"/>
              <w:left w:val="nil" w:sz="6" w:space="0" w:color="auto"/>
              <w:bottom w:val="nil" w:sz="6" w:space="0" w:color="auto"/>
              <w:right w:val="nil" w:sz="6" w:space="0" w:color="auto"/>
            </w:tcBorders>
          </w:tcPr>
          <w:p>
            <w:pPr>
              <w:pStyle w:val="TableParagraph"/>
              <w:spacing w:line="241" w:lineRule="exact"/>
              <w:ind w:right="16"/>
              <w:jc w:val="center"/>
              <w:rPr>
                <w:rFonts w:ascii="宋体" w:hAnsi="宋体" w:cs="宋体" w:eastAsia="宋体" w:hint="default"/>
                <w:sz w:val="21"/>
                <w:szCs w:val="21"/>
              </w:rPr>
            </w:pPr>
            <w:r>
              <w:rPr>
                <w:rFonts w:ascii="宋体"/>
                <w:sz w:val="21"/>
              </w:rPr>
              <w:t>5%</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2" w:lineRule="exact"/>
              <w:ind w:left="19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2" w:lineRule="exact"/>
              <w:ind w:left="328" w:right="0"/>
              <w:jc w:val="left"/>
              <w:rPr>
                <w:rFonts w:ascii="宋体" w:hAnsi="宋体" w:cs="宋体" w:eastAsia="宋体" w:hint="default"/>
                <w:sz w:val="21"/>
                <w:szCs w:val="21"/>
              </w:rPr>
            </w:pPr>
            <w:r>
              <w:rPr>
                <w:rFonts w:ascii="宋体"/>
                <w:sz w:val="21"/>
              </w:rPr>
              <w:t>108,318.38</w:t>
            </w:r>
          </w:p>
        </w:tc>
        <w:tc>
          <w:tcPr>
            <w:tcW w:w="1631"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33,083.53</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2" w:lineRule="exact"/>
              <w:ind w:right="16"/>
              <w:jc w:val="center"/>
              <w:rPr>
                <w:rFonts w:ascii="宋体" w:hAnsi="宋体" w:cs="宋体" w:eastAsia="宋体" w:hint="default"/>
                <w:sz w:val="21"/>
                <w:szCs w:val="21"/>
              </w:rPr>
            </w:pPr>
            <w:r>
              <w:rPr>
                <w:rFonts w:ascii="宋体"/>
                <w:sz w:val="21"/>
              </w:rPr>
              <w:t>7%</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77,356.21</w:t>
            </w:r>
          </w:p>
        </w:tc>
        <w:tc>
          <w:tcPr>
            <w:tcW w:w="1631"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14,370.39</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1" w:lineRule="exact"/>
              <w:ind w:right="16"/>
              <w:jc w:val="center"/>
              <w:rPr>
                <w:rFonts w:ascii="宋体" w:hAnsi="宋体" w:cs="宋体" w:eastAsia="宋体" w:hint="default"/>
                <w:sz w:val="21"/>
                <w:szCs w:val="21"/>
              </w:rPr>
            </w:pPr>
            <w:r>
              <w:rPr>
                <w:rFonts w:ascii="宋体"/>
                <w:sz w:val="21"/>
              </w:rPr>
              <w:t>5%</w:t>
            </w:r>
          </w:p>
        </w:tc>
      </w:tr>
      <w:tr>
        <w:trPr>
          <w:trHeight w:val="277"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2" w:lineRule="exact"/>
              <w:ind w:left="19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single" w:sz="4" w:space="0" w:color="000000"/>
              <w:right w:val="nil" w:sz="6" w:space="0" w:color="auto"/>
            </w:tcBorders>
          </w:tcPr>
          <w:p>
            <w:pPr/>
          </w:p>
        </w:tc>
        <w:tc>
          <w:tcPr>
            <w:tcW w:w="2133" w:type="dxa"/>
            <w:tcBorders>
              <w:top w:val="nil" w:sz="6" w:space="0" w:color="auto"/>
              <w:left w:val="nil" w:sz="6" w:space="0" w:color="auto"/>
              <w:bottom w:val="single" w:sz="4" w:space="0" w:color="000000"/>
              <w:right w:val="nil" w:sz="6" w:space="0" w:color="auto"/>
            </w:tcBorders>
          </w:tcPr>
          <w:p>
            <w:pPr>
              <w:pStyle w:val="TableParagraph"/>
              <w:spacing w:line="242" w:lineRule="exact"/>
              <w:ind w:left="434" w:right="0"/>
              <w:jc w:val="left"/>
              <w:rPr>
                <w:rFonts w:ascii="宋体" w:hAnsi="宋体" w:cs="宋体" w:eastAsia="宋体" w:hint="default"/>
                <w:sz w:val="21"/>
                <w:szCs w:val="21"/>
              </w:rPr>
            </w:pPr>
            <w:r>
              <w:rPr>
                <w:rFonts w:ascii="宋体"/>
                <w:sz w:val="21"/>
              </w:rPr>
              <w:t>52,321.88</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63,683.81</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2" w:lineRule="exact"/>
              <w:ind w:right="11"/>
              <w:jc w:val="center"/>
              <w:rPr>
                <w:rFonts w:ascii="宋体" w:hAnsi="宋体" w:cs="宋体" w:eastAsia="宋体" w:hint="default"/>
                <w:sz w:val="21"/>
                <w:szCs w:val="21"/>
              </w:rPr>
            </w:pPr>
            <w:r>
              <w:rPr>
                <w:rFonts w:ascii="宋体"/>
                <w:sz w:val="21"/>
              </w:rPr>
              <w:t>12%</w:t>
            </w:r>
          </w:p>
        </w:tc>
      </w:tr>
      <w:tr>
        <w:trPr>
          <w:trHeight w:val="293" w:hRule="exact"/>
        </w:trPr>
        <w:tc>
          <w:tcPr>
            <w:tcW w:w="77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6" w:lineRule="exact"/>
              <w:ind w:left="83"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3" w:type="dxa"/>
            <w:tcBorders>
              <w:top w:val="nil" w:sz="6" w:space="0" w:color="auto"/>
              <w:left w:val="nil" w:sz="6" w:space="0" w:color="auto"/>
              <w:bottom w:val="nil" w:sz="6" w:space="0" w:color="auto"/>
              <w:right w:val="nil" w:sz="6" w:space="0" w:color="auto"/>
            </w:tcBorders>
          </w:tcPr>
          <w:p>
            <w:pPr/>
          </w:p>
        </w:tc>
        <w:tc>
          <w:tcPr>
            <w:tcW w:w="348" w:type="dxa"/>
            <w:tcBorders>
              <w:top w:val="single" w:sz="4" w:space="0" w:color="000000"/>
              <w:left w:val="nil" w:sz="6" w:space="0" w:color="auto"/>
              <w:bottom w:val="single" w:sz="12" w:space="0" w:color="000000"/>
              <w:right w:val="nil" w:sz="6" w:space="0" w:color="auto"/>
            </w:tcBorders>
          </w:tcPr>
          <w:p>
            <w:pPr/>
          </w:p>
        </w:tc>
        <w:tc>
          <w:tcPr>
            <w:tcW w:w="2133"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328" w:right="0"/>
              <w:jc w:val="left"/>
              <w:rPr>
                <w:rFonts w:ascii="宋体" w:hAnsi="宋体" w:cs="宋体" w:eastAsia="宋体" w:hint="default"/>
                <w:sz w:val="21"/>
                <w:szCs w:val="21"/>
              </w:rPr>
            </w:pPr>
            <w:r>
              <w:rPr>
                <w:rFonts w:ascii="宋体"/>
                <w:sz w:val="21"/>
              </w:rPr>
              <w:t>720,506.95</w:t>
            </w:r>
          </w:p>
        </w:tc>
        <w:tc>
          <w:tcPr>
            <w:tcW w:w="163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413,976.57</w:t>
            </w:r>
          </w:p>
        </w:tc>
        <w:tc>
          <w:tcPr>
            <w:tcW w:w="283"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r>
      <w:tr>
        <w:trPr>
          <w:trHeight w:val="800" w:hRule="exact"/>
        </w:trPr>
        <w:tc>
          <w:tcPr>
            <w:tcW w:w="772" w:type="dxa"/>
            <w:tcBorders>
              <w:top w:val="nil" w:sz="6" w:space="0" w:color="auto"/>
              <w:left w:val="nil" w:sz="6" w:space="0" w:color="auto"/>
              <w:bottom w:val="nil" w:sz="6" w:space="0" w:color="auto"/>
              <w:right w:val="nil" w:sz="6" w:space="0" w:color="auto"/>
            </w:tcBorders>
          </w:tcPr>
          <w:p>
            <w:pPr/>
          </w:p>
        </w:tc>
        <w:tc>
          <w:tcPr>
            <w:tcW w:w="928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191" w:right="57"/>
              <w:jc w:val="left"/>
              <w:rPr>
                <w:rFonts w:ascii="宋体" w:hAnsi="宋体" w:cs="宋体" w:eastAsia="宋体" w:hint="default"/>
                <w:sz w:val="21"/>
                <w:szCs w:val="21"/>
              </w:rPr>
            </w:pPr>
            <w:r>
              <w:rPr>
                <w:rFonts w:ascii="宋体" w:hAnsi="宋体" w:cs="宋体" w:eastAsia="宋体" w:hint="default"/>
                <w:sz w:val="21"/>
                <w:szCs w:val="21"/>
              </w:rPr>
              <w:t>营业税金及附加本年发生数比上年发生数增加</w:t>
            </w:r>
            <w:r>
              <w:rPr>
                <w:rFonts w:ascii="宋体" w:hAnsi="宋体" w:cs="宋体" w:eastAsia="宋体" w:hint="default"/>
                <w:spacing w:val="-56"/>
                <w:sz w:val="21"/>
                <w:szCs w:val="21"/>
              </w:rPr>
              <w:t> </w:t>
            </w:r>
            <w:r>
              <w:rPr>
                <w:rFonts w:ascii="宋体" w:hAnsi="宋体" w:cs="宋体" w:eastAsia="宋体" w:hint="default"/>
                <w:sz w:val="21"/>
                <w:szCs w:val="21"/>
              </w:rPr>
              <w:t>306,530.38</w:t>
            </w:r>
            <w:r>
              <w:rPr>
                <w:rFonts w:ascii="宋体" w:hAnsi="宋体" w:cs="宋体" w:eastAsia="宋体" w:hint="default"/>
                <w:spacing w:val="-56"/>
                <w:sz w:val="21"/>
                <w:szCs w:val="21"/>
              </w:rPr>
              <w:t> </w:t>
            </w:r>
            <w:r>
              <w:rPr>
                <w:rFonts w:ascii="宋体" w:hAnsi="宋体" w:cs="宋体" w:eastAsia="宋体" w:hint="default"/>
                <w:sz w:val="21"/>
                <w:szCs w:val="21"/>
              </w:rPr>
              <w:t>元，增加比例为</w:t>
            </w:r>
            <w:r>
              <w:rPr>
                <w:rFonts w:ascii="宋体" w:hAnsi="宋体" w:cs="宋体" w:eastAsia="宋体" w:hint="default"/>
                <w:spacing w:val="-56"/>
                <w:sz w:val="21"/>
                <w:szCs w:val="21"/>
              </w:rPr>
              <w:t> </w:t>
            </w:r>
            <w:r>
              <w:rPr>
                <w:rFonts w:ascii="宋体" w:hAnsi="宋体" w:cs="宋体" w:eastAsia="宋体" w:hint="default"/>
                <w:sz w:val="21"/>
                <w:szCs w:val="21"/>
              </w:rPr>
              <w:t>74.05%</w:t>
            </w:r>
            <w:r>
              <w:rPr>
                <w:rFonts w:ascii="宋体" w:hAnsi="宋体" w:cs="宋体" w:eastAsia="宋体" w:hint="default"/>
                <w:spacing w:val="-58"/>
                <w:sz w:val="21"/>
                <w:szCs w:val="21"/>
              </w:rPr>
              <w:t> </w:t>
            </w:r>
            <w:r>
              <w:rPr>
                <w:rFonts w:ascii="宋体" w:hAnsi="宋体" w:cs="宋体" w:eastAsia="宋体" w:hint="default"/>
                <w:sz w:val="21"/>
                <w:szCs w:val="21"/>
              </w:rPr>
              <w:t>，主要原因为：</w:t>
            </w:r>
            <w:r>
              <w:rPr>
                <w:rFonts w:ascii="宋体" w:hAnsi="宋体" w:cs="宋体" w:eastAsia="宋体" w:hint="default"/>
                <w:w w:val="100"/>
                <w:sz w:val="21"/>
                <w:szCs w:val="21"/>
              </w:rPr>
              <w:t> </w:t>
            </w:r>
            <w:r>
              <w:rPr>
                <w:rFonts w:ascii="宋体" w:hAnsi="宋体" w:cs="宋体" w:eastAsia="宋体" w:hint="default"/>
                <w:sz w:val="21"/>
                <w:szCs w:val="21"/>
              </w:rPr>
              <w:t>本年营业收入增加导致相关税金及附加增加。</w:t>
            </w:r>
          </w:p>
        </w:tc>
      </w:tr>
    </w:tbl>
    <w:p>
      <w:pPr>
        <w:spacing w:after="0" w:line="272" w:lineRule="exact"/>
        <w:jc w:val="left"/>
        <w:rPr>
          <w:rFonts w:ascii="宋体" w:hAnsi="宋体" w:cs="宋体" w:eastAsia="宋体" w:hint="default"/>
          <w:sz w:val="21"/>
          <w:szCs w:val="21"/>
        </w:rPr>
        <w:sectPr>
          <w:pgSz w:w="11910" w:h="16840"/>
          <w:pgMar w:header="886" w:footer="980" w:top="1740" w:bottom="1160" w:left="900" w:right="74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815"/>
        <w:gridCol w:w="103"/>
        <w:gridCol w:w="1877"/>
        <w:gridCol w:w="274"/>
        <w:gridCol w:w="3480"/>
        <w:gridCol w:w="235"/>
        <w:gridCol w:w="3516"/>
      </w:tblGrid>
      <w:tr>
        <w:trPr>
          <w:trHeight w:val="687"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3" w:type="dxa"/>
            <w:tcBorders>
              <w:top w:val="single" w:sz="4" w:space="0" w:color="000000"/>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w:t>
            </w:r>
            <w:r>
              <w:rPr>
                <w:rFonts w:ascii="宋体" w:hAnsi="宋体" w:cs="宋体" w:eastAsia="宋体" w:hint="default"/>
                <w:sz w:val="21"/>
                <w:szCs w:val="21"/>
              </w:rPr>
            </w:r>
          </w:p>
        </w:tc>
        <w:tc>
          <w:tcPr>
            <w:tcW w:w="2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5" w:type="dxa"/>
            <w:tcBorders>
              <w:top w:val="single" w:sz="4" w:space="0" w:color="000000"/>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92" w:right="0"/>
              <w:jc w:val="left"/>
              <w:rPr>
                <w:rFonts w:ascii="宋体" w:hAnsi="宋体" w:cs="宋体" w:eastAsia="宋体" w:hint="default"/>
                <w:sz w:val="21"/>
                <w:szCs w:val="21"/>
              </w:rPr>
            </w:pPr>
            <w:r>
              <w:rPr>
                <w:rFonts w:ascii="宋体"/>
                <w:sz w:val="21"/>
              </w:rPr>
              <w:t>6.26</w:t>
            </w: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
        </w:tc>
      </w:tr>
      <w:tr>
        <w:trPr>
          <w:trHeight w:val="413"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7"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11,934,184.36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9,950,779.31</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344,478.50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216,035.59</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1,652,651.44</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1,208,809.64</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1,385,552.37</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1,357,316.91</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市内交通费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54,922.00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17,669.40</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133,038.90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17,589.95</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公积金</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152,501.00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132,222.00</w:t>
            </w:r>
          </w:p>
        </w:tc>
      </w:tr>
      <w:tr>
        <w:trPr>
          <w:trHeight w:val="273"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313,002.33</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162,524.53</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458,811.67</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376,117.92</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189,328.04</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53,940.27</w:t>
            </w:r>
          </w:p>
        </w:tc>
      </w:tr>
      <w:tr>
        <w:trPr>
          <w:trHeight w:val="277"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429,886.53</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200,056.17</w:t>
            </w:r>
          </w:p>
        </w:tc>
      </w:tr>
      <w:tr>
        <w:trPr>
          <w:trHeight w:val="293"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17,048,357.14</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13,693,061.69</w:t>
            </w:r>
          </w:p>
        </w:tc>
      </w:tr>
      <w:tr>
        <w:trPr>
          <w:trHeight w:val="803"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938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z w:val="21"/>
                <w:szCs w:val="21"/>
              </w:rPr>
              <w:t>销售费用本年发生数比上年发生数增加</w:t>
            </w:r>
            <w:r>
              <w:rPr>
                <w:rFonts w:ascii="宋体" w:hAnsi="宋体" w:cs="宋体" w:eastAsia="宋体" w:hint="default"/>
                <w:spacing w:val="-44"/>
                <w:sz w:val="21"/>
                <w:szCs w:val="21"/>
              </w:rPr>
              <w:t> </w:t>
            </w:r>
            <w:r>
              <w:rPr>
                <w:rFonts w:ascii="宋体" w:hAnsi="宋体" w:cs="宋体" w:eastAsia="宋体" w:hint="default"/>
                <w:sz w:val="21"/>
                <w:szCs w:val="21"/>
              </w:rPr>
              <w:t>3,355,295.45</w:t>
            </w:r>
            <w:r>
              <w:rPr>
                <w:rFonts w:ascii="宋体" w:hAnsi="宋体" w:cs="宋体" w:eastAsia="宋体" w:hint="default"/>
                <w:spacing w:val="-44"/>
                <w:sz w:val="21"/>
                <w:szCs w:val="21"/>
              </w:rPr>
              <w:t> </w:t>
            </w:r>
            <w:r>
              <w:rPr>
                <w:rFonts w:ascii="宋体" w:hAnsi="宋体" w:cs="宋体" w:eastAsia="宋体" w:hint="default"/>
                <w:spacing w:val="-3"/>
                <w:sz w:val="21"/>
                <w:szCs w:val="21"/>
              </w:rPr>
              <w:t>元，增加比例为</w:t>
            </w:r>
            <w:r>
              <w:rPr>
                <w:rFonts w:ascii="宋体" w:hAnsi="宋体" w:cs="宋体" w:eastAsia="宋体" w:hint="default"/>
                <w:spacing w:val="-44"/>
                <w:sz w:val="21"/>
                <w:szCs w:val="21"/>
              </w:rPr>
              <w:t> </w:t>
            </w:r>
            <w:r>
              <w:rPr>
                <w:rFonts w:ascii="宋体" w:hAnsi="宋体" w:cs="宋体" w:eastAsia="宋体" w:hint="default"/>
                <w:spacing w:val="-3"/>
                <w:sz w:val="21"/>
                <w:szCs w:val="21"/>
              </w:rPr>
              <w:t>24.50%</w:t>
            </w:r>
            <w:r>
              <w:rPr>
                <w:rFonts w:ascii="宋体" w:hAnsi="宋体" w:cs="宋体" w:eastAsia="宋体" w:hint="default"/>
                <w:spacing w:val="-3"/>
                <w:sz w:val="21"/>
                <w:szCs w:val="21"/>
              </w:rPr>
              <w:t>，主要原因：本年营业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收入增加导致相关职工薪酬、差旅费等费用增加。</w:t>
            </w:r>
          </w:p>
        </w:tc>
      </w:tr>
    </w:tbl>
    <w:p>
      <w:pPr>
        <w:spacing w:after="0" w:line="240" w:lineRule="auto"/>
        <w:jc w:val="left"/>
        <w:rPr>
          <w:rFonts w:ascii="宋体" w:hAnsi="宋体" w:cs="宋体" w:eastAsia="宋体" w:hint="default"/>
          <w:sz w:val="21"/>
          <w:szCs w:val="21"/>
        </w:rPr>
        <w:sectPr>
          <w:pgSz w:w="11910" w:h="16840"/>
          <w:pgMar w:header="886" w:footer="980" w:top="1740" w:bottom="1160" w:left="900" w:right="50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815"/>
        <w:gridCol w:w="103"/>
        <w:gridCol w:w="1877"/>
        <w:gridCol w:w="274"/>
        <w:gridCol w:w="3480"/>
        <w:gridCol w:w="235"/>
        <w:gridCol w:w="3516"/>
      </w:tblGrid>
      <w:tr>
        <w:trPr>
          <w:trHeight w:val="725"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3" w:type="dxa"/>
            <w:tcBorders>
              <w:top w:val="single" w:sz="4" w:space="0" w:color="000000"/>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w:t>
            </w:r>
            <w:r>
              <w:rPr>
                <w:rFonts w:ascii="宋体" w:hAnsi="宋体" w:cs="宋体" w:eastAsia="宋体" w:hint="default"/>
                <w:sz w:val="21"/>
                <w:szCs w:val="21"/>
              </w:rPr>
            </w:r>
          </w:p>
        </w:tc>
        <w:tc>
          <w:tcPr>
            <w:tcW w:w="2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5" w:type="dxa"/>
            <w:tcBorders>
              <w:top w:val="single" w:sz="4" w:space="0" w:color="000000"/>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92" w:right="0"/>
              <w:jc w:val="left"/>
              <w:rPr>
                <w:rFonts w:ascii="宋体" w:hAnsi="宋体" w:cs="宋体" w:eastAsia="宋体" w:hint="default"/>
                <w:sz w:val="21"/>
                <w:szCs w:val="21"/>
              </w:rPr>
            </w:pPr>
            <w:r>
              <w:rPr>
                <w:rFonts w:ascii="宋体"/>
                <w:sz w:val="21"/>
              </w:rPr>
              <w:t>6.27</w:t>
            </w: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
        </w:tc>
      </w:tr>
      <w:tr>
        <w:trPr>
          <w:trHeight w:val="415"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6"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42,943,819.59</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36,000,994.58</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3,022,646.26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2,625,313.58</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1,741,996.55</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1,011,965.54</w:t>
            </w:r>
          </w:p>
        </w:tc>
      </w:tr>
      <w:tr>
        <w:trPr>
          <w:trHeight w:val="28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263,924.46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148,569.20</w:t>
            </w:r>
          </w:p>
        </w:tc>
      </w:tr>
      <w:tr>
        <w:trPr>
          <w:trHeight w:val="304"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54" w:lineRule="exact"/>
              <w:ind w:left="107"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1"/>
                <w:szCs w:val="21"/>
              </w:rPr>
            </w:pPr>
            <w:r>
              <w:rPr>
                <w:rFonts w:ascii="宋体"/>
                <w:spacing w:val="-1"/>
                <w:sz w:val="21"/>
              </w:rPr>
              <w:t>289,514.11</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1"/>
                <w:szCs w:val="21"/>
              </w:rPr>
            </w:pPr>
            <w:r>
              <w:rPr>
                <w:rFonts w:ascii="宋体"/>
                <w:spacing w:val="-1"/>
                <w:sz w:val="21"/>
              </w:rPr>
              <w:t>175,786.67</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378,962.07</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186,558.86</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职工培训费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622,887.98</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754,647.32</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362,378.26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305,684.21</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13,136,994.84</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9,600,381.64</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维修费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630,962.50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590,262.70</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2,546,773.49</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3,412,878.03</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230,097.63</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91,347.36</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2,737,035.92</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2,936,716.39</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1,420,756.62</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961,391.25</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董事会津贴</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147,900.00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151,492.86</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395,210.46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801,959.00</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149,334.00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280,435.46</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物料消耗费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344,338.37</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386,825.68</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221,152.17</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136,789.04</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3,897,600.00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60" w:lineRule="exact"/>
              <w:ind w:right="105"/>
              <w:jc w:val="right"/>
              <w:rPr>
                <w:rFonts w:ascii="宋体" w:hAnsi="宋体" w:cs="宋体" w:eastAsia="宋体" w:hint="default"/>
                <w:sz w:val="21"/>
                <w:szCs w:val="21"/>
              </w:rPr>
            </w:pPr>
            <w:r>
              <w:rPr>
                <w:rFonts w:ascii="宋体"/>
                <w:w w:val="100"/>
                <w:sz w:val="21"/>
              </w:rPr>
              <w:t>-</w:t>
            </w:r>
          </w:p>
        </w:tc>
      </w:tr>
      <w:tr>
        <w:trPr>
          <w:trHeight w:val="317"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333,929.77</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60" w:lineRule="exact"/>
              <w:ind w:right="103"/>
              <w:jc w:val="right"/>
              <w:rPr>
                <w:rFonts w:ascii="宋体" w:hAnsi="宋体" w:cs="宋体" w:eastAsia="宋体" w:hint="default"/>
                <w:sz w:val="21"/>
                <w:szCs w:val="21"/>
              </w:rPr>
            </w:pPr>
            <w:r>
              <w:rPr>
                <w:rFonts w:ascii="宋体"/>
                <w:spacing w:val="-1"/>
                <w:sz w:val="21"/>
              </w:rPr>
              <w:t>959,914.29</w:t>
            </w:r>
          </w:p>
        </w:tc>
      </w:tr>
      <w:tr>
        <w:trPr>
          <w:trHeight w:val="290"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75,818,215.05</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61,519,913.66</w:t>
            </w:r>
          </w:p>
        </w:tc>
      </w:tr>
      <w:tr>
        <w:trPr>
          <w:trHeight w:val="80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938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z w:val="21"/>
                <w:szCs w:val="21"/>
              </w:rPr>
              <w:t>管理费用本年发生数比上年发生数增加</w:t>
            </w:r>
            <w:r>
              <w:rPr>
                <w:rFonts w:ascii="宋体" w:hAnsi="宋体" w:cs="宋体" w:eastAsia="宋体" w:hint="default"/>
                <w:spacing w:val="-31"/>
                <w:sz w:val="21"/>
                <w:szCs w:val="21"/>
              </w:rPr>
              <w:t> </w:t>
            </w:r>
            <w:r>
              <w:rPr>
                <w:rFonts w:ascii="宋体" w:hAnsi="宋体" w:cs="宋体" w:eastAsia="宋体" w:hint="default"/>
                <w:sz w:val="21"/>
                <w:szCs w:val="21"/>
              </w:rPr>
              <w:t>14,298,301.39</w:t>
            </w:r>
            <w:r>
              <w:rPr>
                <w:rFonts w:ascii="宋体" w:hAnsi="宋体" w:cs="宋体" w:eastAsia="宋体" w:hint="default"/>
                <w:spacing w:val="-28"/>
                <w:sz w:val="21"/>
                <w:szCs w:val="21"/>
              </w:rPr>
              <w:t> </w:t>
            </w:r>
            <w:r>
              <w:rPr>
                <w:rFonts w:ascii="宋体" w:hAnsi="宋体" w:cs="宋体" w:eastAsia="宋体" w:hint="default"/>
                <w:sz w:val="21"/>
                <w:szCs w:val="21"/>
              </w:rPr>
              <w:t>元，增加比例为</w:t>
            </w:r>
            <w:r>
              <w:rPr>
                <w:rFonts w:ascii="宋体" w:hAnsi="宋体" w:cs="宋体" w:eastAsia="宋体" w:hint="default"/>
                <w:spacing w:val="-28"/>
                <w:sz w:val="21"/>
                <w:szCs w:val="21"/>
              </w:rPr>
              <w:t> </w:t>
            </w:r>
            <w:r>
              <w:rPr>
                <w:rFonts w:ascii="宋体" w:hAnsi="宋体" w:cs="宋体" w:eastAsia="宋体" w:hint="default"/>
                <w:sz w:val="21"/>
                <w:szCs w:val="21"/>
              </w:rPr>
              <w:t>23.24%</w:t>
            </w:r>
            <w:r>
              <w:rPr>
                <w:rFonts w:ascii="宋体" w:hAnsi="宋体" w:cs="宋体" w:eastAsia="宋体" w:hint="default"/>
                <w:sz w:val="21"/>
                <w:szCs w:val="21"/>
              </w:rPr>
              <w:t>，主要原因为：本年</w:t>
            </w:r>
            <w:r>
              <w:rPr>
                <w:rFonts w:ascii="宋体" w:hAnsi="宋体" w:cs="宋体" w:eastAsia="宋体" w:hint="default"/>
                <w:spacing w:val="-3"/>
                <w:w w:val="100"/>
                <w:sz w:val="21"/>
                <w:szCs w:val="21"/>
              </w:rPr>
              <w:t> </w:t>
            </w:r>
            <w:r>
              <w:rPr>
                <w:rFonts w:ascii="宋体" w:hAnsi="宋体" w:cs="宋体" w:eastAsia="宋体" w:hint="default"/>
                <w:sz w:val="21"/>
                <w:szCs w:val="21"/>
              </w:rPr>
              <w:t>经营规模扩大，导致相关职工薪酬增加；研发支出及股权激励等费用增加。</w:t>
            </w:r>
          </w:p>
        </w:tc>
      </w:tr>
    </w:tbl>
    <w:p>
      <w:pPr>
        <w:spacing w:after="0" w:line="240" w:lineRule="auto"/>
        <w:jc w:val="left"/>
        <w:rPr>
          <w:rFonts w:ascii="宋体" w:hAnsi="宋体" w:cs="宋体" w:eastAsia="宋体" w:hint="default"/>
          <w:sz w:val="21"/>
          <w:szCs w:val="21"/>
        </w:rPr>
        <w:sectPr>
          <w:pgSz w:w="11910" w:h="16840"/>
          <w:pgMar w:header="886" w:footer="980" w:top="1740" w:bottom="1160" w:left="900" w:right="500"/>
        </w:sectPr>
      </w:pPr>
    </w:p>
    <w:p>
      <w:pPr>
        <w:spacing w:line="240" w:lineRule="auto" w:before="9"/>
        <w:rPr>
          <w:rFonts w:ascii="Times New Roman" w:hAnsi="Times New Roman" w:cs="Times New Roman" w:eastAsia="Times New Roman" w:hint="default"/>
          <w:sz w:val="4"/>
          <w:szCs w:val="4"/>
        </w:rPr>
      </w:pPr>
      <w:r>
        <w:rPr/>
        <w:pict>
          <v:group style="position:absolute;margin-left:281.089996pt;margin-top:368.329987pt;width:120.4pt;height:.1pt;mso-position-horizontal-relative:page;mso-position-vertical-relative:page;z-index:-794728" coordorigin="5622,7367" coordsize="2408,2">
            <v:shape style="position:absolute;left:5622;top:7367;width:2408;height:2" coordorigin="5622,7367" coordsize="2408,0" path="m5622,7367l8029,7367e" filled="false" stroked="true" strokeweight=".47998pt" strokecolor="#000000">
              <v:path arrowok="t"/>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815"/>
        <w:gridCol w:w="103"/>
        <w:gridCol w:w="1877"/>
        <w:gridCol w:w="274"/>
        <w:gridCol w:w="3480"/>
        <w:gridCol w:w="235"/>
        <w:gridCol w:w="3516"/>
      </w:tblGrid>
      <w:tr>
        <w:trPr>
          <w:trHeight w:val="725"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3" w:type="dxa"/>
            <w:tcBorders>
              <w:top w:val="single" w:sz="4" w:space="0" w:color="000000"/>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w:t>
            </w:r>
            <w:r>
              <w:rPr>
                <w:rFonts w:ascii="宋体" w:hAnsi="宋体" w:cs="宋体" w:eastAsia="宋体" w:hint="default"/>
                <w:sz w:val="21"/>
                <w:szCs w:val="21"/>
              </w:rPr>
            </w:r>
          </w:p>
        </w:tc>
        <w:tc>
          <w:tcPr>
            <w:tcW w:w="2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5" w:type="dxa"/>
            <w:tcBorders>
              <w:top w:val="single" w:sz="4" w:space="0" w:color="000000"/>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92" w:right="0"/>
              <w:jc w:val="left"/>
              <w:rPr>
                <w:rFonts w:ascii="宋体" w:hAnsi="宋体" w:cs="宋体" w:eastAsia="宋体" w:hint="default"/>
                <w:sz w:val="21"/>
                <w:szCs w:val="21"/>
              </w:rPr>
            </w:pPr>
            <w:r>
              <w:rPr>
                <w:rFonts w:ascii="宋体"/>
                <w:sz w:val="21"/>
              </w:rPr>
              <w:t>6.28</w:t>
            </w: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
        </w:tc>
      </w:tr>
      <w:tr>
        <w:trPr>
          <w:trHeight w:val="415"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6"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415,930.72</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637,719.97</w:t>
            </w:r>
          </w:p>
        </w:tc>
      </w:tr>
      <w:tr>
        <w:trPr>
          <w:trHeight w:val="279"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6,040,254.76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2,348,226.83</w:t>
            </w:r>
          </w:p>
        </w:tc>
      </w:tr>
      <w:tr>
        <w:trPr>
          <w:trHeight w:val="548"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pacing w:val="24"/>
                <w:sz w:val="21"/>
                <w:szCs w:val="21"/>
              </w:rPr>
              <w:t>利息净支出</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z w:val="21"/>
                <w:szCs w:val="21"/>
              </w:rPr>
              <w:t>净</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-5,624,324.04</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-1,710,506.86</w:t>
            </w:r>
          </w:p>
        </w:tc>
      </w:tr>
      <w:tr>
        <w:trPr>
          <w:trHeight w:val="272"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4,130,128.70</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-280,259.95</w:t>
            </w:r>
          </w:p>
        </w:tc>
      </w:tr>
      <w:tr>
        <w:trPr>
          <w:trHeight w:val="279"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145,502.66</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104,453.17</w:t>
            </w:r>
          </w:p>
        </w:tc>
      </w:tr>
      <w:tr>
        <w:trPr>
          <w:trHeight w:val="290"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-1,348,692.68</w:t>
            </w:r>
          </w:p>
        </w:tc>
        <w:tc>
          <w:tcPr>
            <w:tcW w:w="235" w:type="dxa"/>
            <w:tcBorders>
              <w:top w:val="nil" w:sz="6" w:space="0" w:color="auto"/>
              <w:left w:val="nil" w:sz="6" w:space="0" w:color="auto"/>
              <w:bottom w:val="nil" w:sz="6" w:space="0" w:color="auto"/>
              <w:right w:val="nil" w:sz="6" w:space="0" w:color="auto"/>
            </w:tcBorders>
          </w:tcPr>
          <w:p>
            <w:pPr/>
          </w:p>
        </w:tc>
        <w:tc>
          <w:tcPr>
            <w:tcW w:w="351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-1,886,313.64</w:t>
            </w:r>
          </w:p>
        </w:tc>
      </w:tr>
      <w:tr>
        <w:trPr>
          <w:trHeight w:val="803" w:hRule="exact"/>
        </w:trPr>
        <w:tc>
          <w:tcPr>
            <w:tcW w:w="815"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938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z w:val="21"/>
                <w:szCs w:val="21"/>
              </w:rPr>
              <w:t>财务费用本年发生数比上年发生数</w:t>
            </w:r>
            <w:r>
              <w:rPr>
                <w:rFonts w:ascii="宋体" w:hAnsi="宋体" w:cs="宋体" w:eastAsia="宋体" w:hint="default"/>
                <w:spacing w:val="-40"/>
                <w:sz w:val="21"/>
                <w:szCs w:val="21"/>
              </w:rPr>
              <w:t> </w:t>
            </w:r>
            <w:r>
              <w:rPr>
                <w:rFonts w:ascii="宋体" w:hAnsi="宋体" w:cs="宋体" w:eastAsia="宋体" w:hint="default"/>
                <w:sz w:val="21"/>
                <w:szCs w:val="21"/>
              </w:rPr>
              <w:t>537,620.96</w:t>
            </w:r>
            <w:r>
              <w:rPr>
                <w:rFonts w:ascii="宋体" w:hAnsi="宋体" w:cs="宋体" w:eastAsia="宋体" w:hint="default"/>
                <w:spacing w:val="-40"/>
                <w:sz w:val="21"/>
                <w:szCs w:val="21"/>
              </w:rPr>
              <w:t> </w:t>
            </w:r>
            <w:r>
              <w:rPr>
                <w:rFonts w:ascii="宋体" w:hAnsi="宋体" w:cs="宋体" w:eastAsia="宋体" w:hint="default"/>
                <w:spacing w:val="-3"/>
                <w:sz w:val="21"/>
                <w:szCs w:val="21"/>
              </w:rPr>
              <w:t>元，增加比例为</w:t>
            </w:r>
            <w:r>
              <w:rPr>
                <w:rFonts w:ascii="宋体" w:hAnsi="宋体" w:cs="宋体" w:eastAsia="宋体" w:hint="default"/>
                <w:spacing w:val="-40"/>
                <w:sz w:val="21"/>
                <w:szCs w:val="21"/>
              </w:rPr>
              <w:t> </w:t>
            </w:r>
            <w:r>
              <w:rPr>
                <w:rFonts w:ascii="宋体" w:hAnsi="宋体" w:cs="宋体" w:eastAsia="宋体" w:hint="default"/>
                <w:spacing w:val="-3"/>
                <w:sz w:val="21"/>
                <w:szCs w:val="21"/>
              </w:rPr>
              <w:t>28.50%</w:t>
            </w:r>
            <w:r>
              <w:rPr>
                <w:rFonts w:ascii="宋体" w:hAnsi="宋体" w:cs="宋体" w:eastAsia="宋体" w:hint="default"/>
                <w:spacing w:val="-3"/>
                <w:sz w:val="21"/>
                <w:szCs w:val="21"/>
              </w:rPr>
              <w:t>，主要原因：本年汇兑损失的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增加大于利息收入的增长所致。</w:t>
            </w:r>
          </w:p>
        </w:tc>
      </w:tr>
    </w:tbl>
    <w:p>
      <w:pPr>
        <w:spacing w:line="240" w:lineRule="auto" w:before="0"/>
        <w:rPr>
          <w:rFonts w:ascii="Times New Roman" w:hAnsi="Times New Roman" w:cs="Times New Roman" w:eastAsia="Times New Roman" w:hint="default"/>
          <w:sz w:val="29"/>
          <w:szCs w:val="29"/>
        </w:rPr>
      </w:pPr>
    </w:p>
    <w:tbl>
      <w:tblPr>
        <w:tblW w:w="0" w:type="auto"/>
        <w:jc w:val="left"/>
        <w:tblInd w:w="270" w:type="dxa"/>
        <w:tblLayout w:type="fixed"/>
        <w:tblCellMar>
          <w:top w:w="0" w:type="dxa"/>
          <w:left w:w="0" w:type="dxa"/>
          <w:bottom w:w="0" w:type="dxa"/>
          <w:right w:w="0" w:type="dxa"/>
        </w:tblCellMar>
        <w:tblLook w:val="01E0"/>
      </w:tblPr>
      <w:tblGrid>
        <w:gridCol w:w="745"/>
        <w:gridCol w:w="3000"/>
        <w:gridCol w:w="276"/>
        <w:gridCol w:w="146"/>
        <w:gridCol w:w="195"/>
        <w:gridCol w:w="1368"/>
        <w:gridCol w:w="276"/>
        <w:gridCol w:w="1709"/>
        <w:gridCol w:w="276"/>
        <w:gridCol w:w="2138"/>
      </w:tblGrid>
      <w:tr>
        <w:trPr>
          <w:trHeight w:val="378" w:hRule="exact"/>
        </w:trPr>
        <w:tc>
          <w:tcPr>
            <w:tcW w:w="745" w:type="dxa"/>
            <w:tcBorders>
              <w:top w:val="nil" w:sz="6" w:space="0" w:color="auto"/>
              <w:left w:val="nil" w:sz="6" w:space="0" w:color="auto"/>
              <w:bottom w:val="nil" w:sz="6" w:space="0" w:color="auto"/>
              <w:right w:val="nil" w:sz="6" w:space="0" w:color="auto"/>
            </w:tcBorders>
          </w:tcPr>
          <w:p>
            <w:pPr>
              <w:pStyle w:val="TableParagraph"/>
              <w:spacing w:line="211" w:lineRule="exact"/>
              <w:ind w:left="116" w:right="0"/>
              <w:jc w:val="center"/>
              <w:rPr>
                <w:rFonts w:ascii="宋体" w:hAnsi="宋体" w:cs="宋体" w:eastAsia="宋体" w:hint="default"/>
                <w:sz w:val="21"/>
                <w:szCs w:val="21"/>
              </w:rPr>
            </w:pPr>
            <w:r>
              <w:rPr>
                <w:rFonts w:ascii="宋体"/>
                <w:sz w:val="21"/>
              </w:rPr>
              <w:t>6.29</w:t>
            </w:r>
          </w:p>
        </w:tc>
        <w:tc>
          <w:tcPr>
            <w:tcW w:w="3000"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r>
        <w:trPr>
          <w:trHeight w:val="413"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 w:type="dxa"/>
            <w:tcBorders>
              <w:top w:val="nil" w:sz="6" w:space="0" w:color="auto"/>
              <w:left w:val="nil" w:sz="6" w:space="0" w:color="auto"/>
              <w:bottom w:val="single" w:sz="4" w:space="0" w:color="000000"/>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35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69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single" w:sz="4" w:space="0" w:color="000000"/>
              <w:right w:val="nil" w:sz="6" w:space="0" w:color="auto"/>
            </w:tcBorders>
          </w:tcPr>
          <w:p>
            <w:pP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93"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76" w:type="dxa"/>
            <w:tcBorders>
              <w:top w:val="single" w:sz="4" w:space="0" w:color="000000"/>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3548"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1428" w:right="0"/>
              <w:jc w:val="left"/>
              <w:rPr>
                <w:rFonts w:ascii="宋体" w:hAnsi="宋体" w:cs="宋体" w:eastAsia="宋体" w:hint="default"/>
                <w:sz w:val="21"/>
                <w:szCs w:val="21"/>
              </w:rPr>
            </w:pPr>
            <w:r>
              <w:rPr>
                <w:rFonts w:ascii="宋体"/>
                <w:sz w:val="21"/>
              </w:rPr>
              <w:t>-149,020.03</w:t>
            </w:r>
          </w:p>
        </w:tc>
        <w:tc>
          <w:tcPr>
            <w:tcW w:w="276" w:type="dxa"/>
            <w:tcBorders>
              <w:top w:val="single" w:sz="4" w:space="0" w:color="000000"/>
              <w:left w:val="nil" w:sz="6" w:space="0" w:color="auto"/>
              <w:bottom w:val="single" w:sz="12" w:space="0" w:color="000000"/>
              <w:right w:val="nil" w:sz="6" w:space="0" w:color="auto"/>
            </w:tcBorders>
          </w:tcPr>
          <w:p>
            <w:pPr/>
          </w:p>
        </w:tc>
        <w:tc>
          <w:tcPr>
            <w:tcW w:w="213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-59,348.24</w:t>
            </w:r>
          </w:p>
        </w:tc>
      </w:tr>
      <w:tr>
        <w:trPr>
          <w:trHeight w:val="967" w:hRule="exact"/>
        </w:trPr>
        <w:tc>
          <w:tcPr>
            <w:tcW w:w="10130" w:type="dxa"/>
            <w:gridSpan w:val="10"/>
            <w:tcBorders>
              <w:top w:val="nil" w:sz="6" w:space="0" w:color="auto"/>
              <w:left w:val="nil" w:sz="6" w:space="0" w:color="auto"/>
              <w:bottom w:val="nil" w:sz="6" w:space="0" w:color="auto"/>
              <w:right w:val="nil" w:sz="6" w:space="0" w:color="auto"/>
            </w:tcBorders>
          </w:tcPr>
          <w:p>
            <w:pPr>
              <w:pStyle w:val="TableParagraph"/>
              <w:spacing w:line="28" w:lineRule="exact"/>
              <w:ind w:left="444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20.9pt;height:1.45pt;mso-position-horizontal-relative:char;mso-position-vertical-relative:line" coordorigin="0,0" coordsize="2418,29">
                  <v:group style="position:absolute;left:5;top:5;width:2408;height:2" coordorigin="5,5" coordsize="2408,2">
                    <v:shape style="position:absolute;left:5;top:5;width:2408;height:2" coordorigin="5,5" coordsize="2408,0" path="m5,5l2412,5e" filled="false" stroked="true" strokeweight=".47998pt" strokecolor="#000000">
                      <v:path arrowok="t"/>
                    </v:shape>
                  </v:group>
                  <v:group style="position:absolute;left:5;top:24;width:2408;height:2" coordorigin="5,24" coordsize="2408,2">
                    <v:shape style="position:absolute;left:5;top:24;width:2408;height:2" coordorigin="5,24" coordsize="2408,0" path="m5,24l2412,24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2" w:lineRule="exact"/>
              <w:ind w:left="852" w:right="100"/>
              <w:jc w:val="left"/>
              <w:rPr>
                <w:rFonts w:ascii="宋体" w:hAnsi="宋体" w:cs="宋体" w:eastAsia="宋体" w:hint="default"/>
                <w:sz w:val="21"/>
                <w:szCs w:val="21"/>
              </w:rPr>
            </w:pPr>
            <w:r>
              <w:rPr>
                <w:rFonts w:ascii="宋体" w:hAnsi="宋体" w:cs="宋体" w:eastAsia="宋体" w:hint="default"/>
                <w:sz w:val="21"/>
                <w:szCs w:val="21"/>
              </w:rPr>
              <w:t>资产减值损失本年发生数比上年发生数减少</w:t>
            </w:r>
            <w:r>
              <w:rPr>
                <w:rFonts w:ascii="宋体" w:hAnsi="宋体" w:cs="宋体" w:eastAsia="宋体" w:hint="default"/>
                <w:spacing w:val="-56"/>
                <w:sz w:val="21"/>
                <w:szCs w:val="21"/>
              </w:rPr>
              <w:t> </w:t>
            </w:r>
            <w:r>
              <w:rPr>
                <w:rFonts w:ascii="宋体" w:hAnsi="宋体" w:cs="宋体" w:eastAsia="宋体" w:hint="default"/>
                <w:sz w:val="21"/>
                <w:szCs w:val="21"/>
              </w:rPr>
              <w:t>89,671.79</w:t>
            </w:r>
            <w:r>
              <w:rPr>
                <w:rFonts w:ascii="宋体" w:hAnsi="宋体" w:cs="宋体" w:eastAsia="宋体" w:hint="default"/>
                <w:spacing w:val="-56"/>
                <w:sz w:val="21"/>
                <w:szCs w:val="21"/>
              </w:rPr>
              <w:t> </w:t>
            </w:r>
            <w:r>
              <w:rPr>
                <w:rFonts w:ascii="宋体" w:hAnsi="宋体" w:cs="宋体" w:eastAsia="宋体" w:hint="default"/>
                <w:spacing w:val="-3"/>
                <w:sz w:val="21"/>
                <w:szCs w:val="21"/>
              </w:rPr>
              <w:t>元，减少比例为</w:t>
            </w:r>
            <w:r>
              <w:rPr>
                <w:rFonts w:ascii="宋体" w:hAnsi="宋体" w:cs="宋体" w:eastAsia="宋体" w:hint="default"/>
                <w:spacing w:val="-56"/>
                <w:sz w:val="21"/>
                <w:szCs w:val="21"/>
              </w:rPr>
              <w:t> </w:t>
            </w:r>
            <w:r>
              <w:rPr>
                <w:rFonts w:ascii="宋体" w:hAnsi="宋体" w:cs="宋体" w:eastAsia="宋体" w:hint="default"/>
                <w:sz w:val="21"/>
                <w:szCs w:val="21"/>
              </w:rPr>
              <w:t>151.09%</w:t>
            </w:r>
            <w:r>
              <w:rPr>
                <w:rFonts w:ascii="宋体" w:hAnsi="宋体" w:cs="宋体" w:eastAsia="宋体" w:hint="default"/>
                <w:sz w:val="21"/>
                <w:szCs w:val="21"/>
              </w:rPr>
              <w:t>，主要原因：本年应</w:t>
            </w:r>
            <w:r>
              <w:rPr>
                <w:rFonts w:ascii="宋体" w:hAnsi="宋体" w:cs="宋体" w:eastAsia="宋体" w:hint="default"/>
                <w:w w:val="100"/>
                <w:sz w:val="21"/>
                <w:szCs w:val="21"/>
              </w:rPr>
              <w:t> </w:t>
            </w:r>
            <w:r>
              <w:rPr>
                <w:rFonts w:ascii="宋体" w:hAnsi="宋体" w:cs="宋体" w:eastAsia="宋体" w:hint="default"/>
                <w:sz w:val="21"/>
                <w:szCs w:val="21"/>
              </w:rPr>
              <w:t>收款项坏账准备转回所致。</w:t>
            </w:r>
          </w:p>
        </w:tc>
      </w:tr>
      <w:tr>
        <w:trPr>
          <w:trHeight w:val="545" w:hRule="exact"/>
        </w:trPr>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7" w:right="0"/>
              <w:jc w:val="center"/>
              <w:rPr>
                <w:rFonts w:ascii="宋体" w:hAnsi="宋体" w:cs="宋体" w:eastAsia="宋体" w:hint="default"/>
                <w:sz w:val="21"/>
                <w:szCs w:val="21"/>
              </w:rPr>
            </w:pPr>
            <w:r>
              <w:rPr>
                <w:rFonts w:ascii="宋体"/>
                <w:sz w:val="21"/>
              </w:rPr>
              <w:t>6.30</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r>
        <w:trPr>
          <w:trHeight w:val="409"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8" w:right="0"/>
              <w:jc w:val="left"/>
              <w:rPr>
                <w:rFonts w:ascii="宋体" w:hAnsi="宋体" w:cs="宋体" w:eastAsia="宋体" w:hint="default"/>
                <w:sz w:val="21"/>
                <w:szCs w:val="21"/>
              </w:rPr>
            </w:pPr>
            <w:r>
              <w:rPr>
                <w:rFonts w:ascii="宋体"/>
                <w:sz w:val="21"/>
              </w:rPr>
              <w:t>6.30.1</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r>
        <w:trPr>
          <w:trHeight w:val="551"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tabs>
                <w:tab w:pos="422" w:val="left" w:leader="none"/>
              </w:tabs>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195" w:type="dxa"/>
            <w:tcBorders>
              <w:top w:val="nil" w:sz="6" w:space="0" w:color="auto"/>
              <w:left w:val="nil" w:sz="6" w:space="0" w:color="auto"/>
              <w:bottom w:val="single" w:sz="4" w:space="0" w:color="000000"/>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76"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single" w:sz="4" w:space="0" w:color="000000"/>
              <w:left w:val="nil" w:sz="6" w:space="0" w:color="auto"/>
              <w:bottom w:val="nil" w:sz="6" w:space="0" w:color="auto"/>
              <w:right w:val="nil" w:sz="6" w:space="0" w:color="auto"/>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195" w:type="dxa"/>
            <w:tcBorders>
              <w:top w:val="single" w:sz="4" w:space="0" w:color="000000"/>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51,348.60</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79,448.38</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single" w:sz="4" w:space="0" w:color="000000"/>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51,348.60</w:t>
            </w:r>
          </w:p>
        </w:tc>
      </w:tr>
      <w:tr>
        <w:trPr>
          <w:trHeight w:val="272"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其中：固定资产处理利得</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51,348.60</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79,448.38</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51,348.60</w:t>
            </w:r>
          </w:p>
        </w:tc>
      </w:tr>
      <w:tr>
        <w:trPr>
          <w:trHeight w:val="272"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2" w:lineRule="exact"/>
              <w:ind w:left="8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left"/>
              <w:rPr>
                <w:rFonts w:ascii="宋体" w:hAnsi="宋体" w:cs="宋体" w:eastAsia="宋体" w:hint="default"/>
                <w:sz w:val="21"/>
                <w:szCs w:val="21"/>
              </w:rPr>
            </w:pPr>
            <w:r>
              <w:rPr>
                <w:rFonts w:ascii="宋体"/>
                <w:sz w:val="21"/>
              </w:rPr>
              <w:t>6,941,321.00</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9,386,179.00</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6,941,321.00</w:t>
            </w:r>
          </w:p>
        </w:tc>
      </w:tr>
      <w:tr>
        <w:trPr>
          <w:trHeight w:val="272"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违约金、罚款收入</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125,140.00</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141,600.00</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125,140.00</w:t>
            </w:r>
          </w:p>
        </w:tc>
      </w:tr>
      <w:tr>
        <w:trPr>
          <w:trHeight w:val="278"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spacing w:line="242" w:lineRule="exact"/>
              <w:ind w:left="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195" w:type="dxa"/>
            <w:tcBorders>
              <w:top w:val="nil" w:sz="6" w:space="0" w:color="auto"/>
              <w:left w:val="nil" w:sz="6" w:space="0" w:color="auto"/>
              <w:bottom w:val="single" w:sz="4" w:space="0" w:color="000000"/>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z w:val="21"/>
              </w:rPr>
              <w:t>222.68</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11,853.15</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single" w:sz="4" w:space="0" w:color="000000"/>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z w:val="21"/>
              </w:rPr>
              <w:t>222.68</w:t>
            </w:r>
          </w:p>
        </w:tc>
      </w:tr>
      <w:tr>
        <w:trPr>
          <w:trHeight w:val="293" w:hRule="exact"/>
        </w:trPr>
        <w:tc>
          <w:tcPr>
            <w:tcW w:w="745" w:type="dxa"/>
            <w:tcBorders>
              <w:top w:val="nil" w:sz="6" w:space="0" w:color="auto"/>
              <w:left w:val="nil" w:sz="6" w:space="0" w:color="auto"/>
              <w:bottom w:val="nil" w:sz="6" w:space="0" w:color="auto"/>
              <w:right w:val="nil" w:sz="6" w:space="0" w:color="auto"/>
            </w:tcBorders>
          </w:tcPr>
          <w:p>
            <w:pPr/>
          </w:p>
        </w:tc>
        <w:tc>
          <w:tcPr>
            <w:tcW w:w="300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6" w:lineRule="exact"/>
              <w:ind w:right="1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6"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single" w:sz="12" w:space="0" w:color="000000"/>
              <w:right w:val="nil" w:sz="6" w:space="0" w:color="auto"/>
            </w:tcBorders>
          </w:tcPr>
          <w:p>
            <w:pPr/>
          </w:p>
        </w:tc>
        <w:tc>
          <w:tcPr>
            <w:tcW w:w="195" w:type="dxa"/>
            <w:tcBorders>
              <w:top w:val="single" w:sz="4" w:space="0" w:color="000000"/>
              <w:left w:val="nil" w:sz="6" w:space="0" w:color="auto"/>
              <w:bottom w:val="single" w:sz="12" w:space="0" w:color="000000"/>
              <w:right w:val="nil" w:sz="6" w:space="0" w:color="auto"/>
            </w:tcBorders>
          </w:tcPr>
          <w:p>
            <w:pP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sz w:val="21"/>
              </w:rPr>
              <w:t>7,118,032.28</w:t>
            </w:r>
          </w:p>
        </w:tc>
        <w:tc>
          <w:tcPr>
            <w:tcW w:w="276"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9,619,080.53</w:t>
            </w:r>
          </w:p>
        </w:tc>
        <w:tc>
          <w:tcPr>
            <w:tcW w:w="276" w:type="dxa"/>
            <w:tcBorders>
              <w:top w:val="nil" w:sz="6" w:space="0" w:color="auto"/>
              <w:left w:val="nil" w:sz="6" w:space="0" w:color="auto"/>
              <w:bottom w:val="nil" w:sz="6" w:space="0" w:color="auto"/>
              <w:right w:val="nil" w:sz="6" w:space="0" w:color="auto"/>
            </w:tcBorders>
          </w:tcPr>
          <w:p>
            <w:pPr/>
          </w:p>
        </w:tc>
        <w:tc>
          <w:tcPr>
            <w:tcW w:w="213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7,118,032.28</w:t>
            </w:r>
          </w:p>
        </w:tc>
      </w:tr>
    </w:tbl>
    <w:p>
      <w:pPr>
        <w:spacing w:after="0" w:line="241" w:lineRule="exact"/>
        <w:jc w:val="right"/>
        <w:rPr>
          <w:rFonts w:ascii="宋体" w:hAnsi="宋体" w:cs="宋体" w:eastAsia="宋体" w:hint="default"/>
          <w:sz w:val="21"/>
          <w:szCs w:val="21"/>
        </w:rPr>
        <w:sectPr>
          <w:pgSz w:w="11910" w:h="16840"/>
          <w:pgMar w:header="886" w:footer="980" w:top="1740" w:bottom="1160" w:left="900" w:right="50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91"/>
        <w:gridCol w:w="106"/>
        <w:gridCol w:w="1944"/>
        <w:gridCol w:w="283"/>
        <w:gridCol w:w="1896"/>
        <w:gridCol w:w="235"/>
        <w:gridCol w:w="1947"/>
        <w:gridCol w:w="235"/>
        <w:gridCol w:w="2494"/>
      </w:tblGrid>
      <w:tr>
        <w:trPr>
          <w:trHeight w:val="725"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6" w:type="dxa"/>
            <w:tcBorders>
              <w:top w:val="single" w:sz="4" w:space="0" w:color="000000"/>
              <w:left w:val="nil" w:sz="6" w:space="0" w:color="auto"/>
              <w:bottom w:val="nil" w:sz="6" w:space="0" w:color="auto"/>
              <w:right w:val="nil" w:sz="6" w:space="0" w:color="auto"/>
            </w:tcBorders>
          </w:tcPr>
          <w:p>
            <w:pPr/>
          </w:p>
        </w:tc>
        <w:tc>
          <w:tcPr>
            <w:tcW w:w="412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5" w:type="dxa"/>
            <w:tcBorders>
              <w:top w:val="single" w:sz="4" w:space="0" w:color="000000"/>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68" w:right="0"/>
              <w:jc w:val="left"/>
              <w:rPr>
                <w:rFonts w:ascii="宋体" w:hAnsi="宋体" w:cs="宋体" w:eastAsia="宋体" w:hint="default"/>
                <w:sz w:val="21"/>
                <w:szCs w:val="21"/>
              </w:rPr>
            </w:pPr>
            <w:r>
              <w:rPr>
                <w:rFonts w:ascii="宋体"/>
                <w:sz w:val="21"/>
              </w:rPr>
              <w:t>6.30</w:t>
            </w: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营业外收入（续）</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r>
      <w:tr>
        <w:trPr>
          <w:trHeight w:val="545"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6.30.2</w:t>
            </w:r>
            <w:r>
              <w:rPr>
                <w:rFonts w:ascii="宋体" w:hAnsi="宋体" w:cs="宋体" w:eastAsia="宋体" w:hint="default"/>
                <w:spacing w:val="1"/>
                <w:sz w:val="21"/>
                <w:szCs w:val="21"/>
              </w:rPr>
              <w:t> </w:t>
            </w:r>
            <w:r>
              <w:rPr>
                <w:rFonts w:ascii="宋体" w:hAnsi="宋体" w:cs="宋体" w:eastAsia="宋体" w:hint="default"/>
                <w:sz w:val="21"/>
                <w:szCs w:val="21"/>
              </w:rPr>
              <w:t>政府补助明</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51" w:right="0"/>
              <w:jc w:val="left"/>
              <w:rPr>
                <w:rFonts w:ascii="宋体" w:hAnsi="宋体" w:cs="宋体" w:eastAsia="宋体" w:hint="default"/>
                <w:sz w:val="21"/>
                <w:szCs w:val="21"/>
              </w:rPr>
            </w:pPr>
            <w:r>
              <w:rPr>
                <w:rFonts w:ascii="宋体" w:hAnsi="宋体" w:cs="宋体" w:eastAsia="宋体" w:hint="default"/>
                <w:w w:val="100"/>
                <w:sz w:val="21"/>
                <w:szCs w:val="21"/>
              </w:rPr>
              <w:t>细</w:t>
            </w:r>
          </w:p>
        </w:tc>
        <w:tc>
          <w:tcPr>
            <w:tcW w:w="189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r>
      <w:tr>
        <w:trPr>
          <w:trHeight w:val="413"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2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2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年度政府补助说明</w:t>
            </w:r>
          </w:p>
        </w:tc>
      </w:tr>
      <w:tr>
        <w:trPr>
          <w:trHeight w:val="1095"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7" w:right="0"/>
              <w:jc w:val="left"/>
              <w:rPr>
                <w:rFonts w:ascii="宋体" w:hAnsi="宋体" w:cs="宋体" w:eastAsia="宋体" w:hint="default"/>
                <w:sz w:val="21"/>
                <w:szCs w:val="21"/>
              </w:rPr>
            </w:pPr>
            <w:r>
              <w:rPr>
                <w:rFonts w:ascii="宋体" w:hAnsi="宋体" w:cs="宋体" w:eastAsia="宋体" w:hint="default"/>
                <w:sz w:val="21"/>
                <w:szCs w:val="21"/>
              </w:rPr>
              <w:t>财政补贴</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3"/>
              <w:jc w:val="right"/>
              <w:rPr>
                <w:rFonts w:ascii="宋体" w:hAnsi="宋体" w:cs="宋体" w:eastAsia="宋体" w:hint="default"/>
                <w:sz w:val="21"/>
                <w:szCs w:val="21"/>
              </w:rPr>
            </w:pPr>
            <w:r>
              <w:rPr>
                <w:rFonts w:ascii="宋体"/>
                <w:spacing w:val="-1"/>
                <w:sz w:val="21"/>
              </w:rPr>
              <w:t>360,000.00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06"/>
              <w:jc w:val="right"/>
              <w:rPr>
                <w:rFonts w:ascii="宋体" w:hAnsi="宋体" w:cs="宋体" w:eastAsia="宋体" w:hint="default"/>
                <w:sz w:val="21"/>
                <w:szCs w:val="21"/>
              </w:rPr>
            </w:pPr>
            <w:r>
              <w:rPr>
                <w:rFonts w:ascii="宋体"/>
                <w:spacing w:val="-1"/>
                <w:sz w:val="21"/>
              </w:rPr>
              <w:t>618,200.00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spacing w:val="11"/>
                <w:sz w:val="21"/>
                <w:szCs w:val="21"/>
              </w:rPr>
              <w:t>收到上海市徐汇区人民</w:t>
            </w:r>
            <w:r>
              <w:rPr>
                <w:rFonts w:ascii="宋体" w:hAnsi="宋体" w:cs="宋体" w:eastAsia="宋体" w:hint="default"/>
                <w:sz w:val="21"/>
                <w:szCs w:val="21"/>
              </w:rPr>
            </w:r>
          </w:p>
          <w:p>
            <w:pPr>
              <w:pStyle w:val="TableParagraph"/>
              <w:spacing w:line="237" w:lineRule="auto"/>
              <w:ind w:left="107" w:right="152"/>
              <w:jc w:val="both"/>
              <w:rPr>
                <w:rFonts w:ascii="宋体" w:hAnsi="宋体" w:cs="宋体" w:eastAsia="宋体" w:hint="default"/>
                <w:sz w:val="21"/>
                <w:szCs w:val="21"/>
              </w:rPr>
            </w:pPr>
            <w:r>
              <w:rPr>
                <w:rFonts w:ascii="宋体" w:hAnsi="宋体" w:cs="宋体" w:eastAsia="宋体" w:hint="default"/>
                <w:spacing w:val="11"/>
                <w:sz w:val="21"/>
                <w:szCs w:val="21"/>
              </w:rPr>
              <w:t>政府徐家汇街道办事处</w:t>
            </w:r>
            <w:r>
              <w:rPr>
                <w:rFonts w:ascii="宋体" w:hAnsi="宋体" w:cs="宋体" w:eastAsia="宋体" w:hint="default"/>
                <w:spacing w:val="-84"/>
                <w:sz w:val="21"/>
                <w:szCs w:val="21"/>
              </w:rPr>
              <w:t> </w:t>
            </w:r>
            <w:r>
              <w:rPr>
                <w:rFonts w:ascii="宋体" w:hAnsi="宋体" w:cs="宋体" w:eastAsia="宋体" w:hint="default"/>
                <w:spacing w:val="11"/>
                <w:sz w:val="21"/>
                <w:szCs w:val="21"/>
              </w:rPr>
              <w:t>拨付的现代服务业扶持</w:t>
            </w:r>
            <w:r>
              <w:rPr>
                <w:rFonts w:ascii="宋体" w:hAnsi="宋体" w:cs="宋体" w:eastAsia="宋体" w:hint="default"/>
                <w:spacing w:val="-84"/>
                <w:sz w:val="21"/>
                <w:szCs w:val="21"/>
              </w:rPr>
              <w:t> </w:t>
            </w:r>
            <w:r>
              <w:rPr>
                <w:rFonts w:ascii="宋体" w:hAnsi="宋体" w:cs="宋体" w:eastAsia="宋体" w:hint="default"/>
                <w:sz w:val="21"/>
                <w:szCs w:val="21"/>
              </w:rPr>
              <w:t>资金。</w:t>
            </w:r>
          </w:p>
        </w:tc>
      </w:tr>
      <w:tr>
        <w:trPr>
          <w:trHeight w:val="2179"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服务外包发展资金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709,000.00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1,025,400.00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根据“关于拨付</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p>
          <w:p>
            <w:pPr>
              <w:pStyle w:val="TableParagraph"/>
              <w:spacing w:line="237" w:lineRule="auto"/>
              <w:ind w:left="107" w:right="152"/>
              <w:jc w:val="both"/>
              <w:rPr>
                <w:rFonts w:ascii="宋体" w:hAnsi="宋体" w:cs="宋体" w:eastAsia="宋体" w:hint="default"/>
                <w:sz w:val="21"/>
                <w:szCs w:val="21"/>
              </w:rPr>
            </w:pPr>
            <w:r>
              <w:rPr>
                <w:rFonts w:ascii="宋体" w:hAnsi="宋体" w:cs="宋体" w:eastAsia="宋体" w:hint="default"/>
                <w:spacing w:val="11"/>
                <w:sz w:val="21"/>
                <w:szCs w:val="21"/>
              </w:rPr>
              <w:t>下半年度国家服务外包</w:t>
            </w:r>
            <w:r>
              <w:rPr>
                <w:rFonts w:ascii="宋体" w:hAnsi="宋体" w:cs="宋体" w:eastAsia="宋体" w:hint="default"/>
                <w:spacing w:val="-84"/>
                <w:sz w:val="21"/>
                <w:szCs w:val="21"/>
              </w:rPr>
              <w:t> </w:t>
            </w:r>
            <w:r>
              <w:rPr>
                <w:rFonts w:ascii="宋体" w:hAnsi="宋体" w:cs="宋体" w:eastAsia="宋体" w:hint="default"/>
                <w:spacing w:val="-10"/>
                <w:w w:val="100"/>
                <w:sz w:val="21"/>
                <w:szCs w:val="21"/>
              </w:rPr>
              <w:t>发展专项资金的通知”和</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“拨付</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年度服务外</w:t>
            </w:r>
            <w:r>
              <w:rPr>
                <w:rFonts w:ascii="宋体" w:hAnsi="宋体" w:cs="宋体" w:eastAsia="宋体" w:hint="default"/>
                <w:w w:val="100"/>
                <w:sz w:val="21"/>
                <w:szCs w:val="21"/>
              </w:rPr>
              <w:t> </w:t>
            </w:r>
            <w:r>
              <w:rPr>
                <w:rFonts w:ascii="宋体" w:hAnsi="宋体" w:cs="宋体" w:eastAsia="宋体" w:hint="default"/>
                <w:sz w:val="21"/>
                <w:szCs w:val="21"/>
              </w:rPr>
              <w:t>包</w:t>
            </w:r>
            <w:r>
              <w:rPr>
                <w:rFonts w:ascii="宋体" w:hAnsi="宋体" w:cs="宋体" w:eastAsia="宋体" w:hint="default"/>
                <w:spacing w:val="-64"/>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展</w:t>
            </w:r>
            <w:r>
              <w:rPr>
                <w:rFonts w:ascii="宋体" w:hAnsi="宋体" w:cs="宋体" w:eastAsia="宋体" w:hint="default"/>
                <w:spacing w:val="-66"/>
                <w:sz w:val="21"/>
                <w:szCs w:val="21"/>
              </w:rPr>
              <w:t> </w:t>
            </w:r>
            <w:r>
              <w:rPr>
                <w:rFonts w:ascii="宋体" w:hAnsi="宋体" w:cs="宋体" w:eastAsia="宋体" w:hint="default"/>
                <w:sz w:val="21"/>
                <w:szCs w:val="21"/>
              </w:rPr>
              <w:t>专</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pacing w:val="-17"/>
                <w:w w:val="100"/>
                <w:sz w:val="21"/>
                <w:szCs w:val="21"/>
              </w:rPr>
              <w:t>知”，给予的</w:t>
            </w:r>
            <w:r>
              <w:rPr>
                <w:rFonts w:ascii="宋体" w:hAnsi="宋体" w:cs="宋体" w:eastAsia="宋体" w:hint="default"/>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2"/>
                <w:w w:val="100"/>
                <w:sz w:val="21"/>
                <w:szCs w:val="21"/>
              </w:rPr>
              <w:t> </w:t>
            </w:r>
            <w:r>
              <w:rPr>
                <w:rFonts w:ascii="宋体" w:hAnsi="宋体" w:cs="宋体" w:eastAsia="宋体" w:hint="default"/>
                <w:spacing w:val="2"/>
                <w:w w:val="100"/>
                <w:sz w:val="21"/>
                <w:szCs w:val="21"/>
              </w:rPr>
              <w:t>年和</w:t>
            </w:r>
            <w:r>
              <w:rPr>
                <w:rFonts w:ascii="宋体" w:hAnsi="宋体" w:cs="宋体" w:eastAsia="宋体" w:hint="default"/>
                <w:w w:val="100"/>
                <w:sz w:val="21"/>
                <w:szCs w:val="21"/>
              </w:rPr>
            </w:r>
          </w:p>
          <w:p>
            <w:pPr>
              <w:pStyle w:val="TableParagraph"/>
              <w:spacing w:line="274" w:lineRule="exact" w:before="22"/>
              <w:ind w:left="107" w:right="163"/>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14"/>
                <w:sz w:val="21"/>
                <w:szCs w:val="21"/>
              </w:rPr>
              <w:t> </w:t>
            </w:r>
            <w:r>
              <w:rPr>
                <w:rFonts w:ascii="宋体" w:hAnsi="宋体" w:cs="宋体" w:eastAsia="宋体" w:hint="default"/>
                <w:sz w:val="21"/>
                <w:szCs w:val="21"/>
              </w:rPr>
              <w:t>年服务外包发展资</w:t>
            </w:r>
            <w:r>
              <w:rPr>
                <w:rFonts w:ascii="宋体" w:hAnsi="宋体" w:cs="宋体" w:eastAsia="宋体" w:hint="default"/>
                <w:w w:val="100"/>
                <w:sz w:val="21"/>
                <w:szCs w:val="21"/>
              </w:rPr>
              <w:t> </w:t>
            </w:r>
            <w:r>
              <w:rPr>
                <w:rFonts w:ascii="宋体" w:hAnsi="宋体" w:cs="宋体" w:eastAsia="宋体" w:hint="default"/>
                <w:sz w:val="21"/>
                <w:szCs w:val="21"/>
              </w:rPr>
              <w:t>金。</w:t>
            </w:r>
          </w:p>
        </w:tc>
      </w:tr>
      <w:tr>
        <w:trPr>
          <w:trHeight w:val="817"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科技发展专项资金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100,000.00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1,000,000.00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1"/>
                <w:sz w:val="21"/>
                <w:szCs w:val="21"/>
              </w:rPr>
              <w:t>收到上海市科学技术委</w:t>
            </w:r>
            <w:r>
              <w:rPr>
                <w:rFonts w:ascii="宋体" w:hAnsi="宋体" w:cs="宋体" w:eastAsia="宋体" w:hint="default"/>
                <w:sz w:val="21"/>
                <w:szCs w:val="21"/>
              </w:rPr>
            </w:r>
          </w:p>
          <w:p>
            <w:pPr>
              <w:pStyle w:val="TableParagraph"/>
              <w:spacing w:line="272" w:lineRule="exact" w:before="27"/>
              <w:ind w:left="107" w:right="152"/>
              <w:jc w:val="left"/>
              <w:rPr>
                <w:rFonts w:ascii="宋体" w:hAnsi="宋体" w:cs="宋体" w:eastAsia="宋体" w:hint="default"/>
                <w:sz w:val="21"/>
                <w:szCs w:val="21"/>
              </w:rPr>
            </w:pPr>
            <w:r>
              <w:rPr>
                <w:rFonts w:ascii="宋体" w:hAnsi="宋体" w:cs="宋体" w:eastAsia="宋体" w:hint="default"/>
                <w:spacing w:val="11"/>
                <w:sz w:val="21"/>
                <w:szCs w:val="21"/>
              </w:rPr>
              <w:t>员会拨付的科技发展基</w:t>
            </w:r>
            <w:r>
              <w:rPr>
                <w:rFonts w:ascii="宋体" w:hAnsi="宋体" w:cs="宋体" w:eastAsia="宋体" w:hint="default"/>
                <w:spacing w:val="-84"/>
                <w:sz w:val="21"/>
                <w:szCs w:val="21"/>
              </w:rPr>
              <w:t> </w:t>
            </w:r>
            <w:r>
              <w:rPr>
                <w:rFonts w:ascii="宋体" w:hAnsi="宋体" w:cs="宋体" w:eastAsia="宋体" w:hint="default"/>
                <w:sz w:val="21"/>
                <w:szCs w:val="21"/>
              </w:rPr>
              <w:t>金。</w:t>
            </w:r>
          </w:p>
        </w:tc>
      </w:tr>
      <w:tr>
        <w:trPr>
          <w:trHeight w:val="817"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小巨人工程</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500,000.00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1"/>
                <w:sz w:val="21"/>
                <w:szCs w:val="21"/>
              </w:rPr>
              <w:t>根据上海市徐汇区科学</w:t>
            </w:r>
            <w:r>
              <w:rPr>
                <w:rFonts w:ascii="宋体" w:hAnsi="宋体" w:cs="宋体" w:eastAsia="宋体" w:hint="default"/>
                <w:sz w:val="21"/>
                <w:szCs w:val="21"/>
              </w:rPr>
            </w:r>
          </w:p>
          <w:p>
            <w:pPr>
              <w:pStyle w:val="TableParagraph"/>
              <w:spacing w:line="240" w:lineRule="auto"/>
              <w:ind w:left="107" w:right="152"/>
              <w:jc w:val="left"/>
              <w:rPr>
                <w:rFonts w:ascii="宋体" w:hAnsi="宋体" w:cs="宋体" w:eastAsia="宋体" w:hint="default"/>
                <w:sz w:val="21"/>
                <w:szCs w:val="21"/>
              </w:rPr>
            </w:pPr>
            <w:r>
              <w:rPr>
                <w:rFonts w:ascii="宋体" w:hAnsi="宋体" w:cs="宋体" w:eastAsia="宋体" w:hint="default"/>
                <w:spacing w:val="11"/>
                <w:sz w:val="21"/>
                <w:szCs w:val="21"/>
              </w:rPr>
              <w:t>技术委员会资助项目合</w:t>
            </w:r>
            <w:r>
              <w:rPr>
                <w:rFonts w:ascii="宋体" w:hAnsi="宋体" w:cs="宋体" w:eastAsia="宋体" w:hint="default"/>
                <w:spacing w:val="-84"/>
                <w:sz w:val="21"/>
                <w:szCs w:val="21"/>
              </w:rPr>
              <w:t> </w:t>
            </w:r>
            <w:r>
              <w:rPr>
                <w:rFonts w:ascii="宋体" w:hAnsi="宋体" w:cs="宋体" w:eastAsia="宋体" w:hint="default"/>
                <w:sz w:val="21"/>
                <w:szCs w:val="21"/>
              </w:rPr>
              <w:t>同拨付的资金补贴</w:t>
            </w:r>
          </w:p>
        </w:tc>
      </w:tr>
      <w:tr>
        <w:trPr>
          <w:trHeight w:val="818"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服务贸易专项资金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1,285,300.00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514,500.00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根据沪商服贸</w:t>
            </w:r>
            <w:r>
              <w:rPr>
                <w:rFonts w:ascii="宋体" w:hAnsi="宋体" w:cs="宋体" w:eastAsia="宋体" w:hint="default"/>
                <w:spacing w:val="13"/>
                <w:sz w:val="21"/>
                <w:szCs w:val="21"/>
              </w:rPr>
              <w:t> </w:t>
            </w:r>
            <w:r>
              <w:rPr>
                <w:rFonts w:ascii="宋体" w:hAnsi="宋体" w:cs="宋体" w:eastAsia="宋体" w:hint="default"/>
                <w:sz w:val="21"/>
                <w:szCs w:val="21"/>
              </w:rPr>
              <w:t>2011-640</w:t>
            </w:r>
          </w:p>
          <w:p>
            <w:pPr>
              <w:pStyle w:val="TableParagraph"/>
              <w:spacing w:line="272" w:lineRule="exact" w:before="27"/>
              <w:ind w:left="107" w:right="70"/>
              <w:jc w:val="left"/>
              <w:rPr>
                <w:rFonts w:ascii="宋体" w:hAnsi="宋体" w:cs="宋体" w:eastAsia="宋体" w:hint="default"/>
                <w:sz w:val="21"/>
                <w:szCs w:val="21"/>
              </w:rPr>
            </w:pPr>
            <w:r>
              <w:rPr>
                <w:rFonts w:ascii="宋体" w:hAnsi="宋体" w:cs="宋体" w:eastAsia="宋体" w:hint="default"/>
                <w:sz w:val="21"/>
                <w:szCs w:val="21"/>
              </w:rPr>
              <w:t>号通知，获得</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年度</w:t>
            </w:r>
            <w:r>
              <w:rPr>
                <w:rFonts w:ascii="宋体" w:hAnsi="宋体" w:cs="宋体" w:eastAsia="宋体" w:hint="default"/>
                <w:spacing w:val="-102"/>
                <w:sz w:val="21"/>
                <w:szCs w:val="21"/>
              </w:rPr>
              <w:t> </w:t>
            </w:r>
            <w:r>
              <w:rPr>
                <w:rFonts w:ascii="宋体" w:hAnsi="宋体" w:cs="宋体" w:eastAsia="宋体" w:hint="default"/>
                <w:spacing w:val="-2"/>
                <w:sz w:val="21"/>
                <w:szCs w:val="21"/>
              </w:rPr>
              <w:t>服务贸易发展专项资金。</w:t>
            </w:r>
          </w:p>
        </w:tc>
      </w:tr>
      <w:tr>
        <w:trPr>
          <w:trHeight w:val="1090"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107" w:right="0"/>
              <w:jc w:val="left"/>
              <w:rPr>
                <w:rFonts w:ascii="宋体" w:hAnsi="宋体" w:cs="宋体" w:eastAsia="宋体" w:hint="default"/>
                <w:sz w:val="21"/>
                <w:szCs w:val="21"/>
              </w:rPr>
            </w:pPr>
            <w:r>
              <w:rPr>
                <w:rFonts w:ascii="宋体" w:hAnsi="宋体" w:cs="宋体" w:eastAsia="宋体" w:hint="default"/>
                <w:sz w:val="21"/>
                <w:szCs w:val="21"/>
              </w:rPr>
              <w:t>财政贴息</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103"/>
              <w:jc w:val="right"/>
              <w:rPr>
                <w:rFonts w:ascii="宋体" w:hAnsi="宋体" w:cs="宋体" w:eastAsia="宋体" w:hint="default"/>
                <w:sz w:val="21"/>
                <w:szCs w:val="21"/>
              </w:rPr>
            </w:pPr>
            <w:r>
              <w:rPr>
                <w:rFonts w:ascii="宋体"/>
                <w:spacing w:val="-1"/>
                <w:sz w:val="21"/>
              </w:rPr>
              <w:t>2,147,600.00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105"/>
              <w:jc w:val="right"/>
              <w:rPr>
                <w:rFonts w:ascii="宋体" w:hAnsi="宋体" w:cs="宋体" w:eastAsia="宋体" w:hint="default"/>
                <w:sz w:val="21"/>
                <w:szCs w:val="21"/>
              </w:rPr>
            </w:pPr>
            <w:r>
              <w:rPr>
                <w:rFonts w:ascii="宋体"/>
                <w:spacing w:val="-1"/>
                <w:sz w:val="21"/>
              </w:rPr>
              <w:t>1,023,500.00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根 据 财 政 部 财 </w:t>
            </w:r>
            <w:r>
              <w:rPr>
                <w:rFonts w:ascii="宋体" w:hAnsi="宋体" w:cs="宋体" w:eastAsia="宋体" w:hint="default"/>
                <w:spacing w:val="11"/>
                <w:sz w:val="21"/>
                <w:szCs w:val="21"/>
              </w:rPr>
              <w:t> </w:t>
            </w:r>
            <w:r>
              <w:rPr>
                <w:rFonts w:ascii="宋体" w:hAnsi="宋体" w:cs="宋体" w:eastAsia="宋体" w:hint="default"/>
                <w:sz w:val="21"/>
                <w:szCs w:val="21"/>
              </w:rPr>
              <w:t>企</w:t>
            </w:r>
          </w:p>
          <w:p>
            <w:pPr>
              <w:pStyle w:val="TableParagraph"/>
              <w:spacing w:line="237" w:lineRule="auto"/>
              <w:ind w:left="107" w:right="152"/>
              <w:jc w:val="both"/>
              <w:rPr>
                <w:rFonts w:ascii="宋体" w:hAnsi="宋体" w:cs="宋体" w:eastAsia="宋体" w:hint="default"/>
                <w:sz w:val="21"/>
                <w:szCs w:val="21"/>
              </w:rPr>
            </w:pPr>
            <w:r>
              <w:rPr>
                <w:rFonts w:ascii="宋体" w:hAnsi="宋体" w:cs="宋体" w:eastAsia="宋体" w:hint="default"/>
                <w:sz w:val="21"/>
                <w:szCs w:val="21"/>
              </w:rPr>
              <w:t>2011-256</w:t>
            </w:r>
            <w:r>
              <w:rPr>
                <w:rFonts w:ascii="宋体" w:hAnsi="宋体" w:cs="宋体" w:eastAsia="宋体" w:hint="default"/>
                <w:spacing w:val="11"/>
                <w:sz w:val="21"/>
                <w:szCs w:val="21"/>
              </w:rPr>
              <w:t> </w:t>
            </w:r>
            <w:r>
              <w:rPr>
                <w:rFonts w:ascii="宋体" w:hAnsi="宋体" w:cs="宋体" w:eastAsia="宋体" w:hint="default"/>
                <w:sz w:val="21"/>
                <w:szCs w:val="21"/>
              </w:rPr>
              <w:t>号通知，获得</w:t>
            </w:r>
            <w:r>
              <w:rPr>
                <w:rFonts w:ascii="宋体" w:hAnsi="宋体" w:cs="宋体" w:eastAsia="宋体" w:hint="default"/>
                <w:w w:val="100"/>
                <w:sz w:val="21"/>
                <w:szCs w:val="21"/>
              </w:rPr>
              <w:t> </w:t>
            </w:r>
            <w:r>
              <w:rPr>
                <w:rFonts w:ascii="宋体" w:hAnsi="宋体" w:cs="宋体" w:eastAsia="宋体" w:hint="default"/>
                <w:spacing w:val="11"/>
                <w:sz w:val="21"/>
                <w:szCs w:val="21"/>
              </w:rPr>
              <w:t>软件及信息服务出口贴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息资金。</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服务外包专项资金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495,000.00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2" w:lineRule="exact"/>
              <w:ind w:right="57"/>
              <w:jc w:val="center"/>
              <w:rPr>
                <w:rFonts w:ascii="宋体" w:hAnsi="宋体" w:cs="宋体" w:eastAsia="宋体" w:hint="default"/>
                <w:sz w:val="21"/>
                <w:szCs w:val="21"/>
              </w:rPr>
            </w:pPr>
            <w:r>
              <w:rPr>
                <w:rFonts w:ascii="宋体"/>
                <w:w w:val="100"/>
                <w:sz w:val="21"/>
              </w:rPr>
              <w:t>-</w:t>
            </w:r>
          </w:p>
        </w:tc>
      </w:tr>
      <w:tr>
        <w:trPr>
          <w:trHeight w:val="272"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中小企业开拓资金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25,000.00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1" w:lineRule="exact"/>
              <w:ind w:right="57"/>
              <w:jc w:val="center"/>
              <w:rPr>
                <w:rFonts w:ascii="宋体" w:hAnsi="宋体" w:cs="宋体" w:eastAsia="宋体" w:hint="default"/>
                <w:sz w:val="21"/>
                <w:szCs w:val="21"/>
              </w:rPr>
            </w:pPr>
            <w:r>
              <w:rPr>
                <w:rFonts w:ascii="宋体"/>
                <w:w w:val="100"/>
                <w:sz w:val="21"/>
              </w:rPr>
              <w:t>-</w:t>
            </w:r>
          </w:p>
        </w:tc>
      </w:tr>
      <w:tr>
        <w:trPr>
          <w:trHeight w:val="1088"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left="107" w:right="0"/>
              <w:jc w:val="left"/>
              <w:rPr>
                <w:rFonts w:ascii="宋体" w:hAnsi="宋体" w:cs="宋体" w:eastAsia="宋体" w:hint="default"/>
                <w:sz w:val="21"/>
                <w:szCs w:val="21"/>
              </w:rPr>
            </w:pPr>
            <w:r>
              <w:rPr>
                <w:rFonts w:ascii="宋体" w:hAnsi="宋体" w:cs="宋体" w:eastAsia="宋体" w:hint="default"/>
                <w:sz w:val="21"/>
                <w:szCs w:val="21"/>
              </w:rPr>
              <w:t>领军人才专项资金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103"/>
              <w:jc w:val="right"/>
              <w:rPr>
                <w:rFonts w:ascii="宋体" w:hAnsi="宋体" w:cs="宋体" w:eastAsia="宋体" w:hint="default"/>
                <w:sz w:val="21"/>
                <w:szCs w:val="21"/>
              </w:rPr>
            </w:pPr>
            <w:r>
              <w:rPr>
                <w:rFonts w:ascii="宋体"/>
                <w:spacing w:val="-1"/>
                <w:sz w:val="21"/>
              </w:rPr>
              <w:t>100,000.00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5"/>
              <w:ind w:right="108"/>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pacing w:val="11"/>
                <w:sz w:val="21"/>
                <w:szCs w:val="21"/>
              </w:rPr>
              <w:t>根据上海市人力资源和</w:t>
            </w:r>
            <w:r>
              <w:rPr>
                <w:rFonts w:ascii="宋体" w:hAnsi="宋体" w:cs="宋体" w:eastAsia="宋体" w:hint="default"/>
                <w:sz w:val="21"/>
                <w:szCs w:val="21"/>
              </w:rPr>
            </w:r>
          </w:p>
          <w:p>
            <w:pPr>
              <w:pStyle w:val="TableParagraph"/>
              <w:spacing w:line="237" w:lineRule="auto"/>
              <w:ind w:left="107" w:right="70"/>
              <w:jc w:val="both"/>
              <w:rPr>
                <w:rFonts w:ascii="宋体" w:hAnsi="宋体" w:cs="宋体" w:eastAsia="宋体" w:hint="default"/>
                <w:sz w:val="21"/>
                <w:szCs w:val="21"/>
              </w:rPr>
            </w:pPr>
            <w:r>
              <w:rPr>
                <w:rFonts w:ascii="宋体" w:hAnsi="宋体" w:cs="宋体" w:eastAsia="宋体" w:hint="default"/>
                <w:spacing w:val="11"/>
                <w:sz w:val="21"/>
                <w:szCs w:val="21"/>
              </w:rPr>
              <w:t>社会保障局沪人社专领</w:t>
            </w:r>
            <w:r>
              <w:rPr>
                <w:rFonts w:ascii="宋体" w:hAnsi="宋体" w:cs="宋体" w:eastAsia="宋体" w:hint="default"/>
                <w:spacing w:val="-84"/>
                <w:sz w:val="21"/>
                <w:szCs w:val="21"/>
              </w:rPr>
              <w:t> </w:t>
            </w:r>
            <w:r>
              <w:rPr>
                <w:rFonts w:ascii="宋体" w:hAnsi="宋体" w:cs="宋体" w:eastAsia="宋体" w:hint="default"/>
                <w:sz w:val="21"/>
                <w:szCs w:val="21"/>
              </w:rPr>
              <w:t>2011-160 </w:t>
            </w:r>
            <w:r>
              <w:rPr>
                <w:rFonts w:ascii="宋体" w:hAnsi="宋体" w:cs="宋体" w:eastAsia="宋体" w:hint="default"/>
                <w:sz w:val="21"/>
                <w:szCs w:val="21"/>
              </w:rPr>
              <w:t>号通知拨付的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领军人才专项资金资助。</w:t>
            </w:r>
          </w:p>
        </w:tc>
      </w:tr>
      <w:tr>
        <w:trPr>
          <w:trHeight w:val="1363"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7" w:right="105"/>
              <w:jc w:val="left"/>
              <w:rPr>
                <w:rFonts w:ascii="宋体" w:hAnsi="宋体" w:cs="宋体" w:eastAsia="宋体" w:hint="default"/>
                <w:sz w:val="21"/>
                <w:szCs w:val="21"/>
              </w:rPr>
            </w:pPr>
            <w:r>
              <w:rPr>
                <w:rFonts w:ascii="宋体" w:hAnsi="宋体" w:cs="宋体" w:eastAsia="宋体" w:hint="default"/>
                <w:spacing w:val="3"/>
                <w:sz w:val="21"/>
                <w:szCs w:val="21"/>
              </w:rPr>
              <w:t>软件企业能力成熟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度资助资金</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600,000.00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94"/>
                <w:w w:val="100"/>
                <w:sz w:val="21"/>
                <w:szCs w:val="21"/>
              </w:rPr>
              <w:t>据</w:t>
            </w:r>
            <w:r>
              <w:rPr>
                <w:rFonts w:ascii="宋体" w:hAnsi="宋体" w:cs="宋体" w:eastAsia="宋体" w:hint="default"/>
                <w:spacing w:val="-2"/>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市</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企</w:t>
            </w:r>
            <w:r>
              <w:rPr>
                <w:rFonts w:ascii="宋体" w:hAnsi="宋体" w:cs="宋体" w:eastAsia="宋体" w:hint="default"/>
                <w:w w:val="100"/>
                <w:sz w:val="21"/>
                <w:szCs w:val="21"/>
              </w:rPr>
              <w:t>业能</w:t>
            </w:r>
          </w:p>
          <w:p>
            <w:pPr>
              <w:pStyle w:val="TableParagraph"/>
              <w:spacing w:line="237" w:lineRule="auto" w:before="2"/>
              <w:ind w:left="107" w:right="152"/>
              <w:jc w:val="both"/>
              <w:rPr>
                <w:rFonts w:ascii="宋体" w:hAnsi="宋体" w:cs="宋体" w:eastAsia="宋体" w:hint="default"/>
                <w:sz w:val="21"/>
                <w:szCs w:val="21"/>
              </w:rPr>
            </w:pPr>
            <w:r>
              <w:rPr>
                <w:rFonts w:ascii="宋体" w:hAnsi="宋体" w:cs="宋体" w:eastAsia="宋体" w:hint="default"/>
                <w:spacing w:val="11"/>
                <w:sz w:val="21"/>
                <w:szCs w:val="21"/>
              </w:rPr>
              <w:t>力成熟度模型认证资助</w:t>
            </w:r>
            <w:r>
              <w:rPr>
                <w:rFonts w:ascii="宋体" w:hAnsi="宋体" w:cs="宋体" w:eastAsia="宋体" w:hint="default"/>
                <w:spacing w:val="-84"/>
                <w:sz w:val="21"/>
                <w:szCs w:val="21"/>
              </w:rPr>
              <w:t> </w:t>
            </w:r>
            <w:r>
              <w:rPr>
                <w:rFonts w:ascii="宋体" w:hAnsi="宋体" w:cs="宋体" w:eastAsia="宋体" w:hint="default"/>
                <w:spacing w:val="11"/>
                <w:sz w:val="21"/>
                <w:szCs w:val="21"/>
              </w:rPr>
              <w:t>资金管理暂行办法”规</w:t>
            </w:r>
            <w:r>
              <w:rPr>
                <w:rFonts w:ascii="宋体" w:hAnsi="宋体" w:cs="宋体" w:eastAsia="宋体" w:hint="default"/>
                <w:spacing w:val="-84"/>
                <w:sz w:val="21"/>
                <w:szCs w:val="21"/>
              </w:rPr>
              <w:t> </w:t>
            </w:r>
            <w:r>
              <w:rPr>
                <w:rFonts w:ascii="宋体" w:hAnsi="宋体" w:cs="宋体" w:eastAsia="宋体" w:hint="default"/>
                <w:spacing w:val="-10"/>
                <w:w w:val="100"/>
                <w:sz w:val="21"/>
                <w:szCs w:val="21"/>
              </w:rPr>
              <w:t>定，获得上海市软件测评</w:t>
            </w:r>
          </w:p>
          <w:p>
            <w:pPr>
              <w:pStyle w:val="TableParagraph"/>
              <w:spacing w:line="271" w:lineRule="exact"/>
              <w:ind w:left="107" w:right="0"/>
              <w:jc w:val="both"/>
              <w:rPr>
                <w:rFonts w:ascii="宋体" w:hAnsi="宋体" w:cs="宋体" w:eastAsia="宋体" w:hint="default"/>
                <w:sz w:val="21"/>
                <w:szCs w:val="21"/>
              </w:rPr>
            </w:pPr>
            <w:r>
              <w:rPr>
                <w:rFonts w:ascii="宋体" w:hAnsi="宋体" w:cs="宋体" w:eastAsia="宋体" w:hint="default"/>
                <w:sz w:val="21"/>
                <w:szCs w:val="21"/>
              </w:rPr>
              <w:t>中心有限公司专项资助。</w:t>
            </w:r>
          </w:p>
        </w:tc>
      </w:tr>
      <w:tr>
        <w:trPr>
          <w:trHeight w:val="278"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1,139,421.00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4,684,579.00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r>
      <w:tr>
        <w:trPr>
          <w:trHeight w:val="293"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6,941,321.00</w:t>
            </w:r>
          </w:p>
        </w:tc>
        <w:tc>
          <w:tcPr>
            <w:tcW w:w="235"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9,386,179.00</w:t>
            </w:r>
          </w:p>
        </w:tc>
        <w:tc>
          <w:tcPr>
            <w:tcW w:w="235"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r>
      <w:tr>
        <w:trPr>
          <w:trHeight w:val="800" w:hRule="exact"/>
        </w:trPr>
        <w:tc>
          <w:tcPr>
            <w:tcW w:w="79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03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107" w:right="153"/>
              <w:jc w:val="left"/>
              <w:rPr>
                <w:rFonts w:ascii="宋体" w:hAnsi="宋体" w:cs="宋体" w:eastAsia="宋体" w:hint="default"/>
                <w:sz w:val="21"/>
                <w:szCs w:val="21"/>
              </w:rPr>
            </w:pPr>
            <w:r>
              <w:rPr>
                <w:rFonts w:ascii="宋体" w:hAnsi="宋体" w:cs="宋体" w:eastAsia="宋体" w:hint="default"/>
                <w:sz w:val="21"/>
                <w:szCs w:val="21"/>
              </w:rPr>
              <w:t>营业外收入本年发生数比上年发生数减少</w:t>
            </w:r>
            <w:r>
              <w:rPr>
                <w:rFonts w:ascii="宋体" w:hAnsi="宋体" w:cs="宋体" w:eastAsia="宋体" w:hint="default"/>
                <w:spacing w:val="-56"/>
                <w:sz w:val="21"/>
                <w:szCs w:val="21"/>
              </w:rPr>
              <w:t> </w:t>
            </w:r>
            <w:r>
              <w:rPr>
                <w:rFonts w:ascii="宋体" w:hAnsi="宋体" w:cs="宋体" w:eastAsia="宋体" w:hint="default"/>
                <w:sz w:val="21"/>
                <w:szCs w:val="21"/>
              </w:rPr>
              <w:t>2,501,048.25</w:t>
            </w:r>
            <w:r>
              <w:rPr>
                <w:rFonts w:ascii="宋体" w:hAnsi="宋体" w:cs="宋体" w:eastAsia="宋体" w:hint="default"/>
                <w:spacing w:val="-58"/>
                <w:sz w:val="21"/>
                <w:szCs w:val="21"/>
              </w:rPr>
              <w:t> </w:t>
            </w:r>
            <w:r>
              <w:rPr>
                <w:rFonts w:ascii="宋体" w:hAnsi="宋体" w:cs="宋体" w:eastAsia="宋体" w:hint="default"/>
                <w:sz w:val="21"/>
                <w:szCs w:val="21"/>
              </w:rPr>
              <w:t>元，减少比例为</w:t>
            </w:r>
            <w:r>
              <w:rPr>
                <w:rFonts w:ascii="宋体" w:hAnsi="宋体" w:cs="宋体" w:eastAsia="宋体" w:hint="default"/>
                <w:spacing w:val="-56"/>
                <w:sz w:val="21"/>
                <w:szCs w:val="21"/>
              </w:rPr>
              <w:t> </w:t>
            </w:r>
            <w:r>
              <w:rPr>
                <w:rFonts w:ascii="宋体" w:hAnsi="宋体" w:cs="宋体" w:eastAsia="宋体" w:hint="default"/>
                <w:sz w:val="21"/>
                <w:szCs w:val="21"/>
              </w:rPr>
              <w:t>26.00%</w:t>
            </w:r>
            <w:r>
              <w:rPr>
                <w:rFonts w:ascii="宋体" w:hAnsi="宋体" w:cs="宋体" w:eastAsia="宋体" w:hint="default"/>
                <w:sz w:val="21"/>
                <w:szCs w:val="21"/>
              </w:rPr>
              <w:t>，主要原因为：</w:t>
            </w:r>
            <w:r>
              <w:rPr>
                <w:rFonts w:ascii="宋体" w:hAnsi="宋体" w:cs="宋体" w:eastAsia="宋体" w:hint="default"/>
                <w:w w:val="100"/>
                <w:sz w:val="21"/>
                <w:szCs w:val="21"/>
              </w:rPr>
              <w:t> </w:t>
            </w:r>
            <w:r>
              <w:rPr>
                <w:rFonts w:ascii="宋体" w:hAnsi="宋体" w:cs="宋体" w:eastAsia="宋体" w:hint="default"/>
                <w:sz w:val="21"/>
                <w:szCs w:val="21"/>
              </w:rPr>
              <w:t>本年取得政府补贴较少所致。</w:t>
            </w:r>
          </w:p>
        </w:tc>
      </w:tr>
    </w:tbl>
    <w:p>
      <w:pPr>
        <w:spacing w:after="0" w:line="272" w:lineRule="exact"/>
        <w:jc w:val="left"/>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r>
        <w:rPr/>
        <w:pict>
          <v:group style="position:absolute;margin-left:94.944pt;margin-top:199.939972pt;width:143.9pt;height:.1pt;mso-position-horizontal-relative:page;mso-position-vertical-relative:page;z-index:-794656" coordorigin="1899,3999" coordsize="2878,2">
            <v:shape style="position:absolute;left:1899;top:3999;width:2878;height:2" coordorigin="1899,3999" coordsize="2878,0" path="m1899,3999l4777,3999e" filled="false" stroked="true" strokeweight=".48001pt" strokecolor="#000000">
              <v:path arrowok="t"/>
            </v:shape>
            <w10:wrap type="none"/>
          </v:group>
        </w:pict>
      </w:r>
      <w:r>
        <w:rPr/>
        <w:pict>
          <v:group style="position:absolute;margin-left:286.850006pt;margin-top:461.689972pt;width:103.25pt;height:.1pt;mso-position-horizontal-relative:page;mso-position-vertical-relative:page;z-index:-794632" coordorigin="5737,9234" coordsize="2065,2">
            <v:shape style="position:absolute;left:5737;top:9234;width:2065;height:2" coordorigin="5737,9234" coordsize="2065,0" path="m5737,9234l7801,9234e" filled="false" stroked="true" strokeweight=".48001pt" strokecolor="#000000">
              <v:path arrowok="t"/>
            </v:shape>
            <w10:wrap type="none"/>
          </v:group>
        </w:pict>
      </w:r>
    </w:p>
    <w:p>
      <w:pPr>
        <w:spacing w:line="20" w:lineRule="exact"/>
        <w:ind w:left="8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901"/>
        <w:gridCol w:w="3520"/>
        <w:gridCol w:w="1880"/>
        <w:gridCol w:w="1307"/>
        <w:gridCol w:w="284"/>
        <w:gridCol w:w="1733"/>
      </w:tblGrid>
      <w:tr>
        <w:trPr>
          <w:trHeight w:val="378"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520" w:type="dxa"/>
            <w:tcBorders>
              <w:top w:val="nil" w:sz="6" w:space="0" w:color="auto"/>
              <w:left w:val="nil" w:sz="6" w:space="0" w:color="auto"/>
              <w:bottom w:val="nil" w:sz="6" w:space="0" w:color="auto"/>
              <w:right w:val="nil" w:sz="6" w:space="0" w:color="auto"/>
            </w:tcBorders>
          </w:tcPr>
          <w:p>
            <w:pPr>
              <w:pStyle w:val="TableParagraph"/>
              <w:spacing w:line="211"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188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545"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6.31</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8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687"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single" w:sz="4" w:space="0" w:color="000000"/>
              <w:right w:val="nil" w:sz="6" w:space="0" w:color="auto"/>
            </w:tcBorders>
          </w:tcPr>
          <w:p>
            <w:pPr>
              <w:pStyle w:val="TableParagraph"/>
              <w:tabs>
                <w:tab w:pos="1545" w:val="left" w:leader="none"/>
              </w:tabs>
              <w:spacing w:line="240" w:lineRule="auto" w:before="103"/>
              <w:ind w:left="11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8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72" w:lineRule="exact" w:before="130"/>
              <w:ind w:left="235" w:right="127" w:hanging="106"/>
              <w:jc w:val="left"/>
              <w:rPr>
                <w:rFonts w:ascii="宋体" w:hAnsi="宋体" w:cs="宋体" w:eastAsia="宋体" w:hint="default"/>
                <w:sz w:val="21"/>
                <w:szCs w:val="21"/>
              </w:rPr>
            </w:pPr>
            <w:r>
              <w:rPr>
                <w:rFonts w:ascii="宋体" w:hAnsi="宋体" w:cs="宋体" w:eastAsia="宋体" w:hint="default"/>
                <w:spacing w:val="-1"/>
                <w:sz w:val="21"/>
                <w:szCs w:val="21"/>
              </w:rPr>
              <w:t>计入当期非经常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性损益的金额</w:t>
            </w:r>
          </w:p>
        </w:tc>
      </w:tr>
      <w:tr>
        <w:trPr>
          <w:trHeight w:val="277"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1" w:lineRule="exact"/>
              <w:ind w:left="186" w:right="0"/>
              <w:jc w:val="left"/>
              <w:rPr>
                <w:rFonts w:ascii="宋体" w:hAnsi="宋体" w:cs="宋体" w:eastAsia="宋体" w:hint="default"/>
                <w:sz w:val="21"/>
                <w:szCs w:val="21"/>
              </w:rPr>
            </w:pPr>
            <w:r>
              <w:rPr>
                <w:rFonts w:ascii="宋体"/>
                <w:sz w:val="21"/>
              </w:rPr>
              <w:t>140,478.26</w:t>
            </w:r>
          </w:p>
        </w:tc>
        <w:tc>
          <w:tcPr>
            <w:tcW w:w="1307"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126,801.11</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140,478.26</w:t>
            </w:r>
          </w:p>
        </w:tc>
      </w:tr>
      <w:tr>
        <w:trPr>
          <w:trHeight w:val="272"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80" w:type="dxa"/>
            <w:tcBorders>
              <w:top w:val="nil" w:sz="6" w:space="0" w:color="auto"/>
              <w:left w:val="nil" w:sz="6" w:space="0" w:color="auto"/>
              <w:bottom w:val="nil" w:sz="6" w:space="0" w:color="auto"/>
              <w:right w:val="nil" w:sz="6" w:space="0" w:color="auto"/>
            </w:tcBorders>
          </w:tcPr>
          <w:p>
            <w:pPr>
              <w:pStyle w:val="TableParagraph"/>
              <w:spacing w:line="242" w:lineRule="exact"/>
              <w:ind w:left="186" w:right="0"/>
              <w:jc w:val="left"/>
              <w:rPr>
                <w:rFonts w:ascii="宋体" w:hAnsi="宋体" w:cs="宋体" w:eastAsia="宋体" w:hint="default"/>
                <w:sz w:val="21"/>
                <w:szCs w:val="21"/>
              </w:rPr>
            </w:pPr>
            <w:r>
              <w:rPr>
                <w:rFonts w:ascii="宋体"/>
                <w:sz w:val="21"/>
              </w:rPr>
              <w:t>140,478.26</w:t>
            </w:r>
          </w:p>
        </w:tc>
        <w:tc>
          <w:tcPr>
            <w:tcW w:w="1307"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126,801.11</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140,478.26</w:t>
            </w:r>
          </w:p>
        </w:tc>
      </w:tr>
      <w:tr>
        <w:trPr>
          <w:trHeight w:val="272"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880" w:type="dxa"/>
            <w:tcBorders>
              <w:top w:val="nil" w:sz="6" w:space="0" w:color="auto"/>
              <w:left w:val="nil" w:sz="6" w:space="0" w:color="auto"/>
              <w:bottom w:val="nil" w:sz="6" w:space="0" w:color="auto"/>
              <w:right w:val="nil" w:sz="6" w:space="0" w:color="auto"/>
            </w:tcBorders>
          </w:tcPr>
          <w:p>
            <w:pPr>
              <w:pStyle w:val="TableParagraph"/>
              <w:spacing w:line="241" w:lineRule="exact"/>
              <w:ind w:left="490" w:right="0"/>
              <w:jc w:val="center"/>
              <w:rPr>
                <w:rFonts w:ascii="宋体" w:hAnsi="宋体" w:cs="宋体" w:eastAsia="宋体" w:hint="default"/>
                <w:sz w:val="21"/>
                <w:szCs w:val="21"/>
              </w:rPr>
            </w:pPr>
            <w:r>
              <w:rPr>
                <w:rFonts w:ascii="宋体"/>
                <w:w w:val="100"/>
                <w:sz w:val="21"/>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272"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880" w:type="dxa"/>
            <w:tcBorders>
              <w:top w:val="nil" w:sz="6" w:space="0" w:color="auto"/>
              <w:left w:val="nil" w:sz="6" w:space="0" w:color="auto"/>
              <w:bottom w:val="nil" w:sz="6" w:space="0" w:color="auto"/>
              <w:right w:val="nil" w:sz="6" w:space="0" w:color="auto"/>
            </w:tcBorders>
          </w:tcPr>
          <w:p>
            <w:pPr>
              <w:pStyle w:val="TableParagraph"/>
              <w:spacing w:line="242" w:lineRule="exact"/>
              <w:ind w:left="490" w:right="0"/>
              <w:jc w:val="center"/>
              <w:rPr>
                <w:rFonts w:ascii="宋体" w:hAnsi="宋体" w:cs="宋体" w:eastAsia="宋体" w:hint="default"/>
                <w:sz w:val="21"/>
                <w:szCs w:val="21"/>
              </w:rPr>
            </w:pPr>
            <w:r>
              <w:rPr>
                <w:rFonts w:ascii="宋体"/>
                <w:w w:val="100"/>
                <w:sz w:val="21"/>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r>
      <w:tr>
        <w:trPr>
          <w:trHeight w:val="272"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880" w:type="dxa"/>
            <w:tcBorders>
              <w:top w:val="nil" w:sz="6" w:space="0" w:color="auto"/>
              <w:left w:val="nil" w:sz="6" w:space="0" w:color="auto"/>
              <w:bottom w:val="nil" w:sz="6" w:space="0" w:color="auto"/>
              <w:right w:val="nil" w:sz="6" w:space="0" w:color="auto"/>
            </w:tcBorders>
          </w:tcPr>
          <w:p>
            <w:pPr>
              <w:pStyle w:val="TableParagraph"/>
              <w:spacing w:line="241" w:lineRule="exact"/>
              <w:ind w:left="490" w:right="0"/>
              <w:jc w:val="center"/>
              <w:rPr>
                <w:rFonts w:ascii="宋体" w:hAnsi="宋体" w:cs="宋体" w:eastAsia="宋体" w:hint="default"/>
                <w:sz w:val="21"/>
                <w:szCs w:val="21"/>
              </w:rPr>
            </w:pPr>
            <w:r>
              <w:rPr>
                <w:rFonts w:ascii="宋体"/>
                <w:w w:val="100"/>
                <w:sz w:val="21"/>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273"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80" w:type="dxa"/>
            <w:tcBorders>
              <w:top w:val="nil" w:sz="6" w:space="0" w:color="auto"/>
              <w:left w:val="nil" w:sz="6" w:space="0" w:color="auto"/>
              <w:bottom w:val="nil" w:sz="6" w:space="0" w:color="auto"/>
              <w:right w:val="nil" w:sz="6" w:space="0" w:color="auto"/>
            </w:tcBorders>
          </w:tcPr>
          <w:p>
            <w:pPr>
              <w:pStyle w:val="TableParagraph"/>
              <w:spacing w:line="242" w:lineRule="exact"/>
              <w:ind w:left="397" w:right="0"/>
              <w:jc w:val="left"/>
              <w:rPr>
                <w:rFonts w:ascii="宋体" w:hAnsi="宋体" w:cs="宋体" w:eastAsia="宋体" w:hint="default"/>
                <w:sz w:val="21"/>
                <w:szCs w:val="21"/>
              </w:rPr>
            </w:pPr>
            <w:r>
              <w:rPr>
                <w:rFonts w:ascii="宋体"/>
                <w:sz w:val="21"/>
              </w:rPr>
              <w:t>5,000.00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5,000.00</w:t>
            </w:r>
          </w:p>
        </w:tc>
      </w:tr>
      <w:tr>
        <w:trPr>
          <w:trHeight w:val="272"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罚款滞纳金支出</w:t>
            </w:r>
          </w:p>
        </w:tc>
        <w:tc>
          <w:tcPr>
            <w:tcW w:w="1880" w:type="dxa"/>
            <w:tcBorders>
              <w:top w:val="nil" w:sz="6" w:space="0" w:color="auto"/>
              <w:left w:val="nil" w:sz="6" w:space="0" w:color="auto"/>
              <w:bottom w:val="nil" w:sz="6" w:space="0" w:color="auto"/>
              <w:right w:val="nil" w:sz="6" w:space="0" w:color="auto"/>
            </w:tcBorders>
          </w:tcPr>
          <w:p>
            <w:pPr>
              <w:pStyle w:val="TableParagraph"/>
              <w:spacing w:line="241" w:lineRule="exact"/>
              <w:ind w:left="291" w:right="0"/>
              <w:jc w:val="left"/>
              <w:rPr>
                <w:rFonts w:ascii="宋体" w:hAnsi="宋体" w:cs="宋体" w:eastAsia="宋体" w:hint="default"/>
                <w:sz w:val="21"/>
                <w:szCs w:val="21"/>
              </w:rPr>
            </w:pPr>
            <w:r>
              <w:rPr>
                <w:rFonts w:ascii="宋体"/>
                <w:sz w:val="21"/>
              </w:rPr>
              <w:t>11,078.20</w:t>
            </w:r>
          </w:p>
        </w:tc>
        <w:tc>
          <w:tcPr>
            <w:tcW w:w="130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11,078.20</w:t>
            </w:r>
          </w:p>
        </w:tc>
      </w:tr>
      <w:tr>
        <w:trPr>
          <w:trHeight w:val="272"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1880" w:type="dxa"/>
            <w:tcBorders>
              <w:top w:val="nil" w:sz="6" w:space="0" w:color="auto"/>
              <w:left w:val="nil" w:sz="6" w:space="0" w:color="auto"/>
              <w:bottom w:val="nil" w:sz="6" w:space="0" w:color="auto"/>
              <w:right w:val="nil" w:sz="6" w:space="0" w:color="auto"/>
            </w:tcBorders>
          </w:tcPr>
          <w:p>
            <w:pPr>
              <w:pStyle w:val="TableParagraph"/>
              <w:spacing w:line="241" w:lineRule="exact"/>
              <w:ind w:left="490" w:right="0"/>
              <w:jc w:val="center"/>
              <w:rPr>
                <w:rFonts w:ascii="宋体" w:hAnsi="宋体" w:cs="宋体" w:eastAsia="宋体" w:hint="default"/>
                <w:sz w:val="21"/>
                <w:szCs w:val="21"/>
              </w:rPr>
            </w:pPr>
            <w:r>
              <w:rPr>
                <w:rFonts w:ascii="宋体"/>
                <w:w w:val="100"/>
                <w:sz w:val="21"/>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359,325.00</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277"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single" w:sz="4" w:space="0" w:color="000000"/>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2" w:lineRule="exact"/>
              <w:ind w:left="291" w:right="0"/>
              <w:jc w:val="left"/>
              <w:rPr>
                <w:rFonts w:ascii="宋体" w:hAnsi="宋体" w:cs="宋体" w:eastAsia="宋体" w:hint="default"/>
                <w:sz w:val="21"/>
                <w:szCs w:val="21"/>
              </w:rPr>
            </w:pPr>
            <w:r>
              <w:rPr>
                <w:rFonts w:ascii="宋体"/>
                <w:sz w:val="21"/>
              </w:rPr>
              <w:t>10,519.22</w:t>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20,000.00</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10,519.22</w:t>
            </w:r>
          </w:p>
        </w:tc>
      </w:tr>
      <w:tr>
        <w:trPr>
          <w:trHeight w:val="293"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single" w:sz="4" w:space="0" w:color="000000"/>
              <w:left w:val="nil" w:sz="6" w:space="0" w:color="auto"/>
              <w:bottom w:val="single" w:sz="12" w:space="0" w:color="000000"/>
              <w:right w:val="nil" w:sz="6" w:space="0" w:color="auto"/>
            </w:tcBorders>
          </w:tcPr>
          <w:p>
            <w:pPr>
              <w:pStyle w:val="TableParagraph"/>
              <w:tabs>
                <w:tab w:pos="1545" w:val="left" w:leader="none"/>
              </w:tabs>
              <w:spacing w:line="243" w:lineRule="exact"/>
              <w:ind w:left="11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80"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186" w:right="0"/>
              <w:jc w:val="left"/>
              <w:rPr>
                <w:rFonts w:ascii="宋体" w:hAnsi="宋体" w:cs="宋体" w:eastAsia="宋体" w:hint="default"/>
                <w:sz w:val="21"/>
                <w:szCs w:val="21"/>
              </w:rPr>
            </w:pPr>
            <w:r>
              <w:rPr>
                <w:rFonts w:ascii="宋体"/>
                <w:sz w:val="21"/>
              </w:rPr>
              <w:t>167,075.68</w:t>
            </w:r>
          </w:p>
        </w:tc>
        <w:tc>
          <w:tcPr>
            <w:tcW w:w="1307"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506,126.11</w:t>
            </w: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167,075.68</w:t>
            </w:r>
          </w:p>
        </w:tc>
      </w:tr>
      <w:tr>
        <w:trPr>
          <w:trHeight w:val="968" w:hRule="exact"/>
        </w:trPr>
        <w:tc>
          <w:tcPr>
            <w:tcW w:w="962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9" w:right="103"/>
              <w:jc w:val="left"/>
              <w:rPr>
                <w:rFonts w:ascii="宋体" w:hAnsi="宋体" w:cs="宋体" w:eastAsia="宋体" w:hint="default"/>
                <w:sz w:val="21"/>
                <w:szCs w:val="21"/>
              </w:rPr>
            </w:pPr>
            <w:r>
              <w:rPr>
                <w:rFonts w:ascii="宋体" w:hAnsi="宋体" w:cs="宋体" w:eastAsia="宋体" w:hint="default"/>
                <w:sz w:val="21"/>
                <w:szCs w:val="21"/>
              </w:rPr>
              <w:t>营业外支出本年数比上年数减少</w:t>
            </w:r>
            <w:r>
              <w:rPr>
                <w:rFonts w:ascii="宋体" w:hAnsi="宋体" w:cs="宋体" w:eastAsia="宋体" w:hint="default"/>
                <w:spacing w:val="-43"/>
                <w:sz w:val="21"/>
                <w:szCs w:val="21"/>
              </w:rPr>
              <w:t> </w:t>
            </w:r>
            <w:r>
              <w:rPr>
                <w:rFonts w:ascii="宋体" w:hAnsi="宋体" w:cs="宋体" w:eastAsia="宋体" w:hint="default"/>
                <w:sz w:val="21"/>
                <w:szCs w:val="21"/>
              </w:rPr>
              <w:t>339,050.43</w:t>
            </w:r>
            <w:r>
              <w:rPr>
                <w:rFonts w:ascii="宋体" w:hAnsi="宋体" w:cs="宋体" w:eastAsia="宋体" w:hint="default"/>
                <w:spacing w:val="-45"/>
                <w:sz w:val="21"/>
                <w:szCs w:val="21"/>
              </w:rPr>
              <w:t> </w:t>
            </w:r>
            <w:r>
              <w:rPr>
                <w:rFonts w:ascii="宋体" w:hAnsi="宋体" w:cs="宋体" w:eastAsia="宋体" w:hint="default"/>
                <w:spacing w:val="-4"/>
                <w:sz w:val="21"/>
                <w:szCs w:val="21"/>
              </w:rPr>
              <w:t>元，减少比例为</w:t>
            </w:r>
            <w:r>
              <w:rPr>
                <w:rFonts w:ascii="宋体" w:hAnsi="宋体" w:cs="宋体" w:eastAsia="宋体" w:hint="default"/>
                <w:spacing w:val="-43"/>
                <w:sz w:val="21"/>
                <w:szCs w:val="21"/>
              </w:rPr>
              <w:t> </w:t>
            </w:r>
            <w:r>
              <w:rPr>
                <w:rFonts w:ascii="宋体" w:hAnsi="宋体" w:cs="宋体" w:eastAsia="宋体" w:hint="default"/>
                <w:spacing w:val="-4"/>
                <w:sz w:val="21"/>
                <w:szCs w:val="21"/>
              </w:rPr>
              <w:t>66.99%</w:t>
            </w:r>
            <w:r>
              <w:rPr>
                <w:rFonts w:ascii="宋体" w:hAnsi="宋体" w:cs="宋体" w:eastAsia="宋体" w:hint="default"/>
                <w:spacing w:val="-4"/>
                <w:sz w:val="21"/>
                <w:szCs w:val="21"/>
              </w:rPr>
              <w:t>，主要原因为：上年营业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外支出包含提前退租赔偿款。</w:t>
            </w:r>
          </w:p>
        </w:tc>
      </w:tr>
      <w:tr>
        <w:trPr>
          <w:trHeight w:val="544"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6.32</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8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r>
      <w:tr>
        <w:trPr>
          <w:trHeight w:val="415"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single" w:sz="4" w:space="0" w:color="000000"/>
              <w:right w:val="nil" w:sz="6" w:space="0" w:color="auto"/>
            </w:tcBorders>
          </w:tcPr>
          <w:p>
            <w:pPr>
              <w:pStyle w:val="TableParagraph"/>
              <w:tabs>
                <w:tab w:pos="502" w:val="left" w:leader="none"/>
              </w:tabs>
              <w:spacing w:line="240" w:lineRule="auto" w:before="103"/>
              <w:ind w:left="7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9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307" w:type="dxa"/>
            <w:tcBorders>
              <w:top w:val="nil" w:sz="6" w:space="0" w:color="auto"/>
              <w:left w:val="nil" w:sz="6" w:space="0" w:color="auto"/>
              <w:bottom w:val="single" w:sz="4" w:space="0" w:color="000000"/>
              <w:right w:val="nil" w:sz="6" w:space="0" w:color="auto"/>
            </w:tcBorders>
          </w:tcPr>
          <w:p>
            <w:pPr/>
          </w:p>
        </w:tc>
        <w:tc>
          <w:tcPr>
            <w:tcW w:w="284" w:type="dxa"/>
            <w:tcBorders>
              <w:top w:val="nil" w:sz="6" w:space="0" w:color="auto"/>
              <w:left w:val="nil" w:sz="6" w:space="0" w:color="auto"/>
              <w:bottom w:val="single" w:sz="4" w:space="0" w:color="000000"/>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7"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908" w:right="0"/>
              <w:jc w:val="left"/>
              <w:rPr>
                <w:rFonts w:ascii="宋体" w:hAnsi="宋体" w:cs="宋体" w:eastAsia="宋体" w:hint="default"/>
                <w:sz w:val="21"/>
                <w:szCs w:val="21"/>
              </w:rPr>
            </w:pPr>
            <w:r>
              <w:rPr>
                <w:rFonts w:ascii="宋体"/>
                <w:sz w:val="21"/>
              </w:rPr>
              <w:t>13,074,823.17</w:t>
            </w:r>
          </w:p>
        </w:tc>
        <w:tc>
          <w:tcPr>
            <w:tcW w:w="284" w:type="dxa"/>
            <w:tcBorders>
              <w:top w:val="single" w:sz="4" w:space="0" w:color="000000"/>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6,556,476.51</w:t>
            </w:r>
          </w:p>
        </w:tc>
      </w:tr>
      <w:tr>
        <w:trPr>
          <w:trHeight w:val="277"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1328" w:right="0"/>
              <w:jc w:val="left"/>
              <w:rPr>
                <w:rFonts w:ascii="宋体" w:hAnsi="宋体" w:cs="宋体" w:eastAsia="宋体" w:hint="default"/>
                <w:sz w:val="21"/>
                <w:szCs w:val="21"/>
              </w:rPr>
            </w:pPr>
            <w:r>
              <w:rPr>
                <w:rFonts w:ascii="宋体"/>
                <w:sz w:val="21"/>
              </w:rPr>
              <w:t>20,000.00</w:t>
            </w:r>
          </w:p>
        </w:tc>
        <w:tc>
          <w:tcPr>
            <w:tcW w:w="284" w:type="dxa"/>
            <w:tcBorders>
              <w:top w:val="nil" w:sz="6" w:space="0" w:color="auto"/>
              <w:left w:val="nil" w:sz="6" w:space="0" w:color="auto"/>
              <w:bottom w:val="single" w:sz="4" w:space="0" w:color="000000"/>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Style w:val="TableParagraph"/>
              <w:spacing w:line="242" w:lineRule="exact"/>
              <w:ind w:right="122"/>
              <w:jc w:val="right"/>
              <w:rPr>
                <w:rFonts w:ascii="宋体" w:hAnsi="宋体" w:cs="宋体" w:eastAsia="宋体" w:hint="default"/>
                <w:sz w:val="21"/>
                <w:szCs w:val="21"/>
              </w:rPr>
            </w:pPr>
            <w:r>
              <w:rPr>
                <w:rFonts w:ascii="宋体"/>
                <w:spacing w:val="-1"/>
                <w:sz w:val="21"/>
              </w:rPr>
              <w:t>24,067.50</w:t>
            </w:r>
          </w:p>
        </w:tc>
      </w:tr>
      <w:tr>
        <w:trPr>
          <w:trHeight w:val="293" w:hRule="exact"/>
        </w:trPr>
        <w:tc>
          <w:tcPr>
            <w:tcW w:w="901" w:type="dxa"/>
            <w:tcBorders>
              <w:top w:val="nil" w:sz="6" w:space="0" w:color="auto"/>
              <w:left w:val="nil" w:sz="6" w:space="0" w:color="auto"/>
              <w:bottom w:val="nil" w:sz="6" w:space="0" w:color="auto"/>
              <w:right w:val="nil" w:sz="6" w:space="0" w:color="auto"/>
            </w:tcBorders>
          </w:tcPr>
          <w:p>
            <w:pPr/>
          </w:p>
        </w:tc>
        <w:tc>
          <w:tcPr>
            <w:tcW w:w="3520"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6" w:lineRule="exact"/>
              <w:ind w:left="7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908" w:right="0"/>
              <w:jc w:val="left"/>
              <w:rPr>
                <w:rFonts w:ascii="宋体" w:hAnsi="宋体" w:cs="宋体" w:eastAsia="宋体" w:hint="default"/>
                <w:sz w:val="21"/>
                <w:szCs w:val="21"/>
              </w:rPr>
            </w:pPr>
            <w:r>
              <w:rPr>
                <w:rFonts w:ascii="宋体"/>
                <w:sz w:val="21"/>
              </w:rPr>
              <w:t>13,094,823.17</w:t>
            </w:r>
          </w:p>
        </w:tc>
        <w:tc>
          <w:tcPr>
            <w:tcW w:w="284" w:type="dxa"/>
            <w:tcBorders>
              <w:top w:val="single" w:sz="4" w:space="0" w:color="000000"/>
              <w:left w:val="nil" w:sz="6" w:space="0" w:color="auto"/>
              <w:bottom w:val="single" w:sz="12" w:space="0" w:color="000000"/>
              <w:right w:val="nil" w:sz="6" w:space="0" w:color="auto"/>
            </w:tcBorders>
          </w:tcPr>
          <w:p>
            <w:pPr/>
          </w:p>
        </w:tc>
        <w:tc>
          <w:tcPr>
            <w:tcW w:w="173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6,580,544.01</w:t>
            </w:r>
          </w:p>
        </w:tc>
      </w:tr>
      <w:tr>
        <w:trPr>
          <w:trHeight w:val="800" w:hRule="exact"/>
        </w:trPr>
        <w:tc>
          <w:tcPr>
            <w:tcW w:w="901" w:type="dxa"/>
            <w:tcBorders>
              <w:top w:val="nil" w:sz="6" w:space="0" w:color="auto"/>
              <w:left w:val="nil" w:sz="6" w:space="0" w:color="auto"/>
              <w:bottom w:val="nil" w:sz="6" w:space="0" w:color="auto"/>
              <w:right w:val="nil" w:sz="6" w:space="0" w:color="auto"/>
            </w:tcBorders>
          </w:tcPr>
          <w:p>
            <w:pPr/>
          </w:p>
        </w:tc>
        <w:tc>
          <w:tcPr>
            <w:tcW w:w="8723" w:type="dxa"/>
            <w:gridSpan w:val="5"/>
            <w:tcBorders>
              <w:top w:val="nil" w:sz="6" w:space="0" w:color="auto"/>
              <w:left w:val="nil" w:sz="6" w:space="0" w:color="auto"/>
              <w:bottom w:val="nil" w:sz="6" w:space="0" w:color="auto"/>
              <w:right w:val="nil" w:sz="6" w:space="0" w:color="auto"/>
            </w:tcBorders>
          </w:tcPr>
          <w:p>
            <w:pPr>
              <w:pStyle w:val="TableParagraph"/>
              <w:spacing w:line="28" w:lineRule="exact"/>
              <w:ind w:left="383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03.7pt;height:1.45pt;mso-position-horizontal-relative:char;mso-position-vertical-relative:line" coordorigin="0,0" coordsize="2074,29">
                  <v:group style="position:absolute;left:5;top:5;width:2065;height:2" coordorigin="5,5" coordsize="2065,2">
                    <v:shape style="position:absolute;left:5;top:5;width:2065;height:2" coordorigin="5,5" coordsize="2065,0" path="m5,5l2069,5e" filled="false" stroked="true" strokeweight=".47998pt" strokecolor="#000000">
                      <v:path arrowok="t"/>
                    </v:shape>
                  </v:group>
                  <v:group style="position:absolute;left:5;top:24;width:2065;height:2" coordorigin="5,24" coordsize="2065,2">
                    <v:shape style="position:absolute;left:5;top:24;width:2065;height:2" coordorigin="5,24" coordsize="2065,0" path="m5,24l2069,24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2" w:lineRule="exact"/>
              <w:ind w:left="107" w:right="103"/>
              <w:jc w:val="left"/>
              <w:rPr>
                <w:rFonts w:ascii="宋体" w:hAnsi="宋体" w:cs="宋体" w:eastAsia="宋体" w:hint="default"/>
                <w:sz w:val="21"/>
                <w:szCs w:val="21"/>
              </w:rPr>
            </w:pPr>
            <w:r>
              <w:rPr>
                <w:rFonts w:ascii="宋体" w:hAnsi="宋体" w:cs="宋体" w:eastAsia="宋体" w:hint="default"/>
                <w:sz w:val="21"/>
                <w:szCs w:val="21"/>
              </w:rPr>
              <w:t>所得税费用本年数比上年数增加</w:t>
            </w:r>
            <w:r>
              <w:rPr>
                <w:rFonts w:ascii="宋体" w:hAnsi="宋体" w:cs="宋体" w:eastAsia="宋体" w:hint="default"/>
                <w:spacing w:val="-44"/>
                <w:sz w:val="21"/>
                <w:szCs w:val="21"/>
              </w:rPr>
              <w:t> </w:t>
            </w:r>
            <w:r>
              <w:rPr>
                <w:rFonts w:ascii="宋体" w:hAnsi="宋体" w:cs="宋体" w:eastAsia="宋体" w:hint="default"/>
                <w:sz w:val="21"/>
                <w:szCs w:val="21"/>
              </w:rPr>
              <w:t>6,514,279.16</w:t>
            </w:r>
            <w:r>
              <w:rPr>
                <w:rFonts w:ascii="宋体" w:hAnsi="宋体" w:cs="宋体" w:eastAsia="宋体" w:hint="default"/>
                <w:spacing w:val="-44"/>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44"/>
                <w:sz w:val="21"/>
                <w:szCs w:val="21"/>
              </w:rPr>
              <w:t> </w:t>
            </w:r>
            <w:r>
              <w:rPr>
                <w:rFonts w:ascii="宋体" w:hAnsi="宋体" w:cs="宋体" w:eastAsia="宋体" w:hint="default"/>
                <w:spacing w:val="-4"/>
                <w:sz w:val="21"/>
                <w:szCs w:val="21"/>
              </w:rPr>
              <w:t>98.99%</w:t>
            </w:r>
            <w:r>
              <w:rPr>
                <w:rFonts w:ascii="宋体" w:hAnsi="宋体" w:cs="宋体" w:eastAsia="宋体" w:hint="default"/>
                <w:spacing w:val="-4"/>
                <w:sz w:val="21"/>
                <w:szCs w:val="21"/>
              </w:rPr>
              <w:t>，主要原因为：本公司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企业所得税率由上年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增加到本年</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z w:val="21"/>
                <w:szCs w:val="21"/>
              </w:rPr>
              <w:t>及本年利润增加所致所致。</w:t>
            </w:r>
          </w:p>
        </w:tc>
      </w:tr>
    </w:tbl>
    <w:p>
      <w:pPr>
        <w:spacing w:after="0" w:line="272" w:lineRule="exact"/>
        <w:jc w:val="left"/>
        <w:rPr>
          <w:rFonts w:ascii="宋体" w:hAnsi="宋体" w:cs="宋体" w:eastAsia="宋体" w:hint="default"/>
          <w:sz w:val="21"/>
          <w:szCs w:val="21"/>
        </w:rPr>
        <w:sectPr>
          <w:pgSz w:w="11910" w:h="16840"/>
          <w:pgMar w:header="886" w:footer="980" w:top="1740" w:bottom="1160" w:left="88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839"/>
        <w:gridCol w:w="103"/>
        <w:gridCol w:w="3058"/>
        <w:gridCol w:w="238"/>
        <w:gridCol w:w="2518"/>
        <w:gridCol w:w="425"/>
        <w:gridCol w:w="2751"/>
      </w:tblGrid>
      <w:tr>
        <w:trPr>
          <w:trHeight w:val="687" w:hRule="exact"/>
        </w:trPr>
        <w:tc>
          <w:tcPr>
            <w:tcW w:w="8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103" w:type="dxa"/>
            <w:tcBorders>
              <w:top w:val="single" w:sz="4" w:space="0" w:color="000000"/>
              <w:left w:val="nil" w:sz="6" w:space="0" w:color="auto"/>
              <w:bottom w:val="nil" w:sz="6" w:space="0" w:color="auto"/>
              <w:right w:val="nil" w:sz="6" w:space="0" w:color="auto"/>
            </w:tcBorders>
          </w:tcPr>
          <w:p>
            <w:pPr/>
          </w:p>
        </w:tc>
        <w:tc>
          <w:tcPr>
            <w:tcW w:w="30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8" w:type="dxa"/>
            <w:tcBorders>
              <w:top w:val="single" w:sz="4" w:space="0" w:color="000000"/>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16" w:right="0"/>
              <w:jc w:val="left"/>
              <w:rPr>
                <w:rFonts w:ascii="宋体" w:hAnsi="宋体" w:cs="宋体" w:eastAsia="宋体" w:hint="default"/>
                <w:sz w:val="21"/>
                <w:szCs w:val="21"/>
              </w:rPr>
            </w:pPr>
            <w:r>
              <w:rPr>
                <w:rFonts w:ascii="宋体"/>
                <w:sz w:val="21"/>
              </w:rPr>
              <w:t>6.33</w:t>
            </w:r>
          </w:p>
        </w:tc>
        <w:tc>
          <w:tcPr>
            <w:tcW w:w="103" w:type="dxa"/>
            <w:tcBorders>
              <w:top w:val="nil" w:sz="6" w:space="0" w:color="auto"/>
              <w:left w:val="nil" w:sz="6" w:space="0" w:color="auto"/>
              <w:bottom w:val="nil" w:sz="6" w:space="0" w:color="auto"/>
              <w:right w:val="nil" w:sz="6" w:space="0" w:color="auto"/>
            </w:tcBorders>
          </w:tcPr>
          <w:p>
            <w:pPr/>
          </w:p>
        </w:tc>
        <w:tc>
          <w:tcPr>
            <w:tcW w:w="58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基本每股收益和稀释每股收益的计算过程</w:t>
            </w: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406"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6.33.1</w:t>
              <w:tab/>
              <w:t>2011</w:t>
            </w:r>
            <w:r>
              <w:rPr>
                <w:rFonts w:ascii="宋体" w:hAnsi="宋体" w:cs="宋体" w:eastAsia="宋体" w:hint="default"/>
                <w:spacing w:val="-58"/>
                <w:sz w:val="21"/>
                <w:szCs w:val="21"/>
              </w:rPr>
              <w:t> </w:t>
            </w:r>
            <w:r>
              <w:rPr>
                <w:rFonts w:ascii="宋体" w:hAnsi="宋体" w:cs="宋体" w:eastAsia="宋体" w:hint="default"/>
                <w:sz w:val="21"/>
                <w:szCs w:val="21"/>
              </w:rPr>
              <w:t>年度每股收益</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240"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94" w:type="dxa"/>
            <w:gridSpan w:val="3"/>
            <w:tcBorders>
              <w:top w:val="nil" w:sz="6" w:space="0" w:color="auto"/>
              <w:left w:val="nil" w:sz="6" w:space="0" w:color="auto"/>
              <w:bottom w:val="single" w:sz="4" w:space="0" w:color="000000"/>
              <w:right w:val="nil" w:sz="6" w:space="0" w:color="auto"/>
            </w:tcBorders>
          </w:tcPr>
          <w:p>
            <w:pPr>
              <w:pStyle w:val="TableParagraph"/>
              <w:spacing w:line="208" w:lineRule="exact"/>
              <w:ind w:right="26"/>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5"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single" w:sz="4" w:space="0" w:color="000000"/>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425" w:type="dxa"/>
            <w:tcBorders>
              <w:top w:val="single" w:sz="4" w:space="0" w:color="000000"/>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37"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nil" w:sz="6" w:space="0" w:color="auto"/>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sz w:val="18"/>
              </w:rPr>
              <w:t>0.58</w:t>
            </w: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nil" w:sz="6" w:space="0" w:color="auto"/>
              <w:right w:val="nil" w:sz="6" w:space="0" w:color="auto"/>
            </w:tcBorders>
          </w:tcPr>
          <w:p>
            <w:pPr>
              <w:pStyle w:val="TableParagraph"/>
              <w:spacing w:line="205" w:lineRule="exact"/>
              <w:ind w:right="25"/>
              <w:jc w:val="center"/>
              <w:rPr>
                <w:rFonts w:ascii="宋体" w:hAnsi="宋体" w:cs="宋体" w:eastAsia="宋体" w:hint="default"/>
                <w:sz w:val="18"/>
                <w:szCs w:val="18"/>
              </w:rPr>
            </w:pPr>
            <w:r>
              <w:rPr>
                <w:rFonts w:ascii="宋体"/>
                <w:sz w:val="18"/>
              </w:rPr>
              <w:t>0.58</w:t>
            </w:r>
          </w:p>
        </w:tc>
      </w:tr>
      <w:tr>
        <w:trPr>
          <w:trHeight w:val="605"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0.53</w:t>
            </w: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center"/>
              <w:rPr>
                <w:rFonts w:ascii="宋体" w:hAnsi="宋体" w:cs="宋体" w:eastAsia="宋体" w:hint="default"/>
                <w:sz w:val="18"/>
                <w:szCs w:val="18"/>
              </w:rPr>
            </w:pPr>
            <w:r>
              <w:rPr>
                <w:rFonts w:ascii="宋体"/>
                <w:sz w:val="18"/>
              </w:rPr>
              <w:t>0.53</w:t>
            </w:r>
          </w:p>
        </w:tc>
      </w:tr>
      <w:tr>
        <w:trPr>
          <w:trHeight w:val="406"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101"/>
              <w:ind w:left="107" w:right="0"/>
              <w:jc w:val="left"/>
              <w:rPr>
                <w:rFonts w:ascii="宋体" w:hAnsi="宋体" w:cs="宋体" w:eastAsia="宋体" w:hint="default"/>
                <w:sz w:val="21"/>
                <w:szCs w:val="21"/>
              </w:rPr>
            </w:pPr>
            <w:r>
              <w:rPr>
                <w:rFonts w:ascii="宋体" w:hAnsi="宋体" w:cs="宋体" w:eastAsia="宋体" w:hint="default"/>
                <w:sz w:val="21"/>
                <w:szCs w:val="21"/>
              </w:rPr>
              <w:t>6.33.2</w:t>
              <w:tab/>
              <w:t>2010</w:t>
            </w:r>
            <w:r>
              <w:rPr>
                <w:rFonts w:ascii="宋体" w:hAnsi="宋体" w:cs="宋体" w:eastAsia="宋体" w:hint="default"/>
                <w:spacing w:val="-58"/>
                <w:sz w:val="21"/>
                <w:szCs w:val="21"/>
              </w:rPr>
              <w:t> </w:t>
            </w:r>
            <w:r>
              <w:rPr>
                <w:rFonts w:ascii="宋体" w:hAnsi="宋体" w:cs="宋体" w:eastAsia="宋体" w:hint="default"/>
                <w:sz w:val="21"/>
                <w:szCs w:val="21"/>
              </w:rPr>
              <w:t>年度每股收益</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241"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94" w:type="dxa"/>
            <w:gridSpan w:val="3"/>
            <w:tcBorders>
              <w:top w:val="nil" w:sz="6" w:space="0" w:color="auto"/>
              <w:left w:val="nil" w:sz="6" w:space="0" w:color="auto"/>
              <w:bottom w:val="single" w:sz="4" w:space="0" w:color="000000"/>
              <w:right w:val="nil" w:sz="6" w:space="0" w:color="auto"/>
            </w:tcBorders>
          </w:tcPr>
          <w:p>
            <w:pPr>
              <w:pStyle w:val="TableParagraph"/>
              <w:spacing w:line="209" w:lineRule="exact"/>
              <w:ind w:right="26"/>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3"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single" w:sz="4" w:space="0" w:color="000000"/>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425" w:type="dxa"/>
            <w:tcBorders>
              <w:top w:val="single" w:sz="4" w:space="0" w:color="000000"/>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26"/>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38"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single" w:sz="4" w:space="0" w:color="000000"/>
              <w:left w:val="nil" w:sz="6" w:space="0" w:color="auto"/>
              <w:bottom w:val="nil" w:sz="6" w:space="0" w:color="auto"/>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sz w:val="18"/>
              </w:rPr>
              <w:t>0.40</w:t>
            </w: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single" w:sz="4" w:space="0" w:color="000000"/>
              <w:left w:val="nil" w:sz="6" w:space="0" w:color="auto"/>
              <w:bottom w:val="nil" w:sz="6" w:space="0" w:color="auto"/>
              <w:right w:val="nil" w:sz="6" w:space="0" w:color="auto"/>
            </w:tcBorders>
          </w:tcPr>
          <w:p>
            <w:pPr>
              <w:pStyle w:val="TableParagraph"/>
              <w:spacing w:line="205" w:lineRule="exact"/>
              <w:ind w:right="25"/>
              <w:jc w:val="center"/>
              <w:rPr>
                <w:rFonts w:ascii="宋体" w:hAnsi="宋体" w:cs="宋体" w:eastAsia="宋体" w:hint="default"/>
                <w:sz w:val="18"/>
                <w:szCs w:val="18"/>
              </w:rPr>
            </w:pPr>
            <w:r>
              <w:rPr>
                <w:rFonts w:ascii="宋体"/>
                <w:sz w:val="18"/>
              </w:rPr>
              <w:t>0.40</w:t>
            </w:r>
          </w:p>
        </w:tc>
      </w:tr>
      <w:tr>
        <w:trPr>
          <w:trHeight w:val="587"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0.33</w:t>
            </w: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
              <w:jc w:val="center"/>
              <w:rPr>
                <w:rFonts w:ascii="宋体" w:hAnsi="宋体" w:cs="宋体" w:eastAsia="宋体" w:hint="default"/>
                <w:sz w:val="18"/>
                <w:szCs w:val="18"/>
              </w:rPr>
            </w:pPr>
            <w:r>
              <w:rPr>
                <w:rFonts w:ascii="宋体"/>
                <w:sz w:val="18"/>
              </w:rPr>
              <w:t>0.33</w:t>
            </w:r>
          </w:p>
        </w:tc>
      </w:tr>
      <w:tr>
        <w:trPr>
          <w:trHeight w:val="524"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9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
                <w:sz w:val="21"/>
                <w:szCs w:val="21"/>
              </w:rPr>
              <w:t> </w:t>
            </w:r>
            <w:r>
              <w:rPr>
                <w:rFonts w:ascii="宋体" w:hAnsi="宋体" w:cs="宋体" w:eastAsia="宋体" w:hint="default"/>
                <w:spacing w:val="-2"/>
                <w:sz w:val="21"/>
                <w:szCs w:val="21"/>
              </w:rPr>
              <w:t>年每股收益已根据本期公积金转增股本调整后的股数重新计算。</w:t>
            </w:r>
          </w:p>
        </w:tc>
      </w:tr>
      <w:tr>
        <w:trPr>
          <w:trHeight w:val="554"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58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w:t>
            </w:r>
          </w:p>
        </w:tc>
        <w:tc>
          <w:tcPr>
            <w:tcW w:w="425"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2447"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9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=P0</w:t>
            </w:r>
            <w:r>
              <w:rPr>
                <w:rFonts w:ascii="宋体" w:hAnsi="宋体" w:cs="宋体" w:eastAsia="宋体" w:hint="default"/>
                <w:sz w:val="21"/>
                <w:szCs w:val="21"/>
              </w:rPr>
              <w:t>÷</w:t>
            </w:r>
            <w:r>
              <w:rPr>
                <w:rFonts w:ascii="宋体" w:hAnsi="宋体" w:cs="宋体" w:eastAsia="宋体" w:hint="default"/>
                <w:sz w:val="21"/>
                <w:szCs w:val="21"/>
              </w:rPr>
              <w:t>S</w:t>
            </w:r>
          </w:p>
          <w:p>
            <w:pPr>
              <w:pStyle w:val="TableParagraph"/>
              <w:spacing w:line="240" w:lineRule="auto" w:before="37"/>
              <w:ind w:left="530" w:right="0"/>
              <w:jc w:val="left"/>
              <w:rPr>
                <w:rFonts w:ascii="宋体" w:hAnsi="宋体" w:cs="宋体" w:eastAsia="宋体" w:hint="default"/>
                <w:sz w:val="21"/>
                <w:szCs w:val="21"/>
              </w:rPr>
            </w:pPr>
            <w:r>
              <w:rPr>
                <w:rFonts w:ascii="宋体" w:hAnsi="宋体" w:cs="宋体" w:eastAsia="宋体" w:hint="default"/>
                <w:sz w:val="21"/>
                <w:szCs w:val="21"/>
              </w:rPr>
              <w:t>S= 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M0-Sk</w:t>
            </w:r>
          </w:p>
          <w:p>
            <w:pPr>
              <w:pStyle w:val="TableParagraph"/>
              <w:spacing w:line="273" w:lineRule="auto" w:before="37"/>
              <w:ind w:left="107" w:right="158"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P0</w:t>
            </w:r>
            <w:r>
              <w:rPr>
                <w:rFonts w:ascii="宋体" w:hAnsi="宋体" w:cs="宋体" w:eastAsia="宋体" w:hint="default"/>
                <w:spacing w:val="-9"/>
                <w:sz w:val="21"/>
                <w:szCs w:val="21"/>
              </w:rPr>
              <w:t> </w:t>
            </w:r>
            <w:r>
              <w:rPr>
                <w:rFonts w:ascii="宋体" w:hAnsi="宋体" w:cs="宋体" w:eastAsia="宋体" w:hint="default"/>
                <w:sz w:val="21"/>
                <w:szCs w:val="21"/>
              </w:rPr>
              <w:t>为归属于公司普通股股东的净利润或扣除非经常性损益后归属于普通股股东的净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宋体" w:hAnsi="宋体" w:cs="宋体" w:eastAsia="宋体" w:hint="default"/>
                <w:sz w:val="21"/>
                <w:szCs w:val="21"/>
              </w:rPr>
              <w:t>S</w:t>
            </w:r>
            <w:r>
              <w:rPr>
                <w:rFonts w:ascii="宋体" w:hAnsi="宋体" w:cs="宋体" w:eastAsia="宋体" w:hint="default"/>
                <w:spacing w:val="-36"/>
                <w:sz w:val="21"/>
                <w:szCs w:val="21"/>
              </w:rPr>
              <w:t> </w:t>
            </w:r>
            <w:r>
              <w:rPr>
                <w:rFonts w:ascii="宋体" w:hAnsi="宋体" w:cs="宋体" w:eastAsia="宋体" w:hint="default"/>
                <w:sz w:val="21"/>
                <w:szCs w:val="21"/>
              </w:rPr>
              <w:t>为发行在外的普通股加权平均数；</w:t>
            </w:r>
            <w:r>
              <w:rPr>
                <w:rFonts w:ascii="宋体" w:hAnsi="宋体" w:cs="宋体" w:eastAsia="宋体" w:hint="default"/>
                <w:sz w:val="21"/>
                <w:szCs w:val="21"/>
              </w:rPr>
              <w:t>S0</w:t>
            </w:r>
            <w:r>
              <w:rPr>
                <w:rFonts w:ascii="宋体" w:hAnsi="宋体" w:cs="宋体" w:eastAsia="宋体" w:hint="default"/>
                <w:spacing w:val="-38"/>
                <w:sz w:val="21"/>
                <w:szCs w:val="21"/>
              </w:rPr>
              <w:t> </w:t>
            </w:r>
            <w:r>
              <w:rPr>
                <w:rFonts w:ascii="宋体" w:hAnsi="宋体" w:cs="宋体" w:eastAsia="宋体" w:hint="default"/>
                <w:sz w:val="21"/>
                <w:szCs w:val="21"/>
              </w:rPr>
              <w:t>为期初股份总数；</w:t>
            </w:r>
            <w:r>
              <w:rPr>
                <w:rFonts w:ascii="宋体" w:hAnsi="宋体" w:cs="宋体" w:eastAsia="宋体" w:hint="default"/>
                <w:sz w:val="21"/>
                <w:szCs w:val="21"/>
              </w:rPr>
              <w:t>S1</w:t>
            </w:r>
            <w:r>
              <w:rPr>
                <w:rFonts w:ascii="宋体" w:hAnsi="宋体" w:cs="宋体" w:eastAsia="宋体" w:hint="default"/>
                <w:spacing w:val="-38"/>
                <w:sz w:val="21"/>
                <w:szCs w:val="21"/>
              </w:rPr>
              <w:t> </w:t>
            </w:r>
            <w:r>
              <w:rPr>
                <w:rFonts w:ascii="宋体" w:hAnsi="宋体" w:cs="宋体" w:eastAsia="宋体" w:hint="default"/>
                <w:sz w:val="21"/>
                <w:szCs w:val="21"/>
              </w:rPr>
              <w:t>为报告期因公积金转增股本</w:t>
            </w:r>
            <w:r>
              <w:rPr>
                <w:rFonts w:ascii="宋体" w:hAnsi="宋体" w:cs="宋体" w:eastAsia="宋体" w:hint="default"/>
                <w:w w:val="100"/>
                <w:sz w:val="21"/>
                <w:szCs w:val="21"/>
              </w:rPr>
              <w:t> </w:t>
            </w:r>
            <w:r>
              <w:rPr>
                <w:rFonts w:ascii="宋体" w:hAnsi="宋体" w:cs="宋体" w:eastAsia="宋体" w:hint="default"/>
                <w:sz w:val="21"/>
                <w:szCs w:val="21"/>
              </w:rPr>
              <w:t>或股票股利分配等增加股份数；</w:t>
            </w:r>
            <w:r>
              <w:rPr>
                <w:rFonts w:ascii="宋体" w:hAnsi="宋体" w:cs="宋体" w:eastAsia="宋体" w:hint="default"/>
                <w:sz w:val="21"/>
                <w:szCs w:val="21"/>
              </w:rPr>
              <w:t>Si</w:t>
            </w:r>
            <w:r>
              <w:rPr>
                <w:rFonts w:ascii="宋体" w:hAnsi="宋体" w:cs="宋体" w:eastAsia="宋体" w:hint="default"/>
                <w:spacing w:val="-57"/>
                <w:sz w:val="21"/>
                <w:szCs w:val="21"/>
              </w:rPr>
              <w:t> </w:t>
            </w:r>
            <w:r>
              <w:rPr>
                <w:rFonts w:ascii="宋体" w:hAnsi="宋体" w:cs="宋体" w:eastAsia="宋体" w:hint="default"/>
                <w:sz w:val="21"/>
                <w:szCs w:val="21"/>
              </w:rPr>
              <w:t>为报告期因发行新股或债转股等增加股份数；</w:t>
            </w:r>
            <w:r>
              <w:rPr>
                <w:rFonts w:ascii="宋体" w:hAnsi="宋体" w:cs="宋体" w:eastAsia="宋体" w:hint="default"/>
                <w:sz w:val="21"/>
                <w:szCs w:val="21"/>
              </w:rPr>
              <w:t>Sj</w:t>
            </w:r>
            <w:r>
              <w:rPr>
                <w:rFonts w:ascii="宋体" w:hAnsi="宋体" w:cs="宋体" w:eastAsia="宋体" w:hint="default"/>
                <w:spacing w:val="-55"/>
                <w:sz w:val="21"/>
                <w:szCs w:val="21"/>
              </w:rPr>
              <w:t> </w:t>
            </w:r>
            <w:r>
              <w:rPr>
                <w:rFonts w:ascii="宋体" w:hAnsi="宋体" w:cs="宋体" w:eastAsia="宋体" w:hint="default"/>
                <w:sz w:val="21"/>
                <w:szCs w:val="21"/>
              </w:rPr>
              <w:t>为报告期因</w:t>
            </w:r>
            <w:r>
              <w:rPr>
                <w:rFonts w:ascii="宋体" w:hAnsi="宋体" w:cs="宋体" w:eastAsia="宋体" w:hint="default"/>
                <w:w w:val="100"/>
                <w:sz w:val="21"/>
                <w:szCs w:val="21"/>
              </w:rPr>
              <w:t> </w:t>
            </w:r>
            <w:r>
              <w:rPr>
                <w:rFonts w:ascii="宋体" w:hAnsi="宋体" w:cs="宋体" w:eastAsia="宋体" w:hint="default"/>
                <w:spacing w:val="-3"/>
                <w:sz w:val="21"/>
                <w:szCs w:val="21"/>
              </w:rPr>
              <w:t>回购等减少股份数；</w:t>
            </w:r>
            <w:r>
              <w:rPr>
                <w:rFonts w:ascii="宋体" w:hAnsi="宋体" w:cs="宋体" w:eastAsia="宋体" w:hint="default"/>
                <w:spacing w:val="-3"/>
                <w:sz w:val="21"/>
                <w:szCs w:val="21"/>
              </w:rPr>
              <w:t>Sk</w:t>
            </w:r>
            <w:r>
              <w:rPr>
                <w:rFonts w:ascii="宋体" w:hAnsi="宋体" w:cs="宋体" w:eastAsia="宋体" w:hint="default"/>
                <w:spacing w:val="-43"/>
                <w:sz w:val="21"/>
                <w:szCs w:val="21"/>
              </w:rPr>
              <w:t> </w:t>
            </w:r>
            <w:r>
              <w:rPr>
                <w:rFonts w:ascii="宋体" w:hAnsi="宋体" w:cs="宋体" w:eastAsia="宋体" w:hint="default"/>
                <w:spacing w:val="-3"/>
                <w:sz w:val="21"/>
                <w:szCs w:val="21"/>
              </w:rPr>
              <w:t>为报告期缩股数；</w:t>
            </w:r>
            <w:r>
              <w:rPr>
                <w:rFonts w:ascii="宋体" w:hAnsi="宋体" w:cs="宋体" w:eastAsia="宋体" w:hint="default"/>
                <w:spacing w:val="-3"/>
                <w:sz w:val="21"/>
                <w:szCs w:val="21"/>
              </w:rPr>
              <w:t>M0</w:t>
            </w:r>
            <w:r>
              <w:rPr>
                <w:rFonts w:ascii="宋体" w:hAnsi="宋体" w:cs="宋体" w:eastAsia="宋体" w:hint="default"/>
                <w:spacing w:val="-43"/>
                <w:sz w:val="21"/>
                <w:szCs w:val="21"/>
              </w:rPr>
              <w:t> </w:t>
            </w:r>
            <w:r>
              <w:rPr>
                <w:rFonts w:ascii="宋体" w:hAnsi="宋体" w:cs="宋体" w:eastAsia="宋体" w:hint="default"/>
                <w:spacing w:val="-4"/>
                <w:sz w:val="21"/>
                <w:szCs w:val="21"/>
              </w:rPr>
              <w:t>报告期月份数；</w:t>
            </w:r>
            <w:r>
              <w:rPr>
                <w:rFonts w:ascii="宋体" w:hAnsi="宋体" w:cs="宋体" w:eastAsia="宋体" w:hint="default"/>
                <w:spacing w:val="-4"/>
                <w:sz w:val="21"/>
                <w:szCs w:val="21"/>
              </w:rPr>
              <w:t>Mi</w:t>
            </w:r>
            <w:r>
              <w:rPr>
                <w:rFonts w:ascii="宋体" w:hAnsi="宋体" w:cs="宋体" w:eastAsia="宋体" w:hint="default"/>
                <w:spacing w:val="-43"/>
                <w:sz w:val="21"/>
                <w:szCs w:val="21"/>
              </w:rPr>
              <w:t> </w:t>
            </w:r>
            <w:r>
              <w:rPr>
                <w:rFonts w:ascii="宋体" w:hAnsi="宋体" w:cs="宋体" w:eastAsia="宋体" w:hint="default"/>
                <w:sz w:val="21"/>
                <w:szCs w:val="21"/>
              </w:rPr>
              <w:t>为增加股份次月起至报告期期末</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的累计月数；</w:t>
            </w:r>
            <w:r>
              <w:rPr>
                <w:rFonts w:ascii="宋体" w:hAnsi="宋体" w:cs="宋体" w:eastAsia="宋体" w:hint="default"/>
                <w:spacing w:val="-2"/>
                <w:sz w:val="21"/>
                <w:szCs w:val="21"/>
              </w:rPr>
              <w:t>Mj </w:t>
            </w:r>
            <w:r>
              <w:rPr>
                <w:rFonts w:ascii="宋体" w:hAnsi="宋体" w:cs="宋体" w:eastAsia="宋体" w:hint="default"/>
                <w:spacing w:val="-2"/>
                <w:sz w:val="21"/>
                <w:szCs w:val="21"/>
              </w:rPr>
              <w:t>为减少股份次月起至报告期期末的累计月数。</w:t>
            </w:r>
          </w:p>
        </w:tc>
      </w:tr>
      <w:tr>
        <w:trPr>
          <w:trHeight w:val="2894" w:hRule="exact"/>
        </w:trPr>
        <w:tc>
          <w:tcPr>
            <w:tcW w:w="839"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989" w:type="dxa"/>
            <w:gridSpan w:val="5"/>
            <w:tcBorders>
              <w:top w:val="nil" w:sz="6" w:space="0" w:color="auto"/>
              <w:left w:val="nil" w:sz="6" w:space="0" w:color="auto"/>
              <w:bottom w:val="nil" w:sz="6" w:space="0" w:color="auto"/>
              <w:right w:val="nil" w:sz="6" w:space="0" w:color="auto"/>
            </w:tcBorders>
          </w:tcPr>
          <w:p>
            <w:pPr>
              <w:pStyle w:val="TableParagraph"/>
              <w:spacing w:line="273" w:lineRule="auto" w:before="123"/>
              <w:ind w:left="107" w:right="168"/>
              <w:jc w:val="left"/>
              <w:rPr>
                <w:rFonts w:ascii="宋体" w:hAnsi="宋体" w:cs="宋体" w:eastAsia="宋体" w:hint="default"/>
                <w:sz w:val="21"/>
                <w:szCs w:val="21"/>
              </w:rPr>
            </w:pPr>
            <w:r>
              <w:rPr>
                <w:rFonts w:ascii="宋体" w:hAnsi="宋体" w:cs="宋体" w:eastAsia="宋体" w:hint="default"/>
                <w:sz w:val="21"/>
                <w:szCs w:val="21"/>
              </w:rPr>
              <w:t>公司若存在发行可转换债券、股份期权、认股权证等稀释性潜在普通股情况下，稀释每股收益</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可参照如下公式计算：</w:t>
            </w:r>
          </w:p>
          <w:p>
            <w:pPr>
              <w:pStyle w:val="TableParagraph"/>
              <w:spacing w:line="273" w:lineRule="auto" w:before="7"/>
              <w:ind w:left="107" w:right="165" w:firstLine="427"/>
              <w:jc w:val="both"/>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=P1/(S0</w:t>
            </w:r>
            <w:r>
              <w:rPr>
                <w:rFonts w:ascii="宋体" w:hAnsi="宋体" w:cs="宋体" w:eastAsia="宋体" w:hint="default"/>
                <w:sz w:val="21"/>
                <w:szCs w:val="21"/>
              </w:rPr>
              <w:t>＋</w:t>
            </w:r>
            <w:r>
              <w:rPr>
                <w:rFonts w:ascii="宋体" w:hAnsi="宋体" w:cs="宋体" w:eastAsia="宋体" w:hint="default"/>
                <w:sz w:val="21"/>
                <w:szCs w:val="21"/>
              </w:rPr>
              <w:t>S1</w:t>
            </w:r>
            <w:r>
              <w:rPr>
                <w:rFonts w:ascii="宋体" w:hAnsi="宋体" w:cs="宋体" w:eastAsia="宋体" w:hint="default"/>
                <w:sz w:val="21"/>
                <w:szCs w:val="21"/>
              </w:rPr>
              <w:t>＋</w:t>
            </w:r>
            <w:r>
              <w:rPr>
                <w:rFonts w:ascii="宋体" w:hAnsi="宋体" w:cs="宋体" w:eastAsia="宋体" w:hint="default"/>
                <w:sz w:val="21"/>
                <w:szCs w:val="21"/>
              </w:rPr>
              <w:t>Si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Sk+</w:t>
            </w:r>
            <w:r>
              <w:rPr>
                <w:rFonts w:ascii="宋体" w:hAnsi="宋体" w:cs="宋体" w:eastAsia="宋体" w:hint="default"/>
                <w:sz w:val="21"/>
                <w:szCs w:val="21"/>
              </w:rPr>
              <w:t>认股权证、股份期权、可转换</w:t>
            </w:r>
            <w:r>
              <w:rPr>
                <w:rFonts w:ascii="宋体" w:hAnsi="宋体" w:cs="宋体" w:eastAsia="宋体" w:hint="default"/>
                <w:w w:val="100"/>
                <w:sz w:val="21"/>
                <w:szCs w:val="21"/>
              </w:rPr>
              <w:t> </w:t>
            </w:r>
            <w:r>
              <w:rPr>
                <w:rFonts w:ascii="宋体" w:hAnsi="宋体" w:cs="宋体" w:eastAsia="宋体" w:hint="default"/>
                <w:sz w:val="21"/>
                <w:szCs w:val="21"/>
              </w:rPr>
              <w:t>债券等增加的普通股加权平均数</w:t>
            </w:r>
            <w:r>
              <w:rPr>
                <w:rFonts w:ascii="宋体" w:hAnsi="宋体" w:cs="宋体" w:eastAsia="宋体" w:hint="default"/>
                <w:sz w:val="21"/>
                <w:szCs w:val="21"/>
              </w:rPr>
              <w:t>)</w:t>
            </w:r>
          </w:p>
          <w:p>
            <w:pPr>
              <w:pStyle w:val="TableParagraph"/>
              <w:spacing w:line="273" w:lineRule="auto" w:before="7"/>
              <w:ind w:left="107" w:right="159"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P1</w:t>
            </w:r>
            <w:r>
              <w:rPr>
                <w:rFonts w:ascii="宋体" w:hAnsi="宋体" w:cs="宋体" w:eastAsia="宋体" w:hint="default"/>
                <w:spacing w:val="-9"/>
                <w:sz w:val="21"/>
                <w:szCs w:val="21"/>
              </w:rPr>
              <w:t> </w:t>
            </w:r>
            <w:r>
              <w:rPr>
                <w:rFonts w:ascii="宋体" w:hAnsi="宋体" w:cs="宋体" w:eastAsia="宋体" w:hint="default"/>
                <w:sz w:val="21"/>
                <w:szCs w:val="21"/>
              </w:rPr>
              <w:t>为归属于公司普通股股东的净利润或扣除非经常性损益后归属于公司普通股股东</w:t>
            </w:r>
            <w:r>
              <w:rPr>
                <w:rFonts w:ascii="宋体" w:hAnsi="宋体" w:cs="宋体" w:eastAsia="宋体" w:hint="default"/>
                <w:w w:val="100"/>
                <w:sz w:val="21"/>
                <w:szCs w:val="21"/>
              </w:rPr>
              <w:t> </w:t>
            </w:r>
            <w:r>
              <w:rPr>
                <w:rFonts w:ascii="宋体" w:hAnsi="宋体" w:cs="宋体" w:eastAsia="宋体" w:hint="default"/>
                <w:sz w:val="21"/>
                <w:szCs w:val="21"/>
              </w:rPr>
              <w:t>的净利润，并考虑稀释性潜在普通股对其影响，按《企业会计准则》及有关规定进行调整。公</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司在计算稀释每股收益时，应考虑所有稀释性潜在普通股对归属于公司普通股股东的净利润或</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扣除非经常性损益后归属于公司普通股股东的净利润和加权平均股数的影响，按照其稀释程度</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从大到小的顺序计入稀释每股收益，直至稀释每股收益达到最小值。</w:t>
            </w:r>
          </w:p>
        </w:tc>
      </w:tr>
    </w:tbl>
    <w:p>
      <w:pPr>
        <w:spacing w:after="0" w:line="273" w:lineRule="auto"/>
        <w:jc w:val="both"/>
        <w:rPr>
          <w:rFonts w:ascii="宋体" w:hAnsi="宋体" w:cs="宋体" w:eastAsia="宋体" w:hint="default"/>
          <w:sz w:val="21"/>
          <w:szCs w:val="21"/>
        </w:rPr>
        <w:sectPr>
          <w:pgSz w:w="11910" w:h="16840"/>
          <w:pgMar w:header="886" w:footer="980" w:top="1740" w:bottom="1160" w:left="900" w:right="860"/>
        </w:sectPr>
      </w:pPr>
    </w:p>
    <w:p>
      <w:pPr>
        <w:spacing w:line="240" w:lineRule="auto" w:before="9"/>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892"/>
        <w:gridCol w:w="4500"/>
        <w:gridCol w:w="238"/>
        <w:gridCol w:w="2162"/>
        <w:gridCol w:w="278"/>
        <w:gridCol w:w="2223"/>
      </w:tblGrid>
      <w:tr>
        <w:trPr>
          <w:trHeight w:val="687"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450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8" w:type="dxa"/>
            <w:tcBorders>
              <w:top w:val="single" w:sz="4" w:space="0" w:color="000000"/>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
        </w:tc>
        <w:tc>
          <w:tcPr>
            <w:tcW w:w="278" w:type="dxa"/>
            <w:tcBorders>
              <w:top w:val="single" w:sz="4" w:space="0" w:color="000000"/>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nil" w:sz="6" w:space="0" w:color="auto"/>
              <w:right w:val="nil" w:sz="6" w:space="0" w:color="auto"/>
            </w:tcBorders>
          </w:tcPr>
          <w:p>
            <w:pPr/>
          </w:p>
        </w:tc>
      </w:tr>
      <w:tr>
        <w:trPr>
          <w:trHeight w:val="524" w:hRule="exact"/>
        </w:trPr>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24" w:right="0"/>
              <w:jc w:val="left"/>
              <w:rPr>
                <w:rFonts w:ascii="宋体" w:hAnsi="宋体" w:cs="宋体" w:eastAsia="宋体" w:hint="default"/>
                <w:sz w:val="21"/>
                <w:szCs w:val="21"/>
              </w:rPr>
            </w:pPr>
            <w:r>
              <w:rPr>
                <w:rFonts w:ascii="宋体"/>
                <w:sz w:val="21"/>
              </w:rPr>
              <w:t>6.34</w:t>
            </w:r>
          </w:p>
        </w:tc>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6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
        </w:tc>
      </w:tr>
      <w:tr>
        <w:trPr>
          <w:trHeight w:val="395"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63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66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6"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．可供出售金融资产产生的利得</w:t>
            </w:r>
            <w:r>
              <w:rPr>
                <w:rFonts w:ascii="宋体" w:hAnsi="宋体" w:cs="宋体" w:eastAsia="宋体" w:hint="default"/>
                <w:sz w:val="21"/>
                <w:szCs w:val="21"/>
              </w:rPr>
              <w:t>(</w:t>
            </w:r>
            <w:r>
              <w:rPr>
                <w:rFonts w:ascii="宋体" w:hAnsi="宋体" w:cs="宋体" w:eastAsia="宋体" w:hint="default"/>
                <w:sz w:val="21"/>
                <w:szCs w:val="21"/>
              </w:rPr>
              <w:t>损失</w:t>
            </w:r>
            <w:r>
              <w:rPr>
                <w:rFonts w:ascii="宋体" w:hAnsi="宋体" w:cs="宋体" w:eastAsia="宋体" w:hint="default"/>
                <w:sz w:val="21"/>
                <w:szCs w:val="21"/>
              </w:rPr>
              <w:t>)</w:t>
            </w:r>
            <w:r>
              <w:rPr>
                <w:rFonts w:ascii="宋体" w:hAnsi="宋体" w:cs="宋体" w:eastAsia="宋体" w:hint="default"/>
                <w:sz w:val="21"/>
                <w:szCs w:val="21"/>
              </w:rPr>
              <w:t>金额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2"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8"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4" w:space="0" w:color="000000"/>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w w:val="100"/>
                <w:sz w:val="21"/>
              </w:rPr>
              <w:t>-</w:t>
            </w:r>
          </w:p>
        </w:tc>
      </w:tr>
      <w:tr>
        <w:trPr>
          <w:trHeight w:val="278"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nil" w:sz="6" w:space="0" w:color="auto"/>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r>
      <w:tr>
        <w:trPr>
          <w:trHeight w:val="545"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．按照权益法核算的在被投资单位其他综合收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益中所享有的份额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宋体" w:hAnsi="宋体" w:cs="宋体" w:eastAsia="宋体" w:hint="default"/>
                <w:sz w:val="21"/>
                <w:szCs w:val="21"/>
              </w:rPr>
            </w:pPr>
            <w:r>
              <w:rPr>
                <w:rFonts w:ascii="宋体"/>
                <w:w w:val="100"/>
                <w:sz w:val="21"/>
              </w:rPr>
              <w:t>-</w:t>
            </w:r>
          </w:p>
        </w:tc>
      </w:tr>
      <w:tr>
        <w:trPr>
          <w:trHeight w:val="544"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减：按照权益法核算的在被投资单位其他综合</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收益中所享有的份额产生的所得税影响</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宋体" w:hAnsi="宋体" w:cs="宋体" w:eastAsia="宋体" w:hint="default"/>
                <w:sz w:val="21"/>
                <w:szCs w:val="21"/>
              </w:rPr>
            </w:pPr>
            <w:r>
              <w:rPr>
                <w:rFonts w:ascii="宋体"/>
                <w:w w:val="100"/>
                <w:sz w:val="21"/>
              </w:rPr>
              <w:t>-</w:t>
            </w:r>
          </w:p>
        </w:tc>
      </w:tr>
      <w:tr>
        <w:trPr>
          <w:trHeight w:val="278"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4" w:space="0" w:color="000000"/>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r>
      <w:tr>
        <w:trPr>
          <w:trHeight w:val="278"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nil" w:sz="6" w:space="0" w:color="auto"/>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r>
      <w:tr>
        <w:trPr>
          <w:trHeight w:val="272"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．现金流量套期工具产生的利得</w:t>
            </w:r>
            <w:r>
              <w:rPr>
                <w:rFonts w:ascii="宋体" w:hAnsi="宋体" w:cs="宋体" w:eastAsia="宋体" w:hint="default"/>
                <w:spacing w:val="-3"/>
                <w:sz w:val="21"/>
                <w:szCs w:val="21"/>
              </w:rPr>
              <w:t>(</w:t>
            </w:r>
            <w:r>
              <w:rPr>
                <w:rFonts w:ascii="宋体" w:hAnsi="宋体" w:cs="宋体" w:eastAsia="宋体" w:hint="default"/>
                <w:spacing w:val="-3"/>
                <w:sz w:val="21"/>
                <w:szCs w:val="21"/>
              </w:rPr>
              <w:t>或损失</w:t>
            </w:r>
            <w:r>
              <w:rPr>
                <w:rFonts w:ascii="宋体" w:hAnsi="宋体" w:cs="宋体" w:eastAsia="宋体" w:hint="default"/>
                <w:spacing w:val="-3"/>
                <w:sz w:val="21"/>
                <w:szCs w:val="21"/>
              </w:rPr>
              <w:t>)</w:t>
            </w:r>
            <w:r>
              <w:rPr>
                <w:rFonts w:ascii="宋体" w:hAnsi="宋体" w:cs="宋体" w:eastAsia="宋体" w:hint="default"/>
                <w:spacing w:val="-3"/>
                <w:sz w:val="21"/>
                <w:szCs w:val="21"/>
              </w:rPr>
              <w:t>金额</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2"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w w:val="100"/>
                <w:sz w:val="21"/>
              </w:rPr>
              <w:t>-</w:t>
            </w:r>
          </w:p>
        </w:tc>
      </w:tr>
      <w:tr>
        <w:trPr>
          <w:trHeight w:val="271"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9"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7"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2"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．外币财务报表折算差额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22,214.11</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338,671.19</w:t>
            </w:r>
          </w:p>
        </w:tc>
      </w:tr>
      <w:tr>
        <w:trPr>
          <w:trHeight w:val="279"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76"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22,214.11</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338,671.19</w:t>
            </w:r>
          </w:p>
        </w:tc>
      </w:tr>
      <w:tr>
        <w:trPr>
          <w:trHeight w:val="272"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545"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pacing w:val="2"/>
                <w:sz w:val="21"/>
                <w:szCs w:val="21"/>
              </w:rPr>
              <w:t>减：由其他计入其他综合收益产生的所得税</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w w:val="100"/>
                <w:sz w:val="21"/>
              </w:rPr>
              <w:t>-</w:t>
            </w:r>
          </w:p>
        </w:tc>
      </w:tr>
      <w:tr>
        <w:trPr>
          <w:trHeight w:val="273"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前期其他计入其他综合收益当期转入损益的净额</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w w:val="100"/>
                <w:sz w:val="21"/>
              </w:rPr>
              <w:t>-</w:t>
            </w:r>
          </w:p>
        </w:tc>
      </w:tr>
      <w:tr>
        <w:trPr>
          <w:trHeight w:val="279"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w:t>
            </w:r>
          </w:p>
        </w:tc>
      </w:tr>
      <w:tr>
        <w:trPr>
          <w:trHeight w:val="290" w:hRule="exact"/>
        </w:trPr>
        <w:tc>
          <w:tcPr>
            <w:tcW w:w="892"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22,214.11</w:t>
            </w:r>
          </w:p>
        </w:tc>
        <w:tc>
          <w:tcPr>
            <w:tcW w:w="27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338,671.19</w:t>
            </w:r>
          </w:p>
        </w:tc>
      </w:tr>
    </w:tbl>
    <w:p>
      <w:pPr>
        <w:spacing w:after="0" w:line="241" w:lineRule="exact"/>
        <w:jc w:val="right"/>
        <w:rPr>
          <w:rFonts w:ascii="宋体" w:hAnsi="宋体" w:cs="宋体" w:eastAsia="宋体" w:hint="default"/>
          <w:sz w:val="21"/>
          <w:szCs w:val="21"/>
        </w:rPr>
        <w:sectPr>
          <w:pgSz w:w="11910" w:h="16840"/>
          <w:pgMar w:header="886" w:footer="980" w:top="1740" w:bottom="1160" w:left="700" w:right="700"/>
        </w:sectPr>
      </w:pPr>
    </w:p>
    <w:p>
      <w:pPr>
        <w:spacing w:line="240" w:lineRule="auto" w:before="9"/>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012"/>
        <w:gridCol w:w="3252"/>
        <w:gridCol w:w="523"/>
        <w:gridCol w:w="2388"/>
        <w:gridCol w:w="586"/>
        <w:gridCol w:w="2552"/>
      </w:tblGrid>
      <w:tr>
        <w:trPr>
          <w:trHeight w:val="687" w:hRule="exact"/>
        </w:trPr>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523" w:type="dxa"/>
            <w:tcBorders>
              <w:top w:val="single" w:sz="4" w:space="0" w:color="000000"/>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nil" w:sz="6" w:space="0" w:color="auto"/>
              <w:right w:val="nil" w:sz="6" w:space="0" w:color="auto"/>
            </w:tcBorders>
          </w:tcPr>
          <w:p>
            <w:pPr/>
          </w:p>
        </w:tc>
        <w:tc>
          <w:tcPr>
            <w:tcW w:w="586" w:type="dxa"/>
            <w:tcBorders>
              <w:top w:val="single" w:sz="4" w:space="0" w:color="000000"/>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
        </w:tc>
      </w:tr>
      <w:tr>
        <w:trPr>
          <w:trHeight w:val="545"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83" w:right="0"/>
              <w:jc w:val="left"/>
              <w:rPr>
                <w:rFonts w:ascii="宋体" w:hAnsi="宋体" w:cs="宋体" w:eastAsia="宋体" w:hint="default"/>
                <w:sz w:val="21"/>
                <w:szCs w:val="21"/>
              </w:rPr>
            </w:pPr>
            <w:r>
              <w:rPr>
                <w:rFonts w:ascii="宋体"/>
                <w:sz w:val="21"/>
              </w:rPr>
              <w:t>6.35</w:t>
            </w:r>
          </w:p>
        </w:tc>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现金流量表项目注释</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544" w:hRule="exact"/>
        </w:trPr>
        <w:tc>
          <w:tcPr>
            <w:tcW w:w="1012" w:type="dxa"/>
            <w:tcBorders>
              <w:top w:val="nil" w:sz="6" w:space="0" w:color="auto"/>
              <w:left w:val="nil" w:sz="6" w:space="0" w:color="auto"/>
              <w:bottom w:val="nil" w:sz="6" w:space="0" w:color="auto"/>
              <w:right w:val="nil" w:sz="6" w:space="0" w:color="auto"/>
            </w:tcBorders>
          </w:tcPr>
          <w:p>
            <w:pPr/>
          </w:p>
        </w:tc>
        <w:tc>
          <w:tcPr>
            <w:tcW w:w="61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6.35.1</w:t>
            </w:r>
            <w:r>
              <w:rPr>
                <w:rFonts w:ascii="宋体" w:hAnsi="宋体" w:cs="宋体" w:eastAsia="宋体" w:hint="default"/>
                <w:spacing w:val="-2"/>
                <w:sz w:val="21"/>
                <w:szCs w:val="21"/>
              </w:rPr>
              <w:t> </w:t>
            </w:r>
            <w:r>
              <w:rPr>
                <w:rFonts w:ascii="宋体" w:hAnsi="宋体" w:cs="宋体" w:eastAsia="宋体" w:hint="default"/>
                <w:sz w:val="21"/>
                <w:szCs w:val="21"/>
              </w:rPr>
              <w:t>收到的其他与经营活动有关的现金</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414"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74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8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7"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政府补贴及专项拨款</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5,801,900.00</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9,652,600.00</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6,040,254.76</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2,348,226.83</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123,140.00</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153,453.16</w:t>
            </w:r>
          </w:p>
        </w:tc>
      </w:tr>
      <w:tr>
        <w:trPr>
          <w:trHeight w:val="278"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其他经营性往来收入</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281,056.12</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632,925.88</w:t>
            </w:r>
          </w:p>
        </w:tc>
      </w:tr>
      <w:tr>
        <w:trPr>
          <w:trHeight w:val="293"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12,246,350.88</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12,787,205.87</w:t>
            </w:r>
          </w:p>
        </w:tc>
      </w:tr>
      <w:tr>
        <w:trPr>
          <w:trHeight w:val="696" w:hRule="exact"/>
        </w:trPr>
        <w:tc>
          <w:tcPr>
            <w:tcW w:w="1012" w:type="dxa"/>
            <w:tcBorders>
              <w:top w:val="nil" w:sz="6" w:space="0" w:color="auto"/>
              <w:left w:val="nil" w:sz="6" w:space="0" w:color="auto"/>
              <w:bottom w:val="nil" w:sz="6" w:space="0" w:color="auto"/>
              <w:right w:val="nil" w:sz="6" w:space="0" w:color="auto"/>
            </w:tcBorders>
          </w:tcPr>
          <w:p>
            <w:pPr/>
          </w:p>
        </w:tc>
        <w:tc>
          <w:tcPr>
            <w:tcW w:w="61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6.35.2</w:t>
            </w:r>
            <w:r>
              <w:rPr>
                <w:rFonts w:ascii="宋体" w:hAnsi="宋体" w:cs="宋体" w:eastAsia="宋体" w:hint="default"/>
                <w:spacing w:val="-2"/>
                <w:sz w:val="21"/>
                <w:szCs w:val="21"/>
              </w:rPr>
              <w:t> </w:t>
            </w:r>
            <w:r>
              <w:rPr>
                <w:rFonts w:ascii="宋体" w:hAnsi="宋体" w:cs="宋体" w:eastAsia="宋体" w:hint="default"/>
                <w:sz w:val="21"/>
                <w:szCs w:val="21"/>
              </w:rPr>
              <w:t>支付的其他与经营活动有关的现金</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single" w:sz="12" w:space="0" w:color="000000"/>
              <w:left w:val="nil" w:sz="6" w:space="0" w:color="auto"/>
              <w:bottom w:val="nil" w:sz="6" w:space="0" w:color="auto"/>
              <w:right w:val="nil" w:sz="6" w:space="0" w:color="auto"/>
            </w:tcBorders>
          </w:tcPr>
          <w:p>
            <w:pPr/>
          </w:p>
        </w:tc>
      </w:tr>
      <w:tr>
        <w:trPr>
          <w:trHeight w:val="413"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75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83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77"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销售费用支出</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nil" w:sz="6" w:space="0" w:color="auto"/>
              <w:right w:val="nil" w:sz="6" w:space="0" w:color="auto"/>
            </w:tcBorders>
          </w:tcPr>
          <w:p>
            <w:pPr>
              <w:pStyle w:val="TableParagraph"/>
              <w:spacing w:line="241" w:lineRule="exact"/>
              <w:ind w:right="84"/>
              <w:jc w:val="right"/>
              <w:rPr>
                <w:rFonts w:ascii="宋体" w:hAnsi="宋体" w:cs="宋体" w:eastAsia="宋体" w:hint="default"/>
                <w:sz w:val="21"/>
                <w:szCs w:val="21"/>
              </w:rPr>
            </w:pPr>
            <w:r>
              <w:rPr>
                <w:rFonts w:ascii="宋体"/>
                <w:spacing w:val="-1"/>
                <w:sz w:val="21"/>
              </w:rPr>
              <w:t>4,337,273.40</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2,809,541.74</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管理费用支出</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宋体" w:hAnsi="宋体" w:cs="宋体" w:eastAsia="宋体" w:hint="default"/>
                <w:sz w:val="21"/>
                <w:szCs w:val="21"/>
              </w:rPr>
            </w:pPr>
            <w:r>
              <w:rPr>
                <w:rFonts w:ascii="宋体"/>
                <w:spacing w:val="-1"/>
                <w:sz w:val="21"/>
              </w:rPr>
              <w:t>25,439,975.23</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20,698,639.46</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其他营业外支出</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1" w:lineRule="exact"/>
              <w:ind w:right="84"/>
              <w:jc w:val="right"/>
              <w:rPr>
                <w:rFonts w:ascii="宋体" w:hAnsi="宋体" w:cs="宋体" w:eastAsia="宋体" w:hint="default"/>
                <w:sz w:val="21"/>
                <w:szCs w:val="21"/>
              </w:rPr>
            </w:pPr>
            <w:r>
              <w:rPr>
                <w:rFonts w:ascii="宋体"/>
                <w:spacing w:val="-1"/>
                <w:sz w:val="21"/>
              </w:rPr>
              <w:t>15,000.00</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20,000.00</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宋体" w:hAnsi="宋体" w:cs="宋体" w:eastAsia="宋体" w:hint="default"/>
                <w:sz w:val="21"/>
                <w:szCs w:val="21"/>
              </w:rPr>
            </w:pPr>
            <w:r>
              <w:rPr>
                <w:rFonts w:ascii="宋体"/>
                <w:spacing w:val="-1"/>
                <w:sz w:val="21"/>
              </w:rPr>
              <w:t>145,502.66</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104,453.17</w:t>
            </w:r>
          </w:p>
        </w:tc>
      </w:tr>
      <w:tr>
        <w:trPr>
          <w:trHeight w:val="279"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其他经营性往来支出</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4" w:space="0" w:color="000000"/>
              <w:right w:val="nil" w:sz="6" w:space="0" w:color="auto"/>
            </w:tcBorders>
          </w:tcPr>
          <w:p>
            <w:pPr>
              <w:pStyle w:val="TableParagraph"/>
              <w:spacing w:line="241" w:lineRule="exact"/>
              <w:ind w:right="84"/>
              <w:jc w:val="right"/>
              <w:rPr>
                <w:rFonts w:ascii="宋体" w:hAnsi="宋体" w:cs="宋体" w:eastAsia="宋体" w:hint="default"/>
                <w:sz w:val="21"/>
                <w:szCs w:val="21"/>
              </w:rPr>
            </w:pPr>
            <w:r>
              <w:rPr>
                <w:rFonts w:ascii="宋体"/>
                <w:spacing w:val="-1"/>
                <w:sz w:val="21"/>
              </w:rPr>
              <w:t>1,803,892.43</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8,378,159.84</w:t>
            </w:r>
          </w:p>
        </w:tc>
      </w:tr>
      <w:tr>
        <w:trPr>
          <w:trHeight w:val="290" w:hRule="exact"/>
        </w:trPr>
        <w:tc>
          <w:tcPr>
            <w:tcW w:w="1012" w:type="dxa"/>
            <w:tcBorders>
              <w:top w:val="nil" w:sz="6" w:space="0" w:color="auto"/>
              <w:left w:val="nil" w:sz="6" w:space="0" w:color="auto"/>
              <w:bottom w:val="nil" w:sz="6" w:space="0" w:color="auto"/>
              <w:right w:val="nil" w:sz="6" w:space="0" w:color="auto"/>
            </w:tcBorders>
          </w:tcPr>
          <w:p>
            <w:pPr/>
          </w:p>
        </w:tc>
        <w:tc>
          <w:tcPr>
            <w:tcW w:w="3252"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23"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84"/>
              <w:jc w:val="right"/>
              <w:rPr>
                <w:rFonts w:ascii="宋体" w:hAnsi="宋体" w:cs="宋体" w:eastAsia="宋体" w:hint="default"/>
                <w:sz w:val="21"/>
                <w:szCs w:val="21"/>
              </w:rPr>
            </w:pPr>
            <w:r>
              <w:rPr>
                <w:rFonts w:ascii="宋体"/>
                <w:spacing w:val="-1"/>
                <w:sz w:val="21"/>
              </w:rPr>
              <w:t>31,741,643.72</w:t>
            </w:r>
          </w:p>
        </w:tc>
        <w:tc>
          <w:tcPr>
            <w:tcW w:w="5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32,010,794.21</w:t>
            </w:r>
          </w:p>
        </w:tc>
      </w:tr>
    </w:tbl>
    <w:p>
      <w:pPr>
        <w:spacing w:after="0" w:line="241" w:lineRule="exact"/>
        <w:jc w:val="right"/>
        <w:rPr>
          <w:rFonts w:ascii="宋体" w:hAnsi="宋体" w:cs="宋体" w:eastAsia="宋体" w:hint="default"/>
          <w:sz w:val="21"/>
          <w:szCs w:val="21"/>
        </w:rPr>
        <w:sectPr>
          <w:pgSz w:w="11910" w:h="16840"/>
          <w:pgMar w:header="886" w:footer="980" w:top="1740" w:bottom="1160" w:left="880" w:right="500"/>
        </w:sectPr>
      </w:pPr>
    </w:p>
    <w:p>
      <w:pPr>
        <w:spacing w:line="240" w:lineRule="auto" w:before="9"/>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012"/>
        <w:gridCol w:w="4813"/>
        <w:gridCol w:w="283"/>
        <w:gridCol w:w="2076"/>
        <w:gridCol w:w="286"/>
        <w:gridCol w:w="2045"/>
      </w:tblGrid>
      <w:tr>
        <w:trPr>
          <w:trHeight w:val="687" w:hRule="exact"/>
        </w:trPr>
        <w:tc>
          <w:tcPr>
            <w:tcW w:w="101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48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83" w:type="dxa"/>
            <w:tcBorders>
              <w:top w:val="single" w:sz="4" w:space="0" w:color="000000"/>
              <w:left w:val="nil" w:sz="6" w:space="0" w:color="auto"/>
              <w:bottom w:val="nil" w:sz="6" w:space="0" w:color="auto"/>
              <w:right w:val="nil" w:sz="6" w:space="0" w:color="auto"/>
            </w:tcBorders>
          </w:tcPr>
          <w:p>
            <w:pPr/>
          </w:p>
        </w:tc>
        <w:tc>
          <w:tcPr>
            <w:tcW w:w="2076"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
        </w:tc>
      </w:tr>
      <w:tr>
        <w:trPr>
          <w:trHeight w:val="545"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83" w:right="0"/>
              <w:jc w:val="left"/>
              <w:rPr>
                <w:rFonts w:ascii="宋体" w:hAnsi="宋体" w:cs="宋体" w:eastAsia="宋体" w:hint="default"/>
                <w:sz w:val="21"/>
                <w:szCs w:val="21"/>
              </w:rPr>
            </w:pPr>
            <w:r>
              <w:rPr>
                <w:rFonts w:ascii="宋体"/>
                <w:sz w:val="21"/>
              </w:rPr>
              <w:t>6.36</w:t>
            </w: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541"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6.36.1</w:t>
            </w:r>
            <w:r>
              <w:rPr>
                <w:rFonts w:ascii="宋体" w:hAnsi="宋体" w:cs="宋体" w:eastAsia="宋体" w:hint="default"/>
                <w:spacing w:val="-4"/>
                <w:sz w:val="21"/>
                <w:szCs w:val="21"/>
              </w:rPr>
              <w:t> </w:t>
            </w:r>
            <w:r>
              <w:rPr>
                <w:rFonts w:ascii="宋体" w:hAnsi="宋体" w:cs="宋体" w:eastAsia="宋体" w:hint="default"/>
                <w:sz w:val="21"/>
                <w:szCs w:val="21"/>
              </w:rPr>
              <w:t>现金流量表补充资料</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416"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59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5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57"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single" w:sz="4" w:space="0" w:color="000000"/>
              <w:left w:val="nil" w:sz="6" w:space="0" w:color="auto"/>
              <w:bottom w:val="nil" w:sz="6" w:space="0" w:color="auto"/>
              <w:right w:val="nil" w:sz="6" w:space="0" w:color="auto"/>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
        </w:tc>
      </w:tr>
      <w:tr>
        <w:trPr>
          <w:trHeight w:val="290"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66,094,430.59</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47,345,959.79</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-149,020.03</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-59,348.24</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6,082,892.14</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3,423,588.95</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1,714,047.98</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1,232,837.82</w:t>
            </w:r>
          </w:p>
        </w:tc>
      </w:tr>
      <w:tr>
        <w:trPr>
          <w:trHeight w:val="27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849,143.24</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1,509,730.84</w:t>
            </w:r>
          </w:p>
        </w:tc>
      </w:tr>
      <w:tr>
        <w:trPr>
          <w:trHeight w:val="469"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7" w:lineRule="exact"/>
              <w:ind w:left="465"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89,129.66</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宋体" w:hAnsi="宋体" w:cs="宋体" w:eastAsia="宋体" w:hint="default"/>
                <w:sz w:val="21"/>
                <w:szCs w:val="21"/>
              </w:rPr>
            </w:pPr>
            <w:r>
              <w:rPr>
                <w:rFonts w:ascii="宋体"/>
                <w:spacing w:val="-1"/>
                <w:sz w:val="21"/>
              </w:rPr>
              <w:t>47,352.73</w:t>
            </w:r>
          </w:p>
        </w:tc>
      </w:tr>
      <w:tr>
        <w:trPr>
          <w:trHeight w:val="271"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6"/>
              <w:jc w:val="right"/>
              <w:rPr>
                <w:rFonts w:ascii="宋体" w:hAnsi="宋体" w:cs="宋体" w:eastAsia="宋体" w:hint="default"/>
                <w:sz w:val="21"/>
                <w:szCs w:val="21"/>
              </w:rPr>
            </w:pPr>
            <w:r>
              <w:rPr>
                <w:rFonts w:ascii="宋体"/>
                <w:w w:val="100"/>
                <w:sz w:val="21"/>
              </w:rPr>
              <w:t>-</w:t>
            </w:r>
          </w:p>
        </w:tc>
      </w:tr>
      <w:tr>
        <w:trPr>
          <w:trHeight w:val="271"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6"/>
              <w:jc w:val="right"/>
              <w:rPr>
                <w:rFonts w:ascii="宋体" w:hAnsi="宋体" w:cs="宋体" w:eastAsia="宋体" w:hint="default"/>
                <w:sz w:val="21"/>
                <w:szCs w:val="21"/>
              </w:rPr>
            </w:pPr>
            <w:r>
              <w:rPr>
                <w:rFonts w:ascii="宋体"/>
                <w:w w:val="100"/>
                <w:sz w:val="21"/>
              </w:rPr>
              <w:t>-</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4,751,293.05</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-934,453.93</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20,000.00</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24,067.50</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w w:val="100"/>
                <w:sz w:val="21"/>
              </w:rPr>
              <w:t>-</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-4,999.22</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295,734.23</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-5,766,708.83</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-12,841,762.90</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3,600,435.30</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2,847,038.99</w:t>
            </w:r>
          </w:p>
        </w:tc>
      </w:tr>
      <w:tr>
        <w:trPr>
          <w:trHeight w:val="280"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single" w:sz="4" w:space="0" w:color="000000"/>
              <w:right w:val="nil" w:sz="6" w:space="0" w:color="auto"/>
            </w:tcBorders>
          </w:tcPr>
          <w:p>
            <w:pPr>
              <w:pStyle w:val="TableParagraph"/>
              <w:spacing w:line="244" w:lineRule="exact"/>
              <w:ind w:right="103"/>
              <w:jc w:val="right"/>
              <w:rPr>
                <w:rFonts w:ascii="宋体" w:hAnsi="宋体" w:cs="宋体" w:eastAsia="宋体" w:hint="default"/>
                <w:sz w:val="21"/>
                <w:szCs w:val="21"/>
              </w:rPr>
            </w:pPr>
            <w:r>
              <w:rPr>
                <w:rFonts w:ascii="宋体"/>
                <w:spacing w:val="-1"/>
                <w:sz w:val="21"/>
              </w:rPr>
              <w:t>3,897,600.00</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w w:val="100"/>
                <w:sz w:val="21"/>
              </w:rPr>
              <w:t>-</w:t>
            </w:r>
          </w:p>
        </w:tc>
      </w:tr>
      <w:tr>
        <w:trPr>
          <w:trHeight w:val="29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10" w:lineRule="exact"/>
              <w:ind w:left="46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81,178,243.88</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42,890,745.78</w:t>
            </w:r>
          </w:p>
        </w:tc>
      </w:tr>
      <w:tr>
        <w:trPr>
          <w:trHeight w:val="267"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3"/>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single" w:sz="12" w:space="0" w:color="000000"/>
              <w:left w:val="nil" w:sz="6" w:space="0" w:color="auto"/>
              <w:bottom w:val="nil" w:sz="6" w:space="0" w:color="auto"/>
              <w:right w:val="nil" w:sz="6" w:space="0" w:color="auto"/>
            </w:tcBorders>
          </w:tcPr>
          <w:p>
            <w:pPr/>
          </w:p>
        </w:tc>
      </w:tr>
      <w:tr>
        <w:trPr>
          <w:trHeight w:val="27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sz w:val="18"/>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z w:val="18"/>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sz w:val="18"/>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6"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2"/>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290"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247,726,796.12</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296,183,647.67</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296,183,647.67</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272,389,143.46</w:t>
            </w:r>
          </w:p>
        </w:tc>
      </w:tr>
      <w:tr>
        <w:trPr>
          <w:trHeight w:val="27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9" w:lineRule="exact"/>
              <w:ind w:left="465"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w w:val="100"/>
                <w:sz w:val="21"/>
              </w:rPr>
              <w:t>-</w:t>
            </w:r>
          </w:p>
        </w:tc>
      </w:tr>
      <w:tr>
        <w:trPr>
          <w:trHeight w:val="281"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single" w:sz="4" w:space="0" w:color="000000"/>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3" w:lineRule="exact"/>
              <w:ind w:right="106"/>
              <w:jc w:val="right"/>
              <w:rPr>
                <w:rFonts w:ascii="宋体" w:hAnsi="宋体" w:cs="宋体" w:eastAsia="宋体" w:hint="default"/>
                <w:sz w:val="21"/>
                <w:szCs w:val="21"/>
              </w:rPr>
            </w:pPr>
            <w:r>
              <w:rPr>
                <w:rFonts w:ascii="宋体"/>
                <w:w w:val="100"/>
                <w:sz w:val="21"/>
              </w:rPr>
              <w:t>-</w:t>
            </w:r>
          </w:p>
        </w:tc>
      </w:tr>
      <w:tr>
        <w:trPr>
          <w:trHeight w:val="290"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10" w:lineRule="exact"/>
              <w:ind w:left="46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3" w:type="dxa"/>
            <w:tcBorders>
              <w:top w:val="nil" w:sz="6" w:space="0" w:color="auto"/>
              <w:left w:val="nil" w:sz="6" w:space="0" w:color="auto"/>
              <w:bottom w:val="nil" w:sz="6" w:space="0" w:color="auto"/>
              <w:right w:val="nil" w:sz="6" w:space="0" w:color="auto"/>
            </w:tcBorders>
          </w:tcPr>
          <w:p>
            <w:pPr/>
          </w:p>
        </w:tc>
        <w:tc>
          <w:tcPr>
            <w:tcW w:w="207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-48,456,851.55</w:t>
            </w:r>
          </w:p>
        </w:tc>
        <w:tc>
          <w:tcPr>
            <w:tcW w:w="286"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23,794,504.21</w:t>
            </w:r>
          </w:p>
        </w:tc>
      </w:tr>
    </w:tbl>
    <w:p>
      <w:pPr>
        <w:spacing w:after="0" w:line="241" w:lineRule="exact"/>
        <w:jc w:val="right"/>
        <w:rPr>
          <w:rFonts w:ascii="宋体" w:hAnsi="宋体" w:cs="宋体" w:eastAsia="宋体" w:hint="default"/>
          <w:sz w:val="21"/>
          <w:szCs w:val="21"/>
        </w:rPr>
        <w:sectPr>
          <w:pgSz w:w="11910" w:h="16840"/>
          <w:pgMar w:header="886" w:footer="980" w:top="1740" w:bottom="1160" w:left="880" w:right="300"/>
        </w:sectPr>
      </w:pPr>
    </w:p>
    <w:p>
      <w:pPr>
        <w:spacing w:line="240" w:lineRule="auto" w:before="9"/>
        <w:rPr>
          <w:rFonts w:ascii="Times New Roman" w:hAnsi="Times New Roman" w:cs="Times New Roman" w:eastAsia="Times New Roman"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021"/>
        <w:gridCol w:w="3684"/>
        <w:gridCol w:w="283"/>
        <w:gridCol w:w="2410"/>
        <w:gridCol w:w="283"/>
        <w:gridCol w:w="2307"/>
      </w:tblGrid>
      <w:tr>
        <w:trPr>
          <w:trHeight w:val="687" w:hRule="exact"/>
        </w:trPr>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6</w:t>
            </w:r>
            <w:r>
              <w:rPr>
                <w:rFonts w:ascii="宋体"/>
                <w:sz w:val="21"/>
              </w:rPr>
            </w:r>
          </w:p>
        </w:tc>
        <w:tc>
          <w:tcPr>
            <w:tcW w:w="36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83" w:type="dxa"/>
            <w:tcBorders>
              <w:top w:val="single" w:sz="4" w:space="0" w:color="000000"/>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
        </w:tc>
      </w:tr>
      <w:tr>
        <w:trPr>
          <w:trHeight w:val="545"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555" w:right="0"/>
              <w:jc w:val="left"/>
              <w:rPr>
                <w:rFonts w:ascii="宋体" w:hAnsi="宋体" w:cs="宋体" w:eastAsia="宋体" w:hint="default"/>
                <w:sz w:val="21"/>
                <w:szCs w:val="21"/>
              </w:rPr>
            </w:pPr>
            <w:r>
              <w:rPr>
                <w:rFonts w:ascii="宋体"/>
                <w:sz w:val="21"/>
              </w:rPr>
              <w:t>6.36</w:t>
            </w:r>
          </w:p>
        </w:tc>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0"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r>
              <w:rPr>
                <w:rFonts w:ascii="宋体" w:hAnsi="宋体" w:cs="宋体" w:eastAsia="宋体" w:hint="default"/>
                <w:sz w:val="21"/>
                <w:szCs w:val="21"/>
              </w:rPr>
              <w:t>(</w:t>
            </w:r>
            <w:r>
              <w:rPr>
                <w:rFonts w:ascii="宋体" w:hAnsi="宋体" w:cs="宋体" w:eastAsia="宋体" w:hint="default"/>
                <w:sz w:val="21"/>
                <w:szCs w:val="21"/>
              </w:rPr>
              <w:t>续</w:t>
            </w:r>
            <w:r>
              <w:rPr>
                <w:rFonts w:ascii="宋体" w:hAnsi="宋体" w:cs="宋体" w:eastAsia="宋体"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
        </w:tc>
      </w:tr>
      <w:tr>
        <w:trPr>
          <w:trHeight w:val="408"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6.36.2</w:t>
            </w:r>
            <w:r>
              <w:rPr>
                <w:rFonts w:ascii="宋体" w:hAnsi="宋体" w:cs="宋体" w:eastAsia="宋体" w:hint="default"/>
                <w:spacing w:val="-1"/>
                <w:sz w:val="21"/>
                <w:szCs w:val="21"/>
              </w:rPr>
              <w:t> </w:t>
            </w:r>
            <w:r>
              <w:rPr>
                <w:rFonts w:ascii="宋体" w:hAnsi="宋体" w:cs="宋体" w:eastAsia="宋体" w:hint="default"/>
                <w:sz w:val="21"/>
                <w:szCs w:val="21"/>
              </w:rPr>
              <w:t>现金和现金等价物的构成</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
        </w:tc>
      </w:tr>
      <w:tr>
        <w:trPr>
          <w:trHeight w:val="276"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8"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43" w:lineRule="exact"/>
              <w:ind w:right="129"/>
              <w:jc w:val="right"/>
              <w:rPr>
                <w:rFonts w:ascii="宋体" w:hAnsi="宋体" w:cs="宋体" w:eastAsia="宋体" w:hint="default"/>
                <w:sz w:val="21"/>
                <w:szCs w:val="21"/>
              </w:rPr>
            </w:pPr>
            <w:r>
              <w:rPr>
                <w:rFonts w:ascii="宋体"/>
                <w:spacing w:val="-1"/>
                <w:sz w:val="21"/>
              </w:rPr>
              <w:t>247,726,796.12</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Style w:val="TableParagraph"/>
              <w:spacing w:line="243" w:lineRule="exact"/>
              <w:ind w:right="168"/>
              <w:jc w:val="right"/>
              <w:rPr>
                <w:rFonts w:ascii="宋体" w:hAnsi="宋体" w:cs="宋体" w:eastAsia="宋体" w:hint="default"/>
                <w:sz w:val="21"/>
                <w:szCs w:val="21"/>
              </w:rPr>
            </w:pPr>
            <w:r>
              <w:rPr>
                <w:rFonts w:ascii="宋体"/>
                <w:spacing w:val="-1"/>
                <w:sz w:val="21"/>
              </w:rPr>
              <w:t>296,183,647.67</w:t>
            </w:r>
          </w:p>
        </w:tc>
      </w:tr>
      <w:tr>
        <w:trPr>
          <w:trHeight w:val="272"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187,888.23</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199,795.16</w:t>
            </w:r>
          </w:p>
        </w:tc>
      </w:tr>
      <w:tr>
        <w:trPr>
          <w:trHeight w:val="272"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2"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2" w:lineRule="exact"/>
              <w:ind w:right="129"/>
              <w:jc w:val="right"/>
              <w:rPr>
                <w:rFonts w:ascii="宋体" w:hAnsi="宋体" w:cs="宋体" w:eastAsia="宋体" w:hint="default"/>
                <w:sz w:val="21"/>
                <w:szCs w:val="21"/>
              </w:rPr>
            </w:pPr>
            <w:r>
              <w:rPr>
                <w:rFonts w:ascii="宋体"/>
                <w:spacing w:val="-1"/>
                <w:sz w:val="21"/>
              </w:rPr>
              <w:t>247,538,907.89</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2" w:lineRule="exact"/>
              <w:ind w:right="168"/>
              <w:jc w:val="right"/>
              <w:rPr>
                <w:rFonts w:ascii="宋体" w:hAnsi="宋体" w:cs="宋体" w:eastAsia="宋体" w:hint="default"/>
                <w:sz w:val="21"/>
                <w:szCs w:val="21"/>
              </w:rPr>
            </w:pPr>
            <w:r>
              <w:rPr>
                <w:rFonts w:ascii="宋体"/>
                <w:spacing w:val="-1"/>
                <w:sz w:val="21"/>
              </w:rPr>
              <w:t>295,983,852.51</w:t>
            </w:r>
          </w:p>
        </w:tc>
      </w:tr>
      <w:tr>
        <w:trPr>
          <w:trHeight w:val="272"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1" w:lineRule="exact"/>
              <w:ind w:right="326"/>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1" w:lineRule="exact"/>
              <w:ind w:right="170"/>
              <w:jc w:val="right"/>
              <w:rPr>
                <w:rFonts w:ascii="宋体" w:hAnsi="宋体" w:cs="宋体" w:eastAsia="宋体" w:hint="default"/>
                <w:sz w:val="21"/>
                <w:szCs w:val="21"/>
              </w:rPr>
            </w:pPr>
            <w:r>
              <w:rPr>
                <w:rFonts w:ascii="宋体"/>
                <w:w w:val="100"/>
                <w:sz w:val="21"/>
              </w:rPr>
              <w:t>-</w:t>
            </w:r>
          </w:p>
        </w:tc>
      </w:tr>
      <w:tr>
        <w:trPr>
          <w:trHeight w:val="272"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2" w:lineRule="exact"/>
              <w:ind w:right="326"/>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2" w:lineRule="exact"/>
              <w:ind w:right="170"/>
              <w:jc w:val="right"/>
              <w:rPr>
                <w:rFonts w:ascii="宋体" w:hAnsi="宋体" w:cs="宋体" w:eastAsia="宋体" w:hint="default"/>
                <w:sz w:val="21"/>
                <w:szCs w:val="21"/>
              </w:rPr>
            </w:pPr>
            <w:r>
              <w:rPr>
                <w:rFonts w:ascii="宋体"/>
                <w:w w:val="100"/>
                <w:sz w:val="21"/>
              </w:rPr>
              <w:t>-</w:t>
            </w:r>
          </w:p>
        </w:tc>
      </w:tr>
      <w:tr>
        <w:trPr>
          <w:trHeight w:val="272"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1" w:lineRule="exact"/>
              <w:ind w:right="170"/>
              <w:jc w:val="right"/>
              <w:rPr>
                <w:rFonts w:ascii="宋体" w:hAnsi="宋体" w:cs="宋体" w:eastAsia="宋体" w:hint="default"/>
                <w:sz w:val="21"/>
                <w:szCs w:val="21"/>
              </w:rPr>
            </w:pPr>
            <w:r>
              <w:rPr>
                <w:rFonts w:ascii="宋体"/>
                <w:w w:val="100"/>
                <w:sz w:val="21"/>
              </w:rPr>
              <w:t>-</w:t>
            </w:r>
          </w:p>
        </w:tc>
      </w:tr>
      <w:tr>
        <w:trPr>
          <w:trHeight w:val="273"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2" w:lineRule="exact"/>
              <w:ind w:left="410"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2" w:lineRule="exact"/>
              <w:ind w:right="132"/>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2" w:lineRule="exact"/>
              <w:ind w:right="170"/>
              <w:jc w:val="right"/>
              <w:rPr>
                <w:rFonts w:ascii="宋体" w:hAnsi="宋体" w:cs="宋体" w:eastAsia="宋体" w:hint="default"/>
                <w:sz w:val="21"/>
                <w:szCs w:val="21"/>
              </w:rPr>
            </w:pPr>
            <w:r>
              <w:rPr>
                <w:rFonts w:ascii="宋体"/>
                <w:w w:val="100"/>
                <w:sz w:val="21"/>
              </w:rPr>
              <w:t>-</w:t>
            </w:r>
          </w:p>
        </w:tc>
      </w:tr>
      <w:tr>
        <w:trPr>
          <w:trHeight w:val="272"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1" w:lineRule="exact"/>
              <w:ind w:right="170"/>
              <w:jc w:val="right"/>
              <w:rPr>
                <w:rFonts w:ascii="宋体" w:hAnsi="宋体" w:cs="宋体" w:eastAsia="宋体" w:hint="default"/>
                <w:sz w:val="21"/>
                <w:szCs w:val="21"/>
              </w:rPr>
            </w:pPr>
            <w:r>
              <w:rPr>
                <w:rFonts w:ascii="宋体"/>
                <w:w w:val="100"/>
                <w:sz w:val="21"/>
              </w:rPr>
              <w:t>-</w:t>
            </w:r>
          </w:p>
        </w:tc>
      </w:tr>
      <w:tr>
        <w:trPr>
          <w:trHeight w:val="279"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1" w:lineRule="exact"/>
              <w:ind w:right="170"/>
              <w:jc w:val="right"/>
              <w:rPr>
                <w:rFonts w:ascii="宋体" w:hAnsi="宋体" w:cs="宋体" w:eastAsia="宋体" w:hint="default"/>
                <w:sz w:val="21"/>
                <w:szCs w:val="21"/>
              </w:rPr>
            </w:pPr>
            <w:r>
              <w:rPr>
                <w:rFonts w:ascii="宋体"/>
                <w:w w:val="100"/>
                <w:sz w:val="21"/>
              </w:rPr>
              <w:t>-</w:t>
            </w:r>
          </w:p>
        </w:tc>
      </w:tr>
      <w:tr>
        <w:trPr>
          <w:trHeight w:val="293" w:hRule="exact"/>
        </w:trPr>
        <w:tc>
          <w:tcPr>
            <w:tcW w:w="1021" w:type="dxa"/>
            <w:tcBorders>
              <w:top w:val="nil" w:sz="6" w:space="0" w:color="auto"/>
              <w:left w:val="nil" w:sz="6" w:space="0" w:color="auto"/>
              <w:bottom w:val="nil" w:sz="6" w:space="0" w:color="auto"/>
              <w:right w:val="nil" w:sz="6" w:space="0" w:color="auto"/>
            </w:tcBorders>
          </w:tcPr>
          <w:p>
            <w:pPr/>
          </w:p>
        </w:tc>
        <w:tc>
          <w:tcPr>
            <w:tcW w:w="3684" w:type="dxa"/>
            <w:tcBorders>
              <w:top w:val="nil" w:sz="6" w:space="0" w:color="auto"/>
              <w:left w:val="nil" w:sz="6" w:space="0" w:color="auto"/>
              <w:bottom w:val="nil" w:sz="6" w:space="0" w:color="auto"/>
              <w:right w:val="nil" w:sz="6" w:space="0" w:color="auto"/>
            </w:tcBorders>
          </w:tcPr>
          <w:p>
            <w:pPr>
              <w:pStyle w:val="TableParagraph"/>
              <w:spacing w:line="246" w:lineRule="exact"/>
              <w:ind w:left="12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29"/>
              <w:jc w:val="right"/>
              <w:rPr>
                <w:rFonts w:ascii="宋体" w:hAnsi="宋体" w:cs="宋体" w:eastAsia="宋体" w:hint="default"/>
                <w:sz w:val="21"/>
                <w:szCs w:val="21"/>
              </w:rPr>
            </w:pPr>
            <w:r>
              <w:rPr>
                <w:rFonts w:ascii="宋体"/>
                <w:spacing w:val="-1"/>
                <w:sz w:val="21"/>
              </w:rPr>
              <w:t>247,726,796.12</w:t>
            </w:r>
          </w:p>
        </w:tc>
        <w:tc>
          <w:tcPr>
            <w:tcW w:w="283"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296,183,647.67</w:t>
            </w:r>
          </w:p>
        </w:tc>
      </w:tr>
    </w:tbl>
    <w:p>
      <w:pPr>
        <w:spacing w:after="0" w:line="241" w:lineRule="exact"/>
        <w:jc w:val="right"/>
        <w:rPr>
          <w:rFonts w:ascii="宋体" w:hAnsi="宋体" w:cs="宋体" w:eastAsia="宋体" w:hint="default"/>
          <w:sz w:val="21"/>
          <w:szCs w:val="21"/>
        </w:rPr>
        <w:sectPr>
          <w:pgSz w:w="11910" w:h="16840"/>
          <w:pgMar w:header="886" w:footer="980" w:top="1740" w:bottom="1160" w:left="840" w:right="860"/>
        </w:sectPr>
      </w:pPr>
    </w:p>
    <w:p>
      <w:pPr>
        <w:spacing w:line="240" w:lineRule="auto" w:before="9"/>
        <w:rPr>
          <w:rFonts w:ascii="Times New Roman" w:hAnsi="Times New Roman" w:cs="Times New Roman" w:eastAsia="Times New Roman" w:hint="default"/>
          <w:sz w:val="4"/>
          <w:szCs w:val="4"/>
        </w:rPr>
      </w:pPr>
      <w:r>
        <w:rPr/>
        <w:pict>
          <v:group style="position:absolute;margin-left:208.580002pt;margin-top:204.410004pt;width:51.25pt;height:.1pt;mso-position-horizontal-relative:page;mso-position-vertical-relative:page;z-index:-794608" coordorigin="4172,4088" coordsize="1025,2">
            <v:shape style="position:absolute;left:4172;top:4088;width:1025;height:2" coordorigin="4172,4088" coordsize="1025,0" path="m4172,4088l5196,4088e" filled="false" stroked="true" strokeweight=".48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639"/>
        <w:gridCol w:w="1560"/>
        <w:gridCol w:w="235"/>
        <w:gridCol w:w="950"/>
        <w:gridCol w:w="238"/>
        <w:gridCol w:w="1457"/>
        <w:gridCol w:w="1145"/>
        <w:gridCol w:w="727"/>
        <w:gridCol w:w="108"/>
        <w:gridCol w:w="1142"/>
        <w:gridCol w:w="48"/>
        <w:gridCol w:w="831"/>
        <w:gridCol w:w="238"/>
        <w:gridCol w:w="648"/>
        <w:gridCol w:w="334"/>
        <w:gridCol w:w="238"/>
        <w:gridCol w:w="1251"/>
        <w:gridCol w:w="1147"/>
        <w:gridCol w:w="151"/>
        <w:gridCol w:w="115"/>
        <w:gridCol w:w="1018"/>
        <w:gridCol w:w="281"/>
        <w:gridCol w:w="1291"/>
      </w:tblGrid>
      <w:tr>
        <w:trPr>
          <w:trHeight w:val="686" w:hRule="exact"/>
        </w:trPr>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7</w:t>
            </w:r>
            <w:r>
              <w:rPr>
                <w:rFonts w:ascii="宋体"/>
                <w:sz w:val="21"/>
              </w:rPr>
            </w:r>
          </w:p>
        </w:tc>
        <w:tc>
          <w:tcPr>
            <w:tcW w:w="27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关联方及关联交易</w:t>
            </w:r>
            <w:r>
              <w:rPr>
                <w:rFonts w:ascii="宋体" w:hAnsi="宋体" w:cs="宋体" w:eastAsia="宋体" w:hint="default"/>
                <w:sz w:val="21"/>
                <w:szCs w:val="21"/>
              </w:rPr>
            </w:r>
          </w:p>
        </w:tc>
        <w:tc>
          <w:tcPr>
            <w:tcW w:w="238"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nil" w:sz="6" w:space="0" w:color="auto"/>
              <w:right w:val="nil" w:sz="6" w:space="0" w:color="auto"/>
            </w:tcBorders>
          </w:tcPr>
          <w:p>
            <w:pPr/>
          </w:p>
        </w:tc>
        <w:tc>
          <w:tcPr>
            <w:tcW w:w="727"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
        </w:tc>
        <w:tc>
          <w:tcPr>
            <w:tcW w:w="48" w:type="dxa"/>
            <w:tcBorders>
              <w:top w:val="single" w:sz="4" w:space="0" w:color="000000"/>
              <w:left w:val="nil" w:sz="6" w:space="0" w:color="auto"/>
              <w:bottom w:val="nil" w:sz="6" w:space="0" w:color="auto"/>
              <w:right w:val="nil" w:sz="6" w:space="0" w:color="auto"/>
            </w:tcBorders>
          </w:tcPr>
          <w:p>
            <w:pPr/>
          </w:p>
        </w:tc>
        <w:tc>
          <w:tcPr>
            <w:tcW w:w="831"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648" w:type="dxa"/>
            <w:tcBorders>
              <w:top w:val="single" w:sz="4" w:space="0" w:color="000000"/>
              <w:left w:val="nil" w:sz="6" w:space="0" w:color="auto"/>
              <w:bottom w:val="nil" w:sz="6" w:space="0" w:color="auto"/>
              <w:right w:val="nil" w:sz="6" w:space="0" w:color="auto"/>
            </w:tcBorders>
          </w:tcPr>
          <w:p>
            <w:pPr/>
          </w:p>
        </w:tc>
        <w:tc>
          <w:tcPr>
            <w:tcW w:w="334"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
        </w:tc>
        <w:tc>
          <w:tcPr>
            <w:tcW w:w="151"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
        </w:tc>
        <w:tc>
          <w:tcPr>
            <w:tcW w:w="281" w:type="dxa"/>
            <w:tcBorders>
              <w:top w:val="single" w:sz="4" w:space="0" w:color="000000"/>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
        </w:tc>
      </w:tr>
      <w:tr>
        <w:trPr>
          <w:trHeight w:val="594" w:hRule="exact"/>
        </w:trPr>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6" w:right="0"/>
              <w:jc w:val="left"/>
              <w:rPr>
                <w:rFonts w:ascii="宋体" w:hAnsi="宋体" w:cs="宋体" w:eastAsia="宋体" w:hint="default"/>
                <w:sz w:val="21"/>
                <w:szCs w:val="21"/>
              </w:rPr>
            </w:pPr>
            <w:r>
              <w:rPr>
                <w:rFonts w:ascii="宋体"/>
                <w:sz w:val="21"/>
              </w:rPr>
              <w:t>7.1</w:t>
            </w:r>
          </w:p>
        </w:tc>
        <w:tc>
          <w:tcPr>
            <w:tcW w:w="27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本公司的母公司情况</w:t>
            </w: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4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r>
      <w:tr>
        <w:trPr>
          <w:trHeight w:val="998" w:hRule="exact"/>
        </w:trPr>
        <w:tc>
          <w:tcPr>
            <w:tcW w:w="6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35"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7" w:right="23"/>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08" w:type="dxa"/>
            <w:tcBorders>
              <w:top w:val="nil" w:sz="6" w:space="0" w:color="auto"/>
              <w:left w:val="nil" w:sz="6" w:space="0" w:color="auto"/>
              <w:bottom w:val="single" w:sz="4" w:space="0" w:color="000000"/>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48" w:type="dxa"/>
            <w:tcBorders>
              <w:top w:val="nil" w:sz="6" w:space="0" w:color="auto"/>
              <w:left w:val="nil" w:sz="6" w:space="0" w:color="auto"/>
              <w:bottom w:val="single" w:sz="4" w:space="0" w:color="000000"/>
              <w:right w:val="nil" w:sz="6" w:space="0" w:color="auto"/>
            </w:tcBorders>
          </w:tcPr>
          <w:p>
            <w:pPr/>
          </w:p>
        </w:tc>
        <w:tc>
          <w:tcPr>
            <w:tcW w:w="171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4" w:lineRule="exact"/>
              <w:ind w:left="41" w:right="562" w:hanging="44"/>
              <w:jc w:val="left"/>
              <w:rPr>
                <w:rFonts w:ascii="宋体" w:hAnsi="宋体" w:cs="宋体" w:eastAsia="宋体" w:hint="default"/>
                <w:sz w:val="18"/>
                <w:szCs w:val="18"/>
              </w:rPr>
            </w:pPr>
            <w:r>
              <w:rPr>
                <w:rFonts w:ascii="宋体" w:hAnsi="宋体" w:cs="宋体" w:eastAsia="宋体" w:hint="default"/>
                <w:sz w:val="18"/>
                <w:szCs w:val="18"/>
              </w:rPr>
              <w:t>公司对本企业的 持股比例（</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37" w:lineRule="auto"/>
              <w:ind w:left="-20" w:right="266"/>
              <w:jc w:val="both"/>
              <w:rPr>
                <w:rFonts w:ascii="宋体" w:hAnsi="宋体" w:cs="宋体" w:eastAsia="宋体" w:hint="default"/>
                <w:sz w:val="18"/>
                <w:szCs w:val="18"/>
              </w:rPr>
            </w:pPr>
            <w:r>
              <w:rPr>
                <w:rFonts w:ascii="宋体" w:hAnsi="宋体" w:cs="宋体" w:eastAsia="宋体" w:hint="default"/>
                <w:sz w:val="18"/>
                <w:szCs w:val="18"/>
              </w:rPr>
              <w:t>公司对本企 业的表决权 比例（</w:t>
            </w:r>
            <w:r>
              <w:rPr>
                <w:rFonts w:ascii="宋体" w:hAnsi="宋体" w:cs="宋体" w:eastAsia="宋体" w:hint="default"/>
                <w:sz w:val="18"/>
                <w:szCs w:val="18"/>
              </w:rPr>
              <w:t>%</w:t>
            </w:r>
            <w:r>
              <w:rPr>
                <w:rFonts w:ascii="宋体" w:hAnsi="宋体" w:cs="宋体" w:eastAsia="宋体" w:hint="default"/>
                <w:sz w:val="18"/>
                <w:szCs w:val="18"/>
              </w:rPr>
              <w:t>）</w:t>
            </w: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4" w:lineRule="exact"/>
              <w:ind w:left="180" w:right="115" w:hanging="180"/>
              <w:jc w:val="left"/>
              <w:rPr>
                <w:rFonts w:ascii="宋体" w:hAnsi="宋体" w:cs="宋体" w:eastAsia="宋体" w:hint="default"/>
                <w:sz w:val="18"/>
                <w:szCs w:val="18"/>
              </w:rPr>
            </w:pPr>
            <w:r>
              <w:rPr>
                <w:rFonts w:ascii="宋体" w:hAnsi="宋体" w:cs="宋体" w:eastAsia="宋体" w:hint="default"/>
                <w:sz w:val="18"/>
                <w:szCs w:val="18"/>
              </w:rPr>
              <w:t>本企业最终 控制方</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15" w:hRule="exact"/>
        </w:trPr>
        <w:tc>
          <w:tcPr>
            <w:tcW w:w="63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3" w:lineRule="exact"/>
              <w:ind w:left="460" w:right="0"/>
              <w:jc w:val="left"/>
              <w:rPr>
                <w:rFonts w:ascii="宋体" w:hAnsi="宋体" w:cs="宋体" w:eastAsia="宋体" w:hint="default"/>
                <w:sz w:val="21"/>
                <w:szCs w:val="21"/>
              </w:rPr>
            </w:pPr>
            <w:r>
              <w:rPr>
                <w:rFonts w:ascii="宋体"/>
                <w:w w:val="100"/>
                <w:sz w:val="21"/>
              </w:rPr>
              <w:t>-</w:t>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3" w:lineRule="exact"/>
              <w:ind w:left="216" w:right="0"/>
              <w:jc w:val="left"/>
              <w:rPr>
                <w:rFonts w:ascii="宋体" w:hAnsi="宋体" w:cs="宋体" w:eastAsia="宋体" w:hint="default"/>
                <w:sz w:val="21"/>
                <w:szCs w:val="21"/>
              </w:rPr>
            </w:pPr>
            <w:r>
              <w:rPr>
                <w:rFonts w:ascii="宋体"/>
                <w:w w:val="100"/>
                <w:sz w:val="21"/>
              </w:rPr>
              <w:t>-</w:t>
            </w:r>
          </w:p>
        </w:tc>
        <w:tc>
          <w:tcPr>
            <w:tcW w:w="727" w:type="dxa"/>
            <w:tcBorders>
              <w:top w:val="single" w:sz="4" w:space="0" w:color="000000"/>
              <w:left w:val="nil" w:sz="6" w:space="0" w:color="auto"/>
              <w:bottom w:val="nil" w:sz="6" w:space="0" w:color="auto"/>
              <w:right w:val="nil" w:sz="6" w:space="0" w:color="auto"/>
            </w:tcBorders>
          </w:tcPr>
          <w:p>
            <w:pPr>
              <w:pStyle w:val="TableParagraph"/>
              <w:spacing w:line="243" w:lineRule="exact"/>
              <w:ind w:right="38"/>
              <w:jc w:val="center"/>
              <w:rPr>
                <w:rFonts w:ascii="宋体" w:hAnsi="宋体" w:cs="宋体" w:eastAsia="宋体" w:hint="default"/>
                <w:sz w:val="21"/>
                <w:szCs w:val="21"/>
              </w:rPr>
            </w:pPr>
            <w:r>
              <w:rPr>
                <w:rFonts w:ascii="宋体"/>
                <w:w w:val="100"/>
                <w:sz w:val="21"/>
              </w:rPr>
              <w:t>-</w:t>
            </w:r>
          </w:p>
        </w:tc>
        <w:tc>
          <w:tcPr>
            <w:tcW w:w="108"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43" w:lineRule="exact"/>
              <w:ind w:left="729" w:right="0"/>
              <w:jc w:val="left"/>
              <w:rPr>
                <w:rFonts w:ascii="宋体" w:hAnsi="宋体" w:cs="宋体" w:eastAsia="宋体" w:hint="default"/>
                <w:sz w:val="21"/>
                <w:szCs w:val="21"/>
              </w:rPr>
            </w:pPr>
            <w:r>
              <w:rPr>
                <w:rFonts w:ascii="宋体"/>
                <w:w w:val="100"/>
                <w:sz w:val="21"/>
              </w:rPr>
              <w:t>-</w:t>
            </w:r>
          </w:p>
        </w:tc>
        <w:tc>
          <w:tcPr>
            <w:tcW w:w="48" w:type="dxa"/>
            <w:tcBorders>
              <w:top w:val="single" w:sz="4" w:space="0" w:color="000000"/>
              <w:left w:val="nil" w:sz="6" w:space="0" w:color="auto"/>
              <w:bottom w:val="nil" w:sz="6" w:space="0" w:color="auto"/>
              <w:right w:val="nil" w:sz="6" w:space="0" w:color="auto"/>
            </w:tcBorders>
          </w:tcPr>
          <w:p>
            <w:pPr/>
          </w:p>
        </w:tc>
        <w:tc>
          <w:tcPr>
            <w:tcW w:w="831"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Style w:val="TableParagraph"/>
              <w:spacing w:line="243" w:lineRule="exact"/>
              <w:ind w:left="-53" w:right="0"/>
              <w:jc w:val="left"/>
              <w:rPr>
                <w:rFonts w:ascii="宋体" w:hAnsi="宋体" w:cs="宋体" w:eastAsia="宋体" w:hint="default"/>
                <w:sz w:val="21"/>
                <w:szCs w:val="21"/>
              </w:rPr>
            </w:pPr>
            <w:r>
              <w:rPr>
                <w:rFonts w:ascii="宋体"/>
                <w:w w:val="100"/>
                <w:sz w:val="21"/>
              </w:rPr>
              <w:t>-</w:t>
            </w:r>
          </w:p>
        </w:tc>
        <w:tc>
          <w:tcPr>
            <w:tcW w:w="648" w:type="dxa"/>
            <w:tcBorders>
              <w:top w:val="single" w:sz="4" w:space="0" w:color="000000"/>
              <w:left w:val="nil" w:sz="6" w:space="0" w:color="auto"/>
              <w:bottom w:val="nil" w:sz="6" w:space="0" w:color="auto"/>
              <w:right w:val="nil" w:sz="6" w:space="0" w:color="auto"/>
            </w:tcBorders>
          </w:tcPr>
          <w:p>
            <w:pPr/>
          </w:p>
        </w:tc>
        <w:tc>
          <w:tcPr>
            <w:tcW w:w="334"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Style w:val="TableParagraph"/>
              <w:spacing w:line="243" w:lineRule="exact"/>
              <w:ind w:left="2" w:right="0"/>
              <w:jc w:val="left"/>
              <w:rPr>
                <w:rFonts w:ascii="宋体" w:hAnsi="宋体" w:cs="宋体" w:eastAsia="宋体" w:hint="default"/>
                <w:sz w:val="21"/>
                <w:szCs w:val="21"/>
              </w:rPr>
            </w:pPr>
            <w:r>
              <w:rPr>
                <w:rFonts w:ascii="宋体"/>
                <w:w w:val="100"/>
                <w:sz w:val="21"/>
              </w:rPr>
              <w:t>-</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43" w:lineRule="exact"/>
              <w:ind w:left="376" w:right="0"/>
              <w:jc w:val="left"/>
              <w:rPr>
                <w:rFonts w:ascii="宋体" w:hAnsi="宋体" w:cs="宋体" w:eastAsia="宋体" w:hint="default"/>
                <w:sz w:val="21"/>
                <w:szCs w:val="21"/>
              </w:rPr>
            </w:pPr>
            <w:r>
              <w:rPr>
                <w:rFonts w:ascii="宋体"/>
                <w:w w:val="100"/>
                <w:sz w:val="21"/>
              </w:rPr>
              <w:t>-</w:t>
            </w: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包叔平先生</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r>
        <w:trPr>
          <w:trHeight w:val="816" w:hRule="exact"/>
        </w:trPr>
        <w:tc>
          <w:tcPr>
            <w:tcW w:w="15792" w:type="dxa"/>
            <w:gridSpan w:val="23"/>
            <w:tcBorders>
              <w:top w:val="nil" w:sz="6" w:space="0" w:color="auto"/>
              <w:left w:val="nil" w:sz="6" w:space="0" w:color="auto"/>
              <w:bottom w:val="nil" w:sz="6" w:space="0" w:color="auto"/>
              <w:right w:val="nil" w:sz="6" w:space="0" w:color="auto"/>
            </w:tcBorders>
          </w:tcPr>
          <w:p>
            <w:pPr>
              <w:pStyle w:val="TableParagraph"/>
              <w:spacing w:line="272" w:lineRule="exact" w:before="130"/>
              <w:ind w:left="747" w:right="100"/>
              <w:jc w:val="left"/>
              <w:rPr>
                <w:rFonts w:ascii="宋体" w:hAnsi="宋体" w:cs="宋体" w:eastAsia="宋体" w:hint="default"/>
                <w:sz w:val="21"/>
                <w:szCs w:val="21"/>
              </w:rPr>
            </w:pPr>
            <w:r>
              <w:rPr>
                <w:rFonts w:ascii="宋体" w:hAnsi="宋体" w:cs="宋体" w:eastAsia="宋体" w:hint="default"/>
                <w:spacing w:val="-3"/>
                <w:sz w:val="21"/>
                <w:szCs w:val="21"/>
              </w:rPr>
              <w:t>本公司无控股公司，实际控制人为自然人包叔平先生，现任本公司董事长兼总经理，截止</w:t>
            </w:r>
            <w:r>
              <w:rPr>
                <w:rFonts w:ascii="宋体" w:hAnsi="宋体" w:cs="宋体" w:eastAsia="宋体" w:hint="default"/>
                <w:spacing w:val="-37"/>
                <w:sz w:val="21"/>
                <w:szCs w:val="21"/>
              </w:rPr>
              <w:t> </w:t>
            </w:r>
            <w:r>
              <w:rPr>
                <w:rFonts w:ascii="宋体" w:hAnsi="宋体" w:cs="宋体" w:eastAsia="宋体" w:hint="default"/>
                <w:sz w:val="21"/>
                <w:szCs w:val="21"/>
              </w:rPr>
              <w:t>2011</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pacing w:val="-3"/>
                <w:sz w:val="21"/>
                <w:szCs w:val="21"/>
              </w:rPr>
              <w:t>日，包叔平先生本人及其接受其他股东的授权委托实际拥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有本公司</w:t>
            </w:r>
            <w:r>
              <w:rPr>
                <w:rFonts w:ascii="宋体" w:hAnsi="宋体" w:cs="宋体" w:eastAsia="宋体" w:hint="default"/>
                <w:spacing w:val="-57"/>
                <w:sz w:val="21"/>
                <w:szCs w:val="21"/>
              </w:rPr>
              <w:t> </w:t>
            </w:r>
            <w:r>
              <w:rPr>
                <w:rFonts w:ascii="宋体" w:hAnsi="宋体" w:cs="宋体" w:eastAsia="宋体" w:hint="default"/>
                <w:sz w:val="21"/>
                <w:szCs w:val="21"/>
              </w:rPr>
              <w:t>31.96%</w:t>
            </w:r>
            <w:r>
              <w:rPr>
                <w:rFonts w:ascii="宋体" w:hAnsi="宋体" w:cs="宋体" w:eastAsia="宋体" w:hint="default"/>
                <w:sz w:val="21"/>
                <w:szCs w:val="21"/>
              </w:rPr>
              <w:t>的表决权。</w:t>
            </w:r>
          </w:p>
        </w:tc>
      </w:tr>
      <w:tr>
        <w:trPr>
          <w:trHeight w:val="543" w:hRule="exact"/>
        </w:trPr>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6" w:right="0"/>
              <w:jc w:val="left"/>
              <w:rPr>
                <w:rFonts w:ascii="宋体" w:hAnsi="宋体" w:cs="宋体" w:eastAsia="宋体" w:hint="default"/>
                <w:sz w:val="21"/>
                <w:szCs w:val="21"/>
              </w:rPr>
            </w:pPr>
            <w:r>
              <w:rPr>
                <w:rFonts w:ascii="宋体"/>
                <w:sz w:val="21"/>
              </w:rPr>
              <w:t>7.2</w:t>
            </w:r>
          </w:p>
        </w:tc>
        <w:tc>
          <w:tcPr>
            <w:tcW w:w="27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本公司的子公司情况</w:t>
            </w: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4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r>
      <w:tr>
        <w:trPr>
          <w:trHeight w:val="584" w:hRule="exact"/>
        </w:trPr>
        <w:tc>
          <w:tcPr>
            <w:tcW w:w="6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235" w:type="dxa"/>
            <w:tcBorders>
              <w:top w:val="nil" w:sz="6" w:space="0" w:color="auto"/>
              <w:left w:val="nil" w:sz="6" w:space="0" w:color="auto"/>
              <w:bottom w:val="single" w:sz="4" w:space="0" w:color="000000"/>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499"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442" w:right="-17"/>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727"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48" w:type="dxa"/>
            <w:tcBorders>
              <w:top w:val="nil" w:sz="6" w:space="0" w:color="auto"/>
              <w:left w:val="nil" w:sz="6" w:space="0" w:color="auto"/>
              <w:bottom w:val="single" w:sz="4" w:space="0" w:color="000000"/>
              <w:right w:val="nil" w:sz="6" w:space="0" w:color="auto"/>
            </w:tcBorders>
          </w:tcPr>
          <w:p>
            <w:pP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2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51"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41"/>
              <w:jc w:val="right"/>
              <w:rPr>
                <w:rFonts w:ascii="宋体" w:hAnsi="宋体" w:cs="宋体" w:eastAsia="宋体" w:hint="default"/>
                <w:sz w:val="18"/>
                <w:szCs w:val="18"/>
              </w:rPr>
            </w:pPr>
            <w:r>
              <w:rPr>
                <w:rFonts w:ascii="宋体" w:hAnsi="宋体" w:cs="宋体" w:eastAsia="宋体" w:hint="default"/>
                <w:sz w:val="18"/>
                <w:szCs w:val="18"/>
              </w:rPr>
              <w:t>表决权比例</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238" w:hRule="exact"/>
        </w:trPr>
        <w:tc>
          <w:tcPr>
            <w:tcW w:w="63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235" w:type="dxa"/>
            <w:tcBorders>
              <w:top w:val="single" w:sz="4" w:space="0" w:color="000000"/>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05" w:lineRule="exact"/>
              <w:ind w:right="96"/>
              <w:jc w:val="center"/>
              <w:rPr>
                <w:rFonts w:ascii="宋体" w:hAnsi="宋体" w:cs="宋体" w:eastAsia="宋体" w:hint="default"/>
                <w:sz w:val="18"/>
                <w:szCs w:val="18"/>
              </w:rPr>
            </w:pPr>
            <w:r>
              <w:rPr>
                <w:rFonts w:ascii="宋体" w:hAnsi="宋体" w:cs="宋体" w:eastAsia="宋体" w:hint="default"/>
                <w:sz w:val="18"/>
                <w:szCs w:val="18"/>
              </w:rPr>
              <w:t>全资</w:t>
            </w:r>
          </w:p>
        </w:tc>
        <w:tc>
          <w:tcPr>
            <w:tcW w:w="1873"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44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8"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48" w:type="dxa"/>
            <w:tcBorders>
              <w:top w:val="single" w:sz="4" w:space="0" w:color="000000"/>
              <w:left w:val="nil" w:sz="6" w:space="0" w:color="auto"/>
              <w:bottom w:val="nil" w:sz="6" w:space="0" w:color="auto"/>
              <w:right w:val="nil" w:sz="6" w:space="0" w:color="auto"/>
            </w:tcBorders>
          </w:tcPr>
          <w:p>
            <w:pPr/>
          </w:p>
        </w:tc>
        <w:tc>
          <w:tcPr>
            <w:tcW w:w="831"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238" w:type="dxa"/>
            <w:tcBorders>
              <w:top w:val="nil" w:sz="6" w:space="0" w:color="auto"/>
              <w:left w:val="nil" w:sz="6" w:space="0" w:color="auto"/>
              <w:bottom w:val="nil" w:sz="6" w:space="0" w:color="auto"/>
              <w:right w:val="nil" w:sz="6" w:space="0" w:color="auto"/>
            </w:tcBorders>
          </w:tcPr>
          <w:p>
            <w:pPr/>
          </w:p>
        </w:tc>
        <w:tc>
          <w:tcPr>
            <w:tcW w:w="648" w:type="dxa"/>
            <w:tcBorders>
              <w:top w:val="single" w:sz="4" w:space="0" w:color="000000"/>
              <w:left w:val="nil" w:sz="6" w:space="0" w:color="auto"/>
              <w:bottom w:val="nil" w:sz="6" w:space="0" w:color="auto"/>
              <w:right w:val="nil" w:sz="6" w:space="0" w:color="auto"/>
            </w:tcBorders>
          </w:tcPr>
          <w:p>
            <w:pPr>
              <w:pStyle w:val="TableParagraph"/>
              <w:spacing w:line="205" w:lineRule="exact"/>
              <w:ind w:right="-1"/>
              <w:jc w:val="right"/>
              <w:rPr>
                <w:rFonts w:ascii="宋体" w:hAnsi="宋体" w:cs="宋体" w:eastAsia="宋体" w:hint="default"/>
                <w:sz w:val="18"/>
                <w:szCs w:val="18"/>
              </w:rPr>
            </w:pPr>
            <w:r>
              <w:rPr>
                <w:rFonts w:ascii="宋体" w:hAnsi="宋体" w:cs="宋体" w:eastAsia="宋体" w:hint="default"/>
                <w:sz w:val="18"/>
                <w:szCs w:val="18"/>
              </w:rPr>
              <w:t>软件业</w:t>
            </w:r>
          </w:p>
        </w:tc>
        <w:tc>
          <w:tcPr>
            <w:tcW w:w="33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sz w:val="18"/>
              </w:rPr>
              <w:t>100%</w:t>
            </w:r>
          </w:p>
        </w:tc>
        <w:tc>
          <w:tcPr>
            <w:tcW w:w="151"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single" w:sz="4" w:space="0" w:color="000000"/>
              <w:left w:val="nil" w:sz="6" w:space="0" w:color="auto"/>
              <w:bottom w:val="nil" w:sz="6" w:space="0" w:color="auto"/>
              <w:right w:val="nil" w:sz="6" w:space="0" w:color="auto"/>
            </w:tcBorders>
          </w:tcPr>
          <w:p>
            <w:pPr>
              <w:pStyle w:val="TableParagraph"/>
              <w:spacing w:line="205" w:lineRule="exact"/>
              <w:ind w:right="59"/>
              <w:jc w:val="right"/>
              <w:rPr>
                <w:rFonts w:ascii="宋体" w:hAnsi="宋体" w:cs="宋体" w:eastAsia="宋体" w:hint="default"/>
                <w:sz w:val="18"/>
                <w:szCs w:val="18"/>
              </w:rPr>
            </w:pPr>
            <w:r>
              <w:rPr>
                <w:rFonts w:ascii="宋体"/>
                <w:sz w:val="18"/>
              </w:rPr>
              <w:t>100%</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sz w:val="18"/>
              </w:rPr>
              <w:t>-</w:t>
            </w:r>
          </w:p>
        </w:tc>
      </w:tr>
      <w:tr>
        <w:trPr>
          <w:trHeight w:val="467" w:hRule="exact"/>
        </w:trPr>
        <w:tc>
          <w:tcPr>
            <w:tcW w:w="63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上海华钟计算机</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软件开发有限公司</w:t>
            </w:r>
          </w:p>
        </w:tc>
        <w:tc>
          <w:tcPr>
            <w:tcW w:w="235"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9"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1873"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34" w:lineRule="exact"/>
              <w:ind w:left="442" w:right="0"/>
              <w:jc w:val="left"/>
              <w:rPr>
                <w:rFonts w:ascii="宋体" w:hAnsi="宋体" w:cs="宋体" w:eastAsia="宋体" w:hint="default"/>
                <w:sz w:val="18"/>
                <w:szCs w:val="18"/>
              </w:rPr>
            </w:pPr>
            <w:r>
              <w:rPr>
                <w:rFonts w:ascii="宋体" w:hAnsi="宋体" w:cs="宋体" w:eastAsia="宋体" w:hint="default"/>
                <w:sz w:val="18"/>
                <w:szCs w:val="18"/>
              </w:rPr>
              <w:t>（中外合资）</w:t>
            </w:r>
          </w:p>
        </w:tc>
        <w:tc>
          <w:tcPr>
            <w:tcW w:w="10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4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市川建志</w:t>
            </w:r>
          </w:p>
        </w:tc>
        <w:tc>
          <w:tcPr>
            <w:tcW w:w="23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软件业</w:t>
            </w:r>
          </w:p>
        </w:tc>
        <w:tc>
          <w:tcPr>
            <w:tcW w:w="33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 w:right="-7"/>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51%</w:t>
            </w: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
              <w:jc w:val="right"/>
              <w:rPr>
                <w:rFonts w:ascii="宋体" w:hAnsi="宋体" w:cs="宋体" w:eastAsia="宋体" w:hint="default"/>
                <w:sz w:val="18"/>
                <w:szCs w:val="18"/>
              </w:rPr>
            </w:pPr>
            <w:r>
              <w:rPr>
                <w:rFonts w:ascii="宋体"/>
                <w:sz w:val="18"/>
              </w:rPr>
              <w:t>51%</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sz w:val="18"/>
              </w:rPr>
              <w:t>60720052-7</w:t>
            </w:r>
          </w:p>
        </w:tc>
      </w:tr>
      <w:tr>
        <w:trPr>
          <w:trHeight w:val="234" w:hRule="exact"/>
        </w:trPr>
        <w:tc>
          <w:tcPr>
            <w:tcW w:w="639" w:type="dxa"/>
            <w:tcBorders>
              <w:top w:val="nil" w:sz="6" w:space="0" w:color="auto"/>
              <w:left w:val="nil" w:sz="6" w:space="0" w:color="auto"/>
              <w:bottom w:val="nil" w:sz="6" w:space="0" w:color="auto"/>
              <w:right w:val="nil" w:sz="6" w:space="0" w:color="auto"/>
            </w:tcBorders>
          </w:tcPr>
          <w:p>
            <w:pPr/>
          </w:p>
        </w:tc>
        <w:tc>
          <w:tcPr>
            <w:tcW w:w="2746" w:type="dxa"/>
            <w:gridSpan w:val="3"/>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江苏海隆软件技术有限公司</w:t>
            </w: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06" w:lineRule="exact"/>
              <w:ind w:right="96"/>
              <w:jc w:val="center"/>
              <w:rPr>
                <w:rFonts w:ascii="宋体" w:hAnsi="宋体" w:cs="宋体" w:eastAsia="宋体" w:hint="default"/>
                <w:sz w:val="18"/>
                <w:szCs w:val="18"/>
              </w:rPr>
            </w:pPr>
            <w:r>
              <w:rPr>
                <w:rFonts w:ascii="宋体" w:hAnsi="宋体" w:cs="宋体" w:eastAsia="宋体" w:hint="default"/>
                <w:sz w:val="18"/>
                <w:szCs w:val="18"/>
              </w:rPr>
              <w:t>全资</w:t>
            </w:r>
          </w:p>
        </w:tc>
        <w:tc>
          <w:tcPr>
            <w:tcW w:w="1873"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4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23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206" w:lineRule="exact"/>
              <w:ind w:right="-1"/>
              <w:jc w:val="right"/>
              <w:rPr>
                <w:rFonts w:ascii="宋体" w:hAnsi="宋体" w:cs="宋体" w:eastAsia="宋体" w:hint="default"/>
                <w:sz w:val="18"/>
                <w:szCs w:val="18"/>
              </w:rPr>
            </w:pPr>
            <w:r>
              <w:rPr>
                <w:rFonts w:ascii="宋体" w:hAnsi="宋体" w:cs="宋体" w:eastAsia="宋体" w:hint="default"/>
                <w:sz w:val="18"/>
                <w:szCs w:val="18"/>
              </w:rPr>
              <w:t>软件业</w:t>
            </w:r>
          </w:p>
        </w:tc>
        <w:tc>
          <w:tcPr>
            <w:tcW w:w="33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06" w:lineRule="exact"/>
              <w:ind w:left="-5" w:right="-7"/>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147"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right"/>
              <w:rPr>
                <w:rFonts w:ascii="宋体" w:hAnsi="宋体" w:cs="宋体" w:eastAsia="宋体" w:hint="default"/>
                <w:sz w:val="18"/>
                <w:szCs w:val="18"/>
              </w:rPr>
            </w:pPr>
            <w:r>
              <w:rPr>
                <w:rFonts w:ascii="宋体"/>
                <w:sz w:val="18"/>
              </w:rPr>
              <w:t>100%</w:t>
            </w: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06" w:lineRule="exact"/>
              <w:ind w:right="59"/>
              <w:jc w:val="right"/>
              <w:rPr>
                <w:rFonts w:ascii="宋体" w:hAnsi="宋体" w:cs="宋体" w:eastAsia="宋体" w:hint="default"/>
                <w:sz w:val="18"/>
                <w:szCs w:val="18"/>
              </w:rPr>
            </w:pPr>
            <w:r>
              <w:rPr>
                <w:rFonts w:ascii="宋体"/>
                <w:sz w:val="18"/>
              </w:rPr>
              <w:t>100%</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sz w:val="18"/>
              </w:rPr>
              <w:t>55554760-8</w:t>
            </w:r>
          </w:p>
        </w:tc>
      </w:tr>
      <w:tr>
        <w:trPr>
          <w:trHeight w:val="440" w:hRule="exact"/>
        </w:trPr>
        <w:tc>
          <w:tcPr>
            <w:tcW w:w="639" w:type="dxa"/>
            <w:tcBorders>
              <w:top w:val="nil" w:sz="6" w:space="0" w:color="auto"/>
              <w:left w:val="nil" w:sz="6" w:space="0" w:color="auto"/>
              <w:bottom w:val="nil" w:sz="6" w:space="0" w:color="auto"/>
              <w:right w:val="nil" w:sz="6" w:space="0" w:color="auto"/>
            </w:tcBorders>
          </w:tcPr>
          <w:p>
            <w:pPr/>
          </w:p>
        </w:tc>
        <w:tc>
          <w:tcPr>
            <w:tcW w:w="2746" w:type="dxa"/>
            <w:gridSpan w:val="3"/>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上海海隆宜通信息技术有限公司</w:t>
            </w:r>
          </w:p>
        </w:tc>
        <w:tc>
          <w:tcPr>
            <w:tcW w:w="2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9"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1873"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442" w:right="0"/>
              <w:jc w:val="left"/>
              <w:rPr>
                <w:rFonts w:ascii="宋体" w:hAnsi="宋体" w:cs="宋体" w:eastAsia="宋体" w:hint="default"/>
                <w:sz w:val="18"/>
                <w:szCs w:val="18"/>
              </w:rPr>
            </w:pPr>
            <w:r>
              <w:rPr>
                <w:rFonts w:ascii="宋体" w:hAnsi="宋体" w:cs="宋体" w:eastAsia="宋体" w:hint="default"/>
                <w:sz w:val="18"/>
                <w:szCs w:val="18"/>
              </w:rPr>
              <w:t>有限责任公司</w:t>
            </w:r>
          </w:p>
          <w:p>
            <w:pPr>
              <w:pStyle w:val="TableParagraph"/>
              <w:spacing w:line="234" w:lineRule="exact"/>
              <w:ind w:left="442" w:right="0"/>
              <w:jc w:val="left"/>
              <w:rPr>
                <w:rFonts w:ascii="宋体" w:hAnsi="宋体" w:cs="宋体" w:eastAsia="宋体" w:hint="default"/>
                <w:sz w:val="18"/>
                <w:szCs w:val="18"/>
              </w:rPr>
            </w:pPr>
            <w:r>
              <w:rPr>
                <w:rFonts w:ascii="宋体" w:hAnsi="宋体" w:cs="宋体" w:eastAsia="宋体" w:hint="default"/>
                <w:sz w:val="18"/>
                <w:szCs w:val="18"/>
              </w:rPr>
              <w:t>（中外合资）</w:t>
            </w:r>
          </w:p>
        </w:tc>
        <w:tc>
          <w:tcPr>
            <w:tcW w:w="108"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48"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238"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软件业</w:t>
            </w:r>
          </w:p>
        </w:tc>
        <w:tc>
          <w:tcPr>
            <w:tcW w:w="33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750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right"/>
              <w:rPr>
                <w:rFonts w:ascii="宋体" w:hAnsi="宋体" w:cs="宋体" w:eastAsia="宋体" w:hint="default"/>
                <w:sz w:val="18"/>
                <w:szCs w:val="18"/>
              </w:rPr>
            </w:pPr>
            <w:r>
              <w:rPr>
                <w:rFonts w:ascii="宋体"/>
                <w:sz w:val="18"/>
              </w:rPr>
              <w:t>55%</w:t>
            </w:r>
          </w:p>
        </w:tc>
        <w:tc>
          <w:tcPr>
            <w:tcW w:w="15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
              <w:jc w:val="right"/>
              <w:rPr>
                <w:rFonts w:ascii="宋体" w:hAnsi="宋体" w:cs="宋体" w:eastAsia="宋体" w:hint="default"/>
                <w:sz w:val="18"/>
                <w:szCs w:val="18"/>
              </w:rPr>
            </w:pPr>
            <w:r>
              <w:rPr>
                <w:rFonts w:ascii="宋体"/>
                <w:sz w:val="18"/>
              </w:rPr>
              <w:t>55%</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sz w:val="18"/>
              </w:rPr>
              <w:t>55598323-1</w:t>
            </w:r>
          </w:p>
        </w:tc>
      </w:tr>
    </w:tbl>
    <w:p>
      <w:pPr>
        <w:spacing w:after="0" w:line="240" w:lineRule="auto"/>
        <w:jc w:val="left"/>
        <w:rPr>
          <w:rFonts w:ascii="宋体" w:hAnsi="宋体" w:cs="宋体" w:eastAsia="宋体" w:hint="default"/>
          <w:sz w:val="18"/>
          <w:szCs w:val="18"/>
        </w:rPr>
        <w:sectPr>
          <w:headerReference w:type="default" r:id="rId36"/>
          <w:footerReference w:type="default" r:id="rId37"/>
          <w:pgSz w:w="16840" w:h="11910" w:orient="landscape"/>
          <w:pgMar w:header="886" w:footer="980" w:top="1740" w:bottom="1160" w:left="440" w:right="380"/>
          <w:pgNumType w:start="135"/>
        </w:sectPr>
      </w:pPr>
    </w:p>
    <w:p>
      <w:pPr>
        <w:spacing w:line="240" w:lineRule="auto" w:before="9"/>
        <w:rPr>
          <w:rFonts w:ascii="Times New Roman" w:hAnsi="Times New Roman" w:cs="Times New Roman" w:eastAsia="Times New Roman" w:hint="default"/>
          <w:sz w:val="4"/>
          <w:szCs w:val="4"/>
        </w:rPr>
      </w:pPr>
      <w:r>
        <w:rPr/>
        <w:pict>
          <v:group style="position:absolute;margin-left:77.040001pt;margin-top:306.050018pt;width:115.5pt;height:.1pt;mso-position-horizontal-relative:page;mso-position-vertical-relative:page;z-index:-794584" coordorigin="1541,6121" coordsize="2310,2">
            <v:shape style="position:absolute;left:1541;top:6121;width:2310;height:2" coordorigin="1541,6121" coordsize="2310,0" path="m1541,6121l3850,6121e" filled="false" stroked="true" strokeweight=".47998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896"/>
        <w:gridCol w:w="96"/>
        <w:gridCol w:w="2906"/>
        <w:gridCol w:w="1456"/>
        <w:gridCol w:w="357"/>
        <w:gridCol w:w="283"/>
        <w:gridCol w:w="2129"/>
        <w:gridCol w:w="245"/>
        <w:gridCol w:w="1503"/>
        <w:gridCol w:w="235"/>
        <w:gridCol w:w="1560"/>
        <w:gridCol w:w="283"/>
        <w:gridCol w:w="1277"/>
        <w:gridCol w:w="283"/>
        <w:gridCol w:w="1584"/>
      </w:tblGrid>
      <w:tr>
        <w:trPr>
          <w:trHeight w:val="607"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宋体" w:hAnsi="宋体" w:cs="宋体" w:eastAsia="宋体" w:hint="default"/>
                <w:sz w:val="21"/>
                <w:szCs w:val="21"/>
              </w:rPr>
            </w:pPr>
            <w:r>
              <w:rPr>
                <w:rFonts w:ascii="宋体"/>
                <w:b/>
                <w:w w:val="99"/>
                <w:sz w:val="21"/>
              </w:rPr>
              <w:t>7</w:t>
            </w:r>
            <w:r>
              <w:rPr>
                <w:rFonts w:ascii="宋体"/>
                <w:sz w:val="21"/>
              </w:rPr>
            </w:r>
          </w:p>
        </w:tc>
        <w:tc>
          <w:tcPr>
            <w:tcW w:w="96" w:type="dxa"/>
            <w:tcBorders>
              <w:top w:val="single" w:sz="4" w:space="0" w:color="000000"/>
              <w:left w:val="nil" w:sz="6" w:space="0" w:color="auto"/>
              <w:bottom w:val="nil" w:sz="6" w:space="0" w:color="auto"/>
              <w:right w:val="nil" w:sz="6" w:space="0" w:color="auto"/>
            </w:tcBorders>
          </w:tcPr>
          <w:p>
            <w:pP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15" w:right="0"/>
              <w:jc w:val="left"/>
              <w:rPr>
                <w:rFonts w:ascii="宋体" w:hAnsi="宋体" w:cs="宋体" w:eastAsia="宋体" w:hint="default"/>
                <w:sz w:val="21"/>
                <w:szCs w:val="21"/>
              </w:rPr>
            </w:pPr>
            <w:r>
              <w:rPr>
                <w:rFonts w:ascii="宋体" w:hAnsi="宋体" w:cs="宋体" w:eastAsia="宋体" w:hint="default"/>
                <w:b/>
                <w:bCs/>
                <w:sz w:val="21"/>
                <w:szCs w:val="21"/>
              </w:rPr>
              <w:t>关联方及关联交易（续）</w:t>
            </w:r>
            <w:r>
              <w:rPr>
                <w:rFonts w:ascii="宋体" w:hAnsi="宋体" w:cs="宋体" w:eastAsia="宋体" w:hint="default"/>
                <w:sz w:val="21"/>
                <w:szCs w:val="21"/>
              </w:rPr>
            </w:r>
          </w:p>
        </w:tc>
        <w:tc>
          <w:tcPr>
            <w:tcW w:w="1456" w:type="dxa"/>
            <w:tcBorders>
              <w:top w:val="single" w:sz="4" w:space="0" w:color="000000"/>
              <w:left w:val="nil" w:sz="6" w:space="0" w:color="auto"/>
              <w:bottom w:val="nil" w:sz="6" w:space="0" w:color="auto"/>
              <w:right w:val="nil" w:sz="6" w:space="0" w:color="auto"/>
            </w:tcBorders>
          </w:tcPr>
          <w:p>
            <w:pPr/>
          </w:p>
        </w:tc>
        <w:tc>
          <w:tcPr>
            <w:tcW w:w="357"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
        </w:tc>
        <w:tc>
          <w:tcPr>
            <w:tcW w:w="245" w:type="dxa"/>
            <w:tcBorders>
              <w:top w:val="single" w:sz="4" w:space="0" w:color="000000"/>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
        </w:tc>
      </w:tr>
      <w:tr>
        <w:trPr>
          <w:trHeight w:val="545"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宋体" w:hAnsi="宋体" w:cs="宋体" w:eastAsia="宋体" w:hint="default"/>
                <w:sz w:val="21"/>
                <w:szCs w:val="21"/>
              </w:rPr>
            </w:pPr>
            <w:r>
              <w:rPr>
                <w:rFonts w:ascii="宋体"/>
                <w:sz w:val="21"/>
              </w:rPr>
              <w:t>7.3</w:t>
            </w: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5" w:right="0"/>
              <w:jc w:val="left"/>
              <w:rPr>
                <w:rFonts w:ascii="宋体" w:hAnsi="宋体" w:cs="宋体" w:eastAsia="宋体" w:hint="default"/>
                <w:sz w:val="21"/>
                <w:szCs w:val="21"/>
              </w:rPr>
            </w:pPr>
            <w:r>
              <w:rPr>
                <w:rFonts w:ascii="宋体" w:hAnsi="宋体" w:cs="宋体" w:eastAsia="宋体" w:hint="default"/>
                <w:sz w:val="21"/>
                <w:szCs w:val="21"/>
              </w:rPr>
              <w:t>本公司的其他关联方情况</w:t>
            </w:r>
          </w:p>
        </w:tc>
        <w:tc>
          <w:tcPr>
            <w:tcW w:w="1456"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415" w:hRule="exact"/>
        </w:trPr>
        <w:tc>
          <w:tcPr>
            <w:tcW w:w="896"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31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1456" w:type="dxa"/>
            <w:tcBorders>
              <w:top w:val="nil" w:sz="6" w:space="0" w:color="auto"/>
              <w:left w:val="nil" w:sz="6" w:space="0" w:color="auto"/>
              <w:bottom w:val="single" w:sz="4" w:space="0" w:color="000000"/>
              <w:right w:val="nil" w:sz="6" w:space="0" w:color="auto"/>
            </w:tcBorders>
          </w:tcPr>
          <w:p>
            <w:pPr/>
          </w:p>
        </w:tc>
        <w:tc>
          <w:tcPr>
            <w:tcW w:w="4517"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03"/>
              <w:ind w:left="1463"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35"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342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3"/>
              <w:ind w:left="66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48" w:hRule="exact"/>
        </w:trPr>
        <w:tc>
          <w:tcPr>
            <w:tcW w:w="896"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1456" w:type="dxa"/>
            <w:tcBorders>
              <w:top w:val="single" w:sz="4" w:space="0" w:color="000000"/>
              <w:left w:val="nil" w:sz="6" w:space="0" w:color="auto"/>
              <w:bottom w:val="nil" w:sz="6" w:space="0" w:color="auto"/>
              <w:right w:val="nil" w:sz="6" w:space="0" w:color="auto"/>
            </w:tcBorders>
          </w:tcPr>
          <w:p>
            <w:pPr/>
          </w:p>
        </w:tc>
        <w:tc>
          <w:tcPr>
            <w:tcW w:w="4517" w:type="dxa"/>
            <w:gridSpan w:val="5"/>
            <w:tcBorders>
              <w:top w:val="single" w:sz="4" w:space="0" w:color="000000"/>
              <w:left w:val="nil" w:sz="6" w:space="0" w:color="auto"/>
              <w:bottom w:val="nil" w:sz="6" w:space="0" w:color="auto"/>
              <w:right w:val="nil" w:sz="6" w:space="0" w:color="auto"/>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6"/>
                <w:sz w:val="21"/>
                <w:szCs w:val="21"/>
              </w:rPr>
              <w:t> </w:t>
            </w:r>
            <w:r>
              <w:rPr>
                <w:rFonts w:ascii="宋体" w:hAnsi="宋体" w:cs="宋体" w:eastAsia="宋体" w:hint="default"/>
                <w:sz w:val="21"/>
                <w:szCs w:val="21"/>
              </w:rPr>
              <w:t>17.94%</w:t>
            </w:r>
            <w:r>
              <w:rPr>
                <w:rFonts w:ascii="宋体" w:hAnsi="宋体" w:cs="宋体" w:eastAsia="宋体" w:hint="default"/>
                <w:sz w:val="21"/>
                <w:szCs w:val="21"/>
              </w:rPr>
              <w:t>的股东的实际控制人</w:t>
            </w:r>
          </w:p>
        </w:tc>
        <w:tc>
          <w:tcPr>
            <w:tcW w:w="235"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1" w:lineRule="exact"/>
              <w:ind w:right="211"/>
              <w:jc w:val="right"/>
              <w:rPr>
                <w:rFonts w:ascii="宋体" w:hAnsi="宋体" w:cs="宋体" w:eastAsia="宋体" w:hint="default"/>
                <w:sz w:val="21"/>
                <w:szCs w:val="21"/>
              </w:rPr>
            </w:pPr>
            <w:r>
              <w:rPr>
                <w:rFonts w:ascii="宋体"/>
                <w:w w:val="100"/>
                <w:sz w:val="21"/>
              </w:rPr>
              <w:t>-</w:t>
            </w:r>
          </w:p>
        </w:tc>
        <w:tc>
          <w:tcPr>
            <w:tcW w:w="283"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
        </w:tc>
      </w:tr>
      <w:tr>
        <w:trPr>
          <w:trHeight w:val="681"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z w:val="21"/>
              </w:rPr>
              <w:t>7.4</w:t>
            </w: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关联交易情况</w:t>
            </w:r>
          </w:p>
        </w:tc>
        <w:tc>
          <w:tcPr>
            <w:tcW w:w="1456" w:type="dxa"/>
            <w:tcBorders>
              <w:top w:val="nil" w:sz="6" w:space="0" w:color="auto"/>
              <w:left w:val="nil" w:sz="6" w:space="0" w:color="auto"/>
              <w:bottom w:val="nil" w:sz="6" w:space="0" w:color="auto"/>
              <w:right w:val="nil" w:sz="6" w:space="0" w:color="auto"/>
            </w:tcBorders>
          </w:tcPr>
          <w:p>
            <w:pPr/>
          </w:p>
        </w:tc>
        <w:tc>
          <w:tcPr>
            <w:tcW w:w="3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545" w:hRule="exact"/>
        </w:trPr>
        <w:tc>
          <w:tcPr>
            <w:tcW w:w="896"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43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15" w:right="0"/>
              <w:jc w:val="left"/>
              <w:rPr>
                <w:rFonts w:ascii="宋体" w:hAnsi="宋体" w:cs="宋体" w:eastAsia="宋体" w:hint="default"/>
                <w:sz w:val="21"/>
                <w:szCs w:val="21"/>
              </w:rPr>
            </w:pPr>
            <w:r>
              <w:rPr>
                <w:rFonts w:ascii="宋体" w:hAnsi="宋体" w:cs="宋体" w:eastAsia="宋体" w:hint="default"/>
                <w:sz w:val="21"/>
                <w:szCs w:val="21"/>
              </w:rPr>
              <w:t>7.4.1</w:t>
            </w:r>
            <w:r>
              <w:rPr>
                <w:rFonts w:ascii="宋体" w:hAnsi="宋体" w:cs="宋体" w:eastAsia="宋体" w:hint="default"/>
                <w:spacing w:val="-1"/>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tc>
        <w:tc>
          <w:tcPr>
            <w:tcW w:w="3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416" w:hRule="exact"/>
        </w:trPr>
        <w:tc>
          <w:tcPr>
            <w:tcW w:w="896"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357" w:type="dxa"/>
            <w:vMerge w:val="restart"/>
            <w:tcBorders>
              <w:top w:val="nil" w:sz="6" w:space="0" w:color="auto"/>
              <w:left w:val="nil" w:sz="6" w:space="0" w:color="auto"/>
              <w:right w:val="nil" w:sz="6" w:space="0" w:color="auto"/>
            </w:tcBorders>
          </w:tcPr>
          <w:p>
            <w:pPr/>
          </w:p>
        </w:tc>
        <w:tc>
          <w:tcPr>
            <w:tcW w:w="283" w:type="dxa"/>
            <w:vMerge w:val="restart"/>
            <w:tcBorders>
              <w:top w:val="nil" w:sz="6" w:space="0" w:color="auto"/>
              <w:left w:val="nil" w:sz="6" w:space="0" w:color="auto"/>
              <w:right w:val="nil" w:sz="6" w:space="0" w:color="auto"/>
            </w:tcBorders>
          </w:tcPr>
          <w:p>
            <w:pPr/>
          </w:p>
        </w:tc>
        <w:tc>
          <w:tcPr>
            <w:tcW w:w="2129" w:type="dxa"/>
            <w:vMerge w:val="restart"/>
            <w:tcBorders>
              <w:top w:val="nil" w:sz="6" w:space="0" w:color="auto"/>
              <w:left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2" w:lineRule="exact"/>
              <w:ind w:left="643" w:right="115" w:hanging="526"/>
              <w:jc w:val="left"/>
              <w:rPr>
                <w:rFonts w:ascii="宋体" w:hAnsi="宋体" w:cs="宋体" w:eastAsia="宋体" w:hint="default"/>
                <w:sz w:val="21"/>
                <w:szCs w:val="21"/>
              </w:rPr>
            </w:pPr>
            <w:r>
              <w:rPr>
                <w:rFonts w:ascii="宋体" w:hAnsi="宋体" w:cs="宋体" w:eastAsia="宋体" w:hint="default"/>
                <w:spacing w:val="-1"/>
                <w:sz w:val="21"/>
                <w:szCs w:val="21"/>
              </w:rPr>
              <w:t>关联交易定价方式及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决策程序</w:t>
            </w:r>
          </w:p>
        </w:tc>
        <w:tc>
          <w:tcPr>
            <w:tcW w:w="245" w:type="dxa"/>
            <w:vMerge w:val="restart"/>
            <w:tcBorders>
              <w:top w:val="nil" w:sz="6" w:space="0" w:color="auto"/>
              <w:left w:val="nil" w:sz="6" w:space="0" w:color="auto"/>
              <w:right w:val="nil" w:sz="6" w:space="0" w:color="auto"/>
            </w:tcBorders>
          </w:tcPr>
          <w:p>
            <w:pPr/>
          </w:p>
        </w:tc>
        <w:tc>
          <w:tcPr>
            <w:tcW w:w="329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4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40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54" w:hRule="exact"/>
        </w:trPr>
        <w:tc>
          <w:tcPr>
            <w:tcW w:w="896"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nil" w:sz="6" w:space="0" w:color="auto"/>
              <w:left w:val="nil" w:sz="6" w:space="0" w:color="auto"/>
              <w:bottom w:val="single" w:sz="4" w:space="0" w:color="000000"/>
              <w:right w:val="nil" w:sz="6" w:space="0" w:color="auto"/>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56" w:type="dxa"/>
            <w:tcBorders>
              <w:top w:val="nil" w:sz="6" w:space="0" w:color="auto"/>
              <w:left w:val="nil" w:sz="6" w:space="0" w:color="auto"/>
              <w:bottom w:val="single" w:sz="4" w:space="0" w:color="000000"/>
              <w:right w:val="nil" w:sz="6" w:space="0" w:color="auto"/>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357" w:type="dxa"/>
            <w:vMerge/>
            <w:tcBorders>
              <w:left w:val="nil" w:sz="6" w:space="0" w:color="auto"/>
              <w:bottom w:val="single" w:sz="4" w:space="0" w:color="000000"/>
              <w:right w:val="nil" w:sz="6" w:space="0" w:color="auto"/>
            </w:tcBorders>
          </w:tcPr>
          <w:p>
            <w:pPr/>
          </w:p>
        </w:tc>
        <w:tc>
          <w:tcPr>
            <w:tcW w:w="283" w:type="dxa"/>
            <w:vMerge/>
            <w:tcBorders>
              <w:left w:val="nil" w:sz="6" w:space="0" w:color="auto"/>
              <w:bottom w:val="nil" w:sz="6" w:space="0" w:color="auto"/>
              <w:right w:val="nil" w:sz="6" w:space="0" w:color="auto"/>
            </w:tcBorders>
          </w:tcPr>
          <w:p>
            <w:pPr/>
          </w:p>
        </w:tc>
        <w:tc>
          <w:tcPr>
            <w:tcW w:w="2129" w:type="dxa"/>
            <w:vMerge/>
            <w:tcBorders>
              <w:left w:val="nil" w:sz="6" w:space="0" w:color="auto"/>
              <w:bottom w:val="single" w:sz="4" w:space="0" w:color="000000"/>
              <w:right w:val="nil" w:sz="6" w:space="0" w:color="auto"/>
            </w:tcBorders>
          </w:tcPr>
          <w:p>
            <w:pPr/>
          </w:p>
        </w:tc>
        <w:tc>
          <w:tcPr>
            <w:tcW w:w="245" w:type="dxa"/>
            <w:vMerge/>
            <w:tcBorders>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11"/>
                <w:sz w:val="21"/>
                <w:szCs w:val="21"/>
              </w:rPr>
              <w:t>占同类交易金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r>
              <w:rPr>
                <w:rFonts w:ascii="宋体" w:hAnsi="宋体" w:cs="宋体" w:eastAsia="宋体"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16"/>
                <w:sz w:val="21"/>
                <w:szCs w:val="21"/>
              </w:rPr>
              <w:t>占同类交易金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46" w:hRule="exact"/>
        </w:trPr>
        <w:tc>
          <w:tcPr>
            <w:tcW w:w="896"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290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1" w:lineRule="exact"/>
              <w:ind w:left="41" w:right="0"/>
              <w:jc w:val="center"/>
              <w:rPr>
                <w:rFonts w:ascii="宋体" w:hAnsi="宋体" w:cs="宋体" w:eastAsia="宋体" w:hint="default"/>
                <w:sz w:val="21"/>
                <w:szCs w:val="21"/>
              </w:rPr>
            </w:pPr>
            <w:r>
              <w:rPr>
                <w:rFonts w:ascii="宋体" w:hAnsi="宋体" w:cs="宋体" w:eastAsia="宋体" w:hint="default"/>
                <w:sz w:val="21"/>
                <w:szCs w:val="21"/>
              </w:rPr>
              <w:t>销售软件</w:t>
            </w:r>
          </w:p>
        </w:tc>
        <w:tc>
          <w:tcPr>
            <w:tcW w:w="357"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参照市场价</w:t>
            </w:r>
          </w:p>
        </w:tc>
        <w:tc>
          <w:tcPr>
            <w:tcW w:w="245"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1" w:lineRule="exact"/>
              <w:ind w:right="22"/>
              <w:jc w:val="center"/>
              <w:rPr>
                <w:rFonts w:ascii="宋体" w:hAnsi="宋体" w:cs="宋体" w:eastAsia="宋体" w:hint="default"/>
                <w:sz w:val="21"/>
                <w:szCs w:val="21"/>
              </w:rPr>
            </w:pPr>
            <w:r>
              <w:rPr>
                <w:rFonts w:ascii="宋体"/>
                <w:sz w:val="21"/>
              </w:rPr>
              <w:t>4,803,519.05</w:t>
            </w:r>
          </w:p>
        </w:tc>
        <w:tc>
          <w:tcPr>
            <w:tcW w:w="235"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1.36</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622,933.85</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sz w:val="21"/>
              </w:rPr>
              <w:t>0.24</w:t>
            </w:r>
          </w:p>
        </w:tc>
      </w:tr>
    </w:tbl>
    <w:p>
      <w:pPr>
        <w:spacing w:after="0" w:line="241" w:lineRule="exact"/>
        <w:jc w:val="center"/>
        <w:rPr>
          <w:rFonts w:ascii="宋体" w:hAnsi="宋体" w:cs="宋体" w:eastAsia="宋体" w:hint="default"/>
          <w:sz w:val="21"/>
          <w:szCs w:val="21"/>
        </w:rPr>
        <w:sectPr>
          <w:pgSz w:w="16840" w:h="11910" w:orient="landscape"/>
          <w:pgMar w:header="886" w:footer="980" w:top="1740" w:bottom="1160" w:left="440" w:right="1080"/>
        </w:sectPr>
      </w:pPr>
    </w:p>
    <w:p>
      <w:pPr>
        <w:spacing w:line="240" w:lineRule="auto" w:before="9"/>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709"/>
        <w:gridCol w:w="1774"/>
        <w:gridCol w:w="235"/>
        <w:gridCol w:w="1961"/>
        <w:gridCol w:w="283"/>
        <w:gridCol w:w="1133"/>
        <w:gridCol w:w="286"/>
        <w:gridCol w:w="1274"/>
        <w:gridCol w:w="283"/>
        <w:gridCol w:w="1277"/>
        <w:gridCol w:w="283"/>
        <w:gridCol w:w="1328"/>
      </w:tblGrid>
      <w:tr>
        <w:trPr>
          <w:trHeight w:val="68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7</w:t>
            </w:r>
            <w:r>
              <w:rPr>
                <w:rFonts w:ascii="宋体"/>
                <w:sz w:val="21"/>
              </w:rPr>
            </w:r>
          </w:p>
        </w:tc>
        <w:tc>
          <w:tcPr>
            <w:tcW w:w="39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关联方及关联交易（续）</w:t>
            </w:r>
            <w:r>
              <w:rPr>
                <w:rFonts w:ascii="宋体" w:hAnsi="宋体" w:cs="宋体" w:eastAsia="宋体" w:hint="default"/>
                <w:sz w:val="21"/>
                <w:szCs w:val="21"/>
              </w:rPr>
            </w:r>
          </w:p>
        </w:tc>
        <w:tc>
          <w:tcPr>
            <w:tcW w:w="283"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86" w:right="0"/>
              <w:jc w:val="left"/>
              <w:rPr>
                <w:rFonts w:ascii="宋体" w:hAnsi="宋体" w:cs="宋体" w:eastAsia="宋体" w:hint="default"/>
                <w:sz w:val="21"/>
                <w:szCs w:val="21"/>
              </w:rPr>
            </w:pPr>
            <w:r>
              <w:rPr>
                <w:rFonts w:ascii="宋体"/>
                <w:sz w:val="21"/>
              </w:rPr>
              <w:t>7.4</w:t>
            </w:r>
          </w:p>
        </w:tc>
        <w:tc>
          <w:tcPr>
            <w:tcW w:w="39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关联交易情况（续）</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r>
      <w:tr>
        <w:trPr>
          <w:trHeight w:val="544" w:hRule="exact"/>
        </w:trPr>
        <w:tc>
          <w:tcPr>
            <w:tcW w:w="709" w:type="dxa"/>
            <w:tcBorders>
              <w:top w:val="nil" w:sz="6" w:space="0" w:color="auto"/>
              <w:left w:val="nil" w:sz="6" w:space="0" w:color="auto"/>
              <w:bottom w:val="nil" w:sz="6" w:space="0" w:color="auto"/>
              <w:right w:val="nil" w:sz="6" w:space="0" w:color="auto"/>
            </w:tcBorders>
          </w:tcPr>
          <w:p>
            <w:pPr/>
          </w:p>
        </w:tc>
        <w:tc>
          <w:tcPr>
            <w:tcW w:w="39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7.4.2</w:t>
            </w:r>
            <w:r>
              <w:rPr>
                <w:rFonts w:ascii="宋体" w:hAnsi="宋体" w:cs="宋体" w:eastAsia="宋体" w:hint="default"/>
                <w:spacing w:val="2"/>
                <w:sz w:val="21"/>
                <w:szCs w:val="21"/>
              </w:rPr>
              <w:t> </w:t>
            </w:r>
            <w:r>
              <w:rPr>
                <w:rFonts w:ascii="宋体" w:hAnsi="宋体" w:cs="宋体" w:eastAsia="宋体" w:hint="default"/>
                <w:sz w:val="21"/>
                <w:szCs w:val="21"/>
              </w:rPr>
              <w:t>关联担保情况</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r>
      <w:tr>
        <w:trPr>
          <w:trHeight w:val="686" w:hRule="exact"/>
        </w:trPr>
        <w:tc>
          <w:tcPr>
            <w:tcW w:w="709"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235"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28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22" w:right="149"/>
              <w:jc w:val="left"/>
              <w:rPr>
                <w:rFonts w:ascii="宋体" w:hAnsi="宋体" w:cs="宋体" w:eastAsia="宋体" w:hint="default"/>
                <w:sz w:val="21"/>
                <w:szCs w:val="21"/>
              </w:rPr>
            </w:pPr>
            <w:r>
              <w:rPr>
                <w:rFonts w:ascii="宋体" w:hAnsi="宋体" w:cs="宋体" w:eastAsia="宋体" w:hint="default"/>
                <w:spacing w:val="-1"/>
                <w:sz w:val="21"/>
                <w:szCs w:val="21"/>
              </w:rPr>
              <w:t>担保是否已</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经履行完毕</w:t>
            </w:r>
          </w:p>
        </w:tc>
      </w:tr>
      <w:tr>
        <w:trPr>
          <w:trHeight w:val="550" w:hRule="exact"/>
        </w:trPr>
        <w:tc>
          <w:tcPr>
            <w:tcW w:w="709"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包叔平</w:t>
            </w:r>
          </w:p>
        </w:tc>
        <w:tc>
          <w:tcPr>
            <w:tcW w:w="235"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3" w:lineRule="exact"/>
              <w:ind w:right="60"/>
              <w:jc w:val="center"/>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亿日元</w:t>
            </w: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3" w:lineRule="exact"/>
              <w:ind w:left="163" w:right="0"/>
              <w:jc w:val="left"/>
              <w:rPr>
                <w:rFonts w:ascii="宋体" w:hAnsi="宋体" w:cs="宋体" w:eastAsia="宋体" w:hint="default"/>
                <w:sz w:val="21"/>
                <w:szCs w:val="21"/>
              </w:rPr>
            </w:pPr>
            <w:r>
              <w:rPr>
                <w:rFonts w:ascii="宋体"/>
                <w:sz w:val="21"/>
              </w:rPr>
              <w:t>2009-9-24</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2014-7-31</w:t>
            </w:r>
          </w:p>
        </w:tc>
        <w:tc>
          <w:tcPr>
            <w:tcW w:w="283"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94" w:hRule="exact"/>
        </w:trPr>
        <w:tc>
          <w:tcPr>
            <w:tcW w:w="709" w:type="dxa"/>
            <w:tcBorders>
              <w:top w:val="nil" w:sz="6" w:space="0" w:color="auto"/>
              <w:left w:val="nil" w:sz="6" w:space="0" w:color="auto"/>
              <w:bottom w:val="nil" w:sz="6" w:space="0" w:color="auto"/>
              <w:right w:val="nil" w:sz="6" w:space="0" w:color="auto"/>
            </w:tcBorders>
          </w:tcPr>
          <w:p>
            <w:pPr/>
          </w:p>
        </w:tc>
        <w:tc>
          <w:tcPr>
            <w:tcW w:w="397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7.4.3 </w:t>
            </w:r>
            <w:r>
              <w:rPr>
                <w:rFonts w:ascii="宋体" w:hAnsi="宋体" w:cs="宋体" w:eastAsia="宋体" w:hint="default"/>
                <w:sz w:val="21"/>
                <w:szCs w:val="21"/>
              </w:rPr>
              <w:t>关键管理人员薪酬</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r>
      <w:tr>
        <w:trPr>
          <w:trHeight w:val="1138" w:hRule="exact"/>
        </w:trPr>
        <w:tc>
          <w:tcPr>
            <w:tcW w:w="709" w:type="dxa"/>
            <w:tcBorders>
              <w:top w:val="nil" w:sz="6" w:space="0" w:color="auto"/>
              <w:left w:val="nil" w:sz="6" w:space="0" w:color="auto"/>
              <w:bottom w:val="nil" w:sz="6" w:space="0" w:color="auto"/>
              <w:right w:val="nil" w:sz="6" w:space="0" w:color="auto"/>
            </w:tcBorders>
          </w:tcPr>
          <w:p>
            <w:pPr/>
          </w:p>
        </w:tc>
        <w:tc>
          <w:tcPr>
            <w:tcW w:w="10118" w:type="dxa"/>
            <w:gridSpan w:val="11"/>
            <w:tcBorders>
              <w:top w:val="nil" w:sz="6" w:space="0" w:color="auto"/>
              <w:left w:val="nil" w:sz="6" w:space="0" w:color="auto"/>
              <w:bottom w:val="nil" w:sz="6" w:space="0" w:color="auto"/>
              <w:right w:val="nil" w:sz="6" w:space="0" w:color="auto"/>
            </w:tcBorders>
          </w:tcPr>
          <w:p>
            <w:pPr>
              <w:pStyle w:val="TableParagraph"/>
              <w:spacing w:line="249" w:lineRule="auto" w:before="116"/>
              <w:ind w:left="105" w:right="135"/>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6"/>
                <w:sz w:val="21"/>
                <w:szCs w:val="21"/>
              </w:rPr>
              <w:t> </w:t>
            </w:r>
            <w:r>
              <w:rPr>
                <w:rFonts w:ascii="宋体" w:hAnsi="宋体" w:cs="宋体" w:eastAsia="宋体" w:hint="default"/>
                <w:sz w:val="21"/>
                <w:szCs w:val="21"/>
              </w:rPr>
              <w:t>年度本公司关键管理人员的报酬（包括货币和非货币形式）总额为</w:t>
            </w:r>
            <w:r>
              <w:rPr>
                <w:rFonts w:ascii="宋体" w:hAnsi="宋体" w:cs="宋体" w:eastAsia="宋体" w:hint="default"/>
                <w:spacing w:val="-24"/>
                <w:sz w:val="21"/>
                <w:szCs w:val="21"/>
              </w:rPr>
              <w:t> </w:t>
            </w:r>
            <w:r>
              <w:rPr>
                <w:rFonts w:ascii="宋体" w:hAnsi="宋体" w:cs="宋体" w:eastAsia="宋体" w:hint="default"/>
                <w:sz w:val="21"/>
                <w:szCs w:val="21"/>
              </w:rPr>
              <w:t>501.15</w:t>
            </w:r>
            <w:r>
              <w:rPr>
                <w:rFonts w:ascii="宋体" w:hAnsi="宋体" w:cs="宋体" w:eastAsia="宋体" w:hint="default"/>
                <w:spacing w:val="-23"/>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26"/>
                <w:sz w:val="21"/>
                <w:szCs w:val="21"/>
              </w:rPr>
              <w:t> </w:t>
            </w:r>
            <w:r>
              <w:rPr>
                <w:rFonts w:ascii="宋体" w:hAnsi="宋体" w:cs="宋体" w:eastAsia="宋体" w:hint="default"/>
                <w:sz w:val="21"/>
                <w:szCs w:val="21"/>
              </w:rPr>
              <w:t>年度为</w:t>
            </w:r>
            <w:r>
              <w:rPr>
                <w:rFonts w:ascii="宋体" w:hAnsi="宋体" w:cs="宋体" w:eastAsia="宋体" w:hint="default"/>
                <w:spacing w:val="-24"/>
                <w:sz w:val="21"/>
                <w:szCs w:val="21"/>
              </w:rPr>
              <w:t> </w:t>
            </w:r>
            <w:r>
              <w:rPr>
                <w:rFonts w:ascii="宋体" w:hAnsi="宋体" w:cs="宋体" w:eastAsia="宋体" w:hint="default"/>
                <w:sz w:val="21"/>
                <w:szCs w:val="21"/>
              </w:rPr>
              <w:t>425.28</w:t>
            </w:r>
            <w:r>
              <w:rPr>
                <w:rFonts w:ascii="宋体" w:hAnsi="宋体" w:cs="宋体" w:eastAsia="宋体" w:hint="default"/>
                <w:w w:val="100"/>
                <w:sz w:val="21"/>
                <w:szCs w:val="21"/>
              </w:rPr>
              <w:t> </w:t>
            </w:r>
            <w:r>
              <w:rPr>
                <w:rFonts w:ascii="宋体" w:hAnsi="宋体" w:cs="宋体" w:eastAsia="宋体" w:hint="default"/>
                <w:spacing w:val="-14"/>
                <w:w w:val="100"/>
                <w:sz w:val="21"/>
                <w:szCs w:val="21"/>
              </w:rPr>
              <w:t>万元）。</w:t>
            </w:r>
            <w:r>
              <w:rPr>
                <w:rFonts w:ascii="宋体" w:hAnsi="宋体" w:cs="宋体" w:eastAsia="宋体" w:hint="default"/>
                <w:spacing w:val="-14"/>
                <w:w w:val="100"/>
                <w:sz w:val="21"/>
                <w:szCs w:val="21"/>
              </w:rPr>
              <w:t>2011</w:t>
            </w:r>
            <w:r>
              <w:rPr>
                <w:rFonts w:ascii="宋体" w:hAnsi="宋体" w:cs="宋体" w:eastAsia="宋体" w:hint="default"/>
                <w:spacing w:val="-22"/>
                <w:w w:val="100"/>
                <w:sz w:val="21"/>
                <w:szCs w:val="21"/>
              </w:rPr>
              <w:t> </w:t>
            </w:r>
            <w:r>
              <w:rPr>
                <w:rFonts w:ascii="宋体" w:hAnsi="宋体" w:cs="宋体" w:eastAsia="宋体" w:hint="default"/>
                <w:spacing w:val="-2"/>
                <w:w w:val="100"/>
                <w:sz w:val="21"/>
                <w:szCs w:val="21"/>
              </w:rPr>
              <w:t>年度本公司关键管理人员包括董事、监事、总经理、副总经理、财务总监等共</w:t>
            </w:r>
            <w:r>
              <w:rPr>
                <w:rFonts w:ascii="宋体" w:hAnsi="宋体" w:cs="宋体" w:eastAsia="宋体" w:hint="default"/>
                <w:spacing w:val="-22"/>
                <w:w w:val="100"/>
                <w:sz w:val="21"/>
                <w:szCs w:val="21"/>
              </w:rPr>
              <w:t> </w:t>
            </w:r>
            <w:r>
              <w:rPr>
                <w:rFonts w:ascii="宋体" w:hAnsi="宋体" w:cs="宋体" w:eastAsia="宋体" w:hint="default"/>
                <w:spacing w:val="-2"/>
                <w:w w:val="100"/>
                <w:sz w:val="21"/>
                <w:szCs w:val="21"/>
              </w:rPr>
              <w:t>16</w:t>
            </w:r>
            <w:r>
              <w:rPr>
                <w:rFonts w:ascii="宋体" w:hAnsi="宋体" w:cs="宋体" w:eastAsia="宋体" w:hint="default"/>
                <w:spacing w:val="-22"/>
                <w:w w:val="100"/>
                <w:sz w:val="21"/>
                <w:szCs w:val="21"/>
              </w:rPr>
              <w:t> </w:t>
            </w:r>
            <w:r>
              <w:rPr>
                <w:rFonts w:ascii="宋体" w:hAnsi="宋体" w:cs="宋体" w:eastAsia="宋体" w:hint="default"/>
                <w:spacing w:val="-1"/>
                <w:w w:val="100"/>
                <w:sz w:val="21"/>
                <w:szCs w:val="21"/>
              </w:rPr>
              <w:t>人（</w:t>
            </w:r>
            <w:r>
              <w:rPr>
                <w:rFonts w:ascii="宋体" w:hAnsi="宋体" w:cs="宋体" w:eastAsia="宋体" w:hint="default"/>
                <w:spacing w:val="-1"/>
                <w:w w:val="100"/>
                <w:sz w:val="21"/>
                <w:szCs w:val="21"/>
              </w:rPr>
              <w:t>2010</w:t>
            </w:r>
            <w:r>
              <w:rPr>
                <w:rFonts w:ascii="宋体" w:hAnsi="宋体" w:cs="宋体" w:eastAsia="宋体" w:hint="default"/>
                <w:spacing w:val="-25"/>
                <w:w w:val="100"/>
                <w:sz w:val="21"/>
                <w:szCs w:val="21"/>
              </w:rPr>
              <w:t> </w:t>
            </w:r>
            <w:r>
              <w:rPr>
                <w:rFonts w:ascii="宋体" w:hAnsi="宋体" w:cs="宋体" w:eastAsia="宋体" w:hint="default"/>
                <w:w w:val="100"/>
                <w:sz w:val="21"/>
                <w:szCs w:val="21"/>
              </w:rPr>
              <w:t>年 度为</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16</w:t>
            </w:r>
            <w:r>
              <w:rPr>
                <w:rFonts w:ascii="宋体" w:hAnsi="宋体" w:cs="宋体" w:eastAsia="宋体" w:hint="default"/>
                <w:spacing w:val="-52"/>
                <w:w w:val="100"/>
                <w:sz w:val="21"/>
                <w:szCs w:val="21"/>
              </w:rPr>
              <w:t> </w:t>
            </w:r>
            <w:r>
              <w:rPr>
                <w:rFonts w:ascii="宋体" w:hAnsi="宋体" w:cs="宋体" w:eastAsia="宋体" w:hint="default"/>
                <w:spacing w:val="-9"/>
                <w:w w:val="100"/>
                <w:sz w:val="21"/>
                <w:szCs w:val="21"/>
              </w:rPr>
              <w:t>人），其中在本公司领取报酬的为</w:t>
            </w:r>
            <w:r>
              <w:rPr>
                <w:rFonts w:ascii="宋体" w:hAnsi="宋体" w:cs="宋体" w:eastAsia="宋体" w:hint="default"/>
                <w:spacing w:val="-52"/>
                <w:w w:val="100"/>
                <w:sz w:val="21"/>
                <w:szCs w:val="21"/>
              </w:rPr>
              <w:t> </w:t>
            </w:r>
            <w:r>
              <w:rPr>
                <w:rFonts w:ascii="宋体" w:hAnsi="宋体" w:cs="宋体" w:eastAsia="宋体" w:hint="default"/>
                <w:w w:val="100"/>
                <w:sz w:val="21"/>
                <w:szCs w:val="21"/>
              </w:rPr>
              <w:t>13</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人（</w:t>
            </w:r>
            <w:r>
              <w:rPr>
                <w:rFonts w:ascii="宋体" w:hAnsi="宋体" w:cs="宋体" w:eastAsia="宋体" w:hint="default"/>
                <w:spacing w:val="-1"/>
                <w:w w:val="100"/>
                <w:sz w:val="21"/>
                <w:szCs w:val="21"/>
              </w:rPr>
              <w:t>2010</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年度为</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13</w:t>
            </w:r>
            <w:r>
              <w:rPr>
                <w:rFonts w:ascii="宋体" w:hAnsi="宋体" w:cs="宋体" w:eastAsia="宋体" w:hint="default"/>
                <w:spacing w:val="-52"/>
                <w:w w:val="100"/>
                <w:sz w:val="21"/>
                <w:szCs w:val="21"/>
              </w:rPr>
              <w:t> </w:t>
            </w:r>
            <w:r>
              <w:rPr>
                <w:rFonts w:ascii="宋体" w:hAnsi="宋体" w:cs="宋体" w:eastAsia="宋体" w:hint="default"/>
                <w:spacing w:val="-37"/>
                <w:w w:val="100"/>
                <w:sz w:val="21"/>
                <w:szCs w:val="21"/>
              </w:rPr>
              <w:t>人）。</w:t>
            </w:r>
          </w:p>
        </w:tc>
      </w:tr>
      <w:tr>
        <w:trPr>
          <w:trHeight w:val="384" w:hRule="exact"/>
        </w:trPr>
        <w:tc>
          <w:tcPr>
            <w:tcW w:w="709" w:type="dxa"/>
            <w:tcBorders>
              <w:top w:val="nil" w:sz="6" w:space="0" w:color="auto"/>
              <w:left w:val="nil" w:sz="6" w:space="0" w:color="auto"/>
              <w:bottom w:val="nil" w:sz="6" w:space="0" w:color="auto"/>
              <w:right w:val="nil" w:sz="6" w:space="0" w:color="auto"/>
            </w:tcBorders>
          </w:tcPr>
          <w:p>
            <w:pPr/>
          </w:p>
        </w:tc>
        <w:tc>
          <w:tcPr>
            <w:tcW w:w="850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9"/>
              <w:ind w:left="105" w:right="0"/>
              <w:jc w:val="left"/>
              <w:rPr>
                <w:rFonts w:ascii="宋体" w:hAnsi="宋体" w:cs="宋体" w:eastAsia="宋体" w:hint="default"/>
                <w:sz w:val="21"/>
                <w:szCs w:val="21"/>
              </w:rPr>
            </w:pPr>
            <w:r>
              <w:rPr>
                <w:rFonts w:ascii="宋体" w:hAnsi="宋体" w:cs="宋体" w:eastAsia="宋体" w:hint="default"/>
                <w:sz w:val="21"/>
                <w:szCs w:val="21"/>
              </w:rPr>
              <w:t>7.4.4</w:t>
            </w:r>
            <w:r>
              <w:rPr>
                <w:rFonts w:ascii="宋体" w:hAnsi="宋体" w:cs="宋体" w:eastAsia="宋体" w:hint="default"/>
                <w:spacing w:val="-2"/>
                <w:sz w:val="21"/>
                <w:szCs w:val="21"/>
              </w:rPr>
              <w:t> </w:t>
            </w:r>
            <w:r>
              <w:rPr>
                <w:rFonts w:ascii="宋体" w:hAnsi="宋体" w:cs="宋体" w:eastAsia="宋体" w:hint="default"/>
                <w:sz w:val="21"/>
                <w:szCs w:val="21"/>
              </w:rPr>
              <w:t>报告期内存在其他关联交易事项的，应按照会计准则的相关要求进行披露。</w:t>
            </w:r>
          </w:p>
        </w:tc>
        <w:tc>
          <w:tcPr>
            <w:tcW w:w="28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2" w:type="dxa"/>
        <w:tblLayout w:type="fixed"/>
        <w:tblCellMar>
          <w:top w:w="0" w:type="dxa"/>
          <w:left w:w="0" w:type="dxa"/>
          <w:bottom w:w="0" w:type="dxa"/>
          <w:right w:w="0" w:type="dxa"/>
        </w:tblCellMar>
        <w:tblLook w:val="01E0"/>
      </w:tblPr>
      <w:tblGrid>
        <w:gridCol w:w="623"/>
        <w:gridCol w:w="1135"/>
        <w:gridCol w:w="283"/>
        <w:gridCol w:w="2199"/>
        <w:gridCol w:w="235"/>
        <w:gridCol w:w="1395"/>
        <w:gridCol w:w="281"/>
        <w:gridCol w:w="1322"/>
        <w:gridCol w:w="238"/>
        <w:gridCol w:w="1419"/>
        <w:gridCol w:w="283"/>
        <w:gridCol w:w="1296"/>
      </w:tblGrid>
      <w:tr>
        <w:trPr>
          <w:trHeight w:val="378" w:hRule="exact"/>
        </w:trPr>
        <w:tc>
          <w:tcPr>
            <w:tcW w:w="62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7.5</w:t>
            </w:r>
          </w:p>
        </w:tc>
        <w:tc>
          <w:tcPr>
            <w:tcW w:w="3853"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关联方应收应付款项</w:t>
            </w:r>
          </w:p>
        </w:tc>
        <w:tc>
          <w:tcPr>
            <w:tcW w:w="139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545" w:hRule="exact"/>
        </w:trPr>
        <w:tc>
          <w:tcPr>
            <w:tcW w:w="623" w:type="dxa"/>
            <w:tcBorders>
              <w:top w:val="nil" w:sz="6" w:space="0" w:color="auto"/>
              <w:left w:val="nil" w:sz="6" w:space="0" w:color="auto"/>
              <w:bottom w:val="nil" w:sz="6" w:space="0" w:color="auto"/>
              <w:right w:val="nil" w:sz="6" w:space="0" w:color="auto"/>
            </w:tcBorders>
          </w:tcPr>
          <w:p>
            <w:pPr/>
          </w:p>
        </w:tc>
        <w:tc>
          <w:tcPr>
            <w:tcW w:w="385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7.5.1</w:t>
            </w:r>
            <w:r>
              <w:rPr>
                <w:rFonts w:ascii="宋体" w:hAnsi="宋体" w:cs="宋体" w:eastAsia="宋体" w:hint="default"/>
                <w:spacing w:val="2"/>
                <w:sz w:val="21"/>
                <w:szCs w:val="21"/>
              </w:rPr>
              <w:t> </w:t>
            </w:r>
            <w:r>
              <w:rPr>
                <w:rFonts w:ascii="宋体" w:hAnsi="宋体" w:cs="宋体" w:eastAsia="宋体" w:hint="default"/>
                <w:sz w:val="21"/>
                <w:szCs w:val="21"/>
              </w:rPr>
              <w:t>上市公司应收关联方款项</w:t>
            </w:r>
          </w:p>
        </w:tc>
        <w:tc>
          <w:tcPr>
            <w:tcW w:w="139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413" w:hRule="exact"/>
        </w:trPr>
        <w:tc>
          <w:tcPr>
            <w:tcW w:w="62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3"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5" w:type="dxa"/>
            <w:tcBorders>
              <w:top w:val="nil" w:sz="6" w:space="0" w:color="auto"/>
              <w:left w:val="nil" w:sz="6" w:space="0" w:color="auto"/>
              <w:bottom w:val="nil" w:sz="6" w:space="0" w:color="auto"/>
              <w:right w:val="nil" w:sz="6" w:space="0" w:color="auto"/>
            </w:tcBorders>
          </w:tcPr>
          <w:p>
            <w:pPr/>
          </w:p>
        </w:tc>
        <w:tc>
          <w:tcPr>
            <w:tcW w:w="299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2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86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62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1" w:type="dxa"/>
            <w:tcBorders>
              <w:top w:val="single" w:sz="4" w:space="0" w:color="000000"/>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 w:type="dxa"/>
            <w:tcBorders>
              <w:top w:val="nil" w:sz="6" w:space="0" w:color="auto"/>
              <w:left w:val="nil" w:sz="6" w:space="0" w:color="auto"/>
              <w:bottom w:val="single" w:sz="4" w:space="0" w:color="000000"/>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85"/>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283" w:type="dxa"/>
            <w:tcBorders>
              <w:top w:val="single" w:sz="4" w:space="0" w:color="000000"/>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46" w:hRule="exact"/>
        </w:trPr>
        <w:tc>
          <w:tcPr>
            <w:tcW w:w="62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 w:type="dxa"/>
            <w:tcBorders>
              <w:top w:val="nil" w:sz="6" w:space="0" w:color="auto"/>
              <w:left w:val="nil" w:sz="6" w:space="0" w:color="auto"/>
              <w:bottom w:val="nil" w:sz="6" w:space="0" w:color="auto"/>
              <w:right w:val="nil" w:sz="6" w:space="0" w:color="auto"/>
            </w:tcBorders>
          </w:tcPr>
          <w:p>
            <w:pPr/>
          </w:p>
        </w:tc>
        <w:tc>
          <w:tcPr>
            <w:tcW w:w="2199" w:type="dxa"/>
            <w:tcBorders>
              <w:top w:val="single" w:sz="4" w:space="0" w:color="000000"/>
              <w:left w:val="nil" w:sz="6" w:space="0" w:color="auto"/>
              <w:bottom w:val="nil" w:sz="6" w:space="0" w:color="auto"/>
              <w:right w:val="nil" w:sz="6" w:space="0" w:color="auto"/>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235" w:type="dxa"/>
            <w:tcBorders>
              <w:top w:val="nil" w:sz="6" w:space="0" w:color="auto"/>
              <w:left w:val="nil" w:sz="6" w:space="0" w:color="auto"/>
              <w:bottom w:val="nil" w:sz="6" w:space="0" w:color="auto"/>
              <w:right w:val="nil" w:sz="6" w:space="0" w:color="auto"/>
            </w:tcBorders>
          </w:tcPr>
          <w:p>
            <w:pPr/>
          </w:p>
        </w:tc>
        <w:tc>
          <w:tcPr>
            <w:tcW w:w="1395" w:type="dxa"/>
            <w:tcBorders>
              <w:top w:val="single" w:sz="4" w:space="0" w:color="000000"/>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38" w:type="dxa"/>
            <w:tcBorders>
              <w:top w:val="single" w:sz="4" w:space="0" w:color="000000"/>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1" w:lineRule="exact"/>
              <w:ind w:right="233"/>
              <w:jc w:val="right"/>
              <w:rPr>
                <w:rFonts w:ascii="宋体" w:hAnsi="宋体" w:cs="宋体" w:eastAsia="宋体" w:hint="default"/>
                <w:sz w:val="21"/>
                <w:szCs w:val="21"/>
              </w:rPr>
            </w:pPr>
            <w:r>
              <w:rPr>
                <w:rFonts w:ascii="宋体"/>
                <w:spacing w:val="-1"/>
                <w:sz w:val="21"/>
              </w:rPr>
              <w:t>54,386.75</w:t>
            </w:r>
          </w:p>
        </w:tc>
        <w:tc>
          <w:tcPr>
            <w:tcW w:w="283"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headerReference w:type="default" r:id="rId38"/>
          <w:footerReference w:type="default" r:id="rId39"/>
          <w:pgSz w:w="11910" w:h="16840"/>
          <w:pgMar w:header="886" w:footer="980" w:top="1740" w:bottom="1160" w:left="700" w:right="160"/>
          <w:pgNumType w:start="137"/>
        </w:sectPr>
      </w:pPr>
    </w:p>
    <w:p>
      <w:pPr>
        <w:spacing w:line="240" w:lineRule="auto" w:before="9"/>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096"/>
        <w:gridCol w:w="9633"/>
      </w:tblGrid>
      <w:tr>
        <w:trPr>
          <w:trHeight w:val="725" w:hRule="exact"/>
        </w:trPr>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8</w:t>
            </w:r>
            <w:r>
              <w:rPr>
                <w:rFonts w:ascii="宋体"/>
                <w:sz w:val="21"/>
              </w:rPr>
            </w:r>
          </w:p>
        </w:tc>
        <w:tc>
          <w:tcPr>
            <w:tcW w:w="963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股份支付</w:t>
            </w:r>
            <w:r>
              <w:rPr>
                <w:rFonts w:ascii="宋体" w:hAnsi="宋体" w:cs="宋体" w:eastAsia="宋体" w:hint="default"/>
                <w:sz w:val="21"/>
                <w:szCs w:val="21"/>
              </w:rPr>
            </w:r>
          </w:p>
        </w:tc>
      </w:tr>
      <w:tr>
        <w:trPr>
          <w:trHeight w:val="556"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8.1</w:t>
            </w: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股份支付总体情况</w:t>
            </w:r>
          </w:p>
        </w:tc>
      </w:tr>
      <w:tr>
        <w:trPr>
          <w:trHeight w:val="4310"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5" w:right="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19</w:t>
            </w:r>
            <w:r>
              <w:rPr>
                <w:rFonts w:ascii="宋体" w:hAnsi="宋体" w:cs="宋体" w:eastAsia="宋体" w:hint="default"/>
                <w:spacing w:val="-48"/>
                <w:sz w:val="21"/>
                <w:szCs w:val="21"/>
              </w:rPr>
              <w:t> </w:t>
            </w:r>
            <w:r>
              <w:rPr>
                <w:rFonts w:ascii="宋体" w:hAnsi="宋体" w:cs="宋体" w:eastAsia="宋体" w:hint="default"/>
                <w:sz w:val="21"/>
                <w:szCs w:val="21"/>
              </w:rPr>
              <w:t>日第四届董事会第九次会议审议通过了《上海海隆软件股份有限公司限制性</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w w:val="100"/>
                <w:sz w:val="21"/>
                <w:szCs w:val="21"/>
              </w:rPr>
              <w:t>股票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w:t>
            </w:r>
            <w:r>
              <w:rPr>
                <w:rFonts w:ascii="宋体" w:hAnsi="宋体" w:cs="宋体" w:eastAsia="宋体" w:hint="default"/>
                <w:w w:val="100"/>
                <w:sz w:val="21"/>
                <w:szCs w:val="21"/>
              </w:rPr>
              <w:t>草</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于</w:t>
            </w:r>
            <w:r>
              <w:rPr>
                <w:rFonts w:ascii="宋体" w:hAnsi="宋体" w:cs="宋体" w:eastAsia="宋体" w:hint="default"/>
                <w:spacing w:val="-4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46"/>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9</w:t>
            </w:r>
            <w:r>
              <w:rPr>
                <w:rFonts w:ascii="宋体" w:hAnsi="宋体" w:cs="宋体" w:eastAsia="宋体" w:hint="default"/>
                <w:spacing w:val="-48"/>
                <w:sz w:val="21"/>
                <w:szCs w:val="21"/>
              </w:rPr>
              <w:t> </w:t>
            </w:r>
            <w:r>
              <w:rPr>
                <w:rFonts w:ascii="宋体" w:hAnsi="宋体" w:cs="宋体" w:eastAsia="宋体" w:hint="default"/>
                <w:w w:val="100"/>
                <w:sz w:val="21"/>
                <w:szCs w:val="21"/>
              </w:rPr>
              <w:t>月</w:t>
            </w:r>
            <w:r>
              <w:rPr>
                <w:rFonts w:ascii="宋体" w:hAnsi="宋体" w:cs="宋体" w:eastAsia="宋体" w:hint="default"/>
                <w:spacing w:val="-4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7</w:t>
            </w:r>
            <w:r>
              <w:rPr>
                <w:rFonts w:ascii="宋体" w:hAnsi="宋体" w:cs="宋体" w:eastAsia="宋体" w:hint="default"/>
                <w:spacing w:val="-4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将</w:t>
            </w:r>
            <w:r>
              <w:rPr>
                <w:rFonts w:ascii="宋体" w:hAnsi="宋体" w:cs="宋体" w:eastAsia="宋体" w:hint="default"/>
                <w:spacing w:val="-3"/>
                <w:w w:val="100"/>
                <w:sz w:val="21"/>
                <w:szCs w:val="21"/>
              </w:rPr>
              <w:t>草</w:t>
            </w:r>
            <w:r>
              <w:rPr>
                <w:rFonts w:ascii="宋体" w:hAnsi="宋体" w:cs="宋体" w:eastAsia="宋体" w:hint="default"/>
                <w:w w:val="100"/>
                <w:sz w:val="21"/>
                <w:szCs w:val="21"/>
              </w:rPr>
              <w:t>案报</w:t>
            </w:r>
            <w:r>
              <w:rPr>
                <w:rFonts w:ascii="宋体" w:hAnsi="宋体" w:cs="宋体" w:eastAsia="宋体" w:hint="default"/>
                <w:spacing w:val="-3"/>
                <w:w w:val="100"/>
                <w:sz w:val="21"/>
                <w:szCs w:val="21"/>
              </w:rPr>
              <w:t>送</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会</w:t>
            </w:r>
            <w:r>
              <w:rPr>
                <w:rFonts w:ascii="宋体" w:hAnsi="宋体" w:cs="宋体" w:eastAsia="宋体" w:hint="default"/>
                <w:spacing w:val="-3"/>
                <w:w w:val="100"/>
                <w:sz w:val="21"/>
                <w:szCs w:val="21"/>
              </w:rPr>
              <w:t>备</w:t>
            </w:r>
            <w:r>
              <w:rPr>
                <w:rFonts w:ascii="宋体" w:hAnsi="宋体" w:cs="宋体" w:eastAsia="宋体" w:hint="default"/>
                <w:w w:val="100"/>
                <w:sz w:val="21"/>
                <w:szCs w:val="21"/>
              </w:rPr>
              <w:t>案</w:t>
            </w:r>
            <w:r>
              <w:rPr>
                <w:rFonts w:ascii="宋体" w:hAnsi="宋体" w:cs="宋体" w:eastAsia="宋体" w:hint="default"/>
                <w:spacing w:val="-3"/>
                <w:w w:val="100"/>
                <w:sz w:val="21"/>
                <w:szCs w:val="21"/>
              </w:rPr>
              <w:t>，</w:t>
            </w:r>
            <w:r>
              <w:rPr>
                <w:rFonts w:ascii="宋体" w:hAnsi="宋体" w:cs="宋体" w:eastAsia="宋体" w:hint="default"/>
                <w:w w:val="100"/>
                <w:sz w:val="21"/>
                <w:szCs w:val="21"/>
              </w:rPr>
              <w:t>中国</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3"/>
                <w:w w:val="100"/>
                <w:sz w:val="21"/>
                <w:szCs w:val="21"/>
              </w:rPr>
              <w:t>会</w:t>
            </w:r>
            <w:r>
              <w:rPr>
                <w:rFonts w:ascii="宋体" w:hAnsi="宋体" w:cs="宋体" w:eastAsia="宋体" w:hint="default"/>
                <w:w w:val="100"/>
                <w:sz w:val="21"/>
                <w:szCs w:val="21"/>
              </w:rPr>
              <w:t>对</w:t>
            </w:r>
            <w:r>
              <w:rPr>
                <w:rFonts w:ascii="宋体" w:hAnsi="宋体" w:cs="宋体" w:eastAsia="宋体" w:hint="default"/>
                <w:spacing w:val="-3"/>
                <w:w w:val="100"/>
                <w:sz w:val="21"/>
                <w:szCs w:val="21"/>
              </w:rPr>
              <w:t>该</w:t>
            </w:r>
            <w:r>
              <w:rPr>
                <w:rFonts w:ascii="宋体" w:hAnsi="宋体" w:cs="宋体" w:eastAsia="宋体" w:hint="default"/>
                <w:w w:val="100"/>
                <w:sz w:val="21"/>
                <w:szCs w:val="21"/>
              </w:rPr>
              <w:t>备</w:t>
            </w:r>
            <w:r>
              <w:rPr>
                <w:rFonts w:ascii="宋体" w:hAnsi="宋体" w:cs="宋体" w:eastAsia="宋体" w:hint="default"/>
                <w:spacing w:val="-3"/>
                <w:w w:val="100"/>
                <w:sz w:val="21"/>
                <w:szCs w:val="21"/>
              </w:rPr>
              <w:t>案无</w:t>
            </w:r>
            <w:r>
              <w:rPr>
                <w:rFonts w:ascii="宋体" w:hAnsi="宋体" w:cs="宋体" w:eastAsia="宋体" w:hint="default"/>
                <w:w w:val="100"/>
                <w:sz w:val="21"/>
                <w:szCs w:val="21"/>
              </w:rPr>
              <w:t>异</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日召开的</w:t>
            </w:r>
            <w:r>
              <w:rPr>
                <w:rFonts w:ascii="宋体" w:hAnsi="宋体" w:cs="宋体" w:eastAsia="宋体" w:hint="default"/>
                <w:spacing w:val="-39"/>
                <w:sz w:val="21"/>
                <w:szCs w:val="21"/>
              </w:rPr>
              <w:t> </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年第一次临时股东大会批准通过了《上海海隆软件股份有限公司限</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w w:val="100"/>
                <w:sz w:val="21"/>
                <w:szCs w:val="21"/>
              </w:rPr>
              <w:t>制性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spacing w:val="-17"/>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摘要</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意</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52"/>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2</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限</w:t>
            </w:r>
            <w:r>
              <w:rPr>
                <w:rFonts w:ascii="宋体" w:hAnsi="宋体" w:cs="宋体" w:eastAsia="宋体" w:hint="default"/>
                <w:spacing w:val="-3"/>
                <w:w w:val="100"/>
                <w:sz w:val="21"/>
                <w:szCs w:val="21"/>
              </w:rPr>
              <w:t>制</w:t>
            </w:r>
            <w:r>
              <w:rPr>
                <w:rFonts w:ascii="宋体" w:hAnsi="宋体" w:cs="宋体" w:eastAsia="宋体" w:hint="default"/>
                <w:w w:val="100"/>
                <w:sz w:val="21"/>
                <w:szCs w:val="21"/>
              </w:rPr>
              <w:t>性</w:t>
            </w:r>
            <w:r>
              <w:rPr>
                <w:rFonts w:ascii="宋体" w:hAnsi="宋体" w:cs="宋体" w:eastAsia="宋体" w:hint="default"/>
                <w:spacing w:val="-3"/>
                <w:w w:val="100"/>
                <w:sz w:val="21"/>
                <w:szCs w:val="21"/>
              </w:rPr>
              <w:t>股票</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中</w:t>
            </w:r>
            <w:r>
              <w:rPr>
                <w:rFonts w:ascii="宋体" w:hAnsi="宋体" w:cs="宋体" w:eastAsia="宋体" w:hint="default"/>
                <w:spacing w:val="-3"/>
                <w:w w:val="100"/>
                <w:sz w:val="21"/>
                <w:szCs w:val="21"/>
              </w:rPr>
              <w:t>首</w:t>
            </w:r>
            <w:r>
              <w:rPr>
                <w:rFonts w:ascii="宋体" w:hAnsi="宋体" w:cs="宋体" w:eastAsia="宋体" w:hint="default"/>
                <w:w w:val="100"/>
                <w:sz w:val="21"/>
                <w:szCs w:val="21"/>
              </w:rPr>
              <w:t>次授</w:t>
            </w:r>
            <w:r>
              <w:rPr>
                <w:rFonts w:ascii="宋体" w:hAnsi="宋体" w:cs="宋体" w:eastAsia="宋体" w:hint="default"/>
                <w:spacing w:val="-3"/>
                <w:w w:val="100"/>
                <w:sz w:val="21"/>
                <w:szCs w:val="21"/>
              </w:rPr>
              <w:t>予</w:t>
            </w:r>
            <w:r>
              <w:rPr>
                <w:rFonts w:ascii="宋体" w:hAnsi="宋体" w:cs="宋体" w:eastAsia="宋体" w:hint="default"/>
                <w:w w:val="100"/>
                <w:sz w:val="21"/>
                <w:szCs w:val="21"/>
              </w:rPr>
              <w:t>对</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spacing w:val="-4"/>
                <w:sz w:val="21"/>
                <w:szCs w:val="21"/>
              </w:rPr>
              <w:t>和未来发展有直接影响的董事、高级管理人员、核心经营管理</w:t>
            </w:r>
            <w:r>
              <w:rPr>
                <w:rFonts w:ascii="宋体" w:hAnsi="宋体" w:cs="宋体" w:eastAsia="宋体" w:hint="default"/>
                <w:spacing w:val="-4"/>
                <w:sz w:val="21"/>
                <w:szCs w:val="21"/>
              </w:rPr>
              <w:t>/</w:t>
            </w:r>
            <w:r>
              <w:rPr>
                <w:rFonts w:ascii="宋体" w:hAnsi="宋体" w:cs="宋体" w:eastAsia="宋体" w:hint="default"/>
                <w:spacing w:val="-4"/>
                <w:sz w:val="21"/>
                <w:szCs w:val="21"/>
              </w:rPr>
              <w:t>技术人员等</w:t>
            </w:r>
            <w:r>
              <w:rPr>
                <w:rFonts w:ascii="宋体" w:hAnsi="宋体" w:cs="宋体" w:eastAsia="宋体" w:hint="default"/>
                <w:spacing w:val="-40"/>
                <w:sz w:val="21"/>
                <w:szCs w:val="21"/>
              </w:rPr>
              <w:t> </w:t>
            </w:r>
            <w:r>
              <w:rPr>
                <w:rFonts w:ascii="宋体" w:hAnsi="宋体" w:cs="宋体" w:eastAsia="宋体" w:hint="default"/>
                <w:sz w:val="21"/>
                <w:szCs w:val="21"/>
              </w:rPr>
              <w:t>52</w:t>
            </w:r>
            <w:r>
              <w:rPr>
                <w:rFonts w:ascii="宋体" w:hAnsi="宋体" w:cs="宋体" w:eastAsia="宋体" w:hint="default"/>
                <w:spacing w:val="-38"/>
                <w:sz w:val="21"/>
                <w:szCs w:val="21"/>
              </w:rPr>
              <w:t> </w:t>
            </w:r>
            <w:r>
              <w:rPr>
                <w:rFonts w:ascii="宋体" w:hAnsi="宋体" w:cs="宋体" w:eastAsia="宋体" w:hint="default"/>
                <w:sz w:val="21"/>
                <w:szCs w:val="21"/>
              </w:rPr>
              <w:t>人</w:t>
            </w:r>
            <w:r>
              <w:rPr>
                <w:rFonts w:ascii="宋体" w:hAnsi="宋体" w:cs="宋体" w:eastAsia="宋体" w:hint="default"/>
                <w:spacing w:val="-38"/>
                <w:sz w:val="21"/>
                <w:szCs w:val="21"/>
              </w:rPr>
              <w:t> </w:t>
            </w:r>
            <w:r>
              <w:rPr>
                <w:rFonts w:ascii="宋体" w:hAnsi="宋体" w:cs="宋体" w:eastAsia="宋体" w:hint="default"/>
                <w:sz w:val="21"/>
                <w:szCs w:val="21"/>
              </w:rPr>
              <w:t>203</w:t>
            </w:r>
            <w:r>
              <w:rPr>
                <w:rFonts w:ascii="宋体" w:hAnsi="宋体" w:cs="宋体" w:eastAsia="宋体" w:hint="default"/>
                <w:spacing w:val="-38"/>
                <w:sz w:val="21"/>
                <w:szCs w:val="21"/>
              </w:rPr>
              <w:t> </w:t>
            </w:r>
            <w:r>
              <w:rPr>
                <w:rFonts w:ascii="宋体" w:hAnsi="宋体" w:cs="宋体" w:eastAsia="宋体" w:hint="default"/>
                <w:sz w:val="21"/>
                <w:szCs w:val="21"/>
              </w:rPr>
              <w:t>万股限制性股票，</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sz w:val="21"/>
                <w:szCs w:val="21"/>
              </w:rPr>
              <w:t>授予日为</w:t>
            </w:r>
            <w:r>
              <w:rPr>
                <w:rFonts w:ascii="宋体" w:hAnsi="宋体" w:cs="宋体" w:eastAsia="宋体" w:hint="default"/>
                <w:spacing w:val="-49"/>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日，授予价格为</w:t>
            </w:r>
            <w:r>
              <w:rPr>
                <w:rFonts w:ascii="宋体" w:hAnsi="宋体" w:cs="宋体" w:eastAsia="宋体" w:hint="default"/>
                <w:spacing w:val="-49"/>
                <w:sz w:val="21"/>
                <w:szCs w:val="21"/>
              </w:rPr>
              <w:t> </w:t>
            </w:r>
            <w:r>
              <w:rPr>
                <w:rFonts w:ascii="宋体" w:hAnsi="宋体" w:cs="宋体" w:eastAsia="宋体" w:hint="default"/>
                <w:sz w:val="21"/>
                <w:szCs w:val="21"/>
              </w:rPr>
              <w:t>8.95</w:t>
            </w:r>
            <w:r>
              <w:rPr>
                <w:rFonts w:ascii="宋体" w:hAnsi="宋体" w:cs="宋体" w:eastAsia="宋体" w:hint="default"/>
                <w:spacing w:val="-48"/>
                <w:sz w:val="21"/>
                <w:szCs w:val="21"/>
              </w:rPr>
              <w:t> </w:t>
            </w:r>
            <w:r>
              <w:rPr>
                <w:rFonts w:ascii="宋体" w:hAnsi="宋体" w:cs="宋体" w:eastAsia="宋体" w:hint="default"/>
                <w:sz w:val="21"/>
                <w:szCs w:val="21"/>
              </w:rPr>
              <w:t>元。该激励方案计划有效期为自首期限制性股票授予日</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sz w:val="21"/>
                <w:szCs w:val="21"/>
              </w:rPr>
              <w:t>起计算的 </w:t>
            </w:r>
            <w:r>
              <w:rPr>
                <w:rFonts w:ascii="宋体" w:hAnsi="宋体" w:cs="宋体" w:eastAsia="宋体" w:hint="default"/>
                <w:sz w:val="21"/>
                <w:szCs w:val="21"/>
              </w:rPr>
              <w:t>60</w:t>
            </w:r>
            <w:r>
              <w:rPr>
                <w:rFonts w:ascii="宋体" w:hAnsi="宋体" w:cs="宋体" w:eastAsia="宋体" w:hint="default"/>
                <w:spacing w:val="-59"/>
                <w:sz w:val="21"/>
                <w:szCs w:val="21"/>
              </w:rPr>
              <w:t> </w:t>
            </w:r>
            <w:r>
              <w:rPr>
                <w:rFonts w:ascii="宋体" w:hAnsi="宋体" w:cs="宋体" w:eastAsia="宋体" w:hint="default"/>
                <w:spacing w:val="-3"/>
                <w:sz w:val="21"/>
                <w:szCs w:val="21"/>
              </w:rPr>
              <w:t>个月（包括预留股份在内的全部股份解锁完毕所需的最长期间）与实施授予的限制性股票</w:t>
            </w:r>
          </w:p>
          <w:p>
            <w:pPr>
              <w:pStyle w:val="TableParagraph"/>
              <w:spacing w:line="273" w:lineRule="auto" w:before="37"/>
              <w:ind w:left="105" w:right="235"/>
              <w:jc w:val="both"/>
              <w:rPr>
                <w:rFonts w:ascii="宋体" w:hAnsi="宋体" w:cs="宋体" w:eastAsia="宋体" w:hint="default"/>
                <w:sz w:val="21"/>
                <w:szCs w:val="21"/>
              </w:rPr>
            </w:pPr>
            <w:r>
              <w:rPr>
                <w:rFonts w:ascii="宋体" w:hAnsi="宋体" w:cs="宋体" w:eastAsia="宋体" w:hint="default"/>
                <w:spacing w:val="-3"/>
                <w:sz w:val="21"/>
                <w:szCs w:val="21"/>
              </w:rPr>
              <w:t>全部解锁完毕或回购注销完毕之较早者。自激励对象获授相应限制性股票之日（授予日）起</w:t>
            </w:r>
            <w:r>
              <w:rPr>
                <w:rFonts w:ascii="宋体" w:hAnsi="宋体" w:cs="宋体" w:eastAsia="宋体" w:hint="default"/>
                <w:spacing w:val="-32"/>
                <w:sz w:val="21"/>
                <w:szCs w:val="21"/>
              </w:rPr>
              <w:t> </w:t>
            </w:r>
            <w:r>
              <w:rPr>
                <w:rFonts w:ascii="宋体" w:hAnsi="宋体" w:cs="宋体" w:eastAsia="宋体" w:hint="default"/>
                <w:sz w:val="21"/>
                <w:szCs w:val="21"/>
              </w:rPr>
              <w:t>12</w:t>
            </w:r>
            <w:r>
              <w:rPr>
                <w:rFonts w:ascii="宋体" w:hAnsi="宋体" w:cs="宋体" w:eastAsia="宋体" w:hint="default"/>
                <w:spacing w:val="-35"/>
                <w:sz w:val="21"/>
                <w:szCs w:val="21"/>
              </w:rPr>
              <w:t> </w:t>
            </w:r>
            <w:r>
              <w:rPr>
                <w:rFonts w:ascii="宋体" w:hAnsi="宋体" w:cs="宋体" w:eastAsia="宋体" w:hint="default"/>
                <w:sz w:val="21"/>
                <w:szCs w:val="21"/>
              </w:rPr>
              <w:t>个月内</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为锁定期。锁定期内，激励对象根据本计划获授的限制性股票予以锁定，不得转让。首期授予的限制</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性股票自授予日满</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个月起至</w:t>
            </w:r>
            <w:r>
              <w:rPr>
                <w:rFonts w:ascii="宋体" w:hAnsi="宋体" w:cs="宋体" w:eastAsia="宋体" w:hint="default"/>
                <w:spacing w:val="-44"/>
                <w:sz w:val="21"/>
                <w:szCs w:val="21"/>
              </w:rPr>
              <w:t> </w:t>
            </w:r>
            <w:r>
              <w:rPr>
                <w:rFonts w:ascii="宋体" w:hAnsi="宋体" w:cs="宋体" w:eastAsia="宋体" w:hint="default"/>
                <w:sz w:val="21"/>
                <w:szCs w:val="21"/>
              </w:rPr>
              <w:t>48</w:t>
            </w:r>
            <w:r>
              <w:rPr>
                <w:rFonts w:ascii="宋体" w:hAnsi="宋体" w:cs="宋体" w:eastAsia="宋体" w:hint="default"/>
                <w:spacing w:val="-44"/>
                <w:sz w:val="21"/>
                <w:szCs w:val="21"/>
              </w:rPr>
              <w:t> </w:t>
            </w:r>
            <w:r>
              <w:rPr>
                <w:rFonts w:ascii="宋体" w:hAnsi="宋体" w:cs="宋体" w:eastAsia="宋体" w:hint="default"/>
                <w:sz w:val="21"/>
                <w:szCs w:val="21"/>
              </w:rPr>
              <w:t>个月为解锁期。在解锁期内若达到本计划规定的限制性股票的解锁</w:t>
            </w:r>
            <w:r>
              <w:rPr>
                <w:rFonts w:ascii="宋体" w:hAnsi="宋体" w:cs="宋体" w:eastAsia="宋体" w:hint="default"/>
                <w:w w:val="100"/>
                <w:sz w:val="21"/>
                <w:szCs w:val="21"/>
              </w:rPr>
              <w:t> </w:t>
            </w:r>
            <w:r>
              <w:rPr>
                <w:rFonts w:ascii="宋体" w:hAnsi="宋体" w:cs="宋体" w:eastAsia="宋体" w:hint="default"/>
                <w:sz w:val="21"/>
                <w:szCs w:val="21"/>
              </w:rPr>
              <w:t>条件，激励对象可分别在授予日起</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个月、</w:t>
            </w:r>
            <w:r>
              <w:rPr>
                <w:rFonts w:ascii="宋体" w:hAnsi="宋体" w:cs="宋体" w:eastAsia="宋体" w:hint="default"/>
                <w:sz w:val="21"/>
                <w:szCs w:val="21"/>
              </w:rPr>
              <w:t>24</w:t>
            </w:r>
            <w:r>
              <w:rPr>
                <w:rFonts w:ascii="宋体" w:hAnsi="宋体" w:cs="宋体" w:eastAsia="宋体" w:hint="default"/>
                <w:spacing w:val="-45"/>
                <w:sz w:val="21"/>
                <w:szCs w:val="21"/>
              </w:rPr>
              <w:t> </w:t>
            </w:r>
            <w:r>
              <w:rPr>
                <w:rFonts w:ascii="宋体" w:hAnsi="宋体" w:cs="宋体" w:eastAsia="宋体" w:hint="default"/>
                <w:sz w:val="21"/>
                <w:szCs w:val="21"/>
              </w:rPr>
              <w:t>个月、</w:t>
            </w:r>
            <w:r>
              <w:rPr>
                <w:rFonts w:ascii="宋体" w:hAnsi="宋体" w:cs="宋体" w:eastAsia="宋体" w:hint="default"/>
                <w:sz w:val="21"/>
                <w:szCs w:val="21"/>
              </w:rPr>
              <w:t>36</w:t>
            </w:r>
            <w:r>
              <w:rPr>
                <w:rFonts w:ascii="宋体" w:hAnsi="宋体" w:cs="宋体" w:eastAsia="宋体" w:hint="default"/>
                <w:spacing w:val="-45"/>
                <w:sz w:val="21"/>
                <w:szCs w:val="21"/>
              </w:rPr>
              <w:t> </w:t>
            </w:r>
            <w:r>
              <w:rPr>
                <w:rFonts w:ascii="宋体" w:hAnsi="宋体" w:cs="宋体" w:eastAsia="宋体" w:hint="default"/>
                <w:sz w:val="21"/>
                <w:szCs w:val="21"/>
              </w:rPr>
              <w:t>个月后分三期申请解锁所获授的限制性股票</w:t>
            </w:r>
            <w:r>
              <w:rPr>
                <w:rFonts w:ascii="宋体" w:hAnsi="宋体" w:cs="宋体" w:eastAsia="宋体" w:hint="default"/>
                <w:w w:val="100"/>
                <w:sz w:val="21"/>
                <w:szCs w:val="21"/>
              </w:rPr>
              <w:t> </w:t>
            </w:r>
            <w:r>
              <w:rPr>
                <w:rFonts w:ascii="宋体" w:hAnsi="宋体" w:cs="宋体" w:eastAsia="宋体" w:hint="default"/>
                <w:sz w:val="21"/>
                <w:szCs w:val="21"/>
              </w:rPr>
              <w:t>总量的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和</w:t>
            </w:r>
            <w:r>
              <w:rPr>
                <w:rFonts w:ascii="宋体" w:hAnsi="宋体" w:cs="宋体" w:eastAsia="宋体" w:hint="default"/>
                <w:spacing w:val="-68"/>
                <w:sz w:val="21"/>
                <w:szCs w:val="21"/>
              </w:rPr>
              <w:t> </w:t>
            </w:r>
            <w:r>
              <w:rPr>
                <w:rFonts w:ascii="宋体" w:hAnsi="宋体" w:cs="宋体" w:eastAsia="宋体" w:hint="default"/>
                <w:sz w:val="21"/>
                <w:szCs w:val="21"/>
              </w:rPr>
              <w:t>40%</w:t>
            </w:r>
            <w:r>
              <w:rPr>
                <w:rFonts w:ascii="宋体" w:hAnsi="宋体" w:cs="宋体" w:eastAsia="宋体" w:hint="default"/>
                <w:sz w:val="21"/>
                <w:szCs w:val="21"/>
              </w:rPr>
              <w:t>。如本公司业绩考核达不到规定的解锁条件，则该年度应予解锁的限制性股票</w:t>
            </w:r>
            <w:r>
              <w:rPr>
                <w:rFonts w:ascii="宋体" w:hAnsi="宋体" w:cs="宋体" w:eastAsia="宋体" w:hint="default"/>
                <w:w w:val="100"/>
                <w:sz w:val="21"/>
                <w:szCs w:val="21"/>
              </w:rPr>
              <w:t> </w:t>
            </w:r>
            <w:r>
              <w:rPr>
                <w:rFonts w:ascii="宋体" w:hAnsi="宋体" w:cs="宋体" w:eastAsia="宋体" w:hint="default"/>
                <w:sz w:val="21"/>
                <w:szCs w:val="21"/>
              </w:rPr>
              <w:t>不得解锁，本公司将以授予价格回购后注销未能解锁的标的股票。</w:t>
            </w:r>
          </w:p>
        </w:tc>
      </w:tr>
      <w:tr>
        <w:trPr>
          <w:trHeight w:val="2601"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72" w:lineRule="exact" w:before="140"/>
              <w:ind w:left="105" w:right="235"/>
              <w:jc w:val="both"/>
              <w:rPr>
                <w:rFonts w:ascii="宋体" w:hAnsi="宋体" w:cs="宋体" w:eastAsia="宋体" w:hint="default"/>
                <w:sz w:val="21"/>
                <w:szCs w:val="21"/>
              </w:rPr>
            </w:pPr>
            <w:r>
              <w:rPr>
                <w:rFonts w:ascii="宋体" w:hAnsi="宋体" w:cs="宋体" w:eastAsia="宋体" w:hint="default"/>
                <w:sz w:val="21"/>
                <w:szCs w:val="21"/>
              </w:rPr>
              <w:t>本计划首期授予激励对象的限制性股票分三期解锁，本计划在</w:t>
            </w:r>
            <w:r>
              <w:rPr>
                <w:rFonts w:ascii="宋体" w:hAnsi="宋体" w:cs="宋体" w:eastAsia="宋体" w:hint="default"/>
                <w:spacing w:val="-44"/>
                <w:sz w:val="21"/>
                <w:szCs w:val="21"/>
              </w:rPr>
              <w:t> </w:t>
            </w:r>
            <w:r>
              <w:rPr>
                <w:rFonts w:ascii="宋体" w:hAnsi="宋体" w:cs="宋体" w:eastAsia="宋体" w:hint="default"/>
                <w:sz w:val="21"/>
                <w:szCs w:val="21"/>
              </w:rPr>
              <w:t>2011-2013</w:t>
            </w:r>
            <w:r>
              <w:rPr>
                <w:rFonts w:ascii="宋体" w:hAnsi="宋体" w:cs="宋体" w:eastAsia="宋体" w:hint="default"/>
                <w:spacing w:val="-44"/>
                <w:sz w:val="21"/>
                <w:szCs w:val="21"/>
              </w:rPr>
              <w:t> </w:t>
            </w:r>
            <w:r>
              <w:rPr>
                <w:rFonts w:ascii="宋体" w:hAnsi="宋体" w:cs="宋体" w:eastAsia="宋体" w:hint="default"/>
                <w:sz w:val="21"/>
                <w:szCs w:val="21"/>
              </w:rPr>
              <w:t>年的</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个会计年度中，分年</w:t>
            </w:r>
            <w:r>
              <w:rPr>
                <w:rFonts w:ascii="宋体" w:hAnsi="宋体" w:cs="宋体" w:eastAsia="宋体" w:hint="default"/>
                <w:w w:val="100"/>
                <w:sz w:val="21"/>
                <w:szCs w:val="21"/>
              </w:rPr>
              <w:t> </w:t>
            </w:r>
            <w:r>
              <w:rPr>
                <w:rFonts w:ascii="宋体" w:hAnsi="宋体" w:cs="宋体" w:eastAsia="宋体" w:hint="default"/>
                <w:spacing w:val="-1"/>
                <w:sz w:val="21"/>
                <w:szCs w:val="21"/>
              </w:rPr>
              <w:t>度进行绩效考核并解锁，每个会计年度考核一次。在解锁期内满足本计划的解锁条件的，激励对象可</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以申请股票解除锁定并上市流通。各年度绩效考核目标如下所示：</w:t>
            </w:r>
          </w:p>
          <w:p>
            <w:pPr>
              <w:pStyle w:val="TableParagraph"/>
              <w:spacing w:line="272" w:lineRule="exact" w:before="1"/>
              <w:ind w:left="105" w:right="23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）第一次解锁条件：以</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pacing w:val="-3"/>
                <w:sz w:val="21"/>
                <w:szCs w:val="21"/>
              </w:rPr>
              <w:t>年度净利润为基准，</w:t>
            </w:r>
            <w:r>
              <w:rPr>
                <w:rFonts w:ascii="宋体" w:hAnsi="宋体" w:cs="宋体" w:eastAsia="宋体" w:hint="default"/>
                <w:spacing w:val="-3"/>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年度的净利润增长率不低于</w:t>
            </w:r>
            <w:r>
              <w:rPr>
                <w:rFonts w:ascii="宋体" w:hAnsi="宋体" w:cs="宋体" w:eastAsia="宋体" w:hint="default"/>
                <w:spacing w:val="-47"/>
                <w:sz w:val="21"/>
                <w:szCs w:val="21"/>
              </w:rPr>
              <w:t> </w:t>
            </w:r>
            <w:r>
              <w:rPr>
                <w:rFonts w:ascii="宋体" w:hAnsi="宋体" w:cs="宋体" w:eastAsia="宋体" w:hint="default"/>
                <w:spacing w:val="-4"/>
                <w:sz w:val="21"/>
                <w:szCs w:val="21"/>
              </w:rPr>
              <w:t>50%</w:t>
            </w:r>
            <w:r>
              <w:rPr>
                <w:rFonts w:ascii="宋体" w:hAnsi="宋体" w:cs="宋体" w:eastAsia="宋体" w:hint="default"/>
                <w:spacing w:val="-4"/>
                <w:sz w:val="21"/>
                <w:szCs w:val="21"/>
              </w:rPr>
              <w:t>，且</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度的加权平均净资产收益率不低于</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z w:val="21"/>
                <w:szCs w:val="21"/>
              </w:rPr>
              <w:t>；</w:t>
            </w:r>
          </w:p>
          <w:p>
            <w:pPr>
              <w:pStyle w:val="TableParagraph"/>
              <w:spacing w:line="272" w:lineRule="exact" w:before="1"/>
              <w:ind w:left="105" w:right="23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）第二次解锁条件：以</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pacing w:val="-3"/>
                <w:sz w:val="21"/>
                <w:szCs w:val="21"/>
              </w:rPr>
              <w:t>年度净利润为基准，</w:t>
            </w:r>
            <w:r>
              <w:rPr>
                <w:rFonts w:ascii="宋体" w:hAnsi="宋体" w:cs="宋体" w:eastAsia="宋体" w:hint="default"/>
                <w:spacing w:val="-3"/>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年度的净利润增长率不低于</w:t>
            </w:r>
            <w:r>
              <w:rPr>
                <w:rFonts w:ascii="宋体" w:hAnsi="宋体" w:cs="宋体" w:eastAsia="宋体" w:hint="default"/>
                <w:spacing w:val="-47"/>
                <w:sz w:val="21"/>
                <w:szCs w:val="21"/>
              </w:rPr>
              <w:t> </w:t>
            </w:r>
            <w:r>
              <w:rPr>
                <w:rFonts w:ascii="宋体" w:hAnsi="宋体" w:cs="宋体" w:eastAsia="宋体" w:hint="default"/>
                <w:spacing w:val="-4"/>
                <w:sz w:val="21"/>
                <w:szCs w:val="21"/>
              </w:rPr>
              <w:t>70%</w:t>
            </w:r>
            <w:r>
              <w:rPr>
                <w:rFonts w:ascii="宋体" w:hAnsi="宋体" w:cs="宋体" w:eastAsia="宋体" w:hint="default"/>
                <w:spacing w:val="-4"/>
                <w:sz w:val="21"/>
                <w:szCs w:val="21"/>
              </w:rPr>
              <w:t>，且</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度的加权平均净资产收益率不低于</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z w:val="21"/>
                <w:szCs w:val="21"/>
              </w:rPr>
              <w:t>；</w:t>
            </w:r>
          </w:p>
          <w:p>
            <w:pPr>
              <w:pStyle w:val="TableParagraph"/>
              <w:spacing w:line="272" w:lineRule="exact" w:before="2"/>
              <w:ind w:left="105" w:right="236"/>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）第三次解锁条件：以</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pacing w:val="-3"/>
                <w:sz w:val="21"/>
                <w:szCs w:val="21"/>
              </w:rPr>
              <w:t>年度净利润为基准，</w:t>
            </w:r>
            <w:r>
              <w:rPr>
                <w:rFonts w:ascii="宋体" w:hAnsi="宋体" w:cs="宋体" w:eastAsia="宋体" w:hint="default"/>
                <w:spacing w:val="-3"/>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年度的净利润增长率不低于</w:t>
            </w:r>
            <w:r>
              <w:rPr>
                <w:rFonts w:ascii="宋体" w:hAnsi="宋体" w:cs="宋体" w:eastAsia="宋体" w:hint="default"/>
                <w:spacing w:val="-47"/>
                <w:sz w:val="21"/>
                <w:szCs w:val="21"/>
              </w:rPr>
              <w:t> </w:t>
            </w:r>
            <w:r>
              <w:rPr>
                <w:rFonts w:ascii="宋体" w:hAnsi="宋体" w:cs="宋体" w:eastAsia="宋体" w:hint="default"/>
                <w:spacing w:val="-4"/>
                <w:sz w:val="21"/>
                <w:szCs w:val="21"/>
              </w:rPr>
              <w:t>90%</w:t>
            </w:r>
            <w:r>
              <w:rPr>
                <w:rFonts w:ascii="宋体" w:hAnsi="宋体" w:cs="宋体" w:eastAsia="宋体" w:hint="default"/>
                <w:spacing w:val="-4"/>
                <w:sz w:val="21"/>
                <w:szCs w:val="21"/>
              </w:rPr>
              <w:t>；且</w:t>
            </w:r>
            <w:r>
              <w:rPr>
                <w:rFonts w:ascii="宋体" w:hAnsi="宋体" w:cs="宋体" w:eastAsia="宋体" w:hint="default"/>
                <w:spacing w:val="-47"/>
                <w:sz w:val="21"/>
                <w:szCs w:val="21"/>
              </w:rPr>
              <w:t> </w:t>
            </w:r>
            <w:r>
              <w:rPr>
                <w:rFonts w:ascii="宋体" w:hAnsi="宋体" w:cs="宋体" w:eastAsia="宋体" w:hint="default"/>
                <w:sz w:val="21"/>
                <w:szCs w:val="21"/>
              </w:rPr>
              <w:t>2013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度的加权平均净资产收益率不低于</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z w:val="21"/>
                <w:szCs w:val="21"/>
              </w:rPr>
              <w:t>。</w:t>
            </w:r>
          </w:p>
        </w:tc>
      </w:tr>
      <w:tr>
        <w:trPr>
          <w:trHeight w:val="770"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66" w:lineRule="exact"/>
              <w:ind w:left="105" w:right="0"/>
              <w:jc w:val="left"/>
              <w:rPr>
                <w:rFonts w:ascii="宋体" w:hAnsi="宋体" w:cs="宋体" w:eastAsia="宋体" w:hint="default"/>
                <w:sz w:val="23"/>
                <w:szCs w:val="23"/>
              </w:rPr>
            </w:pPr>
            <w:r>
              <w:rPr>
                <w:rFonts w:ascii="宋体" w:hAnsi="宋体" w:cs="宋体" w:eastAsia="宋体" w:hint="default"/>
                <w:sz w:val="23"/>
                <w:szCs w:val="23"/>
              </w:rPr>
              <w:t>以上净资产收益率与净利润指标均以归属于上市公司股东的净利润与扣除非经常性损益的归</w:t>
            </w:r>
          </w:p>
          <w:p>
            <w:pPr>
              <w:pStyle w:val="TableParagraph"/>
              <w:spacing w:line="240" w:lineRule="auto" w:before="11"/>
              <w:ind w:left="105" w:right="0"/>
              <w:jc w:val="left"/>
              <w:rPr>
                <w:rFonts w:ascii="宋体" w:hAnsi="宋体" w:cs="宋体" w:eastAsia="宋体" w:hint="default"/>
                <w:sz w:val="23"/>
                <w:szCs w:val="23"/>
              </w:rPr>
            </w:pPr>
            <w:r>
              <w:rPr>
                <w:rFonts w:ascii="宋体" w:hAnsi="宋体" w:cs="宋体" w:eastAsia="宋体" w:hint="default"/>
                <w:sz w:val="23"/>
                <w:szCs w:val="23"/>
              </w:rPr>
              <w:t>属于上市公司股东的净利润二者孰低作为计算依据。</w:t>
            </w:r>
          </w:p>
        </w:tc>
      </w:tr>
      <w:tr>
        <w:trPr>
          <w:trHeight w:val="57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3"/>
              <w:jc w:val="right"/>
              <w:rPr>
                <w:rFonts w:ascii="宋体" w:hAnsi="宋体" w:cs="宋体" w:eastAsia="宋体" w:hint="default"/>
                <w:sz w:val="21"/>
                <w:szCs w:val="21"/>
              </w:rPr>
            </w:pPr>
            <w:r>
              <w:rPr>
                <w:rFonts w:ascii="宋体"/>
                <w:sz w:val="21"/>
              </w:rPr>
              <w:t>8.2</w:t>
            </w: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5" w:right="0"/>
              <w:jc w:val="left"/>
              <w:rPr>
                <w:rFonts w:ascii="宋体" w:hAnsi="宋体" w:cs="宋体" w:eastAsia="宋体" w:hint="default"/>
                <w:sz w:val="21"/>
                <w:szCs w:val="21"/>
              </w:rPr>
            </w:pPr>
            <w:r>
              <w:rPr>
                <w:rFonts w:ascii="宋体" w:hAnsi="宋体" w:cs="宋体" w:eastAsia="宋体" w:hint="default"/>
                <w:sz w:val="21"/>
                <w:szCs w:val="21"/>
              </w:rPr>
              <w:t>以权益结算的股份支付情况</w:t>
            </w:r>
          </w:p>
        </w:tc>
      </w:tr>
      <w:tr>
        <w:trPr>
          <w:trHeight w:val="1090"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05" w:right="239"/>
              <w:jc w:val="both"/>
              <w:rPr>
                <w:rFonts w:ascii="宋体" w:hAnsi="宋体" w:cs="宋体" w:eastAsia="宋体" w:hint="default"/>
                <w:sz w:val="21"/>
                <w:szCs w:val="21"/>
              </w:rPr>
            </w:pPr>
            <w:r>
              <w:rPr>
                <w:rFonts w:ascii="宋体" w:hAnsi="宋体" w:cs="宋体" w:eastAsia="宋体" w:hint="default"/>
                <w:spacing w:val="-1"/>
                <w:sz w:val="21"/>
                <w:szCs w:val="21"/>
              </w:rPr>
              <w:t>授予日权益工具公允价值的确定方法为授予日前一交易日本公司二级市场股票收盘价，对可行权权益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工具数量的最佳估计的确定方法为根据在职人员对应的权益工具估计，年末资本公积中以权益结算的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股份支付的累计金额为</w:t>
            </w:r>
            <w:r>
              <w:rPr>
                <w:rFonts w:ascii="宋体" w:hAnsi="宋体" w:cs="宋体" w:eastAsia="宋体" w:hint="default"/>
                <w:spacing w:val="-54"/>
                <w:sz w:val="21"/>
                <w:szCs w:val="21"/>
              </w:rPr>
              <w:t> </w:t>
            </w:r>
            <w:r>
              <w:rPr>
                <w:rFonts w:ascii="宋体" w:hAnsi="宋体" w:cs="宋体" w:eastAsia="宋体" w:hint="default"/>
                <w:sz w:val="21"/>
                <w:szCs w:val="21"/>
              </w:rPr>
              <w:t>389.76</w:t>
            </w:r>
            <w:r>
              <w:rPr>
                <w:rFonts w:ascii="宋体" w:hAnsi="宋体" w:cs="宋体" w:eastAsia="宋体" w:hint="default"/>
                <w:spacing w:val="-57"/>
                <w:sz w:val="21"/>
                <w:szCs w:val="21"/>
              </w:rPr>
              <w:t> </w:t>
            </w:r>
            <w:r>
              <w:rPr>
                <w:rFonts w:ascii="宋体" w:hAnsi="宋体" w:cs="宋体" w:eastAsia="宋体" w:hint="default"/>
                <w:sz w:val="21"/>
                <w:szCs w:val="21"/>
              </w:rPr>
              <w:t>万元，当期以权益结算的股份支付确认的费用总额为</w:t>
            </w:r>
            <w:r>
              <w:rPr>
                <w:rFonts w:ascii="宋体" w:hAnsi="宋体" w:cs="宋体" w:eastAsia="宋体" w:hint="default"/>
                <w:spacing w:val="-55"/>
                <w:sz w:val="21"/>
                <w:szCs w:val="21"/>
              </w:rPr>
              <w:t> </w:t>
            </w:r>
            <w:r>
              <w:rPr>
                <w:rFonts w:ascii="宋体" w:hAnsi="宋体" w:cs="宋体" w:eastAsia="宋体" w:hint="default"/>
                <w:sz w:val="21"/>
                <w:szCs w:val="21"/>
              </w:rPr>
              <w:t>389.76</w:t>
            </w:r>
            <w:r>
              <w:rPr>
                <w:rFonts w:ascii="宋体" w:hAnsi="宋体" w:cs="宋体" w:eastAsia="宋体" w:hint="default"/>
                <w:spacing w:val="-57"/>
                <w:sz w:val="21"/>
                <w:szCs w:val="21"/>
              </w:rPr>
              <w:t> </w:t>
            </w:r>
            <w:r>
              <w:rPr>
                <w:rFonts w:ascii="宋体" w:hAnsi="宋体" w:cs="宋体" w:eastAsia="宋体" w:hint="default"/>
                <w:sz w:val="21"/>
                <w:szCs w:val="21"/>
              </w:rPr>
              <w:t>万元。</w:t>
            </w:r>
          </w:p>
        </w:tc>
      </w:tr>
      <w:tr>
        <w:trPr>
          <w:trHeight w:val="545"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8.3</w:t>
            </w: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以股份支付服务情况</w:t>
            </w:r>
          </w:p>
        </w:tc>
      </w:tr>
      <w:tr>
        <w:trPr>
          <w:trHeight w:val="545"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以股份支付换取的职工服务总额为</w:t>
            </w:r>
            <w:r>
              <w:rPr>
                <w:rFonts w:ascii="宋体" w:hAnsi="宋体" w:cs="宋体" w:eastAsia="宋体" w:hint="default"/>
                <w:spacing w:val="-54"/>
                <w:sz w:val="21"/>
                <w:szCs w:val="21"/>
              </w:rPr>
              <w:t> </w:t>
            </w:r>
            <w:r>
              <w:rPr>
                <w:rFonts w:ascii="宋体" w:hAnsi="宋体" w:cs="宋体" w:eastAsia="宋体" w:hint="default"/>
                <w:sz w:val="21"/>
                <w:szCs w:val="21"/>
              </w:rPr>
              <w:t>1,299.20</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545"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8.4</w:t>
            </w: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股份支付的修改、终止情况</w:t>
            </w:r>
          </w:p>
        </w:tc>
      </w:tr>
      <w:tr>
        <w:trPr>
          <w:trHeight w:val="378"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本公司本年未对股份支付方案进行修改、终止。</w:t>
            </w:r>
          </w:p>
        </w:tc>
      </w:tr>
    </w:tbl>
    <w:p>
      <w:pPr>
        <w:spacing w:after="0" w:line="240" w:lineRule="auto"/>
        <w:jc w:val="left"/>
        <w:rPr>
          <w:rFonts w:ascii="宋体" w:hAnsi="宋体" w:cs="宋体" w:eastAsia="宋体" w:hint="default"/>
          <w:sz w:val="21"/>
          <w:szCs w:val="21"/>
        </w:rPr>
        <w:sectPr>
          <w:pgSz w:w="11910" w:h="16840"/>
          <w:pgMar w:header="886" w:footer="980" w:top="1740" w:bottom="1160" w:left="800" w:right="160"/>
        </w:sectPr>
      </w:pPr>
    </w:p>
    <w:p>
      <w:pPr>
        <w:spacing w:line="240" w:lineRule="auto" w:before="9"/>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096"/>
        <w:gridCol w:w="9633"/>
      </w:tblGrid>
      <w:tr>
        <w:trPr>
          <w:trHeight w:val="687" w:hRule="exact"/>
        </w:trPr>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1"/>
                <w:szCs w:val="21"/>
              </w:rPr>
            </w:pPr>
            <w:r>
              <w:rPr>
                <w:rFonts w:ascii="宋体"/>
                <w:b/>
                <w:w w:val="99"/>
                <w:sz w:val="21"/>
              </w:rPr>
              <w:t>9</w:t>
            </w:r>
            <w:r>
              <w:rPr>
                <w:rFonts w:ascii="宋体"/>
                <w:sz w:val="21"/>
              </w:rPr>
            </w:r>
          </w:p>
        </w:tc>
        <w:tc>
          <w:tcPr>
            <w:tcW w:w="963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或有事项</w:t>
            </w:r>
            <w:r>
              <w:rPr>
                <w:rFonts w:ascii="宋体" w:hAnsi="宋体" w:cs="宋体" w:eastAsia="宋体" w:hint="default"/>
                <w:sz w:val="21"/>
                <w:szCs w:val="21"/>
              </w:rPr>
            </w:r>
          </w:p>
        </w:tc>
      </w:tr>
      <w:tr>
        <w:trPr>
          <w:trHeight w:val="545"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日，本公司未发生影响本财务报表阅读和理解的重大或有事项。</w:t>
            </w:r>
          </w:p>
        </w:tc>
      </w:tr>
      <w:tr>
        <w:trPr>
          <w:trHeight w:val="544"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b/>
                <w:sz w:val="21"/>
              </w:rPr>
              <w:t>10</w:t>
            </w:r>
            <w:r>
              <w:rPr>
                <w:rFonts w:ascii="宋体"/>
                <w:sz w:val="21"/>
              </w:rPr>
            </w: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r>
      <w:tr>
        <w:trPr>
          <w:trHeight w:val="544"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日，本公司未发生影响本财务报表阅读和理解的重大承诺事项。</w:t>
            </w:r>
          </w:p>
        </w:tc>
      </w:tr>
      <w:tr>
        <w:trPr>
          <w:trHeight w:val="545"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b/>
                <w:sz w:val="21"/>
              </w:rPr>
              <w:t>11</w:t>
            </w:r>
            <w:r>
              <w:rPr>
                <w:rFonts w:ascii="宋体"/>
                <w:sz w:val="21"/>
              </w:rPr>
            </w: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b/>
                <w:bCs/>
                <w:sz w:val="21"/>
                <w:szCs w:val="21"/>
              </w:rPr>
              <w:t>资产负债表日后事项</w:t>
            </w:r>
            <w:r>
              <w:rPr>
                <w:rFonts w:ascii="宋体" w:hAnsi="宋体" w:cs="宋体" w:eastAsia="宋体" w:hint="default"/>
                <w:sz w:val="21"/>
                <w:szCs w:val="21"/>
              </w:rPr>
            </w:r>
          </w:p>
        </w:tc>
      </w:tr>
      <w:tr>
        <w:trPr>
          <w:trHeight w:val="218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11.1</w:t>
            </w:r>
          </w:p>
        </w:tc>
        <w:tc>
          <w:tcPr>
            <w:tcW w:w="9633"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105"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9"/>
                <w:sz w:val="21"/>
                <w:szCs w:val="21"/>
              </w:rPr>
              <w:t> </w:t>
            </w:r>
            <w:r>
              <w:rPr>
                <w:rFonts w:ascii="宋体" w:hAnsi="宋体" w:cs="宋体" w:eastAsia="宋体" w:hint="default"/>
                <w:sz w:val="21"/>
                <w:szCs w:val="21"/>
              </w:rPr>
              <w:t>2012</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pacing w:val="-4"/>
                <w:sz w:val="21"/>
                <w:szCs w:val="21"/>
              </w:rPr>
              <w:t>日本公司第四届董事会第十四次会议审议通过了《关于向激励对象授予限制性股票的</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限</w:t>
            </w:r>
            <w:r>
              <w:rPr>
                <w:rFonts w:ascii="宋体" w:hAnsi="宋体" w:cs="宋体" w:eastAsia="宋体" w:hint="default"/>
                <w:spacing w:val="-1"/>
                <w:w w:val="100"/>
                <w:sz w:val="21"/>
                <w:szCs w:val="21"/>
              </w:rPr>
              <w:t>制</w:t>
            </w:r>
            <w:r>
              <w:rPr>
                <w:rFonts w:ascii="宋体" w:hAnsi="宋体" w:cs="宋体" w:eastAsia="宋体" w:hint="default"/>
                <w:spacing w:val="-3"/>
                <w:w w:val="100"/>
                <w:sz w:val="21"/>
                <w:szCs w:val="21"/>
              </w:rPr>
              <w:t>性</w:t>
            </w:r>
            <w:r>
              <w:rPr>
                <w:rFonts w:ascii="宋体" w:hAnsi="宋体" w:cs="宋体" w:eastAsia="宋体" w:hint="default"/>
                <w:w w:val="100"/>
                <w:sz w:val="21"/>
                <w:szCs w:val="21"/>
              </w:rPr>
              <w:t>股</w:t>
            </w:r>
            <w:r>
              <w:rPr>
                <w:rFonts w:ascii="宋体" w:hAnsi="宋体" w:cs="宋体" w:eastAsia="宋体" w:hint="default"/>
                <w:spacing w:val="-3"/>
                <w:w w:val="100"/>
                <w:sz w:val="21"/>
                <w:szCs w:val="21"/>
              </w:rPr>
              <w:t>票激</w:t>
            </w:r>
            <w:r>
              <w:rPr>
                <w:rFonts w:ascii="宋体" w:hAnsi="宋体" w:cs="宋体" w:eastAsia="宋体" w:hint="default"/>
                <w:w w:val="100"/>
                <w:sz w:val="21"/>
                <w:szCs w:val="21"/>
              </w:rPr>
              <w:t>励计</w:t>
            </w:r>
            <w:r>
              <w:rPr>
                <w:rFonts w:ascii="宋体" w:hAnsi="宋体" w:cs="宋体" w:eastAsia="宋体" w:hint="default"/>
                <w:spacing w:val="-3"/>
                <w:w w:val="100"/>
                <w:sz w:val="21"/>
                <w:szCs w:val="21"/>
              </w:rPr>
              <w:t>划</w:t>
            </w:r>
            <w:r>
              <w:rPr>
                <w:rFonts w:ascii="宋体" w:hAnsi="宋体" w:cs="宋体" w:eastAsia="宋体" w:hint="default"/>
                <w:w w:val="100"/>
                <w:sz w:val="21"/>
                <w:szCs w:val="21"/>
              </w:rPr>
              <w:t>的</w:t>
            </w:r>
            <w:r>
              <w:rPr>
                <w:rFonts w:ascii="宋体" w:hAnsi="宋体" w:cs="宋体" w:eastAsia="宋体" w:hint="default"/>
                <w:spacing w:val="-3"/>
                <w:w w:val="100"/>
                <w:sz w:val="21"/>
                <w:szCs w:val="21"/>
              </w:rPr>
              <w:t>首</w:t>
            </w:r>
            <w:r>
              <w:rPr>
                <w:rFonts w:ascii="宋体" w:hAnsi="宋体" w:cs="宋体" w:eastAsia="宋体" w:hint="default"/>
                <w:w w:val="100"/>
                <w:sz w:val="21"/>
                <w:szCs w:val="21"/>
              </w:rPr>
              <w:t>次</w:t>
            </w:r>
            <w:r>
              <w:rPr>
                <w:rFonts w:ascii="宋体" w:hAnsi="宋体" w:cs="宋体" w:eastAsia="宋体" w:hint="default"/>
                <w:spacing w:val="-3"/>
                <w:w w:val="100"/>
                <w:sz w:val="21"/>
                <w:szCs w:val="21"/>
              </w:rPr>
              <w:t>授</w:t>
            </w:r>
            <w:r>
              <w:rPr>
                <w:rFonts w:ascii="宋体" w:hAnsi="宋体" w:cs="宋体" w:eastAsia="宋体" w:hint="default"/>
                <w:w w:val="100"/>
                <w:sz w:val="21"/>
                <w:szCs w:val="21"/>
              </w:rPr>
              <w:t>予</w:t>
            </w:r>
            <w:r>
              <w:rPr>
                <w:rFonts w:ascii="宋体" w:hAnsi="宋体" w:cs="宋体" w:eastAsia="宋体" w:hint="default"/>
                <w:spacing w:val="-3"/>
                <w:w w:val="100"/>
                <w:sz w:val="21"/>
                <w:szCs w:val="21"/>
              </w:rPr>
              <w:t>日</w:t>
            </w:r>
            <w:r>
              <w:rPr>
                <w:rFonts w:ascii="宋体" w:hAnsi="宋体" w:cs="宋体" w:eastAsia="宋体" w:hint="default"/>
                <w:w w:val="100"/>
                <w:sz w:val="21"/>
                <w:szCs w:val="21"/>
              </w:rPr>
              <w:t>定为</w:t>
            </w:r>
            <w:r>
              <w:rPr>
                <w:rFonts w:ascii="宋体" w:hAnsi="宋体" w:cs="宋体" w:eastAsia="宋体" w:hint="default"/>
                <w:spacing w:val="-48"/>
                <w:sz w:val="21"/>
                <w:szCs w:val="21"/>
              </w:rPr>
              <w:t> </w:t>
            </w:r>
            <w:r>
              <w:rPr>
                <w:rFonts w:ascii="宋体" w:hAnsi="宋体" w:cs="宋体" w:eastAsia="宋体" w:hint="default"/>
                <w:w w:val="100"/>
                <w:sz w:val="21"/>
                <w:szCs w:val="21"/>
              </w:rPr>
              <w:t>2012</w:t>
            </w:r>
            <w:r>
              <w:rPr>
                <w:rFonts w:ascii="宋体" w:hAnsi="宋体" w:cs="宋体" w:eastAsia="宋体" w:hint="default"/>
                <w:spacing w:val="-48"/>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宋体" w:hAnsi="宋体" w:cs="宋体" w:eastAsia="宋体" w:hint="default"/>
                <w:w w:val="100"/>
                <w:sz w:val="21"/>
                <w:szCs w:val="21"/>
              </w:rPr>
              <w:t>1</w:t>
            </w:r>
            <w:r>
              <w:rPr>
                <w:rFonts w:ascii="宋体" w:hAnsi="宋体" w:cs="宋体" w:eastAsia="宋体" w:hint="default"/>
                <w:spacing w:val="-45"/>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宋体" w:hAnsi="宋体" w:cs="宋体" w:eastAsia="宋体" w:hint="default"/>
                <w:w w:val="100"/>
                <w:sz w:val="21"/>
                <w:szCs w:val="21"/>
              </w:rPr>
              <w:t>9</w:t>
            </w:r>
            <w:r>
              <w:rPr>
                <w:rFonts w:ascii="宋体" w:hAnsi="宋体" w:cs="宋体" w:eastAsia="宋体" w:hint="default"/>
                <w:spacing w:val="-4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首</w:t>
            </w:r>
            <w:r>
              <w:rPr>
                <w:rFonts w:ascii="宋体" w:hAnsi="宋体" w:cs="宋体" w:eastAsia="宋体" w:hint="default"/>
                <w:w w:val="100"/>
                <w:sz w:val="21"/>
                <w:szCs w:val="21"/>
              </w:rPr>
              <w:t>次</w:t>
            </w:r>
            <w:r>
              <w:rPr>
                <w:rFonts w:ascii="宋体" w:hAnsi="宋体" w:cs="宋体" w:eastAsia="宋体" w:hint="default"/>
                <w:spacing w:val="-3"/>
                <w:w w:val="100"/>
                <w:sz w:val="21"/>
                <w:szCs w:val="21"/>
              </w:rPr>
              <w:t>限</w:t>
            </w:r>
            <w:r>
              <w:rPr>
                <w:rFonts w:ascii="宋体" w:hAnsi="宋体" w:cs="宋体" w:eastAsia="宋体" w:hint="default"/>
                <w:w w:val="100"/>
                <w:sz w:val="21"/>
                <w:szCs w:val="21"/>
              </w:rPr>
              <w:t>制性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定</w:t>
            </w:r>
            <w:r>
              <w:rPr>
                <w:rFonts w:ascii="宋体" w:hAnsi="宋体" w:cs="宋体" w:eastAsia="宋体" w:hint="default"/>
                <w:w w:val="100"/>
                <w:sz w:val="21"/>
                <w:szCs w:val="21"/>
              </w:rPr>
              <w:t>向</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pacing w:val="-46"/>
                <w:sz w:val="21"/>
                <w:szCs w:val="21"/>
              </w:rPr>
              <w:t> </w:t>
            </w:r>
            <w:r>
              <w:rPr>
                <w:rFonts w:ascii="宋体" w:hAnsi="宋体" w:cs="宋体" w:eastAsia="宋体" w:hint="default"/>
                <w:sz w:val="21"/>
                <w:szCs w:val="21"/>
              </w:rPr>
              <w:t>203</w:t>
            </w:r>
            <w:r>
              <w:rPr>
                <w:rFonts w:ascii="宋体" w:hAnsi="宋体" w:cs="宋体" w:eastAsia="宋体" w:hint="default"/>
                <w:spacing w:val="-46"/>
                <w:sz w:val="21"/>
                <w:szCs w:val="21"/>
              </w:rPr>
              <w:t> </w:t>
            </w:r>
            <w:r>
              <w:rPr>
                <w:rFonts w:ascii="宋体" w:hAnsi="宋体" w:cs="宋体" w:eastAsia="宋体" w:hint="default"/>
                <w:spacing w:val="-4"/>
                <w:sz w:val="21"/>
                <w:szCs w:val="21"/>
              </w:rPr>
              <w:t>万股，每股发行价人民币</w:t>
            </w:r>
            <w:r>
              <w:rPr>
                <w:rFonts w:ascii="宋体" w:hAnsi="宋体" w:cs="宋体" w:eastAsia="宋体" w:hint="default"/>
                <w:spacing w:val="-46"/>
                <w:sz w:val="21"/>
                <w:szCs w:val="21"/>
              </w:rPr>
              <w:t> </w:t>
            </w:r>
            <w:r>
              <w:rPr>
                <w:rFonts w:ascii="宋体" w:hAnsi="宋体" w:cs="宋体" w:eastAsia="宋体" w:hint="default"/>
                <w:sz w:val="21"/>
                <w:szCs w:val="21"/>
              </w:rPr>
              <w:t>8.95</w:t>
            </w:r>
            <w:r>
              <w:rPr>
                <w:rFonts w:ascii="宋体" w:hAnsi="宋体" w:cs="宋体" w:eastAsia="宋体" w:hint="default"/>
                <w:spacing w:val="-48"/>
                <w:sz w:val="21"/>
                <w:szCs w:val="21"/>
              </w:rPr>
              <w:t> </w:t>
            </w:r>
            <w:r>
              <w:rPr>
                <w:rFonts w:ascii="宋体" w:hAnsi="宋体" w:cs="宋体" w:eastAsia="宋体" w:hint="default"/>
                <w:spacing w:val="-4"/>
                <w:sz w:val="21"/>
                <w:szCs w:val="21"/>
              </w:rPr>
              <w:t>元，应认缴股款人民币</w:t>
            </w:r>
            <w:r>
              <w:rPr>
                <w:rFonts w:ascii="宋体" w:hAnsi="宋体" w:cs="宋体" w:eastAsia="宋体" w:hint="default"/>
                <w:spacing w:val="-46"/>
                <w:sz w:val="21"/>
                <w:szCs w:val="21"/>
              </w:rPr>
              <w:t> </w:t>
            </w:r>
            <w:r>
              <w:rPr>
                <w:rFonts w:ascii="宋体" w:hAnsi="宋体" w:cs="宋体" w:eastAsia="宋体" w:hint="default"/>
                <w:sz w:val="21"/>
                <w:szCs w:val="21"/>
              </w:rPr>
              <w:t>18,168,500.00</w:t>
            </w:r>
            <w:r>
              <w:rPr>
                <w:rFonts w:ascii="宋体" w:hAnsi="宋体" w:cs="宋体" w:eastAsia="宋体" w:hint="default"/>
                <w:spacing w:val="-48"/>
                <w:sz w:val="21"/>
                <w:szCs w:val="21"/>
              </w:rPr>
              <w:t> </w:t>
            </w:r>
            <w:r>
              <w:rPr>
                <w:rFonts w:ascii="宋体" w:hAnsi="宋体" w:cs="宋体" w:eastAsia="宋体" w:hint="default"/>
                <w:spacing w:val="-5"/>
                <w:sz w:val="21"/>
                <w:szCs w:val="21"/>
              </w:rPr>
              <w:t>元，其中增加</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注册资本人民币</w:t>
            </w:r>
            <w:r>
              <w:rPr>
                <w:rFonts w:ascii="宋体" w:hAnsi="宋体" w:cs="宋体" w:eastAsia="宋体" w:hint="default"/>
                <w:spacing w:val="-44"/>
                <w:sz w:val="21"/>
                <w:szCs w:val="21"/>
              </w:rPr>
              <w:t> </w:t>
            </w:r>
            <w:r>
              <w:rPr>
                <w:rFonts w:ascii="宋体" w:hAnsi="宋体" w:cs="宋体" w:eastAsia="宋体" w:hint="default"/>
                <w:sz w:val="21"/>
                <w:szCs w:val="21"/>
              </w:rPr>
              <w:t>2,030,000.00</w:t>
            </w:r>
            <w:r>
              <w:rPr>
                <w:rFonts w:ascii="宋体" w:hAnsi="宋体" w:cs="宋体" w:eastAsia="宋体" w:hint="default"/>
                <w:spacing w:val="-44"/>
                <w:sz w:val="21"/>
                <w:szCs w:val="21"/>
              </w:rPr>
              <w:t> </w:t>
            </w:r>
            <w:r>
              <w:rPr>
                <w:rFonts w:ascii="宋体" w:hAnsi="宋体" w:cs="宋体" w:eastAsia="宋体" w:hint="default"/>
                <w:sz w:val="21"/>
                <w:szCs w:val="21"/>
              </w:rPr>
              <w:t>元，变更后的注册资本为人民币</w:t>
            </w:r>
            <w:r>
              <w:rPr>
                <w:rFonts w:ascii="宋体" w:hAnsi="宋体" w:cs="宋体" w:eastAsia="宋体" w:hint="default"/>
                <w:spacing w:val="-44"/>
                <w:sz w:val="21"/>
                <w:szCs w:val="21"/>
              </w:rPr>
              <w:t> </w:t>
            </w:r>
            <w:r>
              <w:rPr>
                <w:rFonts w:ascii="宋体" w:hAnsi="宋体" w:cs="宋体" w:eastAsia="宋体" w:hint="default"/>
                <w:sz w:val="21"/>
                <w:szCs w:val="21"/>
              </w:rPr>
              <w:t>113,960,000.00</w:t>
            </w:r>
            <w:r>
              <w:rPr>
                <w:rFonts w:ascii="宋体" w:hAnsi="宋体" w:cs="宋体" w:eastAsia="宋体" w:hint="default"/>
                <w:spacing w:val="-44"/>
                <w:sz w:val="21"/>
                <w:szCs w:val="21"/>
              </w:rPr>
              <w:t> </w:t>
            </w:r>
            <w:r>
              <w:rPr>
                <w:rFonts w:ascii="宋体" w:hAnsi="宋体" w:cs="宋体" w:eastAsia="宋体" w:hint="default"/>
                <w:sz w:val="21"/>
                <w:szCs w:val="21"/>
              </w:rPr>
              <w:t>元；出资额溢价部分</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为人民币</w:t>
            </w:r>
            <w:r>
              <w:rPr>
                <w:rFonts w:ascii="宋体" w:hAnsi="宋体" w:cs="宋体" w:eastAsia="宋体" w:hint="default"/>
                <w:spacing w:val="-48"/>
                <w:sz w:val="21"/>
                <w:szCs w:val="21"/>
              </w:rPr>
              <w:t> </w:t>
            </w:r>
            <w:r>
              <w:rPr>
                <w:rFonts w:ascii="宋体" w:hAnsi="宋体" w:cs="宋体" w:eastAsia="宋体" w:hint="default"/>
                <w:sz w:val="21"/>
                <w:szCs w:val="21"/>
              </w:rPr>
              <w:t>16,138,500.00</w:t>
            </w:r>
            <w:r>
              <w:rPr>
                <w:rFonts w:ascii="宋体" w:hAnsi="宋体" w:cs="宋体" w:eastAsia="宋体" w:hint="default"/>
                <w:spacing w:val="-50"/>
                <w:sz w:val="21"/>
                <w:szCs w:val="21"/>
              </w:rPr>
              <w:t> </w:t>
            </w:r>
            <w:r>
              <w:rPr>
                <w:rFonts w:ascii="宋体" w:hAnsi="宋体" w:cs="宋体" w:eastAsia="宋体" w:hint="default"/>
                <w:sz w:val="21"/>
                <w:szCs w:val="21"/>
              </w:rPr>
              <w:t>元，全部计入资本公积。上述增资于</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8"/>
                <w:sz w:val="21"/>
                <w:szCs w:val="21"/>
              </w:rPr>
              <w:t> </w:t>
            </w:r>
            <w:r>
              <w:rPr>
                <w:rFonts w:ascii="宋体" w:hAnsi="宋体" w:cs="宋体" w:eastAsia="宋体" w:hint="default"/>
                <w:sz w:val="21"/>
                <w:szCs w:val="21"/>
              </w:rPr>
              <w:t>日到账，已经上海众华</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沪银会计师事务所有限公司审验，并于</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日出具了沪众会验字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0943</w:t>
            </w:r>
            <w:r>
              <w:rPr>
                <w:rFonts w:ascii="宋体" w:hAnsi="宋体" w:cs="宋体" w:eastAsia="宋体" w:hint="default"/>
                <w:spacing w:val="-53"/>
                <w:sz w:val="21"/>
                <w:szCs w:val="21"/>
              </w:rPr>
              <w:t> </w:t>
            </w:r>
            <w:r>
              <w:rPr>
                <w:rFonts w:ascii="宋体" w:hAnsi="宋体" w:cs="宋体" w:eastAsia="宋体" w:hint="default"/>
                <w:sz w:val="21"/>
                <w:szCs w:val="21"/>
              </w:rPr>
              <w:t>号验资报告，</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日取得了变更后的营业执照。</w:t>
            </w:r>
          </w:p>
        </w:tc>
      </w:tr>
      <w:tr>
        <w:trPr>
          <w:trHeight w:val="109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11.2</w:t>
            </w:r>
          </w:p>
        </w:tc>
        <w:tc>
          <w:tcPr>
            <w:tcW w:w="9633"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05" w:right="235"/>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日，本公司第四届董事会第十一次会议审议通过了《关于拟出资设立上海艾云慧信</w:t>
            </w:r>
            <w:r>
              <w:rPr>
                <w:rFonts w:ascii="宋体" w:hAnsi="宋体" w:cs="宋体" w:eastAsia="宋体" w:hint="default"/>
                <w:w w:val="100"/>
                <w:sz w:val="21"/>
                <w:szCs w:val="21"/>
              </w:rPr>
              <w:t> </w:t>
            </w:r>
            <w:r>
              <w:rPr>
                <w:rFonts w:ascii="宋体" w:hAnsi="宋体" w:cs="宋体" w:eastAsia="宋体" w:hint="default"/>
                <w:spacing w:val="-6"/>
                <w:w w:val="100"/>
                <w:sz w:val="21"/>
                <w:szCs w:val="21"/>
              </w:rPr>
              <w:t>创业投资有限公司的议案》，本公司拟以自有资金出资人民币</w:t>
            </w:r>
            <w:r>
              <w:rPr>
                <w:rFonts w:ascii="宋体" w:hAnsi="宋体" w:cs="宋体" w:eastAsia="宋体" w:hint="default"/>
                <w:spacing w:val="-47"/>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万元，占艾云慧信创投</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9.90%</w:t>
            </w:r>
            <w:r>
              <w:rPr>
                <w:rFonts w:ascii="宋体" w:hAnsi="宋体" w:cs="宋体" w:eastAsia="宋体" w:hint="default"/>
                <w:spacing w:val="-1"/>
                <w:w w:val="100"/>
                <w:sz w:val="21"/>
                <w:szCs w:val="21"/>
              </w:rPr>
              <w:t>的股</w:t>
            </w:r>
            <w:r>
              <w:rPr>
                <w:rFonts w:ascii="宋体" w:hAnsi="宋体" w:cs="宋体" w:eastAsia="宋体" w:hint="default"/>
                <w:spacing w:val="-104"/>
                <w:w w:val="100"/>
                <w:sz w:val="21"/>
                <w:szCs w:val="21"/>
              </w:rPr>
              <w:t> </w:t>
            </w:r>
            <w:r>
              <w:rPr>
                <w:rFonts w:ascii="宋体" w:hAnsi="宋体" w:cs="宋体" w:eastAsia="宋体" w:hint="default"/>
                <w:sz w:val="21"/>
                <w:szCs w:val="21"/>
              </w:rPr>
              <w:t>份。于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日，本公司支付了首期出资</w:t>
            </w:r>
            <w:r>
              <w:rPr>
                <w:rFonts w:ascii="宋体" w:hAnsi="宋体" w:cs="宋体" w:eastAsia="宋体" w:hint="default"/>
                <w:spacing w:val="-55"/>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1090"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11.3</w:t>
            </w:r>
          </w:p>
        </w:tc>
        <w:tc>
          <w:tcPr>
            <w:tcW w:w="9633"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105" w:right="0"/>
              <w:jc w:val="left"/>
              <w:rPr>
                <w:rFonts w:ascii="宋体" w:hAnsi="宋体" w:cs="宋体" w:eastAsia="宋体" w:hint="default"/>
                <w:sz w:val="21"/>
                <w:szCs w:val="21"/>
              </w:rPr>
            </w:pPr>
            <w:r>
              <w:rPr>
                <w:rFonts w:ascii="宋体" w:hAnsi="宋体" w:cs="宋体" w:eastAsia="宋体" w:hint="default"/>
                <w:sz w:val="21"/>
                <w:szCs w:val="21"/>
              </w:rPr>
              <w:t>根据本公司第四届董事会第十五次会议关于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pacing w:val="-7"/>
                <w:sz w:val="21"/>
                <w:szCs w:val="21"/>
              </w:rPr>
              <w:t>年度利润分配的预案，以</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日的总股本</w:t>
            </w:r>
          </w:p>
          <w:p>
            <w:pPr>
              <w:pStyle w:val="TableParagraph"/>
              <w:spacing w:line="272" w:lineRule="exact" w:before="27"/>
              <w:ind w:left="105" w:right="236"/>
              <w:jc w:val="left"/>
              <w:rPr>
                <w:rFonts w:ascii="宋体" w:hAnsi="宋体" w:cs="宋体" w:eastAsia="宋体" w:hint="default"/>
                <w:sz w:val="21"/>
                <w:szCs w:val="21"/>
              </w:rPr>
            </w:pPr>
            <w:r>
              <w:rPr>
                <w:rFonts w:ascii="宋体" w:hAnsi="宋体" w:cs="宋体" w:eastAsia="宋体" w:hint="default"/>
                <w:spacing w:val="-1"/>
                <w:w w:val="100"/>
                <w:sz w:val="21"/>
                <w:szCs w:val="21"/>
              </w:rPr>
              <w:t>11,396</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万股为基数，每</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10</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股派发现金红利</w:t>
            </w:r>
            <w:r>
              <w:rPr>
                <w:rFonts w:ascii="宋体" w:hAnsi="宋体" w:cs="宋体" w:eastAsia="宋体" w:hint="default"/>
                <w:spacing w:val="-51"/>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6"/>
                <w:w w:val="100"/>
                <w:sz w:val="21"/>
                <w:szCs w:val="21"/>
              </w:rPr>
              <w:t>元（含税），剩余可分配利润转入以后年度分配，该利润</w:t>
            </w:r>
            <w:r>
              <w:rPr>
                <w:rFonts w:ascii="宋体" w:hAnsi="宋体" w:cs="宋体" w:eastAsia="宋体" w:hint="default"/>
                <w:w w:val="100"/>
                <w:sz w:val="21"/>
                <w:szCs w:val="21"/>
              </w:rPr>
              <w:t> </w:t>
            </w:r>
            <w:r>
              <w:rPr>
                <w:rFonts w:ascii="宋体" w:hAnsi="宋体" w:cs="宋体" w:eastAsia="宋体" w:hint="default"/>
                <w:sz w:val="21"/>
                <w:szCs w:val="21"/>
              </w:rPr>
              <w:t>分配预案尚需股东大会批准后实施。</w:t>
            </w:r>
          </w:p>
        </w:tc>
      </w:tr>
      <w:tr>
        <w:trPr>
          <w:trHeight w:val="816"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05" w:right="235"/>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16</w:t>
            </w:r>
            <w:r>
              <w:rPr>
                <w:rFonts w:ascii="宋体" w:hAnsi="宋体" w:cs="宋体" w:eastAsia="宋体" w:hint="default"/>
                <w:spacing w:val="-47"/>
                <w:sz w:val="21"/>
                <w:szCs w:val="21"/>
              </w:rPr>
              <w:t> </w:t>
            </w:r>
            <w:r>
              <w:rPr>
                <w:rFonts w:ascii="宋体" w:hAnsi="宋体" w:cs="宋体" w:eastAsia="宋体" w:hint="default"/>
                <w:sz w:val="21"/>
                <w:szCs w:val="21"/>
              </w:rPr>
              <w:t>日，除以上事项外本公司未发生影响本财务报表阅读和理解的重大资产负债表日</w:t>
            </w:r>
            <w:r>
              <w:rPr>
                <w:rFonts w:ascii="宋体" w:hAnsi="宋体" w:cs="宋体" w:eastAsia="宋体" w:hint="default"/>
                <w:w w:val="100"/>
                <w:sz w:val="21"/>
                <w:szCs w:val="21"/>
              </w:rPr>
              <w:t> </w:t>
            </w:r>
            <w:r>
              <w:rPr>
                <w:rFonts w:ascii="宋体" w:hAnsi="宋体" w:cs="宋体" w:eastAsia="宋体" w:hint="default"/>
                <w:sz w:val="21"/>
                <w:szCs w:val="21"/>
              </w:rPr>
              <w:t>后事项。</w:t>
            </w:r>
          </w:p>
        </w:tc>
      </w:tr>
      <w:tr>
        <w:trPr>
          <w:trHeight w:val="545"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b/>
                <w:bCs/>
                <w:sz w:val="21"/>
                <w:szCs w:val="21"/>
              </w:rPr>
              <w:t>其他重要事项</w:t>
            </w:r>
            <w:r>
              <w:rPr>
                <w:rFonts w:ascii="宋体" w:hAnsi="宋体" w:cs="宋体" w:eastAsia="宋体" w:hint="default"/>
                <w:sz w:val="21"/>
                <w:szCs w:val="21"/>
              </w:rPr>
            </w:r>
          </w:p>
        </w:tc>
      </w:tr>
      <w:tr>
        <w:trPr>
          <w:trHeight w:val="378" w:hRule="exact"/>
        </w:trPr>
        <w:tc>
          <w:tcPr>
            <w:tcW w:w="1096" w:type="dxa"/>
            <w:tcBorders>
              <w:top w:val="nil" w:sz="6" w:space="0" w:color="auto"/>
              <w:left w:val="nil" w:sz="6" w:space="0" w:color="auto"/>
              <w:bottom w:val="nil" w:sz="6" w:space="0" w:color="auto"/>
              <w:right w:val="nil" w:sz="6" w:space="0" w:color="auto"/>
            </w:tcBorders>
          </w:tcPr>
          <w:p>
            <w:pPr/>
          </w:p>
        </w:tc>
        <w:tc>
          <w:tcPr>
            <w:tcW w:w="96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日，本公司未发生重大债务重组等其他影响本财务报表阅读和理解的重要事项。</w:t>
            </w:r>
          </w:p>
        </w:tc>
      </w:tr>
    </w:tbl>
    <w:p>
      <w:pPr>
        <w:spacing w:after="0" w:line="240" w:lineRule="auto"/>
        <w:jc w:val="left"/>
        <w:rPr>
          <w:rFonts w:ascii="宋体" w:hAnsi="宋体" w:cs="宋体" w:eastAsia="宋体" w:hint="default"/>
          <w:sz w:val="21"/>
          <w:szCs w:val="21"/>
        </w:rPr>
        <w:sectPr>
          <w:pgSz w:w="11910" w:h="16840"/>
          <w:pgMar w:header="886" w:footer="980" w:top="1740" w:bottom="1160" w:left="800" w:right="160"/>
        </w:sectPr>
      </w:pPr>
    </w:p>
    <w:p>
      <w:pPr>
        <w:spacing w:line="240" w:lineRule="auto" w:before="9"/>
        <w:rPr>
          <w:rFonts w:ascii="Times New Roman" w:hAnsi="Times New Roman" w:cs="Times New Roman" w:eastAsia="Times New Roman" w:hint="default"/>
          <w:sz w:val="4"/>
          <w:szCs w:val="4"/>
        </w:rPr>
      </w:pPr>
    </w:p>
    <w:p>
      <w:pPr>
        <w:spacing w:line="20" w:lineRule="exact"/>
        <w:ind w:left="6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3.7pt;height:.5pt;mso-position-horizontal-relative:char;mso-position-vertical-relative:line" coordorigin="0,0" coordsize="9874,10">
            <v:group style="position:absolute;left:5;top:5;width:9864;height:2" coordorigin="5,5" coordsize="9864,2">
              <v:shape style="position:absolute;left:5;top:5;width:9864;height:2" coordorigin="5,5" coordsize="9864,0" path="m5,5l986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p>
      <w:pPr>
        <w:tabs>
          <w:tab w:pos="826" w:val="left" w:leader="none"/>
        </w:tabs>
        <w:spacing w:before="36"/>
        <w:ind w:left="115" w:right="0" w:firstLine="0"/>
        <w:jc w:val="left"/>
        <w:rPr>
          <w:rFonts w:ascii="宋体" w:hAnsi="宋体" w:cs="宋体" w:eastAsia="宋体" w:hint="default"/>
          <w:sz w:val="21"/>
          <w:szCs w:val="21"/>
        </w:rPr>
      </w:pPr>
      <w:r>
        <w:rPr>
          <w:rFonts w:ascii="宋体" w:hAnsi="宋体" w:cs="宋体" w:eastAsia="宋体" w:hint="default"/>
          <w:b/>
          <w:bCs/>
          <w:w w:val="95"/>
          <w:sz w:val="21"/>
          <w:szCs w:val="21"/>
        </w:rPr>
        <w:t>12</w:t>
        <w:tab/>
      </w:r>
      <w:r>
        <w:rPr>
          <w:rFonts w:ascii="宋体" w:hAnsi="宋体" w:cs="宋体" w:eastAsia="宋体" w:hint="default"/>
          <w:b/>
          <w:bCs/>
          <w:sz w:val="21"/>
          <w:szCs w:val="21"/>
        </w:rPr>
        <w:t>公司财务报表主要项目注释</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826" w:val="left" w:leader="none"/>
        </w:tabs>
        <w:spacing w:before="0"/>
        <w:ind w:left="190" w:right="0" w:firstLine="0"/>
        <w:jc w:val="left"/>
        <w:rPr>
          <w:rFonts w:ascii="宋体" w:hAnsi="宋体" w:cs="宋体" w:eastAsia="宋体" w:hint="default"/>
          <w:sz w:val="21"/>
          <w:szCs w:val="21"/>
        </w:rPr>
      </w:pPr>
      <w:r>
        <w:rPr>
          <w:rFonts w:ascii="宋体" w:hAnsi="宋体" w:cs="宋体" w:eastAsia="宋体" w:hint="default"/>
          <w:sz w:val="21"/>
          <w:szCs w:val="21"/>
        </w:rPr>
        <w:t>12.1</w:t>
        <w:tab/>
      </w:r>
      <w:r>
        <w:rPr>
          <w:rFonts w:ascii="宋体" w:hAnsi="宋体" w:cs="宋体" w:eastAsia="宋体" w:hint="default"/>
          <w:sz w:val="21"/>
          <w:szCs w:val="21"/>
        </w:rPr>
        <w:t>应收账款</w:t>
      </w:r>
    </w:p>
    <w:p>
      <w:pPr>
        <w:spacing w:line="240" w:lineRule="auto" w:before="8"/>
        <w:rPr>
          <w:rFonts w:ascii="宋体" w:hAnsi="宋体" w:cs="宋体" w:eastAsia="宋体" w:hint="default"/>
          <w:sz w:val="20"/>
          <w:szCs w:val="20"/>
        </w:rPr>
      </w:pPr>
    </w:p>
    <w:p>
      <w:pPr>
        <w:spacing w:before="0"/>
        <w:ind w:left="826" w:right="0" w:firstLine="0"/>
        <w:jc w:val="left"/>
        <w:rPr>
          <w:rFonts w:ascii="宋体" w:hAnsi="宋体" w:cs="宋体" w:eastAsia="宋体" w:hint="default"/>
          <w:sz w:val="21"/>
          <w:szCs w:val="21"/>
        </w:rPr>
      </w:pPr>
      <w:r>
        <w:rPr>
          <w:rFonts w:ascii="宋体" w:hAnsi="宋体" w:cs="宋体" w:eastAsia="宋体" w:hint="default"/>
          <w:sz w:val="21"/>
          <w:szCs w:val="21"/>
        </w:rPr>
        <w:t>12.1.1</w:t>
      </w:r>
      <w:r>
        <w:rPr>
          <w:rFonts w:ascii="宋体" w:hAnsi="宋体" w:cs="宋体" w:eastAsia="宋体" w:hint="default"/>
          <w:spacing w:val="-2"/>
          <w:sz w:val="21"/>
          <w:szCs w:val="21"/>
        </w:rPr>
        <w:t> </w:t>
      </w:r>
      <w:r>
        <w:rPr>
          <w:rFonts w:ascii="宋体" w:hAnsi="宋体" w:cs="宋体" w:eastAsia="宋体" w:hint="default"/>
          <w:sz w:val="21"/>
          <w:szCs w:val="21"/>
        </w:rPr>
        <w:t>应收账款按种类分析如下：</w:t>
      </w:r>
    </w:p>
    <w:p>
      <w:pPr>
        <w:spacing w:line="240" w:lineRule="auto" w:before="0"/>
        <w:rPr>
          <w:rFonts w:ascii="宋体" w:hAnsi="宋体" w:cs="宋体" w:eastAsia="宋体" w:hint="default"/>
          <w:sz w:val="17"/>
          <w:szCs w:val="17"/>
        </w:rPr>
      </w:pPr>
    </w:p>
    <w:p>
      <w:pPr>
        <w:tabs>
          <w:tab w:pos="7683" w:val="left" w:leader="none"/>
        </w:tabs>
        <w:spacing w:before="54"/>
        <w:ind w:left="3709" w:right="0" w:firstLine="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tab/>
      </w: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r>
    </w:p>
    <w:p>
      <w:pPr>
        <w:spacing w:line="240" w:lineRule="auto" w:before="10"/>
        <w:rPr>
          <w:rFonts w:ascii="宋体" w:hAnsi="宋体" w:cs="宋体" w:eastAsia="宋体" w:hint="default"/>
          <w:sz w:val="7"/>
          <w:szCs w:val="7"/>
        </w:rPr>
      </w:pPr>
    </w:p>
    <w:p>
      <w:pPr>
        <w:tabs>
          <w:tab w:pos="6383" w:val="left" w:leader="none"/>
        </w:tabs>
        <w:spacing w:line="20" w:lineRule="exact"/>
        <w:ind w:left="2501" w:right="0" w:firstLine="0"/>
        <w:rPr>
          <w:rFonts w:ascii="宋体" w:hAnsi="宋体" w:cs="宋体" w:eastAsia="宋体" w:hint="default"/>
          <w:sz w:val="2"/>
          <w:szCs w:val="2"/>
        </w:rPr>
      </w:pPr>
      <w:r>
        <w:rPr>
          <w:rFonts w:ascii="宋体"/>
          <w:sz w:val="2"/>
        </w:rPr>
        <w:pict>
          <v:group style="width:182.95pt;height:1pt;mso-position-horizontal-relative:char;mso-position-vertical-relative:line" coordorigin="0,0" coordsize="3659,20">
            <v:group style="position:absolute;left:10;top:10;width:1988;height:2" coordorigin="10,10" coordsize="1988,2">
              <v:shape style="position:absolute;left:10;top:10;width:1988;height:2" coordorigin="10,10" coordsize="1988,0" path="m10,10l1997,10e" filled="false" stroked="true" strokeweight=".96001pt" strokecolor="#000000">
                <v:path arrowok="t"/>
              </v:shape>
            </v:group>
            <v:group style="position:absolute;left:1997;top:10;width:20;height:2" coordorigin="1997,10" coordsize="20,2">
              <v:shape style="position:absolute;left:1997;top:10;width:20;height:2" coordorigin="1997,10" coordsize="20,0" path="m1997,10l2017,10e" filled="false" stroked="true" strokeweight=".96001pt" strokecolor="#000000">
                <v:path arrowok="t"/>
              </v:shape>
            </v:group>
            <v:group style="position:absolute;left:2017;top:10;width:219;height:2" coordorigin="2017,10" coordsize="219,2">
              <v:shape style="position:absolute;left:2017;top:10;width:219;height:2" coordorigin="2017,10" coordsize="219,0" path="m2017,10l2235,10e" filled="false" stroked="true" strokeweight=".96001pt" strokecolor="#000000">
                <v:path arrowok="t"/>
              </v:shape>
            </v:group>
            <v:group style="position:absolute;left:2235;top:10;width:20;height:2" coordorigin="2235,10" coordsize="20,2">
              <v:shape style="position:absolute;left:2235;top:10;width:20;height:2" coordorigin="2235,10" coordsize="20,0" path="m2235,10l2254,10e" filled="false" stroked="true" strokeweight=".96001pt" strokecolor="#000000">
                <v:path arrowok="t"/>
              </v:shape>
            </v:group>
            <v:group style="position:absolute;left:2254;top:10;width:1395;height:2" coordorigin="2254,10" coordsize="1395,2">
              <v:shape style="position:absolute;left:2254;top:10;width:1395;height:2" coordorigin="2254,10" coordsize="1395,0" path="m2254,10l3649,10e" filled="false" stroked="true" strokeweight=".96001pt" strokecolor="#000000">
                <v:path arrowok="t"/>
              </v:shape>
            </v:group>
          </v:group>
        </w:pict>
      </w:r>
      <w:r>
        <w:rPr>
          <w:rFonts w:ascii="宋体"/>
          <w:sz w:val="2"/>
        </w:rPr>
      </w:r>
      <w:r>
        <w:rPr>
          <w:rFonts w:ascii="宋体"/>
          <w:sz w:val="2"/>
        </w:rPr>
        <w:tab/>
      </w:r>
      <w:r>
        <w:rPr>
          <w:rFonts w:ascii="宋体"/>
          <w:position w:val="1"/>
          <w:sz w:val="2"/>
        </w:rPr>
        <w:pict>
          <v:group style="width:192.05pt;height:.5pt;mso-position-horizontal-relative:char;mso-position-vertical-relative:line" coordorigin="0,0" coordsize="3841,10">
            <v:group style="position:absolute;left:5;top:5;width:2046;height:2" coordorigin="5,5" coordsize="2046,2">
              <v:shape style="position:absolute;left:5;top:5;width:2046;height:2" coordorigin="5,5" coordsize="2046,0" path="m5,5l2050,5e" filled="false" stroked="true" strokeweight=".48001pt" strokecolor="#000000">
                <v:path arrowok="t"/>
              </v:shape>
            </v:group>
            <v:group style="position:absolute;left:2050;top:5;width:10;height:2" coordorigin="2050,5" coordsize="10,2">
              <v:shape style="position:absolute;left:2050;top:5;width:10;height:2" coordorigin="2050,5" coordsize="10,0" path="m2050,5l2060,5e" filled="false" stroked="true" strokeweight=".48001pt" strokecolor="#000000">
                <v:path arrowok="t"/>
              </v:shape>
            </v:group>
            <v:group style="position:absolute;left:2060;top:5;width:228;height:2" coordorigin="2060,5" coordsize="228,2">
              <v:shape style="position:absolute;left:2060;top:5;width:228;height:2" coordorigin="2060,5" coordsize="228,0" path="m2060,5l2288,5e" filled="false" stroked="true" strokeweight=".48001pt" strokecolor="#000000">
                <v:path arrowok="t"/>
              </v:shape>
            </v:group>
            <v:group style="position:absolute;left:2288;top:5;width:10;height:2" coordorigin="2288,5" coordsize="10,2">
              <v:shape style="position:absolute;left:2288;top:5;width:10;height:2" coordorigin="2288,5" coordsize="10,0" path="m2288,5l2297,5e" filled="false" stroked="true" strokeweight=".48001pt" strokecolor="#000000">
                <v:path arrowok="t"/>
              </v:shape>
            </v:group>
            <v:group style="position:absolute;left:2297;top:5;width:1539;height:2" coordorigin="2297,5" coordsize="1539,2">
              <v:shape style="position:absolute;left:2297;top:5;width:1539;height:2" coordorigin="2297,5" coordsize="1539,0" path="m2297,5l3836,5e" filled="false" stroked="true" strokeweight=".48001pt" strokecolor="#000000">
                <v:path arrowok="t"/>
              </v:shape>
            </v:group>
          </v:group>
        </w:pict>
      </w:r>
      <w:r>
        <w:rPr>
          <w:rFonts w:ascii="宋体"/>
          <w:position w:val="1"/>
          <w:sz w:val="2"/>
        </w:rPr>
      </w:r>
    </w:p>
    <w:p>
      <w:pPr>
        <w:tabs>
          <w:tab w:pos="5141" w:val="left" w:leader="none"/>
          <w:tab w:pos="7110" w:val="left" w:leader="none"/>
          <w:tab w:pos="9143" w:val="left" w:leader="none"/>
        </w:tabs>
        <w:spacing w:line="236" w:lineRule="exact" w:before="0"/>
        <w:ind w:left="3202" w:right="0" w:firstLine="0"/>
        <w:jc w:val="left"/>
        <w:rPr>
          <w:rFonts w:ascii="宋体" w:hAnsi="宋体" w:cs="宋体" w:eastAsia="宋体" w:hint="default"/>
          <w:sz w:val="15"/>
          <w:szCs w:val="15"/>
        </w:rPr>
      </w:pPr>
      <w:r>
        <w:rPr>
          <w:rFonts w:ascii="宋体" w:hAnsi="宋体" w:cs="宋体" w:eastAsia="宋体" w:hint="default"/>
          <w:spacing w:val="-1"/>
          <w:position w:val="-7"/>
          <w:sz w:val="15"/>
          <w:szCs w:val="15"/>
        </w:rPr>
        <w:t>账面余额</w:t>
        <w:tab/>
      </w:r>
      <w:r>
        <w:rPr>
          <w:rFonts w:ascii="宋体" w:hAnsi="宋体" w:cs="宋体" w:eastAsia="宋体" w:hint="default"/>
          <w:spacing w:val="-1"/>
          <w:sz w:val="15"/>
          <w:szCs w:val="15"/>
        </w:rPr>
        <w:t>坏账准备</w:t>
        <w:tab/>
      </w:r>
      <w:r>
        <w:rPr>
          <w:rFonts w:ascii="宋体" w:hAnsi="宋体" w:cs="宋体" w:eastAsia="宋体" w:hint="default"/>
          <w:spacing w:val="-1"/>
          <w:position w:val="-7"/>
          <w:sz w:val="15"/>
          <w:szCs w:val="15"/>
        </w:rPr>
        <w:t>账面余额</w:t>
        <w:tab/>
      </w:r>
      <w:r>
        <w:rPr>
          <w:rFonts w:ascii="宋体" w:hAnsi="宋体" w:cs="宋体" w:eastAsia="宋体" w:hint="default"/>
          <w:spacing w:val="-1"/>
          <w:sz w:val="15"/>
          <w:szCs w:val="15"/>
        </w:rPr>
        <w:t>坏账准备</w:t>
      </w:r>
    </w:p>
    <w:p>
      <w:pPr>
        <w:spacing w:line="78" w:lineRule="exact" w:before="0"/>
        <w:ind w:left="1342" w:right="0" w:firstLine="0"/>
        <w:jc w:val="left"/>
        <w:rPr>
          <w:rFonts w:ascii="宋体" w:hAnsi="宋体" w:cs="宋体" w:eastAsia="宋体" w:hint="default"/>
          <w:sz w:val="15"/>
          <w:szCs w:val="15"/>
        </w:rPr>
      </w:pPr>
      <w:r>
        <w:rPr/>
        <w:pict>
          <v:group style="position:absolute;margin-left:179.059998pt;margin-top:1.852566pt;width:100.35pt;height:1pt;mso-position-horizontal-relative:page;mso-position-vertical-relative:paragraph;z-index:4096" coordorigin="3581,37" coordsize="2007,20">
            <v:group style="position:absolute;left:3591;top:47;width:1177;height:2" coordorigin="3591,47" coordsize="1177,2">
              <v:shape style="position:absolute;left:3591;top:47;width:1177;height:2" coordorigin="3591,47" coordsize="1177,0" path="m3591,47l4767,47e" filled="false" stroked="true" strokeweight=".95999pt" strokecolor="#000000">
                <v:path arrowok="t"/>
              </v:shape>
            </v:group>
            <v:group style="position:absolute;left:4767;top:47;width:20;height:2" coordorigin="4767,47" coordsize="20,2">
              <v:shape style="position:absolute;left:4767;top:47;width:20;height:2" coordorigin="4767,47" coordsize="20,0" path="m4767,47l4787,47e" filled="false" stroked="true" strokeweight=".95999pt" strokecolor="#000000">
                <v:path arrowok="t"/>
              </v:shape>
            </v:group>
            <v:group style="position:absolute;left:4787;top:47;width:219;height:2" coordorigin="4787,47" coordsize="219,2">
              <v:shape style="position:absolute;left:4787;top:47;width:219;height:2" coordorigin="4787,47" coordsize="219,0" path="m4787,47l5005,47e" filled="false" stroked="true" strokeweight=".95999pt" strokecolor="#000000">
                <v:path arrowok="t"/>
              </v:shape>
            </v:group>
            <v:group style="position:absolute;left:5005;top:47;width:20;height:2" coordorigin="5005,47" coordsize="20,2">
              <v:shape style="position:absolute;left:5005;top:47;width:20;height:2" coordorigin="5005,47" coordsize="20,0" path="m5005,47l5024,47e" filled="false" stroked="true" strokeweight=".95999pt" strokecolor="#000000">
                <v:path arrowok="t"/>
              </v:shape>
            </v:group>
            <v:group style="position:absolute;left:5024;top:47;width:555;height:2" coordorigin="5024,47" coordsize="555,2">
              <v:shape style="position:absolute;left:5024;top:47;width:555;height:2" coordorigin="5024,47" coordsize="555,0" path="m5024,47l5579,47e" filled="false" stroked="true" strokeweight=".95999pt" strokecolor="#000000">
                <v:path arrowok="t"/>
              </v:shape>
            </v:group>
            <w10:wrap type="none"/>
          </v:group>
        </w:pict>
      </w:r>
      <w:r>
        <w:rPr/>
        <w:pict>
          <v:group style="position:absolute;margin-left:290.330017pt;margin-top:1.852566pt;width:71.7pt;height:1pt;mso-position-horizontal-relative:page;mso-position-vertical-relative:paragraph;z-index:4120" coordorigin="5807,37" coordsize="1434,20">
            <v:group style="position:absolute;left:5816;top:47;width:589;height:2" coordorigin="5816,47" coordsize="589,2">
              <v:shape style="position:absolute;left:5816;top:47;width:589;height:2" coordorigin="5816,47" coordsize="589,0" path="m5816,47l6405,47e" filled="false" stroked="true" strokeweight=".95999pt" strokecolor="#000000">
                <v:path arrowok="t"/>
              </v:shape>
            </v:group>
            <v:group style="position:absolute;left:6405;top:47;width:20;height:2" coordorigin="6405,47" coordsize="20,2">
              <v:shape style="position:absolute;left:6405;top:47;width:20;height:2" coordorigin="6405,47" coordsize="20,0" path="m6405,47l6424,47e" filled="false" stroked="true" strokeweight=".95999pt" strokecolor="#000000">
                <v:path arrowok="t"/>
              </v:shape>
            </v:group>
            <v:group style="position:absolute;left:6424;top:47;width:219;height:2" coordorigin="6424,47" coordsize="219,2">
              <v:shape style="position:absolute;left:6424;top:47;width:219;height:2" coordorigin="6424,47" coordsize="219,0" path="m6424,47l6642,47e" filled="false" stroked="true" strokeweight=".95999pt" strokecolor="#000000">
                <v:path arrowok="t"/>
              </v:shape>
            </v:group>
            <v:group style="position:absolute;left:6642;top:47;width:20;height:2" coordorigin="6642,47" coordsize="20,2">
              <v:shape style="position:absolute;left:6642;top:47;width:20;height:2" coordorigin="6642,47" coordsize="20,0" path="m6642,47l6661,47e" filled="false" stroked="true" strokeweight=".95999pt" strokecolor="#000000">
                <v:path arrowok="t"/>
              </v:shape>
            </v:group>
            <v:group style="position:absolute;left:6661;top:47;width:569;height:2" coordorigin="6661,47" coordsize="569,2">
              <v:shape style="position:absolute;left:6661;top:47;width:569;height:2" coordorigin="6661,47" coordsize="569,0" path="m6661,47l7230,47e" filled="false" stroked="true" strokeweight=".95999pt" strokecolor="#000000">
                <v:path arrowok="t"/>
              </v:shape>
            </v:group>
            <w10:wrap type="none"/>
          </v:group>
        </w:pict>
      </w:r>
      <w:r>
        <w:rPr/>
        <w:pict>
          <v:group style="position:absolute;margin-left:372.910004pt;margin-top:1.852566pt;width:103.25pt;height:1pt;mso-position-horizontal-relative:page;mso-position-vertical-relative:paragraph;z-index:4144" coordorigin="7458,37" coordsize="2065,20">
            <v:group style="position:absolute;left:7468;top:47;width:1176;height:2" coordorigin="7468,47" coordsize="1176,2">
              <v:shape style="position:absolute;left:7468;top:47;width:1176;height:2" coordorigin="7468,47" coordsize="1176,0" path="m7468,47l8644,47e" filled="false" stroked="true" strokeweight=".95999pt" strokecolor="#000000">
                <v:path arrowok="t"/>
              </v:shape>
            </v:group>
            <v:group style="position:absolute;left:8644;top:47;width:20;height:2" coordorigin="8644,47" coordsize="20,2">
              <v:shape style="position:absolute;left:8644;top:47;width:20;height:2" coordorigin="8644,47" coordsize="20,0" path="m8644,47l8663,47e" filled="false" stroked="true" strokeweight=".95999pt" strokecolor="#000000">
                <v:path arrowok="t"/>
              </v:shape>
            </v:group>
            <v:group style="position:absolute;left:8663;top:47;width:219;height:2" coordorigin="8663,47" coordsize="219,2">
              <v:shape style="position:absolute;left:8663;top:47;width:219;height:2" coordorigin="8663,47" coordsize="219,0" path="m8663,47l8882,47e" filled="false" stroked="true" strokeweight=".95999pt" strokecolor="#000000">
                <v:path arrowok="t"/>
              </v:shape>
            </v:group>
            <v:group style="position:absolute;left:8882;top:47;width:20;height:2" coordorigin="8882,47" coordsize="20,2">
              <v:shape style="position:absolute;left:8882;top:47;width:20;height:2" coordorigin="8882,47" coordsize="20,0" path="m8882,47l8901,47e" filled="false" stroked="true" strokeweight=".95999pt" strokecolor="#000000">
                <v:path arrowok="t"/>
              </v:shape>
            </v:group>
            <v:group style="position:absolute;left:8901;top:47;width:612;height:2" coordorigin="8901,47" coordsize="612,2">
              <v:shape style="position:absolute;left:8901;top:47;width:612;height:2" coordorigin="8901,47" coordsize="612,0" path="m8901,47l9513,47e" filled="false" stroked="true" strokeweight=".95999pt" strokecolor="#000000">
                <v:path arrowok="t"/>
              </v:shape>
            </v:group>
            <w10:wrap type="none"/>
          </v:group>
        </w:pict>
      </w:r>
      <w:r>
        <w:rPr/>
        <w:pict>
          <v:group style="position:absolute;margin-left:487.059998pt;margin-top:1.852566pt;width:78.4pt;height:1pt;mso-position-horizontal-relative:page;mso-position-vertical-relative:paragraph;z-index:4168" coordorigin="9741,37" coordsize="1568,20">
            <v:group style="position:absolute;left:9751;top:47;width:696;height:2" coordorigin="9751,47" coordsize="696,2">
              <v:shape style="position:absolute;left:9751;top:47;width:696;height:2" coordorigin="9751,47" coordsize="696,0" path="m9751,47l10447,47e" filled="false" stroked="true" strokeweight=".95999pt" strokecolor="#000000">
                <v:path arrowok="t"/>
              </v:shape>
            </v:group>
            <v:group style="position:absolute;left:10447;top:47;width:20;height:2" coordorigin="10447,47" coordsize="20,2">
              <v:shape style="position:absolute;left:10447;top:47;width:20;height:2" coordorigin="10447,47" coordsize="20,0" path="m10447,47l10466,47e" filled="false" stroked="true" strokeweight=".95999pt" strokecolor="#000000">
                <v:path arrowok="t"/>
              </v:shape>
            </v:group>
            <v:group style="position:absolute;left:10466;top:47;width:264;height:2" coordorigin="10466,47" coordsize="264,2">
              <v:shape style="position:absolute;left:10466;top:47;width:264;height:2" coordorigin="10466,47" coordsize="264,0" path="m10466,47l10730,47e" filled="false" stroked="true" strokeweight=".95999pt" strokecolor="#000000">
                <v:path arrowok="t"/>
              </v:shape>
            </v:group>
            <v:group style="position:absolute;left:10730;top:47;width:20;height:2" coordorigin="10730,47" coordsize="20,2">
              <v:shape style="position:absolute;left:10730;top:47;width:20;height:2" coordorigin="10730,47" coordsize="20,0" path="m10730,47l10749,47e" filled="false" stroked="true" strokeweight=".95999pt" strokecolor="#000000">
                <v:path arrowok="t"/>
              </v:shape>
            </v:group>
            <v:group style="position:absolute;left:10749;top:47;width:550;height:2" coordorigin="10749,47" coordsize="550,2">
              <v:shape style="position:absolute;left:10749;top:47;width:550;height:2" coordorigin="10749,47" coordsize="550,0" path="m10749,47l11299,47e" filled="false" stroked="true" strokeweight=".95999pt" strokecolor="#000000">
                <v:path arrowok="t"/>
              </v:shape>
            </v:group>
            <w10:wrap type="none"/>
          </v:group>
        </w:pict>
      </w:r>
      <w:r>
        <w:rPr>
          <w:rFonts w:ascii="宋体" w:hAnsi="宋体" w:cs="宋体" w:eastAsia="宋体" w:hint="default"/>
          <w:sz w:val="15"/>
          <w:szCs w:val="15"/>
        </w:rPr>
        <w:t>种类</w:t>
      </w:r>
    </w:p>
    <w:p>
      <w:pPr>
        <w:spacing w:after="0" w:line="78" w:lineRule="exact"/>
        <w:jc w:val="left"/>
        <w:rPr>
          <w:rFonts w:ascii="宋体" w:hAnsi="宋体" w:cs="宋体" w:eastAsia="宋体" w:hint="default"/>
          <w:sz w:val="15"/>
          <w:szCs w:val="15"/>
        </w:rPr>
        <w:sectPr>
          <w:pgSz w:w="11910" w:h="16840"/>
          <w:pgMar w:header="886" w:footer="980" w:top="1740" w:bottom="1160" w:left="1080" w:right="160"/>
        </w:sectPr>
      </w:pPr>
    </w:p>
    <w:p>
      <w:pPr>
        <w:tabs>
          <w:tab w:pos="4121" w:val="left" w:leader="none"/>
          <w:tab w:pos="5706" w:val="left" w:leader="none"/>
        </w:tabs>
        <w:spacing w:line="251" w:lineRule="exact" w:before="0"/>
        <w:ind w:left="2945" w:right="-18" w:firstLine="0"/>
        <w:jc w:val="left"/>
        <w:rPr>
          <w:rFonts w:ascii="宋体" w:hAnsi="宋体" w:cs="宋体" w:eastAsia="宋体" w:hint="default"/>
          <w:sz w:val="15"/>
          <w:szCs w:val="15"/>
        </w:rPr>
      </w:pPr>
      <w:r>
        <w:rPr/>
        <w:pict>
          <v:shape style="position:absolute;margin-left:89.903999pt;margin-top:9.720pt;width:475.05pt;height:146.25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9"/>
                    <w:gridCol w:w="252"/>
                    <w:gridCol w:w="559"/>
                    <w:gridCol w:w="265"/>
                    <w:gridCol w:w="2800"/>
                    <w:gridCol w:w="231"/>
                    <w:gridCol w:w="639"/>
                    <w:gridCol w:w="238"/>
                    <w:gridCol w:w="1548"/>
                  </w:tblGrid>
                  <w:tr>
                    <w:trPr>
                      <w:trHeight w:val="183" w:hRule="exact"/>
                    </w:trPr>
                    <w:tc>
                      <w:tcPr>
                        <w:tcW w:w="3221" w:type="dxa"/>
                        <w:gridSpan w:val="2"/>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8" w:space="0" w:color="000000"/>
                          <w:right w:val="nil" w:sz="6" w:space="0" w:color="auto"/>
                        </w:tcBorders>
                      </w:tcPr>
                      <w:p>
                        <w:pPr>
                          <w:pStyle w:val="TableParagraph"/>
                          <w:spacing w:line="151" w:lineRule="exact"/>
                          <w:ind w:right="35"/>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宋体" w:hAnsi="宋体" w:cs="宋体" w:eastAsia="宋体" w:hint="default"/>
                            <w:spacing w:val="-1"/>
                            <w:sz w:val="15"/>
                            <w:szCs w:val="15"/>
                          </w:rPr>
                          <w:t>%</w:t>
                        </w:r>
                        <w:r>
                          <w:rPr>
                            <w:rFonts w:ascii="宋体" w:hAnsi="宋体" w:cs="宋体" w:eastAsia="宋体" w:hint="default"/>
                            <w:spacing w:val="-1"/>
                            <w:sz w:val="15"/>
                            <w:szCs w:val="15"/>
                          </w:rPr>
                          <w:t>）</w:t>
                        </w:r>
                      </w:p>
                    </w:tc>
                    <w:tc>
                      <w:tcPr>
                        <w:tcW w:w="265" w:type="dxa"/>
                        <w:tcBorders>
                          <w:top w:val="nil" w:sz="6" w:space="0" w:color="auto"/>
                          <w:left w:val="nil" w:sz="6" w:space="0" w:color="auto"/>
                          <w:bottom w:val="nil" w:sz="6" w:space="0" w:color="auto"/>
                          <w:right w:val="nil" w:sz="6" w:space="0" w:color="auto"/>
                        </w:tcBorders>
                      </w:tcPr>
                      <w:p>
                        <w:pPr/>
                      </w:p>
                    </w:tc>
                    <w:tc>
                      <w:tcPr>
                        <w:tcW w:w="2800" w:type="dxa"/>
                        <w:tcBorders>
                          <w:top w:val="nil" w:sz="6" w:space="0" w:color="auto"/>
                          <w:left w:val="nil" w:sz="6" w:space="0" w:color="auto"/>
                          <w:bottom w:val="single" w:sz="8" w:space="0" w:color="000000"/>
                          <w:right w:val="nil" w:sz="6" w:space="0" w:color="auto"/>
                        </w:tcBorders>
                      </w:tcPr>
                      <w:p>
                        <w:pPr>
                          <w:pStyle w:val="TableParagraph"/>
                          <w:tabs>
                            <w:tab w:pos="906" w:val="left" w:leader="none"/>
                            <w:tab w:pos="2060" w:val="left" w:leader="none"/>
                          </w:tabs>
                          <w:spacing w:line="155" w:lineRule="exact"/>
                          <w:ind w:left="116" w:right="0"/>
                          <w:jc w:val="left"/>
                          <w:rPr>
                            <w:rFonts w:ascii="宋体" w:hAnsi="宋体" w:cs="宋体" w:eastAsia="宋体" w:hint="default"/>
                            <w:sz w:val="15"/>
                            <w:szCs w:val="15"/>
                          </w:rPr>
                        </w:pPr>
                        <w:r>
                          <w:rPr>
                            <w:rFonts w:ascii="宋体" w:hAnsi="宋体" w:cs="宋体" w:eastAsia="宋体" w:hint="default"/>
                            <w:sz w:val="15"/>
                            <w:szCs w:val="15"/>
                          </w:rPr>
                          <w:t>金额</w:t>
                          <w:tab/>
                        </w:r>
                        <w:r>
                          <w:rPr>
                            <w:rFonts w:ascii="宋体" w:hAnsi="宋体" w:cs="宋体" w:eastAsia="宋体" w:hint="default"/>
                            <w:spacing w:val="-1"/>
                            <w:position w:val="-9"/>
                            <w:sz w:val="15"/>
                            <w:szCs w:val="15"/>
                          </w:rPr>
                          <w:t>（</w:t>
                        </w:r>
                        <w:r>
                          <w:rPr>
                            <w:rFonts w:ascii="宋体" w:hAnsi="宋体" w:cs="宋体" w:eastAsia="宋体" w:hint="default"/>
                            <w:spacing w:val="-1"/>
                            <w:position w:val="-9"/>
                            <w:sz w:val="15"/>
                            <w:szCs w:val="15"/>
                          </w:rPr>
                          <w:t>%</w:t>
                        </w:r>
                        <w:r>
                          <w:rPr>
                            <w:rFonts w:ascii="宋体" w:hAnsi="宋体" w:cs="宋体" w:eastAsia="宋体" w:hint="default"/>
                            <w:spacing w:val="-1"/>
                            <w:position w:val="-9"/>
                            <w:sz w:val="15"/>
                            <w:szCs w:val="15"/>
                          </w:rPr>
                          <w:t>）</w:t>
                          <w:tab/>
                        </w:r>
                        <w:r>
                          <w:rPr>
                            <w:rFonts w:ascii="宋体" w:hAnsi="宋体" w:cs="宋体" w:eastAsia="宋体" w:hint="default"/>
                            <w:sz w:val="15"/>
                            <w:szCs w:val="15"/>
                          </w:rPr>
                          <w:t>金额</w:t>
                        </w:r>
                      </w:p>
                    </w:tc>
                    <w:tc>
                      <w:tcPr>
                        <w:tcW w:w="231"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single" w:sz="8" w:space="0" w:color="000000"/>
                          <w:right w:val="nil" w:sz="6" w:space="0" w:color="auto"/>
                        </w:tcBorders>
                      </w:tcPr>
                      <w:p>
                        <w:pPr>
                          <w:pStyle w:val="TableParagraph"/>
                          <w:spacing w:line="151" w:lineRule="exact"/>
                          <w:ind w:right="125"/>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宋体" w:hAnsi="宋体" w:cs="宋体" w:eastAsia="宋体" w:hint="default"/>
                            <w:spacing w:val="-1"/>
                            <w:sz w:val="15"/>
                            <w:szCs w:val="15"/>
                          </w:rPr>
                          <w:t>%</w:t>
                        </w:r>
                        <w:r>
                          <w:rPr>
                            <w:rFonts w:ascii="宋体" w:hAnsi="宋体" w:cs="宋体" w:eastAsia="宋体" w:hint="default"/>
                            <w:spacing w:val="-1"/>
                            <w:sz w:val="15"/>
                            <w:szCs w:val="15"/>
                          </w:rPr>
                          <w:t>）</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8" w:space="0" w:color="000000"/>
                          <w:right w:val="nil" w:sz="6" w:space="0" w:color="auto"/>
                        </w:tcBorders>
                      </w:tcPr>
                      <w:p>
                        <w:pPr>
                          <w:pStyle w:val="TableParagraph"/>
                          <w:tabs>
                            <w:tab w:pos="890" w:val="left" w:leader="none"/>
                          </w:tabs>
                          <w:spacing w:line="151" w:lineRule="exact"/>
                          <w:ind w:right="83"/>
                          <w:jc w:val="right"/>
                          <w:rPr>
                            <w:rFonts w:ascii="宋体" w:hAnsi="宋体" w:cs="宋体" w:eastAsia="宋体" w:hint="default"/>
                            <w:sz w:val="15"/>
                            <w:szCs w:val="15"/>
                          </w:rPr>
                        </w:pPr>
                        <w:r>
                          <w:rPr>
                            <w:rFonts w:ascii="宋体" w:hAnsi="宋体" w:cs="宋体" w:eastAsia="宋体" w:hint="default"/>
                            <w:position w:val="10"/>
                            <w:sz w:val="15"/>
                            <w:szCs w:val="15"/>
                          </w:rPr>
                          <w:t>金额</w:t>
                          <w:tab/>
                        </w:r>
                        <w:r>
                          <w:rPr>
                            <w:rFonts w:ascii="宋体" w:hAnsi="宋体" w:cs="宋体" w:eastAsia="宋体" w:hint="default"/>
                            <w:spacing w:val="-1"/>
                            <w:sz w:val="15"/>
                            <w:szCs w:val="15"/>
                          </w:rPr>
                          <w:t>（</w:t>
                        </w:r>
                        <w:r>
                          <w:rPr>
                            <w:rFonts w:ascii="宋体" w:hAnsi="宋体" w:cs="宋体" w:eastAsia="宋体" w:hint="default"/>
                            <w:spacing w:val="-1"/>
                            <w:sz w:val="15"/>
                            <w:szCs w:val="15"/>
                          </w:rPr>
                          <w:t>%</w:t>
                        </w:r>
                        <w:r>
                          <w:rPr>
                            <w:rFonts w:ascii="宋体" w:hAnsi="宋体" w:cs="宋体" w:eastAsia="宋体" w:hint="default"/>
                            <w:spacing w:val="-1"/>
                            <w:sz w:val="15"/>
                            <w:szCs w:val="15"/>
                          </w:rPr>
                          <w:t>）</w:t>
                        </w:r>
                      </w:p>
                    </w:tc>
                  </w:tr>
                  <w:tr>
                    <w:trPr>
                      <w:trHeight w:val="614" w:hRule="exact"/>
                    </w:trPr>
                    <w:tc>
                      <w:tcPr>
                        <w:tcW w:w="2969" w:type="dxa"/>
                        <w:tcBorders>
                          <w:top w:val="single" w:sz="8" w:space="0" w:color="000000"/>
                          <w:left w:val="nil" w:sz="6" w:space="0" w:color="auto"/>
                          <w:bottom w:val="nil" w:sz="6" w:space="0" w:color="auto"/>
                          <w:right w:val="nil" w:sz="6" w:space="0" w:color="auto"/>
                        </w:tcBorders>
                      </w:tcPr>
                      <w:p>
                        <w:pPr>
                          <w:pStyle w:val="TableParagraph"/>
                          <w:spacing w:line="174" w:lineRule="exact"/>
                          <w:ind w:left="108" w:right="0"/>
                          <w:jc w:val="left"/>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pacing w:val="7"/>
                            <w:sz w:val="15"/>
                            <w:szCs w:val="15"/>
                          </w:rPr>
                          <w:t>金额</w:t>
                        </w:r>
                        <w:r>
                          <w:rPr>
                            <w:rFonts w:ascii="宋体" w:hAnsi="宋体" w:cs="宋体" w:eastAsia="宋体" w:hint="default"/>
                            <w:spacing w:val="-53"/>
                            <w:sz w:val="15"/>
                            <w:szCs w:val="15"/>
                          </w:rPr>
                          <w:t> </w:t>
                        </w:r>
                        <w:r>
                          <w:rPr>
                            <w:rFonts w:ascii="宋体" w:hAnsi="宋体" w:cs="宋体" w:eastAsia="宋体" w:hint="default"/>
                            <w:spacing w:val="7"/>
                            <w:sz w:val="15"/>
                            <w:szCs w:val="15"/>
                          </w:rPr>
                          <w:t>重大</w:t>
                        </w:r>
                        <w:r>
                          <w:rPr>
                            <w:rFonts w:ascii="宋体" w:hAnsi="宋体" w:cs="宋体" w:eastAsia="宋体" w:hint="default"/>
                            <w:spacing w:val="-53"/>
                            <w:sz w:val="15"/>
                            <w:szCs w:val="15"/>
                          </w:rPr>
                          <w:t> </w:t>
                        </w:r>
                        <w:r>
                          <w:rPr>
                            <w:rFonts w:ascii="宋体" w:hAnsi="宋体" w:cs="宋体" w:eastAsia="宋体" w:hint="default"/>
                            <w:spacing w:val="7"/>
                            <w:sz w:val="15"/>
                            <w:szCs w:val="15"/>
                          </w:rPr>
                          <w:t>并单</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tabs>
                            <w:tab w:pos="2784" w:val="left" w:leader="none"/>
                          </w:tabs>
                          <w:spacing w:line="240" w:lineRule="auto"/>
                          <w:ind w:left="108" w:right="107"/>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z w:val="15"/>
                            <w:szCs w:val="15"/>
                          </w:rPr>
                          <w:t>计</w:t>
                        </w:r>
                        <w:r>
                          <w:rPr>
                            <w:rFonts w:ascii="宋体" w:hAnsi="宋体" w:cs="宋体" w:eastAsia="宋体" w:hint="default"/>
                            <w:spacing w:val="-53"/>
                            <w:sz w:val="15"/>
                            <w:szCs w:val="15"/>
                          </w:rPr>
                          <w:t> </w:t>
                        </w:r>
                        <w:r>
                          <w:rPr>
                            <w:rFonts w:ascii="宋体" w:hAnsi="宋体" w:cs="宋体" w:eastAsia="宋体" w:hint="default"/>
                            <w:spacing w:val="7"/>
                            <w:sz w:val="15"/>
                            <w:szCs w:val="15"/>
                          </w:rPr>
                          <w:t>提坏</w:t>
                        </w:r>
                        <w:r>
                          <w:rPr>
                            <w:rFonts w:ascii="宋体" w:hAnsi="宋体" w:cs="宋体" w:eastAsia="宋体" w:hint="default"/>
                            <w:spacing w:val="-53"/>
                            <w:sz w:val="15"/>
                            <w:szCs w:val="15"/>
                          </w:rPr>
                          <w:t> </w:t>
                        </w:r>
                        <w:r>
                          <w:rPr>
                            <w:rFonts w:ascii="宋体" w:hAnsi="宋体" w:cs="宋体" w:eastAsia="宋体" w:hint="default"/>
                            <w:spacing w:val="7"/>
                            <w:sz w:val="15"/>
                            <w:szCs w:val="15"/>
                          </w:rPr>
                          <w:t>账准</w:t>
                        </w:r>
                        <w:r>
                          <w:rPr>
                            <w:rFonts w:ascii="宋体" w:hAnsi="宋体" w:cs="宋体" w:eastAsia="宋体" w:hint="default"/>
                            <w:spacing w:val="-53"/>
                            <w:sz w:val="15"/>
                            <w:szCs w:val="15"/>
                          </w:rPr>
                          <w:t> </w:t>
                        </w:r>
                        <w:r>
                          <w:rPr>
                            <w:rFonts w:ascii="宋体" w:hAnsi="宋体" w:cs="宋体" w:eastAsia="宋体" w:hint="default"/>
                            <w:spacing w:val="7"/>
                            <w:sz w:val="15"/>
                            <w:szCs w:val="15"/>
                          </w:rPr>
                          <w:t>备的</w:t>
                          <w:tab/>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应收账款</w:t>
                        </w:r>
                      </w:p>
                    </w:tc>
                    <w:tc>
                      <w:tcPr>
                        <w:tcW w:w="252" w:type="dxa"/>
                        <w:tcBorders>
                          <w:top w:val="nil" w:sz="6" w:space="0" w:color="auto"/>
                          <w:left w:val="nil" w:sz="6" w:space="0" w:color="auto"/>
                          <w:bottom w:val="nil" w:sz="6" w:space="0" w:color="auto"/>
                          <w:right w:val="nil" w:sz="6" w:space="0" w:color="auto"/>
                        </w:tcBorders>
                      </w:tcPr>
                      <w:p>
                        <w:pPr/>
                      </w:p>
                    </w:tc>
                    <w:tc>
                      <w:tcPr>
                        <w:tcW w:w="55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5"/>
                            <w:szCs w:val="15"/>
                          </w:rPr>
                        </w:pPr>
                        <w:r>
                          <w:rPr>
                            <w:rFonts w:ascii="宋体"/>
                            <w:w w:val="100"/>
                            <w:sz w:val="15"/>
                          </w:rPr>
                          <w:t>-</w:t>
                        </w:r>
                      </w:p>
                    </w:tc>
                    <w:tc>
                      <w:tcPr>
                        <w:tcW w:w="265" w:type="dxa"/>
                        <w:tcBorders>
                          <w:top w:val="nil" w:sz="6" w:space="0" w:color="auto"/>
                          <w:left w:val="nil" w:sz="6" w:space="0" w:color="auto"/>
                          <w:bottom w:val="nil" w:sz="6" w:space="0" w:color="auto"/>
                          <w:right w:val="nil" w:sz="6" w:space="0" w:color="auto"/>
                        </w:tcBorders>
                      </w:tcPr>
                      <w:p>
                        <w:pPr/>
                      </w:p>
                    </w:tc>
                    <w:tc>
                      <w:tcPr>
                        <w:tcW w:w="280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tabs>
                            <w:tab w:pos="825" w:val="left" w:leader="none"/>
                            <w:tab w:pos="2239" w:val="left" w:leader="none"/>
                          </w:tabs>
                          <w:spacing w:line="240" w:lineRule="auto"/>
                          <w:ind w:right="104"/>
                          <w:jc w:val="right"/>
                          <w:rPr>
                            <w:rFonts w:ascii="宋体" w:hAnsi="宋体" w:cs="宋体" w:eastAsia="宋体" w:hint="default"/>
                            <w:sz w:val="15"/>
                            <w:szCs w:val="15"/>
                          </w:rPr>
                        </w:pPr>
                        <w:r>
                          <w:rPr>
                            <w:rFonts w:ascii="宋体"/>
                            <w:sz w:val="15"/>
                          </w:rPr>
                          <w:t>-</w:t>
                          <w:tab/>
                          <w:t>-</w:t>
                          <w:tab/>
                          <w:t>-</w:t>
                        </w:r>
                      </w:p>
                    </w:tc>
                    <w:tc>
                      <w:tcPr>
                        <w:tcW w:w="231" w:type="dxa"/>
                        <w:tcBorders>
                          <w:top w:val="nil" w:sz="6" w:space="0" w:color="auto"/>
                          <w:left w:val="nil" w:sz="6" w:space="0" w:color="auto"/>
                          <w:bottom w:val="nil" w:sz="6" w:space="0" w:color="auto"/>
                          <w:right w:val="nil" w:sz="6" w:space="0" w:color="auto"/>
                        </w:tcBorders>
                      </w:tcPr>
                      <w:p>
                        <w:pPr/>
                      </w:p>
                    </w:tc>
                    <w:tc>
                      <w:tcPr>
                        <w:tcW w:w="63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5"/>
                            <w:szCs w:val="15"/>
                          </w:rPr>
                        </w:pPr>
                        <w:r>
                          <w:rPr>
                            <w:rFonts w:ascii="宋体"/>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tabs>
                            <w:tab w:pos="851" w:val="left" w:leader="none"/>
                          </w:tabs>
                          <w:spacing w:line="240" w:lineRule="auto"/>
                          <w:ind w:right="104"/>
                          <w:jc w:val="right"/>
                          <w:rPr>
                            <w:rFonts w:ascii="宋体" w:hAnsi="宋体" w:cs="宋体" w:eastAsia="宋体" w:hint="default"/>
                            <w:sz w:val="15"/>
                            <w:szCs w:val="15"/>
                          </w:rPr>
                        </w:pPr>
                        <w:r>
                          <w:rPr>
                            <w:rFonts w:ascii="宋体"/>
                            <w:sz w:val="15"/>
                          </w:rPr>
                          <w:t>-</w:t>
                          <w:tab/>
                          <w:t>-</w:t>
                        </w:r>
                      </w:p>
                    </w:tc>
                  </w:tr>
                  <w:tr>
                    <w:trPr>
                      <w:trHeight w:val="273"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192" w:lineRule="exact"/>
                          <w:ind w:left="108"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tc>
                    <w:tc>
                      <w:tcPr>
                        <w:tcW w:w="25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800"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r>
                  <w:tr>
                    <w:trPr>
                      <w:trHeight w:val="681" w:hRule="exact"/>
                    </w:trPr>
                    <w:tc>
                      <w:tcPr>
                        <w:tcW w:w="2969" w:type="dxa"/>
                        <w:tcBorders>
                          <w:top w:val="nil" w:sz="6" w:space="0" w:color="auto"/>
                          <w:left w:val="nil" w:sz="6" w:space="0" w:color="auto"/>
                          <w:bottom w:val="nil" w:sz="6" w:space="0" w:color="auto"/>
                          <w:right w:val="nil" w:sz="6" w:space="0" w:color="auto"/>
                        </w:tcBorders>
                      </w:tcPr>
                      <w:p>
                        <w:pPr>
                          <w:pStyle w:val="TableParagraph"/>
                          <w:tabs>
                            <w:tab w:pos="1972" w:val="left" w:leader="none"/>
                          </w:tabs>
                          <w:spacing w:line="240" w:lineRule="auto" w:before="35"/>
                          <w:ind w:left="108" w:right="93"/>
                          <w:jc w:val="left"/>
                          <w:rPr>
                            <w:rFonts w:ascii="宋体" w:hAnsi="宋体" w:cs="宋体" w:eastAsia="宋体" w:hint="default"/>
                            <w:sz w:val="15"/>
                            <w:szCs w:val="15"/>
                          </w:rPr>
                        </w:pPr>
                        <w:r>
                          <w:rPr>
                            <w:rFonts w:ascii="宋体" w:hAnsi="宋体" w:cs="宋体" w:eastAsia="宋体" w:hint="default"/>
                            <w:spacing w:val="-1"/>
                            <w:sz w:val="15"/>
                            <w:szCs w:val="15"/>
                          </w:rPr>
                          <w:t>账龄分析法组合</w:t>
                          <w:tab/>
                        </w:r>
                        <w:r>
                          <w:rPr>
                            <w:rFonts w:ascii="宋体" w:hAnsi="宋体" w:cs="宋体" w:eastAsia="宋体" w:hint="default"/>
                            <w:spacing w:val="-2"/>
                            <w:sz w:val="15"/>
                            <w:szCs w:val="15"/>
                          </w:rPr>
                          <w:t>3,648,812.94</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合</w:t>
                        </w:r>
                        <w:r>
                          <w:rPr>
                            <w:rFonts w:ascii="宋体" w:hAnsi="宋体" w:cs="宋体" w:eastAsia="宋体" w:hint="default"/>
                            <w:spacing w:val="-53"/>
                            <w:sz w:val="15"/>
                            <w:szCs w:val="15"/>
                          </w:rPr>
                          <w:t> </w:t>
                        </w:r>
                        <w:r>
                          <w:rPr>
                            <w:rFonts w:ascii="宋体" w:hAnsi="宋体" w:cs="宋体" w:eastAsia="宋体" w:hint="default"/>
                            <w:sz w:val="15"/>
                            <w:szCs w:val="15"/>
                          </w:rPr>
                          <w:t>并</w:t>
                        </w:r>
                        <w:r>
                          <w:rPr>
                            <w:rFonts w:ascii="宋体" w:hAnsi="宋体" w:cs="宋体" w:eastAsia="宋体" w:hint="default"/>
                            <w:spacing w:val="-53"/>
                            <w:sz w:val="15"/>
                            <w:szCs w:val="15"/>
                          </w:rPr>
                          <w:t> </w:t>
                        </w:r>
                        <w:r>
                          <w:rPr>
                            <w:rFonts w:ascii="宋体" w:hAnsi="宋体" w:cs="宋体" w:eastAsia="宋体" w:hint="default"/>
                            <w:spacing w:val="7"/>
                            <w:sz w:val="15"/>
                            <w:szCs w:val="15"/>
                          </w:rPr>
                          <w:t>报表</w:t>
                        </w:r>
                        <w:r>
                          <w:rPr>
                            <w:rFonts w:ascii="宋体" w:hAnsi="宋体" w:cs="宋体" w:eastAsia="宋体" w:hint="default"/>
                            <w:spacing w:val="-53"/>
                            <w:sz w:val="15"/>
                            <w:szCs w:val="15"/>
                          </w:rPr>
                          <w:t> </w:t>
                        </w:r>
                        <w:r>
                          <w:rPr>
                            <w:rFonts w:ascii="宋体" w:hAnsi="宋体" w:cs="宋体" w:eastAsia="宋体" w:hint="default"/>
                            <w:spacing w:val="7"/>
                            <w:sz w:val="15"/>
                            <w:szCs w:val="15"/>
                          </w:rPr>
                          <w:t>范围</w:t>
                        </w:r>
                        <w:r>
                          <w:rPr>
                            <w:rFonts w:ascii="宋体" w:hAnsi="宋体" w:cs="宋体" w:eastAsia="宋体" w:hint="default"/>
                            <w:spacing w:val="-53"/>
                            <w:sz w:val="15"/>
                            <w:szCs w:val="15"/>
                          </w:rPr>
                          <w:t> </w:t>
                        </w:r>
                        <w:r>
                          <w:rPr>
                            <w:rFonts w:ascii="宋体" w:hAnsi="宋体" w:cs="宋体" w:eastAsia="宋体" w:hint="default"/>
                            <w:spacing w:val="7"/>
                            <w:sz w:val="15"/>
                            <w:szCs w:val="15"/>
                          </w:rPr>
                          <w:t>内应</w:t>
                        </w:r>
                      </w:p>
                      <w:p>
                        <w:pPr>
                          <w:pStyle w:val="TableParagraph"/>
                          <w:tabs>
                            <w:tab w:pos="1898" w:val="left" w:leader="none"/>
                          </w:tabs>
                          <w:spacing w:line="194" w:lineRule="exact"/>
                          <w:ind w:left="108" w:right="0"/>
                          <w:jc w:val="left"/>
                          <w:rPr>
                            <w:rFonts w:ascii="宋体" w:hAnsi="宋体" w:cs="宋体" w:eastAsia="宋体" w:hint="default"/>
                            <w:sz w:val="15"/>
                            <w:szCs w:val="15"/>
                          </w:rPr>
                        </w:pPr>
                        <w:r>
                          <w:rPr>
                            <w:rFonts w:ascii="宋体" w:hAnsi="宋体" w:cs="宋体" w:eastAsia="宋体" w:hint="default"/>
                            <w:spacing w:val="-1"/>
                            <w:sz w:val="15"/>
                            <w:szCs w:val="15"/>
                          </w:rPr>
                          <w:t>收款项组合</w:t>
                          <w:tab/>
                        </w:r>
                        <w:r>
                          <w:rPr>
                            <w:rFonts w:ascii="宋体" w:hAnsi="宋体" w:cs="宋体" w:eastAsia="宋体" w:hint="default"/>
                            <w:spacing w:val="-2"/>
                            <w:sz w:val="15"/>
                            <w:szCs w:val="15"/>
                          </w:rPr>
                          <w:t>20,282,126.64</w:t>
                        </w:r>
                      </w:p>
                    </w:tc>
                    <w:tc>
                      <w:tcPr>
                        <w:tcW w:w="25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1" w:right="0"/>
                          <w:jc w:val="left"/>
                          <w:rPr>
                            <w:rFonts w:ascii="宋体" w:hAnsi="宋体" w:cs="宋体" w:eastAsia="宋体" w:hint="default"/>
                            <w:sz w:val="15"/>
                            <w:szCs w:val="15"/>
                          </w:rPr>
                        </w:pPr>
                        <w:r>
                          <w:rPr>
                            <w:rFonts w:ascii="宋体"/>
                            <w:sz w:val="15"/>
                          </w:rPr>
                          <w:t>15.25</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5"/>
                            <w:szCs w:val="15"/>
                          </w:rPr>
                        </w:pPr>
                        <w:r>
                          <w:rPr>
                            <w:rFonts w:ascii="宋体"/>
                            <w:sz w:val="15"/>
                          </w:rPr>
                          <w:t>84.75</w:t>
                        </w:r>
                      </w:p>
                    </w:tc>
                    <w:tc>
                      <w:tcPr>
                        <w:tcW w:w="265" w:type="dxa"/>
                        <w:tcBorders>
                          <w:top w:val="nil" w:sz="6" w:space="0" w:color="auto"/>
                          <w:left w:val="nil" w:sz="6" w:space="0" w:color="auto"/>
                          <w:bottom w:val="nil" w:sz="6" w:space="0" w:color="auto"/>
                          <w:right w:val="nil" w:sz="6" w:space="0" w:color="auto"/>
                        </w:tcBorders>
                      </w:tcPr>
                      <w:p>
                        <w:pPr/>
                      </w:p>
                    </w:tc>
                    <w:tc>
                      <w:tcPr>
                        <w:tcW w:w="2800" w:type="dxa"/>
                        <w:tcBorders>
                          <w:top w:val="nil" w:sz="6" w:space="0" w:color="auto"/>
                          <w:left w:val="nil" w:sz="6" w:space="0" w:color="auto"/>
                          <w:bottom w:val="nil" w:sz="6" w:space="0" w:color="auto"/>
                          <w:right w:val="nil" w:sz="6" w:space="0" w:color="auto"/>
                        </w:tcBorders>
                      </w:tcPr>
                      <w:p>
                        <w:pPr>
                          <w:pStyle w:val="TableParagraph"/>
                          <w:tabs>
                            <w:tab w:pos="1175" w:val="left" w:leader="none"/>
                            <w:tab w:pos="1926" w:val="left" w:leader="none"/>
                          </w:tabs>
                          <w:spacing w:line="240" w:lineRule="auto" w:before="35"/>
                          <w:ind w:left="375" w:right="0"/>
                          <w:jc w:val="left"/>
                          <w:rPr>
                            <w:rFonts w:ascii="宋体" w:hAnsi="宋体" w:cs="宋体" w:eastAsia="宋体" w:hint="default"/>
                            <w:sz w:val="15"/>
                            <w:szCs w:val="15"/>
                          </w:rPr>
                        </w:pPr>
                        <w:r>
                          <w:rPr>
                            <w:rFonts w:ascii="宋体"/>
                            <w:sz w:val="15"/>
                          </w:rPr>
                          <w:t>-</w:t>
                          <w:tab/>
                          <w:t>-</w:t>
                          <w:tab/>
                          <w:t>717,213.50</w:t>
                        </w:r>
                      </w:p>
                      <w:p>
                        <w:pPr>
                          <w:pStyle w:val="TableParagraph"/>
                          <w:spacing w:line="240" w:lineRule="auto" w:before="9"/>
                          <w:ind w:right="0"/>
                          <w:jc w:val="left"/>
                          <w:rPr>
                            <w:rFonts w:ascii="宋体" w:hAnsi="宋体" w:cs="宋体" w:eastAsia="宋体" w:hint="default"/>
                            <w:sz w:val="14"/>
                            <w:szCs w:val="14"/>
                          </w:rPr>
                        </w:pPr>
                      </w:p>
                      <w:p>
                        <w:pPr>
                          <w:pStyle w:val="TableParagraph"/>
                          <w:tabs>
                            <w:tab w:pos="1175" w:val="left" w:leader="none"/>
                            <w:tab w:pos="1703" w:val="left" w:leader="none"/>
                          </w:tabs>
                          <w:spacing w:line="240" w:lineRule="auto"/>
                          <w:ind w:left="375" w:right="0"/>
                          <w:jc w:val="left"/>
                          <w:rPr>
                            <w:rFonts w:ascii="宋体" w:hAnsi="宋体" w:cs="宋体" w:eastAsia="宋体" w:hint="default"/>
                            <w:sz w:val="15"/>
                            <w:szCs w:val="15"/>
                          </w:rPr>
                        </w:pPr>
                        <w:r>
                          <w:rPr>
                            <w:rFonts w:ascii="宋体"/>
                            <w:sz w:val="15"/>
                          </w:rPr>
                          <w:t>-</w:t>
                          <w:tab/>
                          <w:t>-</w:t>
                          <w:tab/>
                          <w:t>22,389,489.63</w:t>
                        </w:r>
                      </w:p>
                    </w:tc>
                    <w:tc>
                      <w:tcPr>
                        <w:tcW w:w="231"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8" w:right="0"/>
                          <w:jc w:val="left"/>
                          <w:rPr>
                            <w:rFonts w:ascii="宋体" w:hAnsi="宋体" w:cs="宋体" w:eastAsia="宋体" w:hint="default"/>
                            <w:sz w:val="15"/>
                            <w:szCs w:val="15"/>
                          </w:rPr>
                        </w:pPr>
                        <w:r>
                          <w:rPr>
                            <w:rFonts w:ascii="宋体"/>
                            <w:sz w:val="15"/>
                          </w:rPr>
                          <w:t>3.10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15"/>
                            <w:szCs w:val="15"/>
                          </w:rPr>
                        </w:pPr>
                        <w:r>
                          <w:rPr>
                            <w:rFonts w:ascii="宋体"/>
                            <w:sz w:val="15"/>
                          </w:rPr>
                          <w:t>96.90</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tabs>
                            <w:tab w:pos="1365" w:val="left" w:leader="none"/>
                          </w:tabs>
                          <w:spacing w:line="240" w:lineRule="auto" w:before="35"/>
                          <w:ind w:left="513" w:right="0"/>
                          <w:jc w:val="left"/>
                          <w:rPr>
                            <w:rFonts w:ascii="宋体" w:hAnsi="宋体" w:cs="宋体" w:eastAsia="宋体" w:hint="default"/>
                            <w:sz w:val="15"/>
                            <w:szCs w:val="15"/>
                          </w:rPr>
                        </w:pPr>
                        <w:r>
                          <w:rPr>
                            <w:rFonts w:ascii="宋体"/>
                            <w:sz w:val="15"/>
                          </w:rPr>
                          <w:t>-</w:t>
                          <w:tab/>
                          <w:t>-</w:t>
                        </w:r>
                      </w:p>
                      <w:p>
                        <w:pPr>
                          <w:pStyle w:val="TableParagraph"/>
                          <w:spacing w:line="240" w:lineRule="auto" w:before="9"/>
                          <w:ind w:right="0"/>
                          <w:jc w:val="left"/>
                          <w:rPr>
                            <w:rFonts w:ascii="宋体" w:hAnsi="宋体" w:cs="宋体" w:eastAsia="宋体" w:hint="default"/>
                            <w:sz w:val="14"/>
                            <w:szCs w:val="14"/>
                          </w:rPr>
                        </w:pPr>
                      </w:p>
                      <w:p>
                        <w:pPr>
                          <w:pStyle w:val="TableParagraph"/>
                          <w:tabs>
                            <w:tab w:pos="1365" w:val="left" w:leader="none"/>
                          </w:tabs>
                          <w:spacing w:line="240" w:lineRule="auto"/>
                          <w:ind w:left="513" w:right="0"/>
                          <w:jc w:val="left"/>
                          <w:rPr>
                            <w:rFonts w:ascii="宋体" w:hAnsi="宋体" w:cs="宋体" w:eastAsia="宋体" w:hint="default"/>
                            <w:sz w:val="15"/>
                            <w:szCs w:val="15"/>
                          </w:rPr>
                        </w:pPr>
                        <w:r>
                          <w:rPr>
                            <w:rFonts w:ascii="宋体"/>
                            <w:sz w:val="15"/>
                          </w:rPr>
                          <w:t>-</w:t>
                          <w:tab/>
                          <w:t>-</w:t>
                        </w:r>
                      </w:p>
                    </w:tc>
                  </w:tr>
                  <w:tr>
                    <w:trPr>
                      <w:trHeight w:val="826" w:hRule="exact"/>
                    </w:trPr>
                    <w:tc>
                      <w:tcPr>
                        <w:tcW w:w="2969" w:type="dxa"/>
                        <w:tcBorders>
                          <w:top w:val="nil" w:sz="6" w:space="0" w:color="auto"/>
                          <w:left w:val="nil" w:sz="6" w:space="0" w:color="auto"/>
                          <w:bottom w:val="single" w:sz="8" w:space="0" w:color="000000"/>
                          <w:right w:val="nil" w:sz="6" w:space="0" w:color="auto"/>
                        </w:tcBorders>
                      </w:tcPr>
                      <w:p>
                        <w:pPr>
                          <w:pStyle w:val="TableParagraph"/>
                          <w:tabs>
                            <w:tab w:pos="1898" w:val="left" w:leader="none"/>
                          </w:tabs>
                          <w:spacing w:line="195" w:lineRule="exact" w:before="14"/>
                          <w:ind w:left="108" w:right="0"/>
                          <w:jc w:val="left"/>
                          <w:rPr>
                            <w:rFonts w:ascii="宋体" w:hAnsi="宋体" w:cs="宋体" w:eastAsia="宋体" w:hint="default"/>
                            <w:sz w:val="15"/>
                            <w:szCs w:val="15"/>
                          </w:rPr>
                        </w:pPr>
                        <w:r>
                          <w:rPr>
                            <w:rFonts w:ascii="宋体" w:hAnsi="宋体" w:cs="宋体" w:eastAsia="宋体" w:hint="default"/>
                            <w:spacing w:val="-1"/>
                            <w:sz w:val="15"/>
                            <w:szCs w:val="15"/>
                          </w:rPr>
                          <w:t>组合小计</w:t>
                          <w:tab/>
                        </w:r>
                        <w:r>
                          <w:rPr>
                            <w:rFonts w:ascii="宋体" w:hAnsi="宋体" w:cs="宋体" w:eastAsia="宋体" w:hint="default"/>
                            <w:spacing w:val="-2"/>
                            <w:sz w:val="15"/>
                            <w:szCs w:val="15"/>
                          </w:rPr>
                          <w:t>23,930,939.58</w:t>
                        </w:r>
                      </w:p>
                      <w:p>
                        <w:pPr>
                          <w:pStyle w:val="TableParagraph"/>
                          <w:spacing w:line="194" w:lineRule="exact"/>
                          <w:ind w:left="108" w:right="0"/>
                          <w:jc w:val="left"/>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pacing w:val="7"/>
                            <w:sz w:val="15"/>
                            <w:szCs w:val="15"/>
                          </w:rPr>
                          <w:t>金额</w:t>
                        </w:r>
                        <w:r>
                          <w:rPr>
                            <w:rFonts w:ascii="宋体" w:hAnsi="宋体" w:cs="宋体" w:eastAsia="宋体" w:hint="default"/>
                            <w:spacing w:val="-53"/>
                            <w:sz w:val="15"/>
                            <w:szCs w:val="15"/>
                          </w:rPr>
                          <w:t> </w:t>
                        </w:r>
                        <w:r>
                          <w:rPr>
                            <w:rFonts w:ascii="宋体" w:hAnsi="宋体" w:cs="宋体" w:eastAsia="宋体" w:hint="default"/>
                            <w:spacing w:val="7"/>
                            <w:sz w:val="15"/>
                            <w:szCs w:val="15"/>
                          </w:rPr>
                          <w:t>虽不</w:t>
                        </w:r>
                        <w:r>
                          <w:rPr>
                            <w:rFonts w:ascii="宋体" w:hAnsi="宋体" w:cs="宋体" w:eastAsia="宋体" w:hint="default"/>
                            <w:spacing w:val="-53"/>
                            <w:sz w:val="15"/>
                            <w:szCs w:val="15"/>
                          </w:rPr>
                          <w:t> </w:t>
                        </w:r>
                        <w:r>
                          <w:rPr>
                            <w:rFonts w:ascii="宋体" w:hAnsi="宋体" w:cs="宋体" w:eastAsia="宋体" w:hint="default"/>
                            <w:spacing w:val="7"/>
                            <w:sz w:val="15"/>
                            <w:szCs w:val="15"/>
                          </w:rPr>
                          <w:t>重大</w:t>
                        </w:r>
                      </w:p>
                      <w:p>
                        <w:pPr>
                          <w:pStyle w:val="TableParagraph"/>
                          <w:tabs>
                            <w:tab w:pos="2798" w:val="left" w:leader="none"/>
                          </w:tabs>
                          <w:spacing w:line="240" w:lineRule="auto"/>
                          <w:ind w:left="108" w:right="92"/>
                          <w:jc w:val="left"/>
                          <w:rPr>
                            <w:rFonts w:ascii="宋体" w:hAnsi="宋体" w:cs="宋体" w:eastAsia="宋体" w:hint="default"/>
                            <w:sz w:val="15"/>
                            <w:szCs w:val="15"/>
                          </w:rPr>
                        </w:pPr>
                        <w:r>
                          <w:rPr>
                            <w:rFonts w:ascii="宋体" w:hAnsi="宋体" w:cs="宋体" w:eastAsia="宋体" w:hint="default"/>
                            <w:sz w:val="15"/>
                            <w:szCs w:val="15"/>
                          </w:rPr>
                          <w:t>但</w:t>
                        </w:r>
                        <w:r>
                          <w:rPr>
                            <w:rFonts w:ascii="宋体" w:hAnsi="宋体" w:cs="宋体" w:eastAsia="宋体" w:hint="default"/>
                            <w:spacing w:val="-53"/>
                            <w:sz w:val="15"/>
                            <w:szCs w:val="15"/>
                          </w:rPr>
                          <w:t> </w:t>
                        </w: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pacing w:val="7"/>
                            <w:sz w:val="15"/>
                            <w:szCs w:val="15"/>
                          </w:rPr>
                          <w:t>项计</w:t>
                        </w:r>
                        <w:r>
                          <w:rPr>
                            <w:rFonts w:ascii="宋体" w:hAnsi="宋体" w:cs="宋体" w:eastAsia="宋体" w:hint="default"/>
                            <w:spacing w:val="-53"/>
                            <w:sz w:val="15"/>
                            <w:szCs w:val="15"/>
                          </w:rPr>
                          <w:t> </w:t>
                        </w:r>
                        <w:r>
                          <w:rPr>
                            <w:rFonts w:ascii="宋体" w:hAnsi="宋体" w:cs="宋体" w:eastAsia="宋体" w:hint="default"/>
                            <w:spacing w:val="7"/>
                            <w:sz w:val="15"/>
                            <w:szCs w:val="15"/>
                          </w:rPr>
                          <w:t>提坏</w:t>
                        </w:r>
                        <w:r>
                          <w:rPr>
                            <w:rFonts w:ascii="宋体" w:hAnsi="宋体" w:cs="宋体" w:eastAsia="宋体" w:hint="default"/>
                            <w:spacing w:val="-53"/>
                            <w:sz w:val="15"/>
                            <w:szCs w:val="15"/>
                          </w:rPr>
                          <w:t> </w:t>
                        </w:r>
                        <w:r>
                          <w:rPr>
                            <w:rFonts w:ascii="宋体" w:hAnsi="宋体" w:cs="宋体" w:eastAsia="宋体" w:hint="default"/>
                            <w:spacing w:val="7"/>
                            <w:sz w:val="15"/>
                            <w:szCs w:val="15"/>
                          </w:rPr>
                          <w:t>账准</w:t>
                          <w:tab/>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备的应收账款</w:t>
                        </w:r>
                      </w:p>
                    </w:tc>
                    <w:tc>
                      <w:tcPr>
                        <w:tcW w:w="25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49"/>
                          <w:jc w:val="right"/>
                          <w:rPr>
                            <w:rFonts w:ascii="宋体" w:hAnsi="宋体" w:cs="宋体" w:eastAsia="宋体" w:hint="default"/>
                            <w:sz w:val="15"/>
                            <w:szCs w:val="15"/>
                          </w:rPr>
                        </w:pPr>
                        <w:r>
                          <w:rPr>
                            <w:rFonts w:ascii="宋体"/>
                            <w:spacing w:val="-1"/>
                            <w:sz w:val="15"/>
                          </w:rPr>
                          <w:t>100.00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9"/>
                          <w:jc w:val="right"/>
                          <w:rPr>
                            <w:rFonts w:ascii="宋体" w:hAnsi="宋体" w:cs="宋体" w:eastAsia="宋体" w:hint="default"/>
                            <w:sz w:val="15"/>
                            <w:szCs w:val="15"/>
                          </w:rPr>
                        </w:pPr>
                        <w:r>
                          <w:rPr>
                            <w:rFonts w:ascii="宋体"/>
                            <w:w w:val="100"/>
                            <w:sz w:val="15"/>
                          </w:rPr>
                          <w:t>-</w:t>
                        </w:r>
                      </w:p>
                    </w:tc>
                    <w:tc>
                      <w:tcPr>
                        <w:tcW w:w="265" w:type="dxa"/>
                        <w:tcBorders>
                          <w:top w:val="nil" w:sz="6" w:space="0" w:color="auto"/>
                          <w:left w:val="nil" w:sz="6" w:space="0" w:color="auto"/>
                          <w:bottom w:val="single" w:sz="8" w:space="0" w:color="000000"/>
                          <w:right w:val="nil" w:sz="6" w:space="0" w:color="auto"/>
                        </w:tcBorders>
                      </w:tcPr>
                      <w:p>
                        <w:pPr/>
                      </w:p>
                    </w:tc>
                    <w:tc>
                      <w:tcPr>
                        <w:tcW w:w="2800" w:type="dxa"/>
                        <w:tcBorders>
                          <w:top w:val="nil" w:sz="6" w:space="0" w:color="auto"/>
                          <w:left w:val="nil" w:sz="6" w:space="0" w:color="auto"/>
                          <w:bottom w:val="single" w:sz="8" w:space="0" w:color="000000"/>
                          <w:right w:val="nil" w:sz="6" w:space="0" w:color="auto"/>
                        </w:tcBorders>
                      </w:tcPr>
                      <w:p>
                        <w:pPr>
                          <w:pStyle w:val="TableParagraph"/>
                          <w:tabs>
                            <w:tab w:pos="1703" w:val="left" w:leader="none"/>
                          </w:tabs>
                          <w:spacing w:line="240" w:lineRule="auto" w:before="14"/>
                          <w:ind w:left="375" w:right="0"/>
                          <w:jc w:val="left"/>
                          <w:rPr>
                            <w:rFonts w:ascii="宋体" w:hAnsi="宋体" w:cs="宋体" w:eastAsia="宋体" w:hint="default"/>
                            <w:sz w:val="15"/>
                            <w:szCs w:val="15"/>
                          </w:rPr>
                        </w:pPr>
                        <w:r>
                          <w:rPr>
                            <w:rFonts w:ascii="宋体"/>
                            <w:sz w:val="15"/>
                          </w:rPr>
                          <w:t>-</w:t>
                          <w:tab/>
                          <w:t>23,106,703.13</w:t>
                        </w:r>
                      </w:p>
                      <w:p>
                        <w:pPr>
                          <w:pStyle w:val="TableParagraph"/>
                          <w:spacing w:line="240" w:lineRule="auto" w:before="9"/>
                          <w:ind w:right="0"/>
                          <w:jc w:val="left"/>
                          <w:rPr>
                            <w:rFonts w:ascii="宋体" w:hAnsi="宋体" w:cs="宋体" w:eastAsia="宋体" w:hint="default"/>
                            <w:sz w:val="14"/>
                            <w:szCs w:val="14"/>
                          </w:rPr>
                        </w:pPr>
                      </w:p>
                      <w:p>
                        <w:pPr>
                          <w:pStyle w:val="TableParagraph"/>
                          <w:tabs>
                            <w:tab w:pos="1175" w:val="left" w:leader="none"/>
                            <w:tab w:pos="2603" w:val="left" w:leader="none"/>
                          </w:tabs>
                          <w:spacing w:line="240" w:lineRule="auto"/>
                          <w:ind w:left="375" w:right="0"/>
                          <w:jc w:val="left"/>
                          <w:rPr>
                            <w:rFonts w:ascii="宋体" w:hAnsi="宋体" w:cs="宋体" w:eastAsia="宋体" w:hint="default"/>
                            <w:sz w:val="15"/>
                            <w:szCs w:val="15"/>
                          </w:rPr>
                        </w:pPr>
                        <w:r>
                          <w:rPr>
                            <w:rFonts w:ascii="宋体"/>
                            <w:sz w:val="15"/>
                          </w:rPr>
                          <w:t>-</w:t>
                          <w:tab/>
                          <w:t>-</w:t>
                          <w:tab/>
                          <w:t>-</w:t>
                        </w:r>
                      </w:p>
                    </w:tc>
                    <w:tc>
                      <w:tcPr>
                        <w:tcW w:w="231"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107"/>
                          <w:jc w:val="right"/>
                          <w:rPr>
                            <w:rFonts w:ascii="宋体" w:hAnsi="宋体" w:cs="宋体" w:eastAsia="宋体" w:hint="default"/>
                            <w:sz w:val="15"/>
                            <w:szCs w:val="15"/>
                          </w:rPr>
                        </w:pPr>
                        <w:r>
                          <w:rPr>
                            <w:rFonts w:ascii="宋体"/>
                            <w:spacing w:val="-1"/>
                            <w:sz w:val="15"/>
                          </w:rPr>
                          <w:t>100.00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5"/>
                            <w:szCs w:val="15"/>
                          </w:rPr>
                        </w:pPr>
                        <w:r>
                          <w:rPr>
                            <w:rFonts w:ascii="宋体"/>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left="513" w:right="0"/>
                          <w:jc w:val="left"/>
                          <w:rPr>
                            <w:rFonts w:ascii="宋体" w:hAnsi="宋体" w:cs="宋体" w:eastAsia="宋体" w:hint="default"/>
                            <w:sz w:val="15"/>
                            <w:szCs w:val="15"/>
                          </w:rPr>
                        </w:pPr>
                        <w:r>
                          <w:rPr>
                            <w:rFonts w:ascii="宋体"/>
                            <w:w w:val="100"/>
                            <w:sz w:val="15"/>
                          </w:rPr>
                          <w:t>-</w:t>
                        </w:r>
                      </w:p>
                      <w:p>
                        <w:pPr>
                          <w:pStyle w:val="TableParagraph"/>
                          <w:spacing w:line="240" w:lineRule="auto" w:before="9"/>
                          <w:ind w:right="0"/>
                          <w:jc w:val="left"/>
                          <w:rPr>
                            <w:rFonts w:ascii="宋体" w:hAnsi="宋体" w:cs="宋体" w:eastAsia="宋体" w:hint="default"/>
                            <w:sz w:val="14"/>
                            <w:szCs w:val="14"/>
                          </w:rPr>
                        </w:pPr>
                      </w:p>
                      <w:p>
                        <w:pPr>
                          <w:pStyle w:val="TableParagraph"/>
                          <w:tabs>
                            <w:tab w:pos="1365" w:val="left" w:leader="none"/>
                          </w:tabs>
                          <w:spacing w:line="240" w:lineRule="auto"/>
                          <w:ind w:left="513" w:right="0"/>
                          <w:jc w:val="left"/>
                          <w:rPr>
                            <w:rFonts w:ascii="宋体" w:hAnsi="宋体" w:cs="宋体" w:eastAsia="宋体" w:hint="default"/>
                            <w:sz w:val="15"/>
                            <w:szCs w:val="15"/>
                          </w:rPr>
                        </w:pPr>
                        <w:r>
                          <w:rPr>
                            <w:rFonts w:ascii="宋体"/>
                            <w:sz w:val="15"/>
                          </w:rPr>
                          <w:t>-</w:t>
                          <w:tab/>
                          <w:t>-</w:t>
                        </w:r>
                      </w:p>
                    </w:tc>
                  </w:tr>
                  <w:tr>
                    <w:trPr>
                      <w:trHeight w:val="305" w:hRule="exact"/>
                    </w:trPr>
                    <w:tc>
                      <w:tcPr>
                        <w:tcW w:w="2969" w:type="dxa"/>
                        <w:tcBorders>
                          <w:top w:val="single" w:sz="8" w:space="0" w:color="000000"/>
                          <w:left w:val="nil" w:sz="6" w:space="0" w:color="auto"/>
                          <w:bottom w:val="single" w:sz="17" w:space="0" w:color="000000"/>
                          <w:right w:val="nil" w:sz="6" w:space="0" w:color="auto"/>
                        </w:tcBorders>
                      </w:tcPr>
                      <w:p>
                        <w:pPr>
                          <w:pStyle w:val="TableParagraph"/>
                          <w:tabs>
                            <w:tab w:pos="1898" w:val="left" w:leader="none"/>
                          </w:tabs>
                          <w:spacing w:line="240" w:lineRule="auto" w:before="55"/>
                          <w:ind w:left="108" w:right="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z w:val="15"/>
                            <w:szCs w:val="15"/>
                          </w:rPr>
                          <w:t>23,930,939.58</w:t>
                        </w:r>
                      </w:p>
                    </w:tc>
                    <w:tc>
                      <w:tcPr>
                        <w:tcW w:w="252" w:type="dxa"/>
                        <w:tcBorders>
                          <w:top w:val="nil" w:sz="6" w:space="0" w:color="auto"/>
                          <w:left w:val="nil" w:sz="6" w:space="0" w:color="auto"/>
                          <w:bottom w:val="nil" w:sz="6" w:space="0" w:color="auto"/>
                          <w:right w:val="nil" w:sz="6" w:space="0" w:color="auto"/>
                        </w:tcBorders>
                      </w:tcPr>
                      <w:p>
                        <w:pPr/>
                      </w:p>
                    </w:tc>
                    <w:tc>
                      <w:tcPr>
                        <w:tcW w:w="559"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49"/>
                          <w:jc w:val="right"/>
                          <w:rPr>
                            <w:rFonts w:ascii="宋体" w:hAnsi="宋体" w:cs="宋体" w:eastAsia="宋体" w:hint="default"/>
                            <w:sz w:val="15"/>
                            <w:szCs w:val="15"/>
                          </w:rPr>
                        </w:pPr>
                        <w:r>
                          <w:rPr>
                            <w:rFonts w:ascii="宋体"/>
                            <w:spacing w:val="-1"/>
                            <w:sz w:val="15"/>
                          </w:rPr>
                          <w:t>100.00</w:t>
                        </w:r>
                      </w:p>
                    </w:tc>
                    <w:tc>
                      <w:tcPr>
                        <w:tcW w:w="265" w:type="dxa"/>
                        <w:tcBorders>
                          <w:top w:val="single" w:sz="8" w:space="0" w:color="000000"/>
                          <w:left w:val="nil" w:sz="6" w:space="0" w:color="auto"/>
                          <w:bottom w:val="single" w:sz="17" w:space="0" w:color="000000"/>
                          <w:right w:val="nil" w:sz="6" w:space="0" w:color="auto"/>
                        </w:tcBorders>
                      </w:tcPr>
                      <w:p>
                        <w:pPr/>
                      </w:p>
                    </w:tc>
                    <w:tc>
                      <w:tcPr>
                        <w:tcW w:w="2800"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119"/>
                          <w:jc w:val="right"/>
                          <w:rPr>
                            <w:rFonts w:ascii="宋体" w:hAnsi="宋体" w:cs="宋体" w:eastAsia="宋体" w:hint="default"/>
                            <w:sz w:val="15"/>
                            <w:szCs w:val="15"/>
                          </w:rPr>
                        </w:pPr>
                        <w:r>
                          <w:rPr>
                            <w:rFonts w:ascii="宋体"/>
                            <w:spacing w:val="-2"/>
                            <w:sz w:val="15"/>
                          </w:rPr>
                          <w:t>23,106,703.13</w:t>
                        </w:r>
                      </w:p>
                    </w:tc>
                    <w:tc>
                      <w:tcPr>
                        <w:tcW w:w="231" w:type="dxa"/>
                        <w:tcBorders>
                          <w:top w:val="nil" w:sz="6" w:space="0" w:color="auto"/>
                          <w:left w:val="nil" w:sz="6" w:space="0" w:color="auto"/>
                          <w:bottom w:val="nil" w:sz="6" w:space="0" w:color="auto"/>
                          <w:right w:val="nil" w:sz="6" w:space="0" w:color="auto"/>
                        </w:tcBorders>
                      </w:tcPr>
                      <w:p>
                        <w:pPr/>
                      </w:p>
                    </w:tc>
                    <w:tc>
                      <w:tcPr>
                        <w:tcW w:w="639"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107"/>
                          <w:jc w:val="right"/>
                          <w:rPr>
                            <w:rFonts w:ascii="宋体" w:hAnsi="宋体" w:cs="宋体" w:eastAsia="宋体" w:hint="default"/>
                            <w:sz w:val="15"/>
                            <w:szCs w:val="15"/>
                          </w:rPr>
                        </w:pPr>
                        <w:r>
                          <w:rPr>
                            <w:rFonts w:ascii="宋体"/>
                            <w:spacing w:val="-1"/>
                            <w:sz w:val="15"/>
                          </w:rPr>
                          <w:t>100.00</w:t>
                        </w:r>
                      </w:p>
                    </w:tc>
                    <w:tc>
                      <w:tcPr>
                        <w:tcW w:w="238" w:type="dxa"/>
                        <w:tcBorders>
                          <w:top w:val="nil" w:sz="6" w:space="0" w:color="auto"/>
                          <w:left w:val="nil" w:sz="6" w:space="0" w:color="auto"/>
                          <w:bottom w:val="nil" w:sz="6" w:space="0" w:color="auto"/>
                          <w:right w:val="nil" w:sz="6" w:space="0" w:color="auto"/>
                        </w:tcBorders>
                      </w:tcPr>
                      <w:p>
                        <w:pPr/>
                      </w:p>
                    </w:tc>
                    <w:tc>
                      <w:tcPr>
                        <w:tcW w:w="1548"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left="513" w:right="0"/>
                          <w:jc w:val="left"/>
                          <w:rPr>
                            <w:rFonts w:ascii="宋体" w:hAnsi="宋体" w:cs="宋体" w:eastAsia="宋体" w:hint="default"/>
                            <w:sz w:val="15"/>
                            <w:szCs w:val="15"/>
                          </w:rPr>
                        </w:pPr>
                        <w:r>
                          <w:rPr>
                            <w:rFonts w:ascii="宋体"/>
                            <w:w w:val="100"/>
                            <w:sz w:val="15"/>
                          </w:rPr>
                          <w:t>-</w:t>
                        </w:r>
                      </w:p>
                    </w:tc>
                  </w:tr>
                </w:tbl>
                <w:p>
                  <w:pPr/>
                </w:p>
              </w:txbxContent>
            </v:textbox>
            <w10:wrap type="none"/>
          </v:shape>
        </w:pict>
      </w:r>
      <w:r>
        <w:rPr>
          <w:rFonts w:ascii="宋体" w:hAnsi="宋体" w:cs="宋体" w:eastAsia="宋体" w:hint="default"/>
          <w:position w:val="-9"/>
          <w:sz w:val="15"/>
          <w:szCs w:val="15"/>
        </w:rPr>
        <w:t>金额</w:t>
        <w:tab/>
      </w:r>
      <w:r>
        <w:rPr>
          <w:rFonts w:ascii="宋体" w:hAnsi="宋体" w:cs="宋体" w:eastAsia="宋体" w:hint="default"/>
          <w:sz w:val="15"/>
          <w:szCs w:val="15"/>
        </w:rPr>
        <w:t>比例</w:t>
        <w:tab/>
        <w:t>比例</w:t>
      </w:r>
    </w:p>
    <w:p>
      <w:pPr>
        <w:tabs>
          <w:tab w:pos="3735" w:val="left" w:leader="none"/>
        </w:tabs>
        <w:spacing w:line="151" w:lineRule="exact" w:before="0"/>
        <w:ind w:left="1916"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比例</w:t>
        <w:tab/>
        <w:t>比例</w:t>
      </w:r>
    </w:p>
    <w:p>
      <w:pPr>
        <w:spacing w:after="0" w:line="151" w:lineRule="exact"/>
        <w:jc w:val="left"/>
        <w:rPr>
          <w:rFonts w:ascii="宋体" w:hAnsi="宋体" w:cs="宋体" w:eastAsia="宋体" w:hint="default"/>
          <w:sz w:val="15"/>
          <w:szCs w:val="15"/>
        </w:rPr>
        <w:sectPr>
          <w:type w:val="continuous"/>
          <w:pgSz w:w="11910" w:h="16840"/>
          <w:pgMar w:top="1100" w:bottom="1380" w:left="1080" w:right="160"/>
          <w:cols w:num="2" w:equalWidth="0">
            <w:col w:w="6009" w:space="40"/>
            <w:col w:w="4621"/>
          </w:cols>
        </w:sectPr>
      </w:pPr>
    </w:p>
    <w:p>
      <w:pPr>
        <w:spacing w:line="240" w:lineRule="auto" w:before="12"/>
        <w:rPr>
          <w:rFonts w:ascii="宋体" w:hAnsi="宋体" w:cs="宋体" w:eastAsia="宋体" w:hint="default"/>
          <w:sz w:val="8"/>
          <w:szCs w:val="8"/>
        </w:rPr>
      </w:pPr>
    </w:p>
    <w:p>
      <w:pPr>
        <w:tabs>
          <w:tab w:pos="5552" w:val="left" w:leader="none"/>
          <w:tab w:pos="8661" w:val="left" w:leader="none"/>
        </w:tabs>
        <w:spacing w:line="20" w:lineRule="exact"/>
        <w:ind w:left="708" w:right="0" w:firstLine="0"/>
        <w:rPr>
          <w:rFonts w:ascii="宋体" w:hAnsi="宋体" w:cs="宋体" w:eastAsia="宋体" w:hint="default"/>
          <w:sz w:val="2"/>
          <w:szCs w:val="2"/>
        </w:rPr>
      </w:pPr>
      <w:r>
        <w:rPr>
          <w:rFonts w:ascii="宋体"/>
          <w:sz w:val="2"/>
        </w:rPr>
        <w:pict>
          <v:group style="width:78.6pt;height:1pt;mso-position-horizontal-relative:char;mso-position-vertical-relative:line" coordorigin="0,0" coordsize="1572,20">
            <v:group style="position:absolute;left:10;top:10;width:1553;height:2" coordorigin="10,10" coordsize="1553,2">
              <v:shape style="position:absolute;left:10;top:10;width:1553;height:2" coordorigin="10,10" coordsize="1553,0" path="m10,10l1562,10e" filled="false" stroked="true" strokeweight=".95999pt" strokecolor="#000000">
                <v:path arrowok="t"/>
              </v:shape>
            </v:group>
          </v:group>
        </w:pict>
      </w:r>
      <w:r>
        <w:rPr>
          <w:rFonts w:ascii="宋体"/>
          <w:sz w:val="2"/>
        </w:rPr>
      </w:r>
      <w:r>
        <w:rPr>
          <w:rFonts w:ascii="宋体"/>
          <w:sz w:val="2"/>
        </w:rPr>
        <w:tab/>
      </w:r>
      <w:r>
        <w:rPr>
          <w:rFonts w:ascii="宋体"/>
          <w:sz w:val="2"/>
        </w:rPr>
        <w:pict>
          <v:group style="width:30.4pt;height:1pt;mso-position-horizontal-relative:char;mso-position-vertical-relative:line" coordorigin="0,0" coordsize="608,20">
            <v:group style="position:absolute;left:10;top:10;width:588;height:2" coordorigin="10,10" coordsize="588,2">
              <v:shape style="position:absolute;left:10;top:10;width:588;height:2" coordorigin="10,10" coordsize="588,0" path="m10,10l598,10e" filled="false" stroked="true" strokeweight=".95999pt" strokecolor="#000000">
                <v:path arrowok="t"/>
              </v:shape>
            </v:group>
          </v:group>
        </w:pict>
      </w:r>
      <w:r>
        <w:rPr>
          <w:rFonts w:ascii="宋体"/>
          <w:sz w:val="2"/>
        </w:rPr>
      </w:r>
      <w:r>
        <w:rPr>
          <w:rFonts w:ascii="宋体"/>
          <w:sz w:val="2"/>
        </w:rPr>
        <w:tab/>
      </w:r>
      <w:r>
        <w:rPr>
          <w:rFonts w:ascii="宋体"/>
          <w:sz w:val="2"/>
        </w:rPr>
        <w:pict>
          <v:group style="width:35.8pt;height:1pt;mso-position-horizontal-relative:char;mso-position-vertical-relative:line" coordorigin="0,0" coordsize="716,20">
            <v:group style="position:absolute;left:10;top:10;width:696;height:2" coordorigin="10,10" coordsize="696,2">
              <v:shape style="position:absolute;left:10;top:10;width:696;height:2" coordorigin="10,10" coordsize="696,0" path="m10,10l706,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0" w:lineRule="exact"/>
        <w:ind w:left="4781" w:right="0" w:firstLine="0"/>
        <w:rPr>
          <w:rFonts w:ascii="宋体" w:hAnsi="宋体" w:cs="宋体" w:eastAsia="宋体" w:hint="default"/>
          <w:sz w:val="2"/>
          <w:szCs w:val="2"/>
        </w:rPr>
      </w:pPr>
      <w:r>
        <w:rPr>
          <w:rFonts w:ascii="宋体" w:hAnsi="宋体" w:cs="宋体" w:eastAsia="宋体" w:hint="default"/>
          <w:sz w:val="2"/>
          <w:szCs w:val="2"/>
        </w:rPr>
        <w:pict>
          <v:group style="width:27.65pt;height:1pt;mso-position-horizontal-relative:char;mso-position-vertical-relative:line" coordorigin="0,0" coordsize="553,20">
            <v:group style="position:absolute;left:10;top:10;width:534;height:2" coordorigin="10,10" coordsize="534,2">
              <v:shape style="position:absolute;left:10;top:10;width:534;height:2" coordorigin="10,10" coordsize="534,0" path="m10,10l543,10e" filled="false" stroked="true" strokeweight=".9600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43" w:lineRule="exact"/>
        <w:ind w:left="4784" w:right="0" w:firstLine="0"/>
        <w:rPr>
          <w:rFonts w:ascii="宋体" w:hAnsi="宋体" w:cs="宋体" w:eastAsia="宋体" w:hint="default"/>
          <w:sz w:val="4"/>
          <w:szCs w:val="4"/>
        </w:rPr>
      </w:pPr>
      <w:r>
        <w:rPr>
          <w:rFonts w:ascii="宋体" w:hAnsi="宋体" w:cs="宋体" w:eastAsia="宋体" w:hint="default"/>
          <w:position w:val="0"/>
          <w:sz w:val="4"/>
          <w:szCs w:val="4"/>
        </w:rPr>
        <w:pict>
          <v:group style="width:27.4pt;height:2.2pt;mso-position-horizontal-relative:char;mso-position-vertical-relative:line" coordorigin="0,0" coordsize="548,44">
            <v:group style="position:absolute;left:7;top:7;width:534;height:2" coordorigin="7,7" coordsize="534,2">
              <v:shape style="position:absolute;left:7;top:7;width:534;height:2" coordorigin="7,7" coordsize="534,0" path="m7,7l540,7e" filled="false" stroked="true" strokeweight=".72pt" strokecolor="#000000">
                <v:path arrowok="t"/>
              </v:shape>
            </v:group>
            <v:group style="position:absolute;left:7;top:36;width:534;height:2" coordorigin="7,36" coordsize="534,2">
              <v:shape style="position:absolute;left:7;top:36;width:534;height:2" coordorigin="7,36" coordsize="534,0" path="m7,36l540,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475" w:lineRule="auto" w:before="36"/>
        <w:ind w:left="823" w:right="1666" w:firstLine="0"/>
        <w:jc w:val="left"/>
        <w:rPr>
          <w:rFonts w:ascii="宋体" w:hAnsi="宋体" w:cs="宋体" w:eastAsia="宋体" w:hint="default"/>
          <w:sz w:val="21"/>
          <w:szCs w:val="21"/>
        </w:rPr>
      </w:pPr>
      <w:r>
        <w:rPr>
          <w:rFonts w:ascii="宋体" w:hAnsi="宋体" w:cs="宋体" w:eastAsia="宋体" w:hint="default"/>
          <w:sz w:val="21"/>
          <w:szCs w:val="21"/>
        </w:rPr>
        <w:t>12.1.2</w:t>
      </w:r>
      <w:r>
        <w:rPr>
          <w:rFonts w:ascii="宋体" w:hAnsi="宋体" w:cs="宋体" w:eastAsia="宋体" w:hint="default"/>
          <w:spacing w:val="-54"/>
          <w:sz w:val="21"/>
          <w:szCs w:val="21"/>
        </w:rPr>
        <w:t> </w:t>
      </w:r>
      <w:r>
        <w:rPr>
          <w:rFonts w:ascii="宋体" w:hAnsi="宋体" w:cs="宋体" w:eastAsia="宋体" w:hint="default"/>
          <w:sz w:val="21"/>
          <w:szCs w:val="21"/>
        </w:rPr>
        <w:t>按组合计提坏账准备的应收账款</w:t>
      </w:r>
      <w:r>
        <w:rPr>
          <w:rFonts w:ascii="宋体" w:hAnsi="宋体" w:cs="宋体" w:eastAsia="宋体" w:hint="default"/>
          <w:w w:val="100"/>
          <w:sz w:val="21"/>
          <w:szCs w:val="21"/>
        </w:rPr>
        <w:t> </w:t>
      </w:r>
      <w:r>
        <w:rPr>
          <w:rFonts w:ascii="宋体" w:hAnsi="宋体" w:cs="宋体" w:eastAsia="宋体" w:hint="default"/>
          <w:spacing w:val="-2"/>
          <w:sz w:val="21"/>
          <w:szCs w:val="21"/>
        </w:rPr>
        <w:t>组合中，按账龄分析法计提坏账准备的应收账款：</w:t>
      </w:r>
    </w:p>
    <w:p>
      <w:pPr>
        <w:tabs>
          <w:tab w:pos="7828" w:val="left" w:leader="none"/>
        </w:tabs>
        <w:spacing w:before="74"/>
        <w:ind w:left="3848" w:right="0" w:firstLine="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tab/>
      </w: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r>
    </w:p>
    <w:p>
      <w:pPr>
        <w:spacing w:line="240" w:lineRule="auto" w:before="10"/>
        <w:rPr>
          <w:rFonts w:ascii="宋体" w:hAnsi="宋体" w:cs="宋体" w:eastAsia="宋体" w:hint="default"/>
          <w:sz w:val="7"/>
          <w:szCs w:val="7"/>
        </w:rPr>
      </w:pPr>
    </w:p>
    <w:p>
      <w:pPr>
        <w:tabs>
          <w:tab w:pos="6668" w:val="left" w:leader="none"/>
        </w:tabs>
        <w:spacing w:line="20" w:lineRule="exact"/>
        <w:ind w:left="2683" w:right="0" w:firstLine="0"/>
        <w:rPr>
          <w:rFonts w:ascii="宋体" w:hAnsi="宋体" w:cs="宋体" w:eastAsia="宋体" w:hint="default"/>
          <w:sz w:val="2"/>
          <w:szCs w:val="2"/>
        </w:rPr>
      </w:pPr>
      <w:r>
        <w:rPr>
          <w:rFonts w:ascii="宋体"/>
          <w:sz w:val="2"/>
        </w:rPr>
        <w:pict>
          <v:group style="width:178.75pt;height:1pt;mso-position-horizontal-relative:char;mso-position-vertical-relative:line" coordorigin="0,0" coordsize="3575,20">
            <v:group style="position:absolute;left:10;top:10;width:2420;height:2" coordorigin="10,10" coordsize="2420,2">
              <v:shape style="position:absolute;left:10;top:10;width:2420;height:2" coordorigin="10,10" coordsize="2420,0" path="m10,10l2429,10e" filled="false" stroked="true" strokeweight=".95999pt" strokecolor="#000000">
                <v:path arrowok="t"/>
              </v:shape>
            </v:group>
            <v:group style="position:absolute;left:2429;top:10;width:20;height:2" coordorigin="2429,10" coordsize="20,2">
              <v:shape style="position:absolute;left:2429;top:10;width:20;height:2" coordorigin="2429,10" coordsize="20,0" path="m2429,10l2449,10e" filled="false" stroked="true" strokeweight=".95999pt" strokecolor="#000000">
                <v:path arrowok="t"/>
              </v:shape>
            </v:group>
            <v:group style="position:absolute;left:2449;top:10;width:265;height:2" coordorigin="2449,10" coordsize="265,2">
              <v:shape style="position:absolute;left:2449;top:10;width:265;height:2" coordorigin="2449,10" coordsize="265,0" path="m2449,10l2713,10e" filled="false" stroked="true" strokeweight=".95999pt" strokecolor="#000000">
                <v:path arrowok="t"/>
              </v:shape>
            </v:group>
            <v:group style="position:absolute;left:2713;top:10;width:20;height:2" coordorigin="2713,10" coordsize="20,2">
              <v:shape style="position:absolute;left:2713;top:10;width:20;height:2" coordorigin="2713,10" coordsize="20,0" path="m2713,10l2732,10e" filled="false" stroked="true" strokeweight=".95999pt" strokecolor="#000000">
                <v:path arrowok="t"/>
              </v:shape>
            </v:group>
            <v:group style="position:absolute;left:2732;top:10;width:833;height:2" coordorigin="2732,10" coordsize="833,2">
              <v:shape style="position:absolute;left:2732;top:10;width:833;height:2" coordorigin="2732,10" coordsize="833,0" path="m2732,10l3565,10e" filled="false" stroked="true" strokeweight=".95999pt" strokecolor="#000000">
                <v:path arrowok="t"/>
              </v:shape>
            </v:group>
          </v:group>
        </w:pict>
      </w:r>
      <w:r>
        <w:rPr>
          <w:rFonts w:ascii="宋体"/>
          <w:sz w:val="2"/>
        </w:rPr>
      </w:r>
      <w:r>
        <w:rPr>
          <w:rFonts w:ascii="宋体"/>
          <w:sz w:val="2"/>
        </w:rPr>
        <w:tab/>
      </w:r>
      <w:r>
        <w:rPr>
          <w:rFonts w:ascii="宋体"/>
          <w:position w:val="1"/>
          <w:sz w:val="2"/>
        </w:rPr>
        <w:pict>
          <v:group style="width:177.75pt;height:.5pt;mso-position-horizontal-relative:char;mso-position-vertical-relative:line" coordorigin="0,0" coordsize="3555,10">
            <v:group style="position:absolute;left:5;top:5;width:2410;height:2" coordorigin="5,5" coordsize="2410,2">
              <v:shape style="position:absolute;left:5;top:5;width:2410;height:2" coordorigin="5,5" coordsize="2410,0" path="m5,5l2415,5e" filled="false" stroked="true" strokeweight=".47998pt" strokecolor="#000000">
                <v:path arrowok="t"/>
              </v:shape>
            </v:group>
            <v:group style="position:absolute;left:2415;top:5;width:10;height:2" coordorigin="2415,5" coordsize="10,2">
              <v:shape style="position:absolute;left:2415;top:5;width:10;height:2" coordorigin="2415,5" coordsize="10,0" path="m2415,5l2425,5e" filled="false" stroked="true" strokeweight=".47998pt" strokecolor="#000000">
                <v:path arrowok="t"/>
              </v:shape>
            </v:group>
            <v:group style="position:absolute;left:2425;top:5;width:274;height:2" coordorigin="2425,5" coordsize="274,2">
              <v:shape style="position:absolute;left:2425;top:5;width:274;height:2" coordorigin="2425,5" coordsize="274,0" path="m2425,5l2698,5e" filled="false" stroked="true" strokeweight=".47998pt" strokecolor="#000000">
                <v:path arrowok="t"/>
              </v:shape>
            </v:group>
            <v:group style="position:absolute;left:2698;top:5;width:10;height:2" coordorigin="2698,5" coordsize="10,2">
              <v:shape style="position:absolute;left:2698;top:5;width:10;height:2" coordorigin="2698,5" coordsize="10,0" path="m2698,5l2708,5e" filled="false" stroked="true" strokeweight=".47998pt" strokecolor="#000000">
                <v:path arrowok="t"/>
              </v:shape>
            </v:group>
            <v:group style="position:absolute;left:2708;top:5;width:843;height:2" coordorigin="2708,5" coordsize="843,2">
              <v:shape style="position:absolute;left:2708;top:5;width:843;height:2" coordorigin="2708,5" coordsize="843,0" path="m2708,5l3550,5e" filled="false" stroked="true" strokeweight=".47998pt" strokecolor="#000000">
                <v:path arrowok="t"/>
              </v:shape>
            </v:group>
          </v:group>
        </w:pict>
      </w:r>
      <w:r>
        <w:rPr>
          <w:rFonts w:ascii="宋体"/>
          <w:position w:val="1"/>
          <w:sz w:val="2"/>
        </w:rPr>
      </w:r>
    </w:p>
    <w:p>
      <w:pPr>
        <w:spacing w:after="0" w:line="20" w:lineRule="exact"/>
        <w:rPr>
          <w:rFonts w:ascii="宋体" w:hAnsi="宋体" w:cs="宋体" w:eastAsia="宋体" w:hint="default"/>
          <w:sz w:val="2"/>
          <w:szCs w:val="2"/>
        </w:rPr>
        <w:sectPr>
          <w:type w:val="continuous"/>
          <w:pgSz w:w="11910" w:h="16840"/>
          <w:pgMar w:top="1100" w:bottom="1380" w:left="1080" w:right="160"/>
        </w:sectPr>
      </w:pPr>
    </w:p>
    <w:p>
      <w:pPr>
        <w:spacing w:line="151" w:lineRule="exact" w:before="55"/>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账面余额</w:t>
      </w:r>
    </w:p>
    <w:p>
      <w:pPr>
        <w:spacing w:line="146" w:lineRule="exact" w:before="0"/>
        <w:ind w:left="1339" w:right="0" w:firstLine="0"/>
        <w:jc w:val="left"/>
        <w:rPr>
          <w:rFonts w:ascii="宋体" w:hAnsi="宋体" w:cs="宋体" w:eastAsia="宋体" w:hint="default"/>
          <w:sz w:val="15"/>
          <w:szCs w:val="15"/>
        </w:rPr>
      </w:pPr>
      <w:r>
        <w:rPr/>
        <w:pict>
          <v:group style="position:absolute;margin-left:188.180008pt;margin-top:3.372539pt;width:121.95pt;height:1pt;mso-position-horizontal-relative:page;mso-position-vertical-relative:paragraph;z-index:4192" coordorigin="3764,67" coordsize="2439,20">
            <v:group style="position:absolute;left:3773;top:77;width:1287;height:2" coordorigin="3773,77" coordsize="1287,2">
              <v:shape style="position:absolute;left:3773;top:77;width:1287;height:2" coordorigin="3773,77" coordsize="1287,0" path="m3773,77l5060,77e" filled="false" stroked="true" strokeweight=".95999pt" strokecolor="#000000">
                <v:path arrowok="t"/>
              </v:shape>
            </v:group>
            <v:group style="position:absolute;left:5060;top:77;width:20;height:2" coordorigin="5060,77" coordsize="20,2">
              <v:shape style="position:absolute;left:5060;top:77;width:20;height:2" coordorigin="5060,77" coordsize="20,0" path="m5060,77l5079,77e" filled="false" stroked="true" strokeweight=".95999pt" strokecolor="#000000">
                <v:path arrowok="t"/>
              </v:shape>
            </v:group>
            <v:group style="position:absolute;left:5079;top:77;width:264;height:2" coordorigin="5079,77" coordsize="264,2">
              <v:shape style="position:absolute;left:5079;top:77;width:264;height:2" coordorigin="5079,77" coordsize="264,0" path="m5079,77l5343,77e" filled="false" stroked="true" strokeweight=".95999pt" strokecolor="#000000">
                <v:path arrowok="t"/>
              </v:shape>
            </v:group>
            <v:group style="position:absolute;left:5343;top:77;width:20;height:2" coordorigin="5343,77" coordsize="20,2">
              <v:shape style="position:absolute;left:5343;top:77;width:20;height:2" coordorigin="5343,77" coordsize="20,0" path="m5343,77l5363,77e" filled="false" stroked="true" strokeweight=".95999pt" strokecolor="#000000">
                <v:path arrowok="t"/>
              </v:shape>
            </v:group>
            <v:group style="position:absolute;left:5363;top:77;width:831;height:2" coordorigin="5363,77" coordsize="831,2">
              <v:shape style="position:absolute;left:5363;top:77;width:831;height:2" coordorigin="5363,77" coordsize="831,0" path="m5363,77l6193,77e" filled="false" stroked="true" strokeweight=".95999pt" strokecolor="#000000">
                <v:path arrowok="t"/>
              </v:shape>
            </v:group>
            <w10:wrap type="none"/>
          </v:group>
        </w:pict>
      </w:r>
      <w:r>
        <w:rPr>
          <w:rFonts w:ascii="宋体" w:hAnsi="宋体" w:cs="宋体" w:eastAsia="宋体" w:hint="default"/>
          <w:sz w:val="15"/>
          <w:szCs w:val="15"/>
        </w:rPr>
        <w:t>账龄</w:t>
      </w:r>
    </w:p>
    <w:p>
      <w:pPr>
        <w:spacing w:line="240" w:lineRule="auto" w:before="3"/>
        <w:rPr>
          <w:rFonts w:ascii="宋体" w:hAnsi="宋体" w:cs="宋体" w:eastAsia="宋体" w:hint="default"/>
          <w:sz w:val="12"/>
          <w:szCs w:val="12"/>
        </w:rPr>
      </w:pPr>
      <w:r>
        <w:rPr/>
        <w:br w:type="column"/>
      </w:r>
      <w:r>
        <w:rPr>
          <w:rFonts w:ascii="宋体"/>
          <w:sz w:val="12"/>
        </w:rPr>
      </w:r>
    </w:p>
    <w:p>
      <w:pPr>
        <w:spacing w:line="192"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坏账准备</w:t>
      </w:r>
    </w:p>
    <w:p>
      <w:pPr>
        <w:spacing w:before="55"/>
        <w:ind w:left="0" w:right="0" w:firstLine="0"/>
        <w:jc w:val="righ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账面余额</w:t>
      </w:r>
    </w:p>
    <w:p>
      <w:pPr>
        <w:spacing w:line="240" w:lineRule="auto" w:before="3"/>
        <w:rPr>
          <w:rFonts w:ascii="宋体" w:hAnsi="宋体" w:cs="宋体" w:eastAsia="宋体" w:hint="default"/>
          <w:sz w:val="12"/>
          <w:szCs w:val="12"/>
        </w:rPr>
      </w:pPr>
      <w:r>
        <w:rPr/>
        <w:br w:type="column"/>
      </w:r>
      <w:r>
        <w:rPr>
          <w:rFonts w:ascii="宋体"/>
          <w:sz w:val="12"/>
        </w:rPr>
      </w:r>
    </w:p>
    <w:p>
      <w:pPr>
        <w:spacing w:line="192" w:lineRule="exact" w:before="0"/>
        <w:ind w:left="1271" w:right="0" w:firstLine="0"/>
        <w:jc w:val="left"/>
        <w:rPr>
          <w:rFonts w:ascii="宋体" w:hAnsi="宋体" w:cs="宋体" w:eastAsia="宋体" w:hint="default"/>
          <w:sz w:val="15"/>
          <w:szCs w:val="15"/>
        </w:rPr>
      </w:pPr>
      <w:r>
        <w:rPr/>
        <w:pict>
          <v:group style="position:absolute;margin-left:387.190002pt;margin-top:5.639766pt;width:121.5pt;height:1pt;mso-position-horizontal-relative:page;mso-position-vertical-relative:paragraph;z-index:4216" coordorigin="7744,113" coordsize="2430,20">
            <v:group style="position:absolute;left:7753;top:122;width:1278;height:2" coordorigin="7753,122" coordsize="1278,2">
              <v:shape style="position:absolute;left:7753;top:122;width:1278;height:2" coordorigin="7753,122" coordsize="1278,0" path="m7753,122l9031,122e" filled="false" stroked="true" strokeweight=".95999pt" strokecolor="#000000">
                <v:path arrowok="t"/>
              </v:shape>
            </v:group>
            <v:group style="position:absolute;left:9031;top:122;width:20;height:2" coordorigin="9031,122" coordsize="20,2">
              <v:shape style="position:absolute;left:9031;top:122;width:20;height:2" coordorigin="9031,122" coordsize="20,0" path="m9031,122l9050,122e" filled="false" stroked="true" strokeweight=".95999pt" strokecolor="#000000">
                <v:path arrowok="t"/>
              </v:shape>
            </v:group>
            <v:group style="position:absolute;left:9050;top:122;width:262;height:2" coordorigin="9050,122" coordsize="262,2">
              <v:shape style="position:absolute;left:9050;top:122;width:262;height:2" coordorigin="9050,122" coordsize="262,0" path="m9050,122l9312,122e" filled="false" stroked="true" strokeweight=".95999pt" strokecolor="#000000">
                <v:path arrowok="t"/>
              </v:shape>
            </v:group>
            <v:group style="position:absolute;left:9312;top:122;width:20;height:2" coordorigin="9312,122" coordsize="20,2">
              <v:shape style="position:absolute;left:9312;top:122;width:20;height:2" coordorigin="9312,122" coordsize="20,0" path="m9312,122l9331,122e" filled="false" stroked="true" strokeweight=".95999pt" strokecolor="#000000">
                <v:path arrowok="t"/>
              </v:shape>
            </v:group>
            <v:group style="position:absolute;left:9331;top:122;width:833;height:2" coordorigin="9331,122" coordsize="833,2">
              <v:shape style="position:absolute;left:9331;top:122;width:833;height:2" coordorigin="9331,122" coordsize="833,0" path="m9331,122l10164,122e" filled="false" stroked="true" strokeweight=".95999pt" strokecolor="#000000">
                <v:path arrowok="t"/>
              </v:shape>
            </v:group>
            <w10:wrap type="none"/>
          </v:group>
        </w:pict>
      </w:r>
      <w:r>
        <w:rPr>
          <w:rFonts w:ascii="宋体" w:hAnsi="宋体" w:cs="宋体" w:eastAsia="宋体" w:hint="default"/>
          <w:sz w:val="15"/>
          <w:szCs w:val="15"/>
        </w:rPr>
        <w:t>坏账准备</w:t>
      </w:r>
    </w:p>
    <w:p>
      <w:pPr>
        <w:spacing w:after="0" w:line="192" w:lineRule="exact"/>
        <w:jc w:val="left"/>
        <w:rPr>
          <w:rFonts w:ascii="宋体" w:hAnsi="宋体" w:cs="宋体" w:eastAsia="宋体" w:hint="default"/>
          <w:sz w:val="15"/>
          <w:szCs w:val="15"/>
        </w:rPr>
        <w:sectPr>
          <w:type w:val="continuous"/>
          <w:pgSz w:w="11910" w:h="16840"/>
          <w:pgMar w:top="1100" w:bottom="1380" w:left="1080" w:right="160"/>
          <w:cols w:num="4" w:equalWidth="0">
            <w:col w:w="4204" w:space="40"/>
            <w:col w:w="1881" w:space="114"/>
            <w:col w:w="1942" w:space="40"/>
            <w:col w:w="2449"/>
          </w:cols>
        </w:sectPr>
      </w:pPr>
    </w:p>
    <w:p>
      <w:pPr>
        <w:tabs>
          <w:tab w:pos="4368" w:val="left" w:leader="none"/>
          <w:tab w:pos="7160" w:val="left" w:leader="none"/>
          <w:tab w:pos="8339" w:val="left" w:leader="none"/>
        </w:tabs>
        <w:spacing w:line="151" w:lineRule="exact" w:before="0"/>
        <w:ind w:left="3183" w:right="0" w:firstLine="0"/>
        <w:jc w:val="left"/>
        <w:rPr>
          <w:rFonts w:ascii="宋体" w:hAnsi="宋体" w:cs="宋体" w:eastAsia="宋体" w:hint="default"/>
          <w:sz w:val="15"/>
          <w:szCs w:val="15"/>
        </w:rPr>
      </w:pPr>
      <w:r>
        <w:rPr>
          <w:rFonts w:ascii="宋体" w:hAnsi="宋体" w:cs="宋体" w:eastAsia="宋体" w:hint="default"/>
          <w:sz w:val="15"/>
          <w:szCs w:val="15"/>
        </w:rPr>
        <w:t>金额</w:t>
        <w:tab/>
      </w:r>
      <w:r>
        <w:rPr>
          <w:rFonts w:ascii="宋体" w:hAnsi="宋体" w:cs="宋体" w:eastAsia="宋体" w:hint="default"/>
          <w:spacing w:val="-1"/>
          <w:sz w:val="15"/>
          <w:szCs w:val="15"/>
        </w:rPr>
        <w:t>比例（</w:t>
      </w:r>
      <w:r>
        <w:rPr>
          <w:rFonts w:ascii="宋体" w:hAnsi="宋体" w:cs="宋体" w:eastAsia="宋体"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sz w:val="15"/>
          <w:szCs w:val="15"/>
        </w:rPr>
        <w:t>金额</w:t>
        <w:tab/>
      </w:r>
      <w:r>
        <w:rPr>
          <w:rFonts w:ascii="宋体" w:hAnsi="宋体" w:cs="宋体" w:eastAsia="宋体" w:hint="default"/>
          <w:spacing w:val="-1"/>
          <w:sz w:val="15"/>
          <w:szCs w:val="15"/>
        </w:rPr>
        <w:t>比例（</w:t>
      </w:r>
      <w:r>
        <w:rPr>
          <w:rFonts w:ascii="宋体" w:hAnsi="宋体" w:cs="宋体" w:eastAsia="宋体" w:hint="default"/>
          <w:spacing w:val="-1"/>
          <w:sz w:val="15"/>
          <w:szCs w:val="15"/>
        </w:rPr>
        <w:t>%</w:t>
      </w:r>
      <w:r>
        <w:rPr>
          <w:rFonts w:ascii="宋体" w:hAnsi="宋体" w:cs="宋体" w:eastAsia="宋体" w:hint="default"/>
          <w:spacing w:val="-1"/>
          <w:sz w:val="15"/>
          <w:szCs w:val="15"/>
        </w:rPr>
        <w:t>）</w:t>
      </w:r>
    </w:p>
    <w:p>
      <w:pPr>
        <w:spacing w:line="240" w:lineRule="auto" w:before="8"/>
        <w:rPr>
          <w:rFonts w:ascii="宋体" w:hAnsi="宋体" w:cs="宋体" w:eastAsia="宋体" w:hint="default"/>
          <w:sz w:val="4"/>
          <w:szCs w:val="4"/>
        </w:rPr>
      </w:pPr>
    </w:p>
    <w:p>
      <w:pPr>
        <w:tabs>
          <w:tab w:pos="2683" w:val="left" w:leader="none"/>
          <w:tab w:pos="4253" w:val="left" w:leader="none"/>
          <w:tab w:pos="5387" w:val="left" w:leader="none"/>
          <w:tab w:pos="6663" w:val="left" w:leader="none"/>
          <w:tab w:pos="8222" w:val="left" w:leader="none"/>
          <w:tab w:pos="9357" w:val="left" w:leader="none"/>
        </w:tabs>
        <w:spacing w:line="20" w:lineRule="exact"/>
        <w:ind w:left="706" w:right="0" w:firstLine="0"/>
        <w:rPr>
          <w:rFonts w:ascii="宋体" w:hAnsi="宋体" w:cs="宋体" w:eastAsia="宋体" w:hint="default"/>
          <w:sz w:val="2"/>
          <w:szCs w:val="2"/>
        </w:rPr>
      </w:pPr>
      <w:r>
        <w:rPr>
          <w:rFonts w:ascii="宋体"/>
          <w:sz w:val="2"/>
        </w:rPr>
        <w:pict>
          <v:group style="width:78.5pt;height:1pt;mso-position-horizontal-relative:char;mso-position-vertical-relative:line" coordorigin="0,0" coordsize="1570,20">
            <v:group style="position:absolute;left:10;top:10;width:1551;height:2" coordorigin="10,10" coordsize="1551,2">
              <v:shape style="position:absolute;left:10;top:10;width:1551;height:2" coordorigin="10,10" coordsize="1551,0" path="m10,10l1560,10e" filled="false" stroked="true" strokeweight=".95999pt" strokecolor="#000000">
                <v:path arrowok="t"/>
              </v:shape>
            </v:group>
          </v:group>
        </w:pict>
      </w:r>
      <w:r>
        <w:rPr>
          <w:rFonts w:ascii="宋体"/>
          <w:sz w:val="2"/>
        </w:rPr>
      </w:r>
      <w:r>
        <w:rPr>
          <w:rFonts w:ascii="宋体"/>
          <w:sz w:val="2"/>
        </w:rPr>
        <w:tab/>
      </w:r>
      <w:r>
        <w:rPr>
          <w:rFonts w:ascii="宋体"/>
          <w:sz w:val="2"/>
        </w:rPr>
        <w:pict>
          <v:group style="width:65.3500pt;height:1pt;mso-position-horizontal-relative:char;mso-position-vertical-relative:line" coordorigin="0,0" coordsize="1307,20">
            <v:group style="position:absolute;left:10;top:10;width:1287;height:2" coordorigin="10,10" coordsize="1287,2">
              <v:shape style="position:absolute;left:10;top:10;width:1287;height:2" coordorigin="10,10" coordsize="1287,0" path="m10,10l1296,10e" filled="false" stroked="true" strokeweight=".95999pt" strokecolor="#000000">
                <v:path arrowok="t"/>
              </v:shape>
            </v:group>
          </v:group>
        </w:pict>
      </w:r>
      <w:r>
        <w:rPr>
          <w:rFonts w:ascii="宋体"/>
          <w:sz w:val="2"/>
        </w:rPr>
      </w:r>
      <w:r>
        <w:rPr>
          <w:rFonts w:ascii="宋体"/>
          <w:sz w:val="2"/>
        </w:rPr>
        <w:tab/>
      </w:r>
      <w:r>
        <w:rPr>
          <w:rFonts w:ascii="宋体"/>
          <w:sz w:val="2"/>
        </w:rPr>
        <w:pict>
          <v:group style="width:43.45pt;height:1pt;mso-position-horizontal-relative:char;mso-position-vertical-relative:line" coordorigin="0,0" coordsize="869,20">
            <v:group style="position:absolute;left:10;top:10;width:850;height:2" coordorigin="10,10" coordsize="850,2">
              <v:shape style="position:absolute;left:10;top:10;width:850;height:2" coordorigin="10,10" coordsize="850,0" path="m10,10l859,10e" filled="false" stroked="true" strokeweight=".95999pt" strokecolor="#000000">
                <v:path arrowok="t"/>
              </v:shape>
            </v:group>
          </v:group>
        </w:pict>
      </w:r>
      <w:r>
        <w:rPr>
          <w:rFonts w:ascii="宋体"/>
          <w:sz w:val="2"/>
        </w:rPr>
      </w:r>
      <w:r>
        <w:rPr>
          <w:rFonts w:ascii="宋体"/>
          <w:sz w:val="2"/>
        </w:rPr>
        <w:tab/>
      </w:r>
      <w:r>
        <w:rPr>
          <w:rFonts w:ascii="宋体"/>
          <w:sz w:val="2"/>
        </w:rPr>
        <w:pict>
          <v:group style="width:43.6pt;height:1pt;mso-position-horizontal-relative:char;mso-position-vertical-relative:line" coordorigin="0,0" coordsize="872,20">
            <v:group style="position:absolute;left:10;top:10;width:852;height:2" coordorigin="10,10" coordsize="852,2">
              <v:shape style="position:absolute;left:10;top:10;width:852;height:2" coordorigin="10,10" coordsize="852,0" path="m10,10l862,10e" filled="false" stroked="true" strokeweight=".95999pt" strokecolor="#000000">
                <v:path arrowok="t"/>
              </v:shape>
            </v:group>
          </v:group>
        </w:pict>
      </w:r>
      <w:r>
        <w:rPr>
          <w:rFonts w:ascii="宋体"/>
          <w:sz w:val="2"/>
        </w:rPr>
      </w:r>
      <w:r>
        <w:rPr>
          <w:rFonts w:ascii="宋体"/>
          <w:sz w:val="2"/>
        </w:rPr>
        <w:tab/>
      </w:r>
      <w:r>
        <w:rPr>
          <w:rFonts w:ascii="宋体"/>
          <w:sz w:val="2"/>
        </w:rPr>
        <w:pict>
          <v:group style="width:64.8500pt;height:1pt;mso-position-horizontal-relative:char;mso-position-vertical-relative:line" coordorigin="0,0" coordsize="1297,20">
            <v:group style="position:absolute;left:10;top:10;width:1278;height:2" coordorigin="10,10" coordsize="1278,2">
              <v:shape style="position:absolute;left:10;top:10;width:1278;height:2" coordorigin="10,10" coordsize="1278,0" path="m10,10l1287,10e" filled="false" stroked="true" strokeweight=".95999pt" strokecolor="#000000">
                <v:path arrowok="t"/>
              </v:shape>
            </v:group>
          </v:group>
        </w:pict>
      </w:r>
      <w:r>
        <w:rPr>
          <w:rFonts w:ascii="宋体"/>
          <w:sz w:val="2"/>
        </w:rPr>
      </w:r>
      <w:r>
        <w:rPr>
          <w:rFonts w:ascii="宋体"/>
          <w:sz w:val="2"/>
        </w:rPr>
        <w:tab/>
      </w:r>
      <w:r>
        <w:rPr>
          <w:rFonts w:ascii="宋体"/>
          <w:sz w:val="2"/>
        </w:rPr>
        <w:pict>
          <v:group style="width:43.6pt;height:1pt;mso-position-horizontal-relative:char;mso-position-vertical-relative:line" coordorigin="0,0" coordsize="872,20">
            <v:group style="position:absolute;left:10;top:10;width:852;height:2" coordorigin="10,10" coordsize="852,2">
              <v:shape style="position:absolute;left:10;top:10;width:852;height:2" coordorigin="10,10" coordsize="852,0" path="m10,10l862,10e" filled="false" stroked="true" strokeweight=".95999pt" strokecolor="#000000">
                <v:path arrowok="t"/>
              </v:shape>
            </v:group>
          </v:group>
        </w:pict>
      </w:r>
      <w:r>
        <w:rPr>
          <w:rFonts w:ascii="宋体"/>
          <w:sz w:val="2"/>
        </w:rPr>
      </w:r>
      <w:r>
        <w:rPr>
          <w:rFonts w:ascii="宋体"/>
          <w:sz w:val="2"/>
        </w:rPr>
        <w:tab/>
      </w:r>
      <w:r>
        <w:rPr>
          <w:rFonts w:ascii="宋体"/>
          <w:sz w:val="2"/>
        </w:rPr>
        <w:pict>
          <v:group style="width:43.6pt;height:1pt;mso-position-horizontal-relative:char;mso-position-vertical-relative:line" coordorigin="0,0" coordsize="872,20">
            <v:group style="position:absolute;left:10;top:10;width:852;height:2" coordorigin="10,10" coordsize="852,2">
              <v:shape style="position:absolute;left:10;top:10;width:852;height:2" coordorigin="10,10" coordsize="852,0" path="m10,10l862,10e" filled="false" stroked="true" strokeweight=".95999pt" strokecolor="#000000">
                <v:path arrowok="t"/>
              </v:shape>
            </v:group>
          </v:group>
        </w:pict>
      </w:r>
      <w:r>
        <w:rPr>
          <w:rFonts w:ascii="宋体"/>
          <w:sz w:val="2"/>
        </w:rPr>
      </w:r>
    </w:p>
    <w:p>
      <w:pPr>
        <w:tabs>
          <w:tab w:pos="2969" w:val="left" w:leader="none"/>
          <w:tab w:pos="4553" w:val="left" w:leader="none"/>
          <w:tab w:pos="6066" w:val="left" w:leader="none"/>
          <w:tab w:pos="7090" w:val="left" w:leader="none"/>
          <w:tab w:pos="8524" w:val="left" w:leader="none"/>
          <w:tab w:pos="10036" w:val="left" w:leader="none"/>
        </w:tabs>
        <w:spacing w:before="54"/>
        <w:ind w:left="823" w:right="0" w:firstLine="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4"/>
          <w:sz w:val="15"/>
          <w:szCs w:val="15"/>
        </w:rPr>
        <w:t> </w:t>
      </w:r>
      <w:r>
        <w:rPr>
          <w:rFonts w:ascii="宋体" w:hAnsi="宋体" w:cs="宋体" w:eastAsia="宋体" w:hint="default"/>
          <w:spacing w:val="-1"/>
          <w:sz w:val="15"/>
          <w:szCs w:val="15"/>
        </w:rPr>
        <w:t>年以内</w:t>
        <w:tab/>
      </w:r>
      <w:r>
        <w:rPr>
          <w:rFonts w:ascii="宋体" w:hAnsi="宋体" w:cs="宋体" w:eastAsia="宋体" w:hint="default"/>
          <w:spacing w:val="-2"/>
          <w:sz w:val="15"/>
          <w:szCs w:val="15"/>
        </w:rPr>
        <w:t>3,648,812.94</w:t>
        <w:tab/>
      </w:r>
      <w:r>
        <w:rPr>
          <w:rFonts w:ascii="宋体" w:hAnsi="宋体" w:cs="宋体" w:eastAsia="宋体" w:hint="default"/>
          <w:spacing w:val="-1"/>
          <w:sz w:val="15"/>
          <w:szCs w:val="15"/>
        </w:rPr>
        <w:t>100.00</w:t>
        <w:tab/>
      </w:r>
      <w:r>
        <w:rPr>
          <w:rFonts w:ascii="宋体" w:hAnsi="宋体" w:cs="宋体" w:eastAsia="宋体" w:hint="default"/>
          <w:sz w:val="15"/>
          <w:szCs w:val="15"/>
        </w:rPr>
        <w:t>-</w:t>
        <w:tab/>
      </w:r>
      <w:r>
        <w:rPr>
          <w:rFonts w:ascii="宋体" w:hAnsi="宋体" w:cs="宋体" w:eastAsia="宋体" w:hint="default"/>
          <w:spacing w:val="-1"/>
          <w:sz w:val="15"/>
          <w:szCs w:val="15"/>
        </w:rPr>
        <w:t>717,213.50</w:t>
        <w:tab/>
        <w:t>100.00</w:t>
        <w:tab/>
      </w:r>
      <w:r>
        <w:rPr>
          <w:rFonts w:ascii="宋体" w:hAnsi="宋体" w:cs="宋体" w:eastAsia="宋体" w:hint="default"/>
          <w:sz w:val="15"/>
          <w:szCs w:val="15"/>
        </w:rPr>
        <w:t>-</w:t>
      </w:r>
    </w:p>
    <w:p>
      <w:pPr>
        <w:tabs>
          <w:tab w:pos="4258" w:val="left" w:leader="none"/>
          <w:tab w:pos="5391" w:val="left" w:leader="none"/>
          <w:tab w:pos="6668" w:val="left" w:leader="none"/>
          <w:tab w:pos="8226" w:val="left" w:leader="none"/>
          <w:tab w:pos="9362" w:val="left" w:leader="none"/>
        </w:tabs>
        <w:spacing w:line="28" w:lineRule="exact"/>
        <w:ind w:left="2688" w:right="0" w:firstLine="0"/>
        <w:rPr>
          <w:rFonts w:ascii="宋体" w:hAnsi="宋体" w:cs="宋体" w:eastAsia="宋体" w:hint="default"/>
          <w:sz w:val="2"/>
          <w:szCs w:val="2"/>
        </w:rPr>
      </w:pPr>
      <w:r>
        <w:rPr>
          <w:rFonts w:ascii="宋体"/>
          <w:position w:val="0"/>
          <w:sz w:val="2"/>
        </w:rPr>
        <w:pict>
          <v:group style="width:64.8500pt;height:1.45pt;mso-position-horizontal-relative:char;mso-position-vertical-relative:line" coordorigin="0,0" coordsize="1297,29">
            <v:group style="position:absolute;left:5;top:5;width:1287;height:2" coordorigin="5,5" coordsize="1287,2">
              <v:shape style="position:absolute;left:5;top:5;width:1287;height:2" coordorigin="5,5" coordsize="1287,0" path="m5,5l1292,5e" filled="false" stroked="true" strokeweight=".48004pt" strokecolor="#000000">
                <v:path arrowok="t"/>
              </v:shape>
            </v:group>
            <v:group style="position:absolute;left:5;top:24;width:1287;height:2" coordorigin="5,24" coordsize="1287,2">
              <v:shape style="position:absolute;left:5;top:24;width:1287;height:2" coordorigin="5,24" coordsize="1287,0" path="m5,24l1292,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3pt;height:1.45pt;mso-position-horizontal-relative:char;mso-position-vertical-relative:line" coordorigin="0,0" coordsize="860,29">
            <v:group style="position:absolute;left:5;top:5;width:850;height:2" coordorigin="5,5" coordsize="850,2">
              <v:shape style="position:absolute;left:5;top:5;width:850;height:2" coordorigin="5,5" coordsize="850,0" path="m5,5l854,5e" filled="false" stroked="true" strokeweight=".48004pt" strokecolor="#000000">
                <v:path arrowok="t"/>
              </v:shape>
            </v:group>
            <v:group style="position:absolute;left:5;top:24;width:850;height:2" coordorigin="5,24" coordsize="850,2">
              <v:shape style="position:absolute;left:5;top:24;width:850;height:2" coordorigin="5,24" coordsize="850,0" path="m5,24l854,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004pt" strokecolor="#000000">
                <v:path arrowok="t"/>
              </v:shape>
            </v:group>
            <v:group style="position:absolute;left:5;top:24;width:852;height:2" coordorigin="5,24" coordsize="852,2">
              <v:shape style="position:absolute;left:5;top:24;width:852;height:2" coordorigin="5,24" coordsize="852,0" path="m5,24l857,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3500pt;height:1.45pt;mso-position-horizontal-relative:char;mso-position-vertical-relative:line" coordorigin="0,0" coordsize="1287,29">
            <v:group style="position:absolute;left:5;top:5;width:1278;height:2" coordorigin="5,5" coordsize="1278,2">
              <v:shape style="position:absolute;left:5;top:5;width:1278;height:2" coordorigin="5,5" coordsize="1278,0" path="m5,5l1282,5e" filled="false" stroked="true" strokeweight=".48004pt" strokecolor="#000000">
                <v:path arrowok="t"/>
              </v:shape>
            </v:group>
            <v:group style="position:absolute;left:5;top:24;width:1278;height:2" coordorigin="5,24" coordsize="1278,2">
              <v:shape style="position:absolute;left:5;top:24;width:1278;height:2" coordorigin="5,24" coordsize="1278,0" path="m5,24l1282,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004pt" strokecolor="#000000">
                <v:path arrowok="t"/>
              </v:shape>
            </v:group>
            <v:group style="position:absolute;left:5;top:24;width:852;height:2" coordorigin="5,24" coordsize="852,2">
              <v:shape style="position:absolute;left:5;top:24;width:852;height:2" coordorigin="5,24" coordsize="852,0" path="m5,24l857,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004pt" strokecolor="#000000">
                <v:path arrowok="t"/>
              </v:shape>
            </v:group>
            <v:group style="position:absolute;left:5;top:24;width:852;height:2" coordorigin="5,24" coordsize="852,2">
              <v:shape style="position:absolute;left:5;top:24;width:852;height:2" coordorigin="5,24" coordsize="852,0" path="m5,24l857,24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36"/>
        <w:ind w:left="823" w:right="0" w:firstLine="0"/>
        <w:jc w:val="left"/>
        <w:rPr>
          <w:rFonts w:ascii="宋体" w:hAnsi="宋体" w:cs="宋体" w:eastAsia="宋体" w:hint="default"/>
          <w:sz w:val="21"/>
          <w:szCs w:val="21"/>
        </w:rPr>
      </w:pPr>
      <w:r>
        <w:rPr>
          <w:rFonts w:ascii="宋体" w:hAnsi="宋体" w:cs="宋体" w:eastAsia="宋体" w:hint="default"/>
          <w:sz w:val="21"/>
          <w:szCs w:val="21"/>
        </w:rPr>
        <w:t>12.1.3</w:t>
      </w:r>
      <w:r>
        <w:rPr>
          <w:rFonts w:ascii="宋体" w:hAnsi="宋体" w:cs="宋体" w:eastAsia="宋体" w:hint="default"/>
          <w:spacing w:val="-55"/>
          <w:sz w:val="21"/>
          <w:szCs w:val="21"/>
        </w:rPr>
        <w:t> </w:t>
      </w:r>
      <w:r>
        <w:rPr>
          <w:rFonts w:ascii="宋体" w:hAnsi="宋体" w:cs="宋体" w:eastAsia="宋体" w:hint="default"/>
          <w:sz w:val="21"/>
          <w:szCs w:val="21"/>
        </w:rPr>
        <w:t>本报告期应收账款中无持本公司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表决权股份的股东单位欠款。</w:t>
      </w:r>
    </w:p>
    <w:p>
      <w:pPr>
        <w:spacing w:after="0"/>
        <w:jc w:val="left"/>
        <w:rPr>
          <w:rFonts w:ascii="宋体" w:hAnsi="宋体" w:cs="宋体" w:eastAsia="宋体" w:hint="default"/>
          <w:sz w:val="21"/>
          <w:szCs w:val="21"/>
        </w:rPr>
        <w:sectPr>
          <w:type w:val="continuous"/>
          <w:pgSz w:w="11910" w:h="16840"/>
          <w:pgMar w:top="1100" w:bottom="1380" w:left="1080" w:right="160"/>
        </w:sectPr>
      </w:pPr>
    </w:p>
    <w:p>
      <w:pPr>
        <w:spacing w:line="240" w:lineRule="auto" w:before="9"/>
        <w:rPr>
          <w:rFonts w:ascii="Times New Roman" w:hAnsi="Times New Roman" w:cs="Times New Roman" w:eastAsia="Times New Roman" w:hint="default"/>
          <w:sz w:val="4"/>
          <w:szCs w:val="4"/>
        </w:rPr>
      </w:pPr>
      <w:r>
        <w:rPr/>
        <w:pict>
          <v:group style="position:absolute;margin-left:373.27002pt;margin-top:403.25pt;width:85.5pt;height:1.45pt;mso-position-horizontal-relative:page;mso-position-vertical-relative:page;z-index:-793840" coordorigin="7465,8065" coordsize="1710,29">
            <v:group style="position:absolute;left:7470;top:8070;width:1700;height:2" coordorigin="7470,8070" coordsize="1700,2">
              <v:shape style="position:absolute;left:7470;top:8070;width:1700;height:2" coordorigin="7470,8070" coordsize="1700,0" path="m7470,8070l9170,8070e" filled="false" stroked="true" strokeweight=".47998pt" strokecolor="#000000">
                <v:path arrowok="t"/>
              </v:shape>
            </v:group>
            <v:group style="position:absolute;left:7470;top:8089;width:1700;height:2" coordorigin="7470,8089" coordsize="1700,2">
              <v:shape style="position:absolute;left:7470;top:8089;width:1700;height:2" coordorigin="7470,8089" coordsize="1700,0" path="m7470,8089l9170,8089e" filled="false" stroked="true" strokeweight=".47998pt" strokecolor="#000000">
                <v:path arrowok="t"/>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774"/>
        <w:gridCol w:w="2864"/>
        <w:gridCol w:w="294"/>
        <w:gridCol w:w="1835"/>
        <w:gridCol w:w="1826"/>
        <w:gridCol w:w="900"/>
        <w:gridCol w:w="108"/>
        <w:gridCol w:w="238"/>
        <w:gridCol w:w="1464"/>
        <w:gridCol w:w="334"/>
      </w:tblGrid>
      <w:tr>
        <w:trPr>
          <w:trHeight w:val="687"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sz w:val="21"/>
              </w:rPr>
              <w:t>12</w:t>
            </w:r>
            <w:r>
              <w:rPr>
                <w:rFonts w:ascii="宋体"/>
                <w:sz w:val="21"/>
              </w:rPr>
            </w:r>
          </w:p>
        </w:tc>
        <w:tc>
          <w:tcPr>
            <w:tcW w:w="4993"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1826"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
        </w:tc>
        <w:tc>
          <w:tcPr>
            <w:tcW w:w="334" w:type="dxa"/>
            <w:tcBorders>
              <w:top w:val="single" w:sz="4" w:space="0" w:color="000000"/>
              <w:left w:val="nil" w:sz="6" w:space="0" w:color="auto"/>
              <w:bottom w:val="nil" w:sz="6" w:space="0" w:color="auto"/>
              <w:right w:val="nil" w:sz="6" w:space="0" w:color="auto"/>
            </w:tcBorders>
          </w:tcPr>
          <w:p>
            <w:pPr/>
          </w:p>
        </w:tc>
      </w:tr>
      <w:tr>
        <w:trPr>
          <w:trHeight w:val="54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sz w:val="21"/>
              </w:rPr>
              <w:t>12.1</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应收账款（续）</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r>
      <w:tr>
        <w:trPr>
          <w:trHeight w:val="544" w:hRule="exact"/>
        </w:trPr>
        <w:tc>
          <w:tcPr>
            <w:tcW w:w="774" w:type="dxa"/>
            <w:tcBorders>
              <w:top w:val="nil" w:sz="6" w:space="0" w:color="auto"/>
              <w:left w:val="nil" w:sz="6" w:space="0" w:color="auto"/>
              <w:bottom w:val="nil" w:sz="6" w:space="0" w:color="auto"/>
              <w:right w:val="nil" w:sz="6" w:space="0" w:color="auto"/>
            </w:tcBorders>
          </w:tcPr>
          <w:p>
            <w:pPr/>
          </w:p>
        </w:tc>
        <w:tc>
          <w:tcPr>
            <w:tcW w:w="49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12.1.4</w:t>
            </w:r>
            <w:r>
              <w:rPr>
                <w:rFonts w:ascii="宋体" w:hAnsi="宋体" w:cs="宋体" w:eastAsia="宋体" w:hint="default"/>
                <w:spacing w:val="-2"/>
                <w:sz w:val="21"/>
                <w:szCs w:val="21"/>
              </w:rPr>
              <w:t> </w:t>
            </w:r>
            <w:r>
              <w:rPr>
                <w:rFonts w:ascii="宋体" w:hAnsi="宋体" w:cs="宋体" w:eastAsia="宋体" w:hint="default"/>
                <w:sz w:val="21"/>
                <w:szCs w:val="21"/>
              </w:rPr>
              <w:t>应收账款余额较大单位情况</w:t>
            </w:r>
          </w:p>
        </w:tc>
        <w:tc>
          <w:tcPr>
            <w:tcW w:w="182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r>
      <w:tr>
        <w:trPr>
          <w:trHeight w:val="686"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3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08"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07" w:right="0" w:firstLine="98"/>
              <w:jc w:val="left"/>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pacing w:val="-3"/>
                <w:sz w:val="21"/>
                <w:szCs w:val="21"/>
              </w:rPr>
              <w:t>总额比例（</w:t>
            </w:r>
            <w:r>
              <w:rPr>
                <w:rFonts w:ascii="宋体" w:hAnsi="宋体" w:cs="宋体" w:eastAsia="宋体" w:hint="default"/>
                <w:spacing w:val="-3"/>
                <w:sz w:val="21"/>
                <w:szCs w:val="21"/>
              </w:rPr>
              <w:t>%</w:t>
            </w:r>
            <w:r>
              <w:rPr>
                <w:rFonts w:ascii="宋体" w:hAnsi="宋体" w:cs="宋体" w:eastAsia="宋体" w:hint="default"/>
                <w:spacing w:val="-3"/>
                <w:sz w:val="21"/>
                <w:szCs w:val="21"/>
              </w:rPr>
              <w:t>）</w:t>
            </w:r>
          </w:p>
        </w:tc>
        <w:tc>
          <w:tcPr>
            <w:tcW w:w="334" w:type="dxa"/>
            <w:tcBorders>
              <w:top w:val="nil" w:sz="6" w:space="0" w:color="auto"/>
              <w:left w:val="nil" w:sz="6" w:space="0" w:color="auto"/>
              <w:bottom w:val="nil" w:sz="6" w:space="0" w:color="auto"/>
              <w:right w:val="nil" w:sz="6" w:space="0" w:color="auto"/>
            </w:tcBorders>
          </w:tcPr>
          <w:p>
            <w:pPr/>
          </w:p>
        </w:tc>
      </w:tr>
      <w:tr>
        <w:trPr>
          <w:trHeight w:val="318"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single" w:sz="4" w:space="0" w:color="000000"/>
              <w:left w:val="nil" w:sz="6" w:space="0" w:color="auto"/>
              <w:bottom w:val="nil" w:sz="6" w:space="0" w:color="auto"/>
              <w:right w:val="nil" w:sz="6" w:space="0" w:color="auto"/>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nil" w:sz="6" w:space="0" w:color="auto"/>
              <w:right w:val="nil" w:sz="6" w:space="0" w:color="auto"/>
            </w:tcBorders>
          </w:tcPr>
          <w:p>
            <w:pPr>
              <w:pStyle w:val="TableParagraph"/>
              <w:spacing w:line="243" w:lineRule="exact"/>
              <w:ind w:left="45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65" w:lineRule="exact"/>
              <w:ind w:left="112" w:right="0"/>
              <w:jc w:val="left"/>
              <w:rPr>
                <w:rFonts w:ascii="宋体" w:hAnsi="宋体" w:cs="宋体" w:eastAsia="宋体" w:hint="default"/>
                <w:sz w:val="21"/>
                <w:szCs w:val="21"/>
              </w:rPr>
            </w:pPr>
            <w:r>
              <w:rPr>
                <w:rFonts w:ascii="宋体"/>
                <w:sz w:val="21"/>
              </w:rPr>
              <w:t>20,282,126.64</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z w:val="21"/>
              </w:rPr>
              <w:t>84.75</w:t>
            </w:r>
          </w:p>
        </w:tc>
        <w:tc>
          <w:tcPr>
            <w:tcW w:w="334" w:type="dxa"/>
            <w:tcBorders>
              <w:top w:val="nil" w:sz="6" w:space="0" w:color="auto"/>
              <w:left w:val="nil" w:sz="6" w:space="0" w:color="auto"/>
              <w:bottom w:val="nil" w:sz="6" w:space="0" w:color="auto"/>
              <w:right w:val="nil" w:sz="6" w:space="0" w:color="auto"/>
            </w:tcBorders>
          </w:tcPr>
          <w:p>
            <w:pPr/>
          </w:p>
        </w:tc>
      </w:tr>
      <w:tr>
        <w:trPr>
          <w:trHeight w:val="545"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pacing w:val="4"/>
                <w:sz w:val="21"/>
                <w:szCs w:val="21"/>
              </w:rPr>
              <w:t>上海普天邮通科技股份有限</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4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8" w:right="0"/>
              <w:jc w:val="left"/>
              <w:rPr>
                <w:rFonts w:ascii="宋体" w:hAnsi="宋体" w:cs="宋体" w:eastAsia="宋体" w:hint="default"/>
                <w:sz w:val="21"/>
                <w:szCs w:val="21"/>
              </w:rPr>
            </w:pPr>
            <w:r>
              <w:rPr>
                <w:rFonts w:ascii="宋体"/>
                <w:sz w:val="21"/>
              </w:rPr>
              <w:t>1,879,200.00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3"/>
              <w:jc w:val="right"/>
              <w:rPr>
                <w:rFonts w:ascii="宋体" w:hAnsi="宋体" w:cs="宋体" w:eastAsia="宋体" w:hint="default"/>
                <w:sz w:val="21"/>
                <w:szCs w:val="21"/>
              </w:rPr>
            </w:pPr>
            <w:r>
              <w:rPr>
                <w:rFonts w:ascii="宋体"/>
                <w:sz w:val="21"/>
              </w:rPr>
              <w:t>7.85</w:t>
            </w:r>
          </w:p>
        </w:tc>
        <w:tc>
          <w:tcPr>
            <w:tcW w:w="334" w:type="dxa"/>
            <w:tcBorders>
              <w:top w:val="nil" w:sz="6" w:space="0" w:color="auto"/>
              <w:left w:val="nil" w:sz="6" w:space="0" w:color="auto"/>
              <w:bottom w:val="nil" w:sz="6" w:space="0" w:color="auto"/>
              <w:right w:val="nil" w:sz="6" w:space="0" w:color="auto"/>
            </w:tcBorders>
          </w:tcPr>
          <w:p>
            <w:pPr/>
          </w:p>
        </w:tc>
      </w:tr>
      <w:tr>
        <w:trPr>
          <w:trHeight w:val="312"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日本欧姆龙软件株式会社</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2" w:lineRule="exact"/>
              <w:ind w:left="34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6" w:type="dxa"/>
            <w:tcBorders>
              <w:top w:val="nil" w:sz="6" w:space="0" w:color="auto"/>
              <w:left w:val="nil" w:sz="6" w:space="0" w:color="auto"/>
              <w:bottom w:val="nil" w:sz="6" w:space="0" w:color="auto"/>
              <w:right w:val="nil" w:sz="6" w:space="0" w:color="auto"/>
            </w:tcBorders>
          </w:tcPr>
          <w:p>
            <w:pPr>
              <w:pStyle w:val="TableParagraph"/>
              <w:spacing w:line="264" w:lineRule="exact"/>
              <w:ind w:left="218" w:right="0"/>
              <w:jc w:val="left"/>
              <w:rPr>
                <w:rFonts w:ascii="宋体" w:hAnsi="宋体" w:cs="宋体" w:eastAsia="宋体" w:hint="default"/>
                <w:sz w:val="21"/>
                <w:szCs w:val="21"/>
              </w:rPr>
            </w:pPr>
            <w:r>
              <w:rPr>
                <w:rFonts w:ascii="宋体"/>
                <w:sz w:val="21"/>
              </w:rPr>
              <w:t>1,694,037.94</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z w:val="21"/>
              </w:rPr>
              <w:t>7.08</w:t>
            </w:r>
          </w:p>
        </w:tc>
        <w:tc>
          <w:tcPr>
            <w:tcW w:w="334" w:type="dxa"/>
            <w:tcBorders>
              <w:top w:val="nil" w:sz="6" w:space="0" w:color="auto"/>
              <w:left w:val="nil" w:sz="6" w:space="0" w:color="auto"/>
              <w:bottom w:val="nil" w:sz="6" w:space="0" w:color="auto"/>
              <w:right w:val="nil" w:sz="6" w:space="0" w:color="auto"/>
            </w:tcBorders>
          </w:tcPr>
          <w:p>
            <w:pPr/>
          </w:p>
        </w:tc>
      </w:tr>
      <w:tr>
        <w:trPr>
          <w:trHeight w:val="319"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2" w:lineRule="exact"/>
              <w:ind w:left="139" w:right="0"/>
              <w:jc w:val="left"/>
              <w:rPr>
                <w:rFonts w:ascii="宋体" w:hAnsi="宋体" w:cs="宋体" w:eastAsia="宋体" w:hint="default"/>
                <w:sz w:val="21"/>
                <w:szCs w:val="21"/>
              </w:rPr>
            </w:pPr>
            <w:r>
              <w:rPr>
                <w:rFonts w:ascii="宋体" w:hAnsi="宋体" w:cs="宋体" w:eastAsia="宋体" w:hint="default"/>
                <w:sz w:val="21"/>
                <w:szCs w:val="21"/>
              </w:rPr>
              <w:t>青岛永旺东泰商业有限公司</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2" w:lineRule="exact"/>
              <w:ind w:left="34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64" w:lineRule="exact"/>
              <w:ind w:left="532" w:right="0"/>
              <w:jc w:val="left"/>
              <w:rPr>
                <w:rFonts w:ascii="宋体" w:hAnsi="宋体" w:cs="宋体" w:eastAsia="宋体" w:hint="default"/>
                <w:sz w:val="21"/>
                <w:szCs w:val="21"/>
              </w:rPr>
            </w:pPr>
            <w:r>
              <w:rPr>
                <w:rFonts w:ascii="宋体"/>
                <w:sz w:val="21"/>
              </w:rPr>
              <w:t>75,575.00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0"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z w:val="21"/>
              </w:rPr>
              <w:t>0.32</w:t>
            </w:r>
          </w:p>
        </w:tc>
        <w:tc>
          <w:tcPr>
            <w:tcW w:w="334" w:type="dxa"/>
            <w:tcBorders>
              <w:top w:val="nil" w:sz="6" w:space="0" w:color="auto"/>
              <w:left w:val="nil" w:sz="6" w:space="0" w:color="auto"/>
              <w:bottom w:val="nil" w:sz="6" w:space="0" w:color="auto"/>
              <w:right w:val="nil" w:sz="6" w:space="0" w:color="auto"/>
            </w:tcBorders>
          </w:tcPr>
          <w:p>
            <w:pPr/>
          </w:p>
        </w:tc>
      </w:tr>
      <w:tr>
        <w:trPr>
          <w:trHeight w:val="331"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6" w:lineRule="exact"/>
              <w:ind w:left="1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23,930,939.58</w:t>
            </w:r>
          </w:p>
        </w:tc>
        <w:tc>
          <w:tcPr>
            <w:tcW w:w="90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sz w:val="21"/>
              </w:rPr>
              <w:t>100.00</w:t>
            </w:r>
          </w:p>
        </w:tc>
        <w:tc>
          <w:tcPr>
            <w:tcW w:w="334" w:type="dxa"/>
            <w:tcBorders>
              <w:top w:val="nil" w:sz="6" w:space="0" w:color="auto"/>
              <w:left w:val="nil" w:sz="6" w:space="0" w:color="auto"/>
              <w:bottom w:val="nil" w:sz="6" w:space="0" w:color="auto"/>
              <w:right w:val="nil" w:sz="6" w:space="0" w:color="auto"/>
            </w:tcBorders>
          </w:tcPr>
          <w:p>
            <w:pPr/>
          </w:p>
        </w:tc>
      </w:tr>
      <w:tr>
        <w:trPr>
          <w:trHeight w:val="967"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12.1.5</w:t>
            </w:r>
            <w:r>
              <w:rPr>
                <w:rFonts w:ascii="宋体" w:hAnsi="宋体" w:cs="宋体" w:eastAsia="宋体" w:hint="default"/>
                <w:spacing w:val="-3"/>
                <w:sz w:val="21"/>
                <w:szCs w:val="21"/>
              </w:rPr>
              <w:t> </w:t>
            </w:r>
            <w:r>
              <w:rPr>
                <w:rFonts w:ascii="宋体" w:hAnsi="宋体" w:cs="宋体" w:eastAsia="宋体" w:hint="default"/>
                <w:sz w:val="21"/>
                <w:szCs w:val="21"/>
              </w:rPr>
              <w:t>应收关联方账款情况</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26" w:type="dxa"/>
            <w:tcBorders>
              <w:top w:val="single" w:sz="12" w:space="0" w:color="000000"/>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64" w:type="dxa"/>
            <w:tcBorders>
              <w:top w:val="single" w:sz="12" w:space="0" w:color="000000"/>
              <w:left w:val="nil" w:sz="6" w:space="0" w:color="auto"/>
              <w:bottom w:val="nil" w:sz="6" w:space="0" w:color="auto"/>
              <w:right w:val="nil" w:sz="6" w:space="0" w:color="auto"/>
            </w:tcBorders>
          </w:tcPr>
          <w:p>
            <w:pPr/>
          </w:p>
        </w:tc>
        <w:tc>
          <w:tcPr>
            <w:tcW w:w="334" w:type="dxa"/>
            <w:tcBorders>
              <w:top w:val="nil" w:sz="6" w:space="0" w:color="auto"/>
              <w:left w:val="nil" w:sz="6" w:space="0" w:color="auto"/>
              <w:bottom w:val="nil" w:sz="6" w:space="0" w:color="auto"/>
              <w:right w:val="nil" w:sz="6" w:space="0" w:color="auto"/>
            </w:tcBorders>
          </w:tcPr>
          <w:p>
            <w:pPr/>
          </w:p>
        </w:tc>
      </w:tr>
      <w:tr>
        <w:trPr>
          <w:trHeight w:val="687"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0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金额</w:t>
            </w:r>
          </w:p>
        </w:tc>
        <w:tc>
          <w:tcPr>
            <w:tcW w:w="304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3"/>
              <w:ind w:left="1210" w:right="516" w:hanging="159"/>
              <w:jc w:val="left"/>
              <w:rPr>
                <w:rFonts w:ascii="宋体" w:hAnsi="宋体" w:cs="宋体" w:eastAsia="宋体" w:hint="default"/>
                <w:sz w:val="21"/>
                <w:szCs w:val="21"/>
              </w:rPr>
            </w:pPr>
            <w:r>
              <w:rPr>
                <w:rFonts w:ascii="宋体" w:hAnsi="宋体" w:cs="宋体" w:eastAsia="宋体" w:hint="default"/>
                <w:spacing w:val="-1"/>
                <w:sz w:val="21"/>
                <w:szCs w:val="21"/>
              </w:rPr>
              <w:t>占应收账款总额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31" w:hRule="exact"/>
        </w:trPr>
        <w:tc>
          <w:tcPr>
            <w:tcW w:w="774" w:type="dxa"/>
            <w:tcBorders>
              <w:top w:val="nil" w:sz="6" w:space="0" w:color="auto"/>
              <w:left w:val="nil" w:sz="6" w:space="0" w:color="auto"/>
              <w:bottom w:val="nil" w:sz="6" w:space="0" w:color="auto"/>
              <w:right w:val="nil" w:sz="6" w:space="0" w:color="auto"/>
            </w:tcBorders>
          </w:tcPr>
          <w:p>
            <w:pPr/>
          </w:p>
        </w:tc>
        <w:tc>
          <w:tcPr>
            <w:tcW w:w="2864" w:type="dxa"/>
            <w:tcBorders>
              <w:top w:val="single" w:sz="4" w:space="0" w:color="000000"/>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94" w:type="dxa"/>
            <w:tcBorders>
              <w:top w:val="nil" w:sz="6" w:space="0" w:color="auto"/>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nil" w:sz="6" w:space="0" w:color="auto"/>
              <w:right w:val="nil" w:sz="6" w:space="0" w:color="auto"/>
            </w:tcBorders>
          </w:tcPr>
          <w:p>
            <w:pPr>
              <w:pStyle w:val="TableParagraph"/>
              <w:spacing w:line="262" w:lineRule="exact"/>
              <w:ind w:left="81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835" w:type="dxa"/>
            <w:gridSpan w:val="3"/>
            <w:tcBorders>
              <w:top w:val="nil" w:sz="6" w:space="0" w:color="auto"/>
              <w:left w:val="nil" w:sz="6" w:space="0" w:color="auto"/>
              <w:bottom w:val="nil" w:sz="6" w:space="0" w:color="auto"/>
              <w:right w:val="nil" w:sz="6" w:space="0" w:color="auto"/>
            </w:tcBorders>
          </w:tcPr>
          <w:p>
            <w:pPr>
              <w:pStyle w:val="TableParagraph"/>
              <w:spacing w:line="267" w:lineRule="exact"/>
              <w:ind w:left="933" w:right="0"/>
              <w:jc w:val="left"/>
              <w:rPr>
                <w:rFonts w:ascii="宋体" w:hAnsi="宋体" w:cs="宋体" w:eastAsia="宋体" w:hint="default"/>
                <w:sz w:val="21"/>
                <w:szCs w:val="21"/>
              </w:rPr>
            </w:pPr>
            <w:r>
              <w:rPr>
                <w:rFonts w:ascii="宋体"/>
                <w:sz w:val="21"/>
              </w:rPr>
              <w:t>20,282,126.64</w:t>
            </w:r>
          </w:p>
        </w:tc>
        <w:tc>
          <w:tcPr>
            <w:tcW w:w="238" w:type="dxa"/>
            <w:tcBorders>
              <w:top w:val="single" w:sz="4" w:space="0" w:color="000000"/>
              <w:left w:val="nil" w:sz="6" w:space="0" w:color="auto"/>
              <w:bottom w:val="single" w:sz="12" w:space="0" w:color="000000"/>
              <w:right w:val="nil" w:sz="6" w:space="0" w:color="auto"/>
            </w:tcBorders>
          </w:tcPr>
          <w:p>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sz w:val="21"/>
              </w:rPr>
              <w:t>84.75</w:t>
            </w:r>
          </w:p>
        </w:tc>
        <w:tc>
          <w:tcPr>
            <w:tcW w:w="33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6" w:footer="980" w:top="1740" w:bottom="1160" w:left="880" w:right="160"/>
        </w:sectPr>
      </w:pPr>
    </w:p>
    <w:p>
      <w:pPr>
        <w:spacing w:line="240" w:lineRule="auto" w:before="9"/>
        <w:rPr>
          <w:rFonts w:ascii="Times New Roman" w:hAnsi="Times New Roman" w:cs="Times New Roman" w:eastAsia="Times New Roman" w:hint="default"/>
          <w:sz w:val="4"/>
          <w:szCs w:val="4"/>
        </w:rPr>
      </w:pPr>
    </w:p>
    <w:p>
      <w:pPr>
        <w:spacing w:line="20" w:lineRule="exact"/>
        <w:ind w:left="6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3.7pt;height:.5pt;mso-position-horizontal-relative:char;mso-position-vertical-relative:line" coordorigin="0,0" coordsize="9874,10">
            <v:group style="position:absolute;left:5;top:5;width:9864;height:2" coordorigin="5,5" coordsize="9864,2">
              <v:shape style="position:absolute;left:5;top:5;width:9864;height:2" coordorigin="5,5" coordsize="9864,0" path="m5,5l986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6"/>
          <w:szCs w:val="16"/>
        </w:rPr>
      </w:pPr>
    </w:p>
    <w:p>
      <w:pPr>
        <w:tabs>
          <w:tab w:pos="811" w:val="left" w:leader="none"/>
        </w:tabs>
        <w:spacing w:before="36"/>
        <w:ind w:left="115" w:right="0" w:firstLine="0"/>
        <w:jc w:val="left"/>
        <w:rPr>
          <w:rFonts w:ascii="宋体" w:hAnsi="宋体" w:cs="宋体" w:eastAsia="宋体" w:hint="default"/>
          <w:sz w:val="21"/>
          <w:szCs w:val="21"/>
        </w:rPr>
      </w:pPr>
      <w:r>
        <w:rPr>
          <w:rFonts w:ascii="宋体" w:hAnsi="宋体" w:cs="宋体" w:eastAsia="宋体" w:hint="default"/>
          <w:b/>
          <w:bCs/>
          <w:w w:val="95"/>
          <w:sz w:val="21"/>
          <w:szCs w:val="21"/>
        </w:rPr>
        <w:t>12</w:t>
        <w:tab/>
      </w: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tabs>
          <w:tab w:pos="828" w:val="left" w:leader="none"/>
        </w:tabs>
        <w:spacing w:before="0"/>
        <w:ind w:left="190" w:right="0" w:firstLine="0"/>
        <w:jc w:val="left"/>
        <w:rPr>
          <w:rFonts w:ascii="宋体" w:hAnsi="宋体" w:cs="宋体" w:eastAsia="宋体" w:hint="default"/>
          <w:sz w:val="21"/>
          <w:szCs w:val="21"/>
        </w:rPr>
      </w:pPr>
      <w:r>
        <w:rPr>
          <w:rFonts w:ascii="宋体" w:hAnsi="宋体" w:cs="宋体" w:eastAsia="宋体" w:hint="default"/>
          <w:sz w:val="21"/>
          <w:szCs w:val="21"/>
        </w:rPr>
        <w:t>12.2</w:t>
        <w:tab/>
      </w:r>
      <w:r>
        <w:rPr>
          <w:rFonts w:ascii="宋体" w:hAnsi="宋体" w:cs="宋体" w:eastAsia="宋体" w:hint="default"/>
          <w:sz w:val="21"/>
          <w:szCs w:val="21"/>
        </w:rPr>
        <w:t>其他应收款</w:t>
      </w:r>
    </w:p>
    <w:p>
      <w:pPr>
        <w:spacing w:line="240" w:lineRule="auto" w:before="8"/>
        <w:rPr>
          <w:rFonts w:ascii="宋体" w:hAnsi="宋体" w:cs="宋体" w:eastAsia="宋体" w:hint="default"/>
          <w:sz w:val="20"/>
          <w:szCs w:val="20"/>
        </w:rPr>
      </w:pPr>
    </w:p>
    <w:p>
      <w:pPr>
        <w:spacing w:before="0"/>
        <w:ind w:left="828" w:right="0" w:firstLine="0"/>
        <w:jc w:val="left"/>
        <w:rPr>
          <w:rFonts w:ascii="宋体" w:hAnsi="宋体" w:cs="宋体" w:eastAsia="宋体" w:hint="default"/>
          <w:sz w:val="21"/>
          <w:szCs w:val="21"/>
        </w:rPr>
      </w:pPr>
      <w:r>
        <w:rPr>
          <w:rFonts w:ascii="宋体" w:hAnsi="宋体" w:cs="宋体" w:eastAsia="宋体" w:hint="default"/>
          <w:sz w:val="21"/>
          <w:szCs w:val="21"/>
        </w:rPr>
        <w:t>12.2.1</w:t>
      </w:r>
      <w:r>
        <w:rPr>
          <w:rFonts w:ascii="宋体" w:hAnsi="宋体" w:cs="宋体" w:eastAsia="宋体" w:hint="default"/>
          <w:spacing w:val="-2"/>
          <w:sz w:val="21"/>
          <w:szCs w:val="21"/>
        </w:rPr>
        <w:t> </w:t>
      </w:r>
      <w:r>
        <w:rPr>
          <w:rFonts w:ascii="宋体" w:hAnsi="宋体" w:cs="宋体" w:eastAsia="宋体" w:hint="default"/>
          <w:sz w:val="21"/>
          <w:szCs w:val="21"/>
        </w:rPr>
        <w:t>其他应收款按种类分析如下：</w:t>
      </w:r>
    </w:p>
    <w:p>
      <w:pPr>
        <w:spacing w:line="240" w:lineRule="auto" w:before="0"/>
        <w:rPr>
          <w:rFonts w:ascii="宋体" w:hAnsi="宋体" w:cs="宋体" w:eastAsia="宋体" w:hint="default"/>
          <w:sz w:val="17"/>
          <w:szCs w:val="17"/>
        </w:rPr>
      </w:pPr>
    </w:p>
    <w:p>
      <w:pPr>
        <w:tabs>
          <w:tab w:pos="7678" w:val="left" w:leader="none"/>
        </w:tabs>
        <w:spacing w:before="54"/>
        <w:ind w:left="3709" w:right="0" w:firstLine="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tab/>
      </w: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r>
    </w:p>
    <w:p>
      <w:pPr>
        <w:spacing w:line="240" w:lineRule="auto" w:before="10"/>
        <w:rPr>
          <w:rFonts w:ascii="宋体" w:hAnsi="宋体" w:cs="宋体" w:eastAsia="宋体" w:hint="default"/>
          <w:sz w:val="7"/>
          <w:szCs w:val="7"/>
        </w:rPr>
      </w:pPr>
    </w:p>
    <w:p>
      <w:pPr>
        <w:tabs>
          <w:tab w:pos="6375" w:val="left" w:leader="none"/>
        </w:tabs>
        <w:spacing w:line="20" w:lineRule="exact"/>
        <w:ind w:left="2551" w:right="0" w:firstLine="0"/>
        <w:rPr>
          <w:rFonts w:ascii="宋体" w:hAnsi="宋体" w:cs="宋体" w:eastAsia="宋体" w:hint="default"/>
          <w:sz w:val="2"/>
          <w:szCs w:val="2"/>
        </w:rPr>
      </w:pPr>
      <w:r>
        <w:rPr>
          <w:rFonts w:ascii="宋体"/>
          <w:sz w:val="2"/>
        </w:rPr>
        <w:pict>
          <v:group style="width:177.8pt;height:1pt;mso-position-horizontal-relative:char;mso-position-vertical-relative:line" coordorigin="0,0" coordsize="3556,20">
            <v:group style="position:absolute;left:10;top:10;width:1832;height:2" coordorigin="10,10" coordsize="1832,2">
              <v:shape style="position:absolute;left:10;top:10;width:1832;height:2" coordorigin="10,10" coordsize="1832,0" path="m10,10l1841,10e" filled="false" stroked="true" strokeweight=".96001pt" strokecolor="#000000">
                <v:path arrowok="t"/>
              </v:shape>
            </v:group>
            <v:group style="position:absolute;left:1841;top:10;width:20;height:2" coordorigin="1841,10" coordsize="20,2">
              <v:shape style="position:absolute;left:1841;top:10;width:20;height:2" coordorigin="1841,10" coordsize="20,0" path="m1841,10l1861,10e" filled="false" stroked="true" strokeweight=".96001pt" strokecolor="#000000">
                <v:path arrowok="t"/>
              </v:shape>
            </v:group>
            <v:group style="position:absolute;left:1861;top:10;width:264;height:2" coordorigin="1861,10" coordsize="264,2">
              <v:shape style="position:absolute;left:1861;top:10;width:264;height:2" coordorigin="1861,10" coordsize="264,0" path="m1861,10l2125,10e" filled="false" stroked="true" strokeweight=".96001pt" strokecolor="#000000">
                <v:path arrowok="t"/>
              </v:shape>
            </v:group>
            <v:group style="position:absolute;left:2125;top:10;width:20;height:2" coordorigin="2125,10" coordsize="20,2">
              <v:shape style="position:absolute;left:2125;top:10;width:20;height:2" coordorigin="2125,10" coordsize="20,0" path="m2125,10l2144,10e" filled="false" stroked="true" strokeweight=".96001pt" strokecolor="#000000">
                <v:path arrowok="t"/>
              </v:shape>
            </v:group>
            <v:group style="position:absolute;left:2144;top:10;width:1403;height:2" coordorigin="2144,10" coordsize="1403,2">
              <v:shape style="position:absolute;left:2144;top:10;width:1403;height:2" coordorigin="2144,10" coordsize="1403,0" path="m2144,10l3546,10e" filled="false" stroked="true" strokeweight=".96001pt" strokecolor="#000000">
                <v:path arrowok="t"/>
              </v:shape>
            </v:group>
          </v:group>
        </w:pict>
      </w:r>
      <w:r>
        <w:rPr>
          <w:rFonts w:ascii="宋体"/>
          <w:sz w:val="2"/>
        </w:rPr>
      </w:r>
      <w:r>
        <w:rPr>
          <w:rFonts w:ascii="宋体"/>
          <w:sz w:val="2"/>
        </w:rPr>
        <w:tab/>
      </w:r>
      <w:r>
        <w:rPr>
          <w:rFonts w:ascii="宋体"/>
          <w:position w:val="1"/>
          <w:sz w:val="2"/>
        </w:rPr>
        <w:pict>
          <v:group style="width:192.4pt;height:.5pt;mso-position-horizontal-relative:char;mso-position-vertical-relative:line" coordorigin="0,0" coordsize="3848,10">
            <v:group style="position:absolute;left:5;top:5;width:1899;height:2" coordorigin="5,5" coordsize="1899,2">
              <v:shape style="position:absolute;left:5;top:5;width:1899;height:2" coordorigin="5,5" coordsize="1899,0" path="m5,5l1904,5e" filled="false" stroked="true" strokeweight=".48001pt" strokecolor="#000000">
                <v:path arrowok="t"/>
              </v:shape>
            </v:group>
            <v:group style="position:absolute;left:1904;top:5;width:10;height:2" coordorigin="1904,5" coordsize="10,2">
              <v:shape style="position:absolute;left:1904;top:5;width:10;height:2" coordorigin="1904,5" coordsize="10,0" path="m1904,5l1913,5e" filled="false" stroked="true" strokeweight=".48001pt" strokecolor="#000000">
                <v:path arrowok="t"/>
              </v:shape>
            </v:group>
            <v:group style="position:absolute;left:1913;top:5;width:228;height:2" coordorigin="1913,5" coordsize="228,2">
              <v:shape style="position:absolute;left:1913;top:5;width:228;height:2" coordorigin="1913,5" coordsize="228,0" path="m1913,5l2141,5e" filled="false" stroked="true" strokeweight=".48001pt" strokecolor="#000000">
                <v:path arrowok="t"/>
              </v:shape>
            </v:group>
            <v:group style="position:absolute;left:2141;top:5;width:10;height:2" coordorigin="2141,5" coordsize="10,2">
              <v:shape style="position:absolute;left:2141;top:5;width:10;height:2" coordorigin="2141,5" coordsize="10,0" path="m2141,5l2151,5e" filled="false" stroked="true" strokeweight=".48001pt" strokecolor="#000000">
                <v:path arrowok="t"/>
              </v:shape>
            </v:group>
            <v:group style="position:absolute;left:2151;top:5;width:1692;height:2" coordorigin="2151,5" coordsize="1692,2">
              <v:shape style="position:absolute;left:2151;top:5;width:1692;height:2" coordorigin="2151,5" coordsize="1692,0" path="m2151,5l3843,5e" filled="false" stroked="true" strokeweight=".48001pt" strokecolor="#000000">
                <v:path arrowok="t"/>
              </v:shape>
            </v:group>
          </v:group>
        </w:pict>
      </w:r>
      <w:r>
        <w:rPr>
          <w:rFonts w:ascii="宋体"/>
          <w:position w:val="1"/>
          <w:sz w:val="2"/>
        </w:rPr>
      </w:r>
    </w:p>
    <w:p>
      <w:pPr>
        <w:tabs>
          <w:tab w:pos="5086" w:val="left" w:leader="none"/>
          <w:tab w:pos="7028" w:val="left" w:leader="none"/>
          <w:tab w:pos="9069" w:val="left" w:leader="none"/>
        </w:tabs>
        <w:spacing w:line="236" w:lineRule="exact" w:before="0"/>
        <w:ind w:left="3176" w:right="0" w:firstLine="0"/>
        <w:jc w:val="left"/>
        <w:rPr>
          <w:rFonts w:ascii="宋体" w:hAnsi="宋体" w:cs="宋体" w:eastAsia="宋体" w:hint="default"/>
          <w:sz w:val="15"/>
          <w:szCs w:val="15"/>
        </w:rPr>
      </w:pPr>
      <w:r>
        <w:rPr>
          <w:rFonts w:ascii="宋体" w:hAnsi="宋体" w:cs="宋体" w:eastAsia="宋体" w:hint="default"/>
          <w:spacing w:val="-1"/>
          <w:position w:val="-7"/>
          <w:sz w:val="15"/>
          <w:szCs w:val="15"/>
        </w:rPr>
        <w:t>账面余额</w:t>
        <w:tab/>
      </w:r>
      <w:r>
        <w:rPr>
          <w:rFonts w:ascii="宋体" w:hAnsi="宋体" w:cs="宋体" w:eastAsia="宋体" w:hint="default"/>
          <w:spacing w:val="-1"/>
          <w:sz w:val="15"/>
          <w:szCs w:val="15"/>
        </w:rPr>
        <w:t>坏账准备</w:t>
        <w:tab/>
      </w:r>
      <w:r>
        <w:rPr>
          <w:rFonts w:ascii="宋体" w:hAnsi="宋体" w:cs="宋体" w:eastAsia="宋体" w:hint="default"/>
          <w:spacing w:val="-1"/>
          <w:position w:val="-7"/>
          <w:sz w:val="15"/>
          <w:szCs w:val="15"/>
        </w:rPr>
        <w:t>账面余额</w:t>
        <w:tab/>
      </w:r>
      <w:r>
        <w:rPr>
          <w:rFonts w:ascii="宋体" w:hAnsi="宋体" w:cs="宋体" w:eastAsia="宋体" w:hint="default"/>
          <w:spacing w:val="-1"/>
          <w:sz w:val="15"/>
          <w:szCs w:val="15"/>
        </w:rPr>
        <w:t>坏账准备</w:t>
      </w:r>
    </w:p>
    <w:p>
      <w:pPr>
        <w:spacing w:line="78" w:lineRule="exact" w:before="0"/>
        <w:ind w:left="1344" w:right="0" w:firstLine="0"/>
        <w:jc w:val="left"/>
        <w:rPr>
          <w:rFonts w:ascii="宋体" w:hAnsi="宋体" w:cs="宋体" w:eastAsia="宋体" w:hint="default"/>
          <w:sz w:val="15"/>
          <w:szCs w:val="15"/>
        </w:rPr>
      </w:pPr>
      <w:r>
        <w:rPr/>
        <w:pict>
          <v:group style="position:absolute;margin-left:181.580002pt;margin-top:1.852566pt;width:92.55pt;height:1pt;mso-position-horizontal-relative:page;mso-position-vertical-relative:paragraph;z-index:4720" coordorigin="3632,37" coordsize="1851,20">
            <v:group style="position:absolute;left:3641;top:47;width:992;height:2" coordorigin="3641,47" coordsize="992,2">
              <v:shape style="position:absolute;left:3641;top:47;width:992;height:2" coordorigin="3641,47" coordsize="992,0" path="m3641,47l4633,47e" filled="false" stroked="true" strokeweight=".95999pt" strokecolor="#000000">
                <v:path arrowok="t"/>
              </v:shape>
            </v:group>
            <v:group style="position:absolute;left:4633;top:47;width:20;height:2" coordorigin="4633,47" coordsize="20,2">
              <v:shape style="position:absolute;left:4633;top:47;width:20;height:2" coordorigin="4633,47" coordsize="20,0" path="m4633,47l4652,47e" filled="false" stroked="true" strokeweight=".95999pt" strokecolor="#000000">
                <v:path arrowok="t"/>
              </v:shape>
            </v:group>
            <v:group style="position:absolute;left:4652;top:47;width:267;height:2" coordorigin="4652,47" coordsize="267,2">
              <v:shape style="position:absolute;left:4652;top:47;width:267;height:2" coordorigin="4652,47" coordsize="267,0" path="m4652,47l4919,47e" filled="false" stroked="true" strokeweight=".95999pt" strokecolor="#000000">
                <v:path arrowok="t"/>
              </v:shape>
            </v:group>
            <v:group style="position:absolute;left:4919;top:47;width:20;height:2" coordorigin="4919,47" coordsize="20,2">
              <v:shape style="position:absolute;left:4919;top:47;width:20;height:2" coordorigin="4919,47" coordsize="20,0" path="m4919,47l4938,47e" filled="false" stroked="true" strokeweight=".95999pt" strokecolor="#000000">
                <v:path arrowok="t"/>
              </v:shape>
            </v:group>
            <v:group style="position:absolute;left:4938;top:47;width:536;height:2" coordorigin="4938,47" coordsize="536,2">
              <v:shape style="position:absolute;left:4938;top:47;width:536;height:2" coordorigin="4938,47" coordsize="536,0" path="m4938,47l5473,47e" filled="false" stroked="true" strokeweight=".95999pt" strokecolor="#000000">
                <v:path arrowok="t"/>
              </v:shape>
            </v:group>
            <w10:wrap type="none"/>
          </v:group>
        </w:pict>
      </w:r>
      <w:r>
        <w:rPr/>
        <w:pict>
          <v:group style="position:absolute;margin-left:287.330017pt;margin-top:1.852566pt;width:72.05pt;height:1pt;mso-position-horizontal-relative:page;mso-position-vertical-relative:paragraph;z-index:4744" coordorigin="5747,37" coordsize="1441,20">
            <v:group style="position:absolute;left:5756;top:47;width:567;height:2" coordorigin="5756,47" coordsize="567,2">
              <v:shape style="position:absolute;left:5756;top:47;width:567;height:2" coordorigin="5756,47" coordsize="567,0" path="m5756,47l6323,47e" filled="false" stroked="true" strokeweight=".95999pt" strokecolor="#000000">
                <v:path arrowok="t"/>
              </v:shape>
            </v:group>
            <v:group style="position:absolute;left:6323;top:47;width:20;height:2" coordorigin="6323,47" coordsize="20,2">
              <v:shape style="position:absolute;left:6323;top:47;width:20;height:2" coordorigin="6323,47" coordsize="20,0" path="m6323,47l6342,47e" filled="false" stroked="true" strokeweight=".95999pt" strokecolor="#000000">
                <v:path arrowok="t"/>
              </v:shape>
            </v:group>
            <v:group style="position:absolute;left:6342;top:47;width:270;height:2" coordorigin="6342,47" coordsize="270,2">
              <v:shape style="position:absolute;left:6342;top:47;width:270;height:2" coordorigin="6342,47" coordsize="270,0" path="m6342,47l6611,47e" filled="false" stroked="true" strokeweight=".95999pt" strokecolor="#000000">
                <v:path arrowok="t"/>
              </v:shape>
            </v:group>
            <v:group style="position:absolute;left:6611;top:47;width:20;height:2" coordorigin="6611,47" coordsize="20,2">
              <v:shape style="position:absolute;left:6611;top:47;width:20;height:2" coordorigin="6611,47" coordsize="20,0" path="m6611,47l6630,47e" filled="false" stroked="true" strokeweight=".95999pt" strokecolor="#000000">
                <v:path arrowok="t"/>
              </v:shape>
            </v:group>
            <v:group style="position:absolute;left:6630;top:47;width:548;height:2" coordorigin="6630,47" coordsize="548,2">
              <v:shape style="position:absolute;left:6630;top:47;width:548;height:2" coordorigin="6630,47" coordsize="548,0" path="m6630,47l7177,47e" filled="false" stroked="true" strokeweight=".95999pt" strokecolor="#000000">
                <v:path arrowok="t"/>
              </v:shape>
            </v:group>
            <w10:wrap type="none"/>
          </v:group>
        </w:pict>
      </w:r>
      <w:r>
        <w:rPr/>
        <w:pict>
          <v:group style="position:absolute;margin-left:372.550018pt;margin-top:1.852566pt;width:95.95pt;height:1pt;mso-position-horizontal-relative:page;mso-position-vertical-relative:paragraph;z-index:4768" coordorigin="7451,37" coordsize="1919,20">
            <v:group style="position:absolute;left:7461;top:47;width:1001;height:2" coordorigin="7461,47" coordsize="1001,2">
              <v:shape style="position:absolute;left:7461;top:47;width:1001;height:2" coordorigin="7461,47" coordsize="1001,0" path="m7461,47l8461,47e" filled="false" stroked="true" strokeweight=".95999pt" strokecolor="#000000">
                <v:path arrowok="t"/>
              </v:shape>
            </v:group>
            <v:group style="position:absolute;left:8461;top:47;width:20;height:2" coordorigin="8461,47" coordsize="20,2">
              <v:shape style="position:absolute;left:8461;top:47;width:20;height:2" coordorigin="8461,47" coordsize="20,0" path="m8461,47l8481,47e" filled="false" stroked="true" strokeweight=".95999pt" strokecolor="#000000">
                <v:path arrowok="t"/>
              </v:shape>
            </v:group>
            <v:group style="position:absolute;left:8481;top:47;width:264;height:2" coordorigin="8481,47" coordsize="264,2">
              <v:shape style="position:absolute;left:8481;top:47;width:264;height:2" coordorigin="8481,47" coordsize="264,0" path="m8481,47l8745,47e" filled="false" stroked="true" strokeweight=".95999pt" strokecolor="#000000">
                <v:path arrowok="t"/>
              </v:shape>
            </v:group>
            <v:group style="position:absolute;left:8745;top:47;width:20;height:2" coordorigin="8745,47" coordsize="20,2">
              <v:shape style="position:absolute;left:8745;top:47;width:20;height:2" coordorigin="8745,47" coordsize="20,0" path="m8745,47l8764,47e" filled="false" stroked="true" strokeweight=".95999pt" strokecolor="#000000">
                <v:path arrowok="t"/>
              </v:shape>
            </v:group>
            <v:group style="position:absolute;left:8764;top:47;width:596;height:2" coordorigin="8764,47" coordsize="596,2">
              <v:shape style="position:absolute;left:8764;top:47;width:596;height:2" coordorigin="8764,47" coordsize="596,0" path="m8764,47l9359,47e" filled="false" stroked="true" strokeweight=".95999pt" strokecolor="#000000">
                <v:path arrowok="t"/>
              </v:shape>
            </v:group>
            <w10:wrap type="none"/>
          </v:group>
        </w:pict>
      </w:r>
      <w:r>
        <w:rPr/>
        <w:pict>
          <v:group style="position:absolute;margin-left:479.380005pt;margin-top:1.852566pt;width:86.05pt;height:1pt;mso-position-horizontal-relative:page;mso-position-vertical-relative:paragraph;z-index:4792" coordorigin="9588,37" coordsize="1721,20">
            <v:group style="position:absolute;left:9597;top:47;width:850;height:2" coordorigin="9597,47" coordsize="850,2">
              <v:shape style="position:absolute;left:9597;top:47;width:850;height:2" coordorigin="9597,47" coordsize="850,0" path="m9597,47l10447,47e" filled="false" stroked="true" strokeweight=".95999pt" strokecolor="#000000">
                <v:path arrowok="t"/>
              </v:shape>
            </v:group>
            <v:group style="position:absolute;left:10447;top:47;width:20;height:2" coordorigin="10447,47" coordsize="20,2">
              <v:shape style="position:absolute;left:10447;top:47;width:20;height:2" coordorigin="10447,47" coordsize="20,0" path="m10447,47l10466,47e" filled="false" stroked="true" strokeweight=".95999pt" strokecolor="#000000">
                <v:path arrowok="t"/>
              </v:shape>
            </v:group>
            <v:group style="position:absolute;left:10466;top:47;width:264;height:2" coordorigin="10466,47" coordsize="264,2">
              <v:shape style="position:absolute;left:10466;top:47;width:264;height:2" coordorigin="10466,47" coordsize="264,0" path="m10466,47l10730,47e" filled="false" stroked="true" strokeweight=".95999pt" strokecolor="#000000">
                <v:path arrowok="t"/>
              </v:shape>
            </v:group>
            <v:group style="position:absolute;left:10730;top:47;width:20;height:2" coordorigin="10730,47" coordsize="20,2">
              <v:shape style="position:absolute;left:10730;top:47;width:20;height:2" coordorigin="10730,47" coordsize="20,0" path="m10730,47l10749,47e" filled="false" stroked="true" strokeweight=".95999pt" strokecolor="#000000">
                <v:path arrowok="t"/>
              </v:shape>
            </v:group>
            <v:group style="position:absolute;left:10749;top:47;width:550;height:2" coordorigin="10749,47" coordsize="550,2">
              <v:shape style="position:absolute;left:10749;top:47;width:550;height:2" coordorigin="10749,47" coordsize="550,0" path="m10749,47l11299,47e" filled="false" stroked="true" strokeweight=".95999pt" strokecolor="#000000">
                <v:path arrowok="t"/>
              </v:shape>
            </v:group>
            <w10:wrap type="none"/>
          </v:group>
        </w:pict>
      </w:r>
      <w:r>
        <w:rPr>
          <w:rFonts w:ascii="宋体" w:hAnsi="宋体" w:cs="宋体" w:eastAsia="宋体" w:hint="default"/>
          <w:sz w:val="15"/>
          <w:szCs w:val="15"/>
        </w:rPr>
        <w:t>种类</w:t>
      </w:r>
    </w:p>
    <w:p>
      <w:pPr>
        <w:spacing w:after="0" w:line="78" w:lineRule="exact"/>
        <w:jc w:val="left"/>
        <w:rPr>
          <w:rFonts w:ascii="宋体" w:hAnsi="宋体" w:cs="宋体" w:eastAsia="宋体" w:hint="default"/>
          <w:sz w:val="15"/>
          <w:szCs w:val="15"/>
        </w:rPr>
        <w:sectPr>
          <w:pgSz w:w="11910" w:h="16840"/>
          <w:pgMar w:header="886" w:footer="980" w:top="1740" w:bottom="1160" w:left="1080" w:right="160"/>
        </w:sectPr>
      </w:pP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3"/>
          <w:szCs w:val="13"/>
        </w:rPr>
      </w:pPr>
    </w:p>
    <w:p>
      <w:pPr>
        <w:spacing w:before="0"/>
        <w:ind w:left="828" w:right="0" w:firstLine="0"/>
        <w:jc w:val="left"/>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pacing w:val="7"/>
          <w:sz w:val="15"/>
          <w:szCs w:val="15"/>
        </w:rPr>
        <w:t>金额</w:t>
      </w:r>
      <w:r>
        <w:rPr>
          <w:rFonts w:ascii="宋体" w:hAnsi="宋体" w:cs="宋体" w:eastAsia="宋体" w:hint="default"/>
          <w:spacing w:val="-53"/>
          <w:sz w:val="15"/>
          <w:szCs w:val="15"/>
        </w:rPr>
        <w:t> </w:t>
      </w:r>
      <w:r>
        <w:rPr>
          <w:rFonts w:ascii="宋体" w:hAnsi="宋体" w:cs="宋体" w:eastAsia="宋体" w:hint="default"/>
          <w:spacing w:val="7"/>
          <w:sz w:val="15"/>
          <w:szCs w:val="15"/>
        </w:rPr>
        <w:t>重大</w:t>
      </w:r>
      <w:r>
        <w:rPr>
          <w:rFonts w:ascii="宋体" w:hAnsi="宋体" w:cs="宋体" w:eastAsia="宋体" w:hint="default"/>
          <w:spacing w:val="-53"/>
          <w:sz w:val="15"/>
          <w:szCs w:val="15"/>
        </w:rPr>
        <w:t> </w:t>
      </w:r>
      <w:r>
        <w:rPr>
          <w:rFonts w:ascii="宋体" w:hAnsi="宋体" w:cs="宋体" w:eastAsia="宋体" w:hint="default"/>
          <w:spacing w:val="7"/>
          <w:sz w:val="15"/>
          <w:szCs w:val="15"/>
        </w:rPr>
        <w:t>并单</w:t>
      </w:r>
      <w:r>
        <w:rPr>
          <w:rFonts w:ascii="宋体" w:hAnsi="宋体" w:cs="宋体" w:eastAsia="宋体" w:hint="default"/>
          <w:spacing w:val="-59"/>
          <w:sz w:val="15"/>
          <w:szCs w:val="15"/>
        </w:rPr>
        <w:t> </w:t>
      </w:r>
      <w:r>
        <w:rPr>
          <w:rFonts w:ascii="宋体" w:hAnsi="宋体" w:cs="宋体" w:eastAsia="宋体" w:hint="default"/>
          <w:sz w:val="15"/>
          <w:szCs w:val="15"/>
        </w:rPr>
      </w:r>
    </w:p>
    <w:p>
      <w:pPr>
        <w:spacing w:line="100" w:lineRule="exact" w:before="0"/>
        <w:ind w:left="1803"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比例</w:t>
      </w:r>
    </w:p>
    <w:p>
      <w:pPr>
        <w:tabs>
          <w:tab w:pos="2586" w:val="left" w:leader="none"/>
        </w:tabs>
        <w:spacing w:line="245" w:lineRule="exact" w:before="0"/>
        <w:ind w:left="1767" w:right="-18" w:firstLine="0"/>
        <w:jc w:val="left"/>
        <w:rPr>
          <w:rFonts w:ascii="宋体" w:hAnsi="宋体" w:cs="宋体" w:eastAsia="宋体" w:hint="default"/>
          <w:sz w:val="15"/>
          <w:szCs w:val="15"/>
        </w:rPr>
      </w:pPr>
      <w:r>
        <w:rPr/>
        <w:pict>
          <v:group style="position:absolute;margin-left:90.024002pt;margin-top:13.852556pt;width:77.55pt;height:.1pt;mso-position-horizontal-relative:page;mso-position-vertical-relative:paragraph;z-index:-793288" coordorigin="1800,277" coordsize="1551,2">
            <v:shape style="position:absolute;left:1800;top:277;width:1551;height:2" coordorigin="1800,277" coordsize="1551,0" path="m1800,277l3351,277e" filled="false" stroked="true" strokeweight=".95999pt" strokecolor="#000000">
              <v:path arrowok="t"/>
            </v:shape>
            <w10:wrap type="none"/>
          </v:group>
        </w:pict>
      </w:r>
      <w:r>
        <w:rPr/>
        <w:pict>
          <v:group style="position:absolute;margin-left:182.059998pt;margin-top:13.852556pt;width:49.6pt;height:.1pt;mso-position-horizontal-relative:page;mso-position-vertical-relative:paragraph;z-index:4840" coordorigin="3641,277" coordsize="992,2">
            <v:shape style="position:absolute;left:3641;top:277;width:992;height:2" coordorigin="3641,277" coordsize="992,0" path="m3641,277l4633,277e" filled="false" stroked="true" strokeweight=".95999pt" strokecolor="#000000">
              <v:path arrowok="t"/>
            </v:shape>
            <w10:wrap type="none"/>
          </v:group>
        </w:pict>
      </w:r>
      <w:r>
        <w:rPr/>
        <w:pict>
          <v:group style="position:absolute;margin-left:245.929993pt;margin-top:13.852556pt;width:27.75pt;height:.1pt;mso-position-horizontal-relative:page;mso-position-vertical-relative:paragraph;z-index:4864" coordorigin="4919,277" coordsize="555,2">
            <v:shape style="position:absolute;left:4919;top:277;width:555;height:2" coordorigin="4919,277" coordsize="555,0" path="m4919,277l5473,277e" filled="false" stroked="true" strokeweight=".95999pt" strokecolor="#000000">
              <v:path arrowok="t"/>
            </v:shape>
            <w10:wrap type="none"/>
          </v:group>
        </w:pict>
      </w:r>
      <w:r>
        <w:rPr/>
        <w:pict>
          <v:group style="position:absolute;margin-left:287.809998pt;margin-top:13.852556pt;width:28.35pt;height:.1pt;mso-position-horizontal-relative:page;mso-position-vertical-relative:paragraph;z-index:4888" coordorigin="5756,277" coordsize="567,2">
            <v:shape style="position:absolute;left:5756;top:277;width:567;height:2" coordorigin="5756,277" coordsize="567,0" path="m5756,277l6323,277e" filled="false" stroked="true" strokeweight=".95999pt" strokecolor="#000000">
              <v:path arrowok="t"/>
            </v:shape>
            <w10:wrap type="none"/>
          </v:group>
        </w:pict>
      </w:r>
      <w:r>
        <w:rPr/>
        <w:pict>
          <v:shape style="position:absolute;margin-left:199.369995pt;margin-top:-.084324pt;width:15.15pt;height:7.6pt;mso-position-horizontal-relative:page;mso-position-vertical-relative:paragraph;z-index:5128"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金额</w:t>
                  </w:r>
                </w:p>
              </w:txbxContent>
            </v:textbox>
            <w10:wrap type="none"/>
          </v:shape>
        </w:pict>
      </w:r>
      <w:r>
        <w:rPr>
          <w:rFonts w:ascii="宋体" w:hAnsi="宋体" w:cs="宋体" w:eastAsia="宋体" w:hint="default"/>
          <w:spacing w:val="-1"/>
          <w:sz w:val="15"/>
          <w:szCs w:val="15"/>
        </w:rPr>
        <w:t>（</w:t>
      </w:r>
      <w:r>
        <w:rPr>
          <w:rFonts w:ascii="宋体" w:hAnsi="宋体" w:cs="宋体" w:eastAsia="宋体"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position w:val="10"/>
          <w:sz w:val="15"/>
          <w:szCs w:val="15"/>
        </w:rPr>
        <w:t>金额</w:t>
      </w:r>
      <w:r>
        <w:rPr>
          <w:rFonts w:ascii="宋体" w:hAnsi="宋体" w:cs="宋体" w:eastAsia="宋体" w:hint="default"/>
          <w:sz w:val="15"/>
          <w:szCs w:val="15"/>
        </w:rPr>
      </w:r>
    </w:p>
    <w:p>
      <w:pPr>
        <w:spacing w:line="100" w:lineRule="exact" w:before="0"/>
        <w:ind w:left="512"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比例</w:t>
      </w:r>
    </w:p>
    <w:p>
      <w:pPr>
        <w:tabs>
          <w:tab w:pos="1580" w:val="left" w:leader="none"/>
        </w:tabs>
        <w:spacing w:line="245" w:lineRule="exact" w:before="0"/>
        <w:ind w:left="488" w:right="-18" w:firstLine="0"/>
        <w:jc w:val="left"/>
        <w:rPr>
          <w:rFonts w:ascii="宋体" w:hAnsi="宋体" w:cs="宋体" w:eastAsia="宋体" w:hint="default"/>
          <w:sz w:val="15"/>
          <w:szCs w:val="15"/>
        </w:rPr>
      </w:pPr>
      <w:r>
        <w:rPr/>
        <w:pict>
          <v:group style="position:absolute;margin-left:330.549988pt;margin-top:13.852556pt;width:28.35pt;height:.1pt;mso-position-horizontal-relative:page;mso-position-vertical-relative:paragraph;z-index:4912" coordorigin="6611,277" coordsize="567,2">
            <v:shape style="position:absolute;left:6611;top:277;width:567;height:2" coordorigin="6611,277" coordsize="567,0" path="m6611,277l7177,277e" filled="false" stroked="true" strokeweight=".95999pt" strokecolor="#000000">
              <v:path arrowok="t"/>
            </v:shape>
            <w10:wrap type="none"/>
          </v:group>
        </w:pict>
      </w:r>
      <w:r>
        <w:rPr/>
        <w:pict>
          <v:group style="position:absolute;margin-left:373.029999pt;margin-top:13.852556pt;width:50.05pt;height:.1pt;mso-position-horizontal-relative:page;mso-position-vertical-relative:paragraph;z-index:4936" coordorigin="7461,277" coordsize="1001,2">
            <v:shape style="position:absolute;left:7461;top:277;width:1001;height:2" coordorigin="7461,277" coordsize="1001,0" path="m7461,277l8461,277e" filled="false" stroked="true" strokeweight=".95999pt" strokecolor="#000000">
              <v:path arrowok="t"/>
            </v:shape>
            <w10:wrap type="none"/>
          </v:group>
        </w:pict>
      </w:r>
      <w:r>
        <w:rPr>
          <w:rFonts w:ascii="宋体" w:hAnsi="宋体" w:cs="宋体" w:eastAsia="宋体" w:hint="default"/>
          <w:spacing w:val="-1"/>
          <w:sz w:val="15"/>
          <w:szCs w:val="15"/>
        </w:rPr>
        <w:t>（</w:t>
      </w:r>
      <w:r>
        <w:rPr>
          <w:rFonts w:ascii="宋体" w:hAnsi="宋体" w:cs="宋体" w:eastAsia="宋体"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position w:val="10"/>
          <w:sz w:val="15"/>
          <w:szCs w:val="15"/>
        </w:rPr>
        <w:t>金额</w:t>
      </w:r>
      <w:r>
        <w:rPr>
          <w:rFonts w:ascii="宋体" w:hAnsi="宋体" w:cs="宋体" w:eastAsia="宋体" w:hint="default"/>
          <w:sz w:val="15"/>
          <w:szCs w:val="15"/>
        </w:rPr>
      </w:r>
    </w:p>
    <w:p>
      <w:pPr>
        <w:spacing w:line="100" w:lineRule="exact" w:before="0"/>
        <w:ind w:left="730" w:right="949"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比例</w:t>
      </w:r>
    </w:p>
    <w:p>
      <w:pPr>
        <w:tabs>
          <w:tab w:pos="1717" w:val="left" w:leader="none"/>
        </w:tabs>
        <w:spacing w:line="245" w:lineRule="exact" w:before="0"/>
        <w:ind w:left="708" w:right="-18" w:firstLine="0"/>
        <w:jc w:val="left"/>
        <w:rPr>
          <w:rFonts w:ascii="宋体" w:hAnsi="宋体" w:cs="宋体" w:eastAsia="宋体" w:hint="default"/>
          <w:sz w:val="15"/>
          <w:szCs w:val="15"/>
        </w:rPr>
      </w:pPr>
      <w:r>
        <w:rPr/>
        <w:pict>
          <v:group style="position:absolute;margin-left:437.230011pt;margin-top:13.852556pt;width:30.75pt;height:.1pt;mso-position-horizontal-relative:page;mso-position-vertical-relative:paragraph;z-index:4960" coordorigin="8745,277" coordsize="615,2">
            <v:shape style="position:absolute;left:8745;top:277;width:615;height:2" coordorigin="8745,277" coordsize="615,0" path="m8745,277l9359,277e" filled="false" stroked="true" strokeweight=".95999pt" strokecolor="#000000">
              <v:path arrowok="t"/>
            </v:shape>
            <w10:wrap type="none"/>
          </v:group>
        </w:pict>
      </w:r>
      <w:r>
        <w:rPr/>
        <w:pict>
          <v:group style="position:absolute;margin-left:479.859985pt;margin-top:13.852556pt;width:42.5pt;height:.1pt;mso-position-horizontal-relative:page;mso-position-vertical-relative:paragraph;z-index:4984" coordorigin="9597,277" coordsize="850,2">
            <v:shape style="position:absolute;left:9597;top:277;width:850;height:2" coordorigin="9597,277" coordsize="850,0" path="m9597,277l10447,277e" filled="false" stroked="true" strokeweight=".95999pt" strokecolor="#000000">
              <v:path arrowok="t"/>
            </v:shape>
            <w10:wrap type="none"/>
          </v:group>
        </w:pict>
      </w:r>
      <w:r>
        <w:rPr>
          <w:rFonts w:ascii="宋体" w:hAnsi="宋体" w:cs="宋体" w:eastAsia="宋体" w:hint="default"/>
          <w:spacing w:val="-1"/>
          <w:sz w:val="15"/>
          <w:szCs w:val="15"/>
        </w:rPr>
        <w:t>（</w:t>
      </w:r>
      <w:r>
        <w:rPr>
          <w:rFonts w:ascii="宋体" w:hAnsi="宋体" w:cs="宋体" w:eastAsia="宋体"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position w:val="10"/>
          <w:sz w:val="15"/>
          <w:szCs w:val="15"/>
        </w:rPr>
        <w:t>金额</w:t>
      </w:r>
      <w:r>
        <w:rPr>
          <w:rFonts w:ascii="宋体" w:hAnsi="宋体" w:cs="宋体" w:eastAsia="宋体" w:hint="default"/>
          <w:sz w:val="15"/>
          <w:szCs w:val="15"/>
        </w:rPr>
      </w:r>
    </w:p>
    <w:p>
      <w:pPr>
        <w:spacing w:line="150" w:lineRule="exact" w:before="0"/>
        <w:ind w:left="583" w:right="512"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比例</w:t>
      </w:r>
    </w:p>
    <w:p>
      <w:pPr>
        <w:spacing w:line="195" w:lineRule="exact" w:before="0"/>
        <w:ind w:left="605" w:right="512" w:firstLine="0"/>
        <w:jc w:val="center"/>
        <w:rPr>
          <w:rFonts w:ascii="宋体" w:hAnsi="宋体" w:cs="宋体" w:eastAsia="宋体" w:hint="default"/>
          <w:sz w:val="15"/>
          <w:szCs w:val="15"/>
        </w:rPr>
      </w:pPr>
      <w:r>
        <w:rPr/>
        <w:pict>
          <v:group style="position:absolute;margin-left:536.5pt;margin-top:11.352556pt;width:28.45pt;height:.1pt;mso-position-horizontal-relative:page;mso-position-vertical-relative:paragraph;z-index:5008" coordorigin="10730,227" coordsize="569,2">
            <v:shape style="position:absolute;left:10730;top:227;width:569;height:2" coordorigin="10730,227" coordsize="569,0" path="m10730,227l11299,227e" filled="false" stroked="true" strokeweight=".95999pt" strokecolor="#000000">
              <v:path arrowok="t"/>
            </v:shape>
            <w10:wrap type="none"/>
          </v:group>
        </w:pict>
      </w: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p>
      <w:pPr>
        <w:spacing w:after="0" w:line="195" w:lineRule="exact"/>
        <w:jc w:val="center"/>
        <w:rPr>
          <w:rFonts w:ascii="宋体" w:hAnsi="宋体" w:cs="宋体" w:eastAsia="宋体" w:hint="default"/>
          <w:sz w:val="15"/>
          <w:szCs w:val="15"/>
        </w:rPr>
        <w:sectPr>
          <w:type w:val="continuous"/>
          <w:pgSz w:w="11910" w:h="16840"/>
          <w:pgMar w:top="1100" w:bottom="1380" w:left="1080" w:right="160"/>
          <w:cols w:num="5" w:equalWidth="0">
            <w:col w:w="2183" w:space="40"/>
            <w:col w:w="2889" w:space="40"/>
            <w:col w:w="1883" w:space="40"/>
            <w:col w:w="2020" w:space="40"/>
            <w:col w:w="1535"/>
          </w:cols>
        </w:sectPr>
      </w:pPr>
    </w:p>
    <w:p>
      <w:pPr>
        <w:spacing w:before="0"/>
        <w:ind w:left="828" w:right="903" w:firstLine="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z w:val="15"/>
          <w:szCs w:val="15"/>
        </w:rPr>
        <w:t>计</w:t>
      </w:r>
      <w:r>
        <w:rPr>
          <w:rFonts w:ascii="宋体" w:hAnsi="宋体" w:cs="宋体" w:eastAsia="宋体" w:hint="default"/>
          <w:spacing w:val="-53"/>
          <w:sz w:val="15"/>
          <w:szCs w:val="15"/>
        </w:rPr>
        <w:t> </w:t>
      </w:r>
      <w:r>
        <w:rPr>
          <w:rFonts w:ascii="宋体" w:hAnsi="宋体" w:cs="宋体" w:eastAsia="宋体" w:hint="default"/>
          <w:spacing w:val="7"/>
          <w:sz w:val="15"/>
          <w:szCs w:val="15"/>
        </w:rPr>
        <w:t>提坏</w:t>
      </w:r>
      <w:r>
        <w:rPr>
          <w:rFonts w:ascii="宋体" w:hAnsi="宋体" w:cs="宋体" w:eastAsia="宋体" w:hint="default"/>
          <w:spacing w:val="-53"/>
          <w:sz w:val="15"/>
          <w:szCs w:val="15"/>
        </w:rPr>
        <w:t> </w:t>
      </w:r>
      <w:r>
        <w:rPr>
          <w:rFonts w:ascii="宋体" w:hAnsi="宋体" w:cs="宋体" w:eastAsia="宋体" w:hint="default"/>
          <w:spacing w:val="7"/>
          <w:sz w:val="15"/>
          <w:szCs w:val="15"/>
        </w:rPr>
        <w:t>账准</w:t>
      </w:r>
      <w:r>
        <w:rPr>
          <w:rFonts w:ascii="宋体" w:hAnsi="宋体" w:cs="宋体" w:eastAsia="宋体" w:hint="default"/>
          <w:spacing w:val="-53"/>
          <w:sz w:val="15"/>
          <w:szCs w:val="15"/>
        </w:rPr>
        <w:t> </w:t>
      </w:r>
      <w:r>
        <w:rPr>
          <w:rFonts w:ascii="宋体" w:hAnsi="宋体" w:cs="宋体" w:eastAsia="宋体" w:hint="default"/>
          <w:spacing w:val="7"/>
          <w:sz w:val="15"/>
          <w:szCs w:val="15"/>
        </w:rPr>
        <w:t>备的</w:t>
      </w:r>
      <w:r>
        <w:rPr>
          <w:rFonts w:ascii="宋体" w:hAnsi="宋体" w:cs="宋体" w:eastAsia="宋体" w:hint="default"/>
          <w:w w:val="100"/>
          <w:sz w:val="15"/>
          <w:szCs w:val="15"/>
        </w:rPr>
        <w:t> </w:t>
      </w:r>
      <w:r>
        <w:rPr>
          <w:rFonts w:ascii="宋体" w:hAnsi="宋体" w:cs="宋体" w:eastAsia="宋体" w:hint="default"/>
          <w:sz w:val="15"/>
          <w:szCs w:val="15"/>
        </w:rPr>
        <w:t>其他应收款</w:t>
      </w:r>
    </w:p>
    <w:p>
      <w:pPr>
        <w:spacing w:line="194" w:lineRule="exact" w:before="0"/>
        <w:ind w:left="828" w:right="0"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按组合计提坏账准备的其他应收款</w:t>
      </w:r>
    </w:p>
    <w:p>
      <w:pPr>
        <w:tabs>
          <w:tab w:pos="1086" w:val="left" w:leader="none"/>
          <w:tab w:pos="1938" w:val="left" w:leader="none"/>
          <w:tab w:pos="2792" w:val="left" w:leader="none"/>
          <w:tab w:pos="4076" w:val="left" w:leader="none"/>
          <w:tab w:pos="4972" w:val="left" w:leader="none"/>
          <w:tab w:pos="6062" w:val="left" w:leader="none"/>
          <w:tab w:pos="6914" w:val="left" w:leader="none"/>
        </w:tabs>
        <w:spacing w:line="194" w:lineRule="exact" w:before="0"/>
        <w:ind w:left="248" w:right="0" w:firstLine="0"/>
        <w:jc w:val="left"/>
        <w:rPr>
          <w:rFonts w:ascii="宋体" w:hAnsi="宋体" w:cs="宋体" w:eastAsia="宋体" w:hint="default"/>
          <w:sz w:val="15"/>
          <w:szCs w:val="15"/>
        </w:rPr>
      </w:pPr>
      <w:r>
        <w:rPr/>
        <w:br w:type="column"/>
      </w:r>
      <w:r>
        <w:rPr>
          <w:rFonts w:ascii="宋体"/>
          <w:sz w:val="15"/>
        </w:rPr>
        <w:t>-</w:t>
        <w:tab/>
        <w:t>-</w:t>
        <w:tab/>
        <w:t>-</w:t>
        <w:tab/>
        <w:t>-</w:t>
        <w:tab/>
        <w:t>-</w:t>
        <w:tab/>
        <w:t>-</w:t>
        <w:tab/>
        <w:t>-</w:t>
        <w:tab/>
        <w:t>-</w:t>
      </w:r>
    </w:p>
    <w:p>
      <w:pPr>
        <w:spacing w:after="0" w:line="194" w:lineRule="exact"/>
        <w:jc w:val="left"/>
        <w:rPr>
          <w:rFonts w:ascii="宋体" w:hAnsi="宋体" w:cs="宋体" w:eastAsia="宋体" w:hint="default"/>
          <w:sz w:val="15"/>
          <w:szCs w:val="15"/>
        </w:rPr>
        <w:sectPr>
          <w:type w:val="continuous"/>
          <w:pgSz w:w="11910" w:h="16840"/>
          <w:pgMar w:top="1100" w:bottom="1380" w:left="1080" w:right="160"/>
          <w:cols w:num="2" w:equalWidth="0">
            <w:col w:w="3082" w:space="40"/>
            <w:col w:w="7548"/>
          </w:cols>
        </w:sectPr>
      </w:pPr>
    </w:p>
    <w:p>
      <w:pPr>
        <w:spacing w:line="240" w:lineRule="auto" w:before="8"/>
        <w:rPr>
          <w:rFonts w:ascii="宋体" w:hAnsi="宋体" w:cs="宋体" w:eastAsia="宋体" w:hint="default"/>
          <w:sz w:val="7"/>
          <w:szCs w:val="7"/>
        </w:rPr>
      </w:pPr>
    </w:p>
    <w:tbl>
      <w:tblPr>
        <w:tblW w:w="0" w:type="auto"/>
        <w:jc w:val="left"/>
        <w:tblInd w:w="793" w:type="dxa"/>
        <w:tblLayout w:type="fixed"/>
        <w:tblCellMar>
          <w:top w:w="0" w:type="dxa"/>
          <w:left w:w="0" w:type="dxa"/>
          <w:bottom w:w="0" w:type="dxa"/>
          <w:right w:w="0" w:type="dxa"/>
        </w:tblCellMar>
        <w:tblLook w:val="01E0"/>
      </w:tblPr>
      <w:tblGrid>
        <w:gridCol w:w="1717"/>
        <w:gridCol w:w="1090"/>
        <w:gridCol w:w="238"/>
        <w:gridCol w:w="600"/>
        <w:gridCol w:w="238"/>
        <w:gridCol w:w="2705"/>
        <w:gridCol w:w="283"/>
        <w:gridCol w:w="615"/>
        <w:gridCol w:w="238"/>
        <w:gridCol w:w="895"/>
        <w:gridCol w:w="804"/>
      </w:tblGrid>
      <w:tr>
        <w:trPr>
          <w:trHeight w:val="31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账龄分析法组合</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5"/>
                <w:szCs w:val="15"/>
              </w:rPr>
            </w:pPr>
            <w:r>
              <w:rPr>
                <w:rFonts w:ascii="宋体"/>
                <w:spacing w:val="-1"/>
                <w:sz w:val="15"/>
              </w:rPr>
              <w:t>335,208.70</w:t>
            </w:r>
          </w:p>
        </w:tc>
        <w:tc>
          <w:tcPr>
            <w:tcW w:w="238"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 w:right="0"/>
              <w:jc w:val="center"/>
              <w:rPr>
                <w:rFonts w:ascii="宋体" w:hAnsi="宋体" w:cs="宋体" w:eastAsia="宋体" w:hint="default"/>
                <w:sz w:val="15"/>
                <w:szCs w:val="15"/>
              </w:rPr>
            </w:pPr>
            <w:r>
              <w:rPr>
                <w:rFonts w:ascii="宋体"/>
                <w:sz w:val="15"/>
              </w:rPr>
              <w:t>26.48</w:t>
            </w:r>
          </w:p>
        </w:tc>
        <w:tc>
          <w:tcPr>
            <w:tcW w:w="238"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Style w:val="TableParagraph"/>
              <w:tabs>
                <w:tab w:pos="854" w:val="left" w:leader="none"/>
                <w:tab w:pos="1313" w:val="left" w:leader="none"/>
              </w:tabs>
              <w:spacing w:line="240" w:lineRule="auto" w:before="54"/>
              <w:ind w:right="105"/>
              <w:jc w:val="right"/>
              <w:rPr>
                <w:rFonts w:ascii="宋体" w:hAnsi="宋体" w:cs="宋体" w:eastAsia="宋体" w:hint="default"/>
                <w:sz w:val="15"/>
                <w:szCs w:val="15"/>
              </w:rPr>
            </w:pPr>
            <w:r>
              <w:rPr>
                <w:rFonts w:ascii="宋体"/>
                <w:sz w:val="15"/>
              </w:rPr>
              <w:t>-</w:t>
              <w:tab/>
              <w:t>-</w:t>
              <w:tab/>
            </w:r>
            <w:r>
              <w:rPr>
                <w:rFonts w:ascii="宋体"/>
                <w:spacing w:val="-2"/>
                <w:sz w:val="15"/>
              </w:rPr>
              <w:t>6,493,667.07</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 w:right="0"/>
              <w:jc w:val="center"/>
              <w:rPr>
                <w:rFonts w:ascii="宋体" w:hAnsi="宋体" w:cs="宋体" w:eastAsia="宋体" w:hint="default"/>
                <w:sz w:val="15"/>
                <w:szCs w:val="15"/>
              </w:rPr>
            </w:pPr>
            <w:r>
              <w:rPr>
                <w:rFonts w:ascii="宋体"/>
                <w:sz w:val="15"/>
              </w:rPr>
              <w:t>85.29</w:t>
            </w:r>
          </w:p>
        </w:tc>
        <w:tc>
          <w:tcPr>
            <w:tcW w:w="2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right"/>
              <w:rPr>
                <w:rFonts w:ascii="宋体" w:hAnsi="宋体" w:cs="宋体" w:eastAsia="宋体" w:hint="default"/>
                <w:sz w:val="15"/>
                <w:szCs w:val="15"/>
              </w:rPr>
            </w:pPr>
            <w:r>
              <w:rPr>
                <w:rFonts w:ascii="宋体"/>
                <w:w w:val="100"/>
                <w:sz w:val="15"/>
              </w:rPr>
              <w:t>-</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宋体" w:hAnsi="宋体" w:cs="宋体" w:eastAsia="宋体" w:hint="default"/>
                <w:sz w:val="15"/>
                <w:szCs w:val="15"/>
              </w:rPr>
            </w:pPr>
            <w:r>
              <w:rPr>
                <w:rFonts w:ascii="宋体"/>
                <w:w w:val="100"/>
                <w:sz w:val="15"/>
              </w:rPr>
              <w:t>-</w:t>
            </w:r>
          </w:p>
        </w:tc>
      </w:tr>
      <w:tr>
        <w:trPr>
          <w:trHeight w:val="272"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5"/>
                <w:szCs w:val="15"/>
              </w:rPr>
            </w:pPr>
            <w:r>
              <w:rPr>
                <w:rFonts w:ascii="宋体" w:hAnsi="宋体" w:cs="宋体" w:eastAsia="宋体" w:hint="default"/>
                <w:sz w:val="15"/>
                <w:szCs w:val="15"/>
              </w:rPr>
              <w:t>保证金组合</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15"/>
                <w:szCs w:val="15"/>
              </w:rPr>
            </w:pPr>
            <w:r>
              <w:rPr>
                <w:rFonts w:ascii="宋体"/>
                <w:spacing w:val="-1"/>
                <w:sz w:val="15"/>
              </w:rPr>
              <w:t>930,530.00</w:t>
            </w:r>
          </w:p>
        </w:tc>
        <w:tc>
          <w:tcPr>
            <w:tcW w:w="238"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 w:right="0"/>
              <w:jc w:val="center"/>
              <w:rPr>
                <w:rFonts w:ascii="宋体" w:hAnsi="宋体" w:cs="宋体" w:eastAsia="宋体" w:hint="default"/>
                <w:sz w:val="15"/>
                <w:szCs w:val="15"/>
              </w:rPr>
            </w:pPr>
            <w:r>
              <w:rPr>
                <w:rFonts w:ascii="宋体"/>
                <w:sz w:val="15"/>
              </w:rPr>
              <w:t>73.52</w:t>
            </w:r>
          </w:p>
        </w:tc>
        <w:tc>
          <w:tcPr>
            <w:tcW w:w="238"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Style w:val="TableParagraph"/>
              <w:tabs>
                <w:tab w:pos="854" w:val="left" w:leader="none"/>
                <w:tab w:pos="1313" w:val="left" w:leader="none"/>
              </w:tabs>
              <w:spacing w:line="240" w:lineRule="auto" w:before="14"/>
              <w:ind w:right="107"/>
              <w:jc w:val="right"/>
              <w:rPr>
                <w:rFonts w:ascii="宋体" w:hAnsi="宋体" w:cs="宋体" w:eastAsia="宋体" w:hint="default"/>
                <w:sz w:val="15"/>
                <w:szCs w:val="15"/>
              </w:rPr>
            </w:pPr>
            <w:r>
              <w:rPr>
                <w:rFonts w:ascii="宋体"/>
                <w:sz w:val="15"/>
              </w:rPr>
              <w:t>-</w:t>
              <w:tab/>
              <w:t>-</w:t>
              <w:tab/>
            </w:r>
            <w:r>
              <w:rPr>
                <w:rFonts w:ascii="宋体"/>
                <w:spacing w:val="-2"/>
                <w:sz w:val="15"/>
              </w:rPr>
              <w:t>1,120,000.00</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 w:right="0"/>
              <w:jc w:val="center"/>
              <w:rPr>
                <w:rFonts w:ascii="宋体" w:hAnsi="宋体" w:cs="宋体" w:eastAsia="宋体" w:hint="default"/>
                <w:sz w:val="15"/>
                <w:szCs w:val="15"/>
              </w:rPr>
            </w:pPr>
            <w:r>
              <w:rPr>
                <w:rFonts w:ascii="宋体"/>
                <w:sz w:val="15"/>
              </w:rPr>
              <w:t>14.71</w:t>
            </w:r>
          </w:p>
        </w:tc>
        <w:tc>
          <w:tcPr>
            <w:tcW w:w="2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5"/>
                <w:szCs w:val="15"/>
              </w:rPr>
            </w:pPr>
            <w:r>
              <w:rPr>
                <w:rFonts w:ascii="宋体"/>
                <w:spacing w:val="-1"/>
                <w:sz w:val="15"/>
              </w:rPr>
              <w:t>200,000.00</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5"/>
                <w:szCs w:val="15"/>
              </w:rPr>
            </w:pPr>
            <w:r>
              <w:rPr>
                <w:rFonts w:ascii="宋体"/>
                <w:spacing w:val="-1"/>
                <w:sz w:val="15"/>
              </w:rPr>
              <w:t>17.86</w:t>
            </w:r>
          </w:p>
        </w:tc>
      </w:tr>
      <w:tr>
        <w:trPr>
          <w:trHeight w:val="827"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195" w:lineRule="exact" w:before="16"/>
              <w:ind w:left="35" w:right="0"/>
              <w:jc w:val="both"/>
              <w:rPr>
                <w:rFonts w:ascii="宋体" w:hAnsi="宋体" w:cs="宋体" w:eastAsia="宋体" w:hint="default"/>
                <w:sz w:val="15"/>
                <w:szCs w:val="15"/>
              </w:rPr>
            </w:pPr>
            <w:r>
              <w:rPr>
                <w:rFonts w:ascii="宋体" w:hAnsi="宋体" w:cs="宋体" w:eastAsia="宋体" w:hint="default"/>
                <w:sz w:val="15"/>
                <w:szCs w:val="15"/>
              </w:rPr>
              <w:t>组合小计</w:t>
            </w:r>
          </w:p>
          <w:p>
            <w:pPr>
              <w:pStyle w:val="TableParagraph"/>
              <w:spacing w:line="240" w:lineRule="auto"/>
              <w:ind w:left="35" w:right="343"/>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z w:val="15"/>
                <w:szCs w:val="15"/>
              </w:rPr>
              <w:t>项</w:t>
            </w:r>
            <w:r>
              <w:rPr>
                <w:rFonts w:ascii="宋体" w:hAnsi="宋体" w:cs="宋体" w:eastAsia="宋体" w:hint="default"/>
                <w:spacing w:val="-53"/>
                <w:sz w:val="15"/>
                <w:szCs w:val="15"/>
              </w:rPr>
              <w:t> </w:t>
            </w:r>
            <w:r>
              <w:rPr>
                <w:rFonts w:ascii="宋体" w:hAnsi="宋体" w:cs="宋体" w:eastAsia="宋体" w:hint="default"/>
                <w:spacing w:val="7"/>
                <w:sz w:val="15"/>
                <w:szCs w:val="15"/>
              </w:rPr>
              <w:t>金额</w:t>
            </w:r>
            <w:r>
              <w:rPr>
                <w:rFonts w:ascii="宋体" w:hAnsi="宋体" w:cs="宋体" w:eastAsia="宋体" w:hint="default"/>
                <w:spacing w:val="-53"/>
                <w:sz w:val="15"/>
                <w:szCs w:val="15"/>
              </w:rPr>
              <w:t> </w:t>
            </w:r>
            <w:r>
              <w:rPr>
                <w:rFonts w:ascii="宋体" w:hAnsi="宋体" w:cs="宋体" w:eastAsia="宋体" w:hint="default"/>
                <w:spacing w:val="7"/>
                <w:sz w:val="15"/>
                <w:szCs w:val="15"/>
              </w:rPr>
              <w:t>虽不</w:t>
            </w:r>
            <w:r>
              <w:rPr>
                <w:rFonts w:ascii="宋体" w:hAnsi="宋体" w:cs="宋体" w:eastAsia="宋体" w:hint="default"/>
                <w:spacing w:val="-53"/>
                <w:sz w:val="15"/>
                <w:szCs w:val="15"/>
              </w:rPr>
              <w:t> </w:t>
            </w:r>
            <w:r>
              <w:rPr>
                <w:rFonts w:ascii="宋体" w:hAnsi="宋体" w:cs="宋体" w:eastAsia="宋体" w:hint="default"/>
                <w:spacing w:val="7"/>
                <w:sz w:val="15"/>
                <w:szCs w:val="15"/>
              </w:rPr>
              <w:t>重大</w:t>
            </w:r>
            <w:r>
              <w:rPr>
                <w:rFonts w:ascii="宋体" w:hAnsi="宋体" w:cs="宋体" w:eastAsia="宋体" w:hint="default"/>
                <w:w w:val="100"/>
                <w:sz w:val="15"/>
                <w:szCs w:val="15"/>
              </w:rPr>
              <w:t> </w:t>
            </w:r>
            <w:r>
              <w:rPr>
                <w:rFonts w:ascii="宋体" w:hAnsi="宋体" w:cs="宋体" w:eastAsia="宋体" w:hint="default"/>
                <w:sz w:val="15"/>
                <w:szCs w:val="15"/>
              </w:rPr>
              <w:t>但</w:t>
            </w:r>
            <w:r>
              <w:rPr>
                <w:rFonts w:ascii="宋体" w:hAnsi="宋体" w:cs="宋体" w:eastAsia="宋体" w:hint="default"/>
                <w:spacing w:val="-53"/>
                <w:sz w:val="15"/>
                <w:szCs w:val="15"/>
              </w:rPr>
              <w:t> </w:t>
            </w:r>
            <w:r>
              <w:rPr>
                <w:rFonts w:ascii="宋体" w:hAnsi="宋体" w:cs="宋体" w:eastAsia="宋体" w:hint="default"/>
                <w:sz w:val="15"/>
                <w:szCs w:val="15"/>
              </w:rPr>
              <w:t>单</w:t>
            </w:r>
            <w:r>
              <w:rPr>
                <w:rFonts w:ascii="宋体" w:hAnsi="宋体" w:cs="宋体" w:eastAsia="宋体" w:hint="default"/>
                <w:spacing w:val="-53"/>
                <w:sz w:val="15"/>
                <w:szCs w:val="15"/>
              </w:rPr>
              <w:t> </w:t>
            </w:r>
            <w:r>
              <w:rPr>
                <w:rFonts w:ascii="宋体" w:hAnsi="宋体" w:cs="宋体" w:eastAsia="宋体" w:hint="default"/>
                <w:spacing w:val="7"/>
                <w:sz w:val="15"/>
                <w:szCs w:val="15"/>
              </w:rPr>
              <w:t>项计</w:t>
            </w:r>
            <w:r>
              <w:rPr>
                <w:rFonts w:ascii="宋体" w:hAnsi="宋体" w:cs="宋体" w:eastAsia="宋体" w:hint="default"/>
                <w:spacing w:val="-53"/>
                <w:sz w:val="15"/>
                <w:szCs w:val="15"/>
              </w:rPr>
              <w:t> </w:t>
            </w:r>
            <w:r>
              <w:rPr>
                <w:rFonts w:ascii="宋体" w:hAnsi="宋体" w:cs="宋体" w:eastAsia="宋体" w:hint="default"/>
                <w:spacing w:val="7"/>
                <w:sz w:val="15"/>
                <w:szCs w:val="15"/>
              </w:rPr>
              <w:t>提坏</w:t>
            </w:r>
            <w:r>
              <w:rPr>
                <w:rFonts w:ascii="宋体" w:hAnsi="宋体" w:cs="宋体" w:eastAsia="宋体" w:hint="default"/>
                <w:spacing w:val="-53"/>
                <w:sz w:val="15"/>
                <w:szCs w:val="15"/>
              </w:rPr>
              <w:t> </w:t>
            </w:r>
            <w:r>
              <w:rPr>
                <w:rFonts w:ascii="宋体" w:hAnsi="宋体" w:cs="宋体" w:eastAsia="宋体" w:hint="default"/>
                <w:spacing w:val="7"/>
                <w:sz w:val="15"/>
                <w:szCs w:val="15"/>
              </w:rPr>
              <w:t>账准</w:t>
            </w:r>
            <w:r>
              <w:rPr>
                <w:rFonts w:ascii="宋体" w:hAnsi="宋体" w:cs="宋体" w:eastAsia="宋体" w:hint="default"/>
                <w:w w:val="100"/>
                <w:sz w:val="15"/>
                <w:szCs w:val="15"/>
              </w:rPr>
              <w:t> </w:t>
            </w:r>
            <w:r>
              <w:rPr>
                <w:rFonts w:ascii="宋体" w:hAnsi="宋体" w:cs="宋体" w:eastAsia="宋体" w:hint="default"/>
                <w:sz w:val="15"/>
                <w:szCs w:val="15"/>
              </w:rPr>
              <w:t>备的其他应收款</w:t>
            </w:r>
          </w:p>
        </w:tc>
        <w:tc>
          <w:tcPr>
            <w:tcW w:w="1090"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105"/>
              <w:jc w:val="right"/>
              <w:rPr>
                <w:rFonts w:ascii="宋体" w:hAnsi="宋体" w:cs="宋体" w:eastAsia="宋体" w:hint="default"/>
                <w:sz w:val="15"/>
                <w:szCs w:val="15"/>
              </w:rPr>
            </w:pPr>
            <w:r>
              <w:rPr>
                <w:rFonts w:ascii="宋体"/>
                <w:spacing w:val="-2"/>
                <w:sz w:val="15"/>
              </w:rPr>
              <w:t>1,265,738.70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5"/>
                <w:szCs w:val="15"/>
              </w:rPr>
            </w:pPr>
            <w:r>
              <w:rPr>
                <w:rFonts w:ascii="宋体"/>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105"/>
              <w:jc w:val="right"/>
              <w:rPr>
                <w:rFonts w:ascii="宋体" w:hAnsi="宋体" w:cs="宋体" w:eastAsia="宋体" w:hint="default"/>
                <w:sz w:val="15"/>
                <w:szCs w:val="15"/>
              </w:rPr>
            </w:pPr>
            <w:r>
              <w:rPr>
                <w:rFonts w:ascii="宋体"/>
                <w:spacing w:val="-1"/>
                <w:sz w:val="15"/>
              </w:rPr>
              <w:t>100.00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5"/>
                <w:szCs w:val="15"/>
              </w:rPr>
            </w:pPr>
            <w:r>
              <w:rPr>
                <w:rFonts w:ascii="宋体"/>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single" w:sz="8" w:space="0" w:color="000000"/>
              <w:right w:val="nil" w:sz="6" w:space="0" w:color="auto"/>
            </w:tcBorders>
          </w:tcPr>
          <w:p>
            <w:pPr>
              <w:pStyle w:val="TableParagraph"/>
              <w:tabs>
                <w:tab w:pos="1238" w:val="left" w:leader="none"/>
                <w:tab w:pos="1697" w:val="left" w:leader="none"/>
              </w:tabs>
              <w:spacing w:line="240" w:lineRule="auto" w:before="16"/>
              <w:ind w:left="383" w:right="0"/>
              <w:jc w:val="left"/>
              <w:rPr>
                <w:rFonts w:ascii="宋体" w:hAnsi="宋体" w:cs="宋体" w:eastAsia="宋体" w:hint="default"/>
                <w:sz w:val="15"/>
                <w:szCs w:val="15"/>
              </w:rPr>
            </w:pPr>
            <w:r>
              <w:rPr>
                <w:rFonts w:ascii="宋体"/>
                <w:sz w:val="15"/>
              </w:rPr>
              <w:t>-</w:t>
              <w:tab/>
              <w:t>-</w:t>
              <w:tab/>
              <w:t>7,613,667.07</w:t>
            </w:r>
          </w:p>
          <w:p>
            <w:pPr>
              <w:pStyle w:val="TableParagraph"/>
              <w:spacing w:line="240" w:lineRule="auto" w:before="9"/>
              <w:ind w:right="0"/>
              <w:jc w:val="left"/>
              <w:rPr>
                <w:rFonts w:ascii="宋体" w:hAnsi="宋体" w:cs="宋体" w:eastAsia="宋体" w:hint="default"/>
                <w:sz w:val="14"/>
                <w:szCs w:val="14"/>
              </w:rPr>
            </w:pPr>
          </w:p>
          <w:p>
            <w:pPr>
              <w:pStyle w:val="TableParagraph"/>
              <w:tabs>
                <w:tab w:pos="1238" w:val="left" w:leader="none"/>
                <w:tab w:pos="2522" w:val="left" w:leader="none"/>
              </w:tabs>
              <w:spacing w:line="240" w:lineRule="auto"/>
              <w:ind w:left="383" w:right="0"/>
              <w:jc w:val="left"/>
              <w:rPr>
                <w:rFonts w:ascii="宋体" w:hAnsi="宋体" w:cs="宋体" w:eastAsia="宋体" w:hint="default"/>
                <w:sz w:val="15"/>
                <w:szCs w:val="15"/>
              </w:rPr>
            </w:pPr>
            <w:r>
              <w:rPr>
                <w:rFonts w:ascii="宋体"/>
                <w:sz w:val="15"/>
              </w:rPr>
              <w:t>-</w:t>
              <w:tab/>
              <w:t>-</w:t>
              <w:tab/>
              <w:t>-</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109"/>
              <w:jc w:val="right"/>
              <w:rPr>
                <w:rFonts w:ascii="宋体" w:hAnsi="宋体" w:cs="宋体" w:eastAsia="宋体" w:hint="default"/>
                <w:sz w:val="15"/>
                <w:szCs w:val="15"/>
              </w:rPr>
            </w:pPr>
            <w:r>
              <w:rPr>
                <w:rFonts w:ascii="宋体"/>
                <w:spacing w:val="-1"/>
                <w:sz w:val="15"/>
              </w:rPr>
              <w:t>100.00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5"/>
                <w:szCs w:val="15"/>
              </w:rPr>
            </w:pPr>
            <w:r>
              <w:rPr>
                <w:rFonts w:ascii="宋体"/>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40"/>
              <w:jc w:val="right"/>
              <w:rPr>
                <w:rFonts w:ascii="宋体" w:hAnsi="宋体" w:cs="宋体" w:eastAsia="宋体" w:hint="default"/>
                <w:sz w:val="15"/>
                <w:szCs w:val="15"/>
              </w:rPr>
            </w:pPr>
            <w:r>
              <w:rPr>
                <w:rFonts w:ascii="宋体"/>
                <w:spacing w:val="-1"/>
                <w:sz w:val="15"/>
              </w:rPr>
              <w:t>200,000.00</w:t>
            </w: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5"/>
                <w:szCs w:val="15"/>
              </w:rPr>
            </w:pPr>
            <w:r>
              <w:rPr>
                <w:rFonts w:ascii="宋体"/>
                <w:w w:val="100"/>
                <w:sz w:val="15"/>
              </w:rPr>
              <w:t>-</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5"/>
                <w:szCs w:val="15"/>
              </w:rPr>
            </w:pPr>
            <w:r>
              <w:rPr>
                <w:rFonts w:ascii="宋体"/>
                <w:w w:val="100"/>
                <w:sz w:val="15"/>
              </w:rPr>
              <w:t>-</w:t>
            </w:r>
          </w:p>
        </w:tc>
      </w:tr>
      <w:tr>
        <w:trPr>
          <w:trHeight w:val="305"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90"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宋体" w:hAnsi="宋体" w:cs="宋体" w:eastAsia="宋体" w:hint="default"/>
                <w:sz w:val="15"/>
                <w:szCs w:val="15"/>
              </w:rPr>
            </w:pPr>
            <w:r>
              <w:rPr>
                <w:rFonts w:ascii="宋体"/>
                <w:spacing w:val="-2"/>
                <w:sz w:val="15"/>
              </w:rPr>
              <w:t>1,265,738.70</w:t>
            </w:r>
          </w:p>
        </w:tc>
        <w:tc>
          <w:tcPr>
            <w:tcW w:w="238" w:type="dxa"/>
            <w:tcBorders>
              <w:top w:val="nil" w:sz="6" w:space="0" w:color="auto"/>
              <w:left w:val="nil" w:sz="6" w:space="0" w:color="auto"/>
              <w:bottom w:val="nil" w:sz="6" w:space="0" w:color="auto"/>
              <w:right w:val="nil" w:sz="6" w:space="0" w:color="auto"/>
            </w:tcBorders>
          </w:tcPr>
          <w:p>
            <w:pPr/>
          </w:p>
        </w:tc>
        <w:tc>
          <w:tcPr>
            <w:tcW w:w="600"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64"/>
              <w:jc w:val="center"/>
              <w:rPr>
                <w:rFonts w:ascii="宋体" w:hAnsi="宋体" w:cs="宋体" w:eastAsia="宋体" w:hint="default"/>
                <w:sz w:val="15"/>
                <w:szCs w:val="15"/>
              </w:rPr>
            </w:pPr>
            <w:r>
              <w:rPr>
                <w:rFonts w:ascii="宋体"/>
                <w:sz w:val="15"/>
              </w:rPr>
              <w:t>100.00</w:t>
            </w:r>
          </w:p>
        </w:tc>
        <w:tc>
          <w:tcPr>
            <w:tcW w:w="238" w:type="dxa"/>
            <w:tcBorders>
              <w:top w:val="nil" w:sz="6" w:space="0" w:color="auto"/>
              <w:left w:val="nil" w:sz="6" w:space="0" w:color="auto"/>
              <w:bottom w:val="nil" w:sz="6" w:space="0" w:color="auto"/>
              <w:right w:val="nil" w:sz="6" w:space="0" w:color="auto"/>
            </w:tcBorders>
          </w:tcPr>
          <w:p>
            <w:pPr/>
          </w:p>
        </w:tc>
        <w:tc>
          <w:tcPr>
            <w:tcW w:w="2705"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105"/>
              <w:jc w:val="right"/>
              <w:rPr>
                <w:rFonts w:ascii="宋体" w:hAnsi="宋体" w:cs="宋体" w:eastAsia="宋体" w:hint="default"/>
                <w:sz w:val="15"/>
                <w:szCs w:val="15"/>
              </w:rPr>
            </w:pPr>
            <w:r>
              <w:rPr>
                <w:rFonts w:ascii="宋体"/>
                <w:spacing w:val="-2"/>
                <w:sz w:val="15"/>
              </w:rPr>
              <w:t>7,613,667.07</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55"/>
              <w:jc w:val="center"/>
              <w:rPr>
                <w:rFonts w:ascii="宋体" w:hAnsi="宋体" w:cs="宋体" w:eastAsia="宋体" w:hint="default"/>
                <w:sz w:val="15"/>
                <w:szCs w:val="15"/>
              </w:rPr>
            </w:pPr>
            <w:r>
              <w:rPr>
                <w:rFonts w:ascii="宋体"/>
                <w:sz w:val="15"/>
              </w:rPr>
              <w:t>100.00</w:t>
            </w:r>
          </w:p>
        </w:tc>
        <w:tc>
          <w:tcPr>
            <w:tcW w:w="238" w:type="dxa"/>
            <w:tcBorders>
              <w:top w:val="nil" w:sz="6" w:space="0" w:color="auto"/>
              <w:left w:val="nil" w:sz="6" w:space="0" w:color="auto"/>
              <w:bottom w:val="nil" w:sz="6" w:space="0" w:color="auto"/>
              <w:right w:val="nil" w:sz="6" w:space="0" w:color="auto"/>
            </w:tcBorders>
          </w:tcPr>
          <w:p>
            <w:pPr/>
          </w:p>
        </w:tc>
        <w:tc>
          <w:tcPr>
            <w:tcW w:w="895" w:type="dxa"/>
            <w:tcBorders>
              <w:top w:val="single" w:sz="8" w:space="0" w:color="000000"/>
              <w:left w:val="nil" w:sz="6" w:space="0" w:color="auto"/>
              <w:bottom w:val="single" w:sz="17" w:space="0" w:color="000000"/>
              <w:right w:val="nil" w:sz="6" w:space="0" w:color="auto"/>
            </w:tcBorders>
          </w:tcPr>
          <w:p>
            <w:pPr>
              <w:pStyle w:val="TableParagraph"/>
              <w:spacing w:line="240" w:lineRule="auto" w:before="55"/>
              <w:ind w:right="40"/>
              <w:jc w:val="right"/>
              <w:rPr>
                <w:rFonts w:ascii="宋体" w:hAnsi="宋体" w:cs="宋体" w:eastAsia="宋体" w:hint="default"/>
                <w:sz w:val="15"/>
                <w:szCs w:val="15"/>
              </w:rPr>
            </w:pPr>
            <w:r>
              <w:rPr>
                <w:rFonts w:ascii="宋体"/>
                <w:spacing w:val="-1"/>
                <w:sz w:val="15"/>
              </w:rPr>
              <w:t>200,000.00</w:t>
            </w:r>
          </w:p>
        </w:tc>
        <w:tc>
          <w:tcPr>
            <w:tcW w:w="8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75" w:lineRule="auto" w:before="36"/>
        <w:ind w:left="823" w:right="1666" w:firstLine="0"/>
        <w:jc w:val="left"/>
        <w:rPr>
          <w:rFonts w:ascii="宋体" w:hAnsi="宋体" w:cs="宋体" w:eastAsia="宋体" w:hint="default"/>
          <w:sz w:val="21"/>
          <w:szCs w:val="21"/>
        </w:rPr>
      </w:pPr>
      <w:r>
        <w:rPr/>
        <w:pict>
          <v:group style="position:absolute;margin-left:287.809998pt;margin-top:-42.096317pt;width:28.35pt;height:.1pt;mso-position-horizontal-relative:page;mso-position-vertical-relative:paragraph;z-index:-793072" coordorigin="5756,-842" coordsize="567,2">
            <v:shape style="position:absolute;left:5756;top:-842;width:567;height:2" coordorigin="5756,-842" coordsize="567,0" path="m5756,-842l6323,-842e" filled="false" stroked="true" strokeweight=".95999pt" strokecolor="#000000">
              <v:path arrowok="t"/>
            </v:shape>
            <w10:wrap type="none"/>
          </v:group>
        </w:pict>
      </w:r>
      <w:r>
        <w:rPr/>
        <w:pict>
          <v:group style="position:absolute;margin-left:287.450012pt;margin-top:-27.936323pt;width:29.05pt;height:2.2pt;mso-position-horizontal-relative:page;mso-position-vertical-relative:paragraph;z-index:-793048" coordorigin="5749,-559" coordsize="581,44">
            <v:group style="position:absolute;left:5756;top:-552;width:567;height:2" coordorigin="5756,-552" coordsize="567,2">
              <v:shape style="position:absolute;left:5756;top:-552;width:567;height:2" coordorigin="5756,-552" coordsize="567,0" path="m5756,-552l6323,-552e" filled="false" stroked="true" strokeweight=".72pt" strokecolor="#000000">
                <v:path arrowok="t"/>
              </v:shape>
            </v:group>
            <v:group style="position:absolute;left:5756;top:-523;width:567;height:2" coordorigin="5756,-523" coordsize="567,2">
              <v:shape style="position:absolute;left:5756;top:-523;width:567;height:2" coordorigin="5756,-523" coordsize="567,0" path="m5756,-523l6323,-523e" filled="false" stroked="true" strokeweight=".72pt" strokecolor="#000000">
                <v:path arrowok="t"/>
              </v:shape>
            </v:group>
            <w10:wrap type="none"/>
          </v:group>
        </w:pict>
      </w:r>
      <w:r>
        <w:rPr>
          <w:rFonts w:ascii="宋体" w:hAnsi="宋体" w:cs="宋体" w:eastAsia="宋体" w:hint="default"/>
          <w:sz w:val="21"/>
          <w:szCs w:val="21"/>
        </w:rPr>
        <w:t>12.2.2</w:t>
      </w:r>
      <w:r>
        <w:rPr>
          <w:rFonts w:ascii="宋体" w:hAnsi="宋体" w:cs="宋体" w:eastAsia="宋体" w:hint="default"/>
          <w:spacing w:val="-54"/>
          <w:sz w:val="21"/>
          <w:szCs w:val="21"/>
        </w:rPr>
        <w:t> </w:t>
      </w:r>
      <w:r>
        <w:rPr>
          <w:rFonts w:ascii="宋体" w:hAnsi="宋体" w:cs="宋体" w:eastAsia="宋体" w:hint="default"/>
          <w:sz w:val="21"/>
          <w:szCs w:val="21"/>
        </w:rPr>
        <w:t>按组合计提坏账准备的其他应收款</w:t>
      </w:r>
      <w:r>
        <w:rPr>
          <w:rFonts w:ascii="宋体" w:hAnsi="宋体" w:cs="宋体" w:eastAsia="宋体" w:hint="default"/>
          <w:w w:val="100"/>
          <w:sz w:val="21"/>
          <w:szCs w:val="21"/>
        </w:rPr>
        <w:t> </w:t>
      </w:r>
      <w:r>
        <w:rPr>
          <w:rFonts w:ascii="宋体" w:hAnsi="宋体" w:cs="宋体" w:eastAsia="宋体" w:hint="default"/>
          <w:spacing w:val="-2"/>
          <w:sz w:val="21"/>
          <w:szCs w:val="21"/>
        </w:rPr>
        <w:t>组合中，按账龄分析法计提坏账准备的其他应收款：</w:t>
      </w:r>
    </w:p>
    <w:p>
      <w:pPr>
        <w:tabs>
          <w:tab w:pos="7753" w:val="left" w:leader="none"/>
        </w:tabs>
        <w:spacing w:before="74"/>
        <w:ind w:left="3778" w:right="0" w:firstLine="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tab/>
      </w: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z w:val="15"/>
          <w:szCs w:val="15"/>
        </w:rPr>
        <w:t>日</w:t>
      </w:r>
    </w:p>
    <w:p>
      <w:pPr>
        <w:spacing w:line="240" w:lineRule="auto" w:before="7"/>
        <w:rPr>
          <w:rFonts w:ascii="宋体" w:hAnsi="宋体" w:cs="宋体" w:eastAsia="宋体" w:hint="default"/>
          <w:sz w:val="7"/>
          <w:szCs w:val="7"/>
        </w:rPr>
      </w:pPr>
    </w:p>
    <w:p>
      <w:pPr>
        <w:tabs>
          <w:tab w:pos="6519" w:val="left" w:leader="none"/>
        </w:tabs>
        <w:spacing w:line="20" w:lineRule="exact"/>
        <w:ind w:left="2544" w:right="0" w:firstLine="0"/>
        <w:rPr>
          <w:rFonts w:ascii="宋体" w:hAnsi="宋体" w:cs="宋体" w:eastAsia="宋体" w:hint="default"/>
          <w:sz w:val="2"/>
          <w:szCs w:val="2"/>
        </w:rPr>
      </w:pPr>
      <w:r>
        <w:rPr>
          <w:rFonts w:ascii="宋体"/>
          <w:sz w:val="2"/>
        </w:rPr>
        <w:pict>
          <v:group style="width:185.35pt;height:1pt;mso-position-horizontal-relative:char;mso-position-vertical-relative:line" coordorigin="0,0" coordsize="3707,20">
            <v:group style="position:absolute;left:10;top:10;width:2410;height:2" coordorigin="10,10" coordsize="2410,2">
              <v:shape style="position:absolute;left:10;top:10;width:2410;height:2" coordorigin="10,10" coordsize="2410,0" path="m10,10l2420,10e" filled="false" stroked="true" strokeweight=".95999pt" strokecolor="#000000">
                <v:path arrowok="t"/>
              </v:shape>
            </v:group>
            <v:group style="position:absolute;left:2420;top:10;width:20;height:2" coordorigin="2420,10" coordsize="20,2">
              <v:shape style="position:absolute;left:2420;top:10;width:20;height:2" coordorigin="2420,10" coordsize="20,0" path="m2420,10l2439,10e" filled="false" stroked="true" strokeweight=".95999pt" strokecolor="#000000">
                <v:path arrowok="t"/>
              </v:shape>
            </v:group>
            <v:group style="position:absolute;left:2439;top:10;width:264;height:2" coordorigin="2439,10" coordsize="264,2">
              <v:shape style="position:absolute;left:2439;top:10;width:264;height:2" coordorigin="2439,10" coordsize="264,0" path="m2439,10l2703,10e" filled="false" stroked="true" strokeweight=".95999pt" strokecolor="#000000">
                <v:path arrowok="t"/>
              </v:shape>
            </v:group>
            <v:group style="position:absolute;left:2703;top:10;width:20;height:2" coordorigin="2703,10" coordsize="20,2">
              <v:shape style="position:absolute;left:2703;top:10;width:20;height:2" coordorigin="2703,10" coordsize="20,0" path="m2703,10l2723,10e" filled="false" stroked="true" strokeweight=".95999pt" strokecolor="#000000">
                <v:path arrowok="t"/>
              </v:shape>
            </v:group>
            <v:group style="position:absolute;left:2723;top:10;width:975;height:2" coordorigin="2723,10" coordsize="975,2">
              <v:shape style="position:absolute;left:2723;top:10;width:975;height:2" coordorigin="2723,10" coordsize="975,0" path="m2723,10l3697,10e" filled="false" stroked="true" strokeweight=".95999pt" strokecolor="#000000">
                <v:path arrowok="t"/>
              </v:shape>
            </v:group>
          </v:group>
        </w:pict>
      </w:r>
      <w:r>
        <w:rPr>
          <w:rFonts w:ascii="宋体"/>
          <w:sz w:val="2"/>
        </w:rPr>
      </w:r>
      <w:r>
        <w:rPr>
          <w:rFonts w:ascii="宋体"/>
          <w:sz w:val="2"/>
        </w:rPr>
        <w:tab/>
      </w:r>
      <w:r>
        <w:rPr>
          <w:rFonts w:ascii="宋体"/>
          <w:position w:val="1"/>
          <w:sz w:val="2"/>
        </w:rPr>
        <w:pict>
          <v:group style="width:185.2pt;height:.5pt;mso-position-horizontal-relative:char;mso-position-vertical-relative:line" coordorigin="0,0" coordsize="3704,10">
            <v:group style="position:absolute;left:5;top:5;width:2550;height:2" coordorigin="5,5" coordsize="2550,2">
              <v:shape style="position:absolute;left:5;top:5;width:2550;height:2" coordorigin="5,5" coordsize="2550,0" path="m5,5l2554,5e" filled="false" stroked="true" strokeweight=".48001pt" strokecolor="#000000">
                <v:path arrowok="t"/>
              </v:shape>
            </v:group>
            <v:group style="position:absolute;left:2554;top:5;width:10;height:2" coordorigin="2554,5" coordsize="10,2">
              <v:shape style="position:absolute;left:2554;top:5;width:10;height:2" coordorigin="2554,5" coordsize="10,0" path="m2554,5l2564,5e" filled="false" stroked="true" strokeweight=".48001pt" strokecolor="#000000">
                <v:path arrowok="t"/>
              </v:shape>
            </v:group>
            <v:group style="position:absolute;left:2564;top:5;width:274;height:2" coordorigin="2564,5" coordsize="274,2">
              <v:shape style="position:absolute;left:2564;top:5;width:274;height:2" coordorigin="2564,5" coordsize="274,0" path="m2564,5l2837,5e" filled="false" stroked="true" strokeweight=".48001pt" strokecolor="#000000">
                <v:path arrowok="t"/>
              </v:shape>
            </v:group>
            <v:group style="position:absolute;left:2837;top:5;width:10;height:2" coordorigin="2837,5" coordsize="10,2">
              <v:shape style="position:absolute;left:2837;top:5;width:10;height:2" coordorigin="2837,5" coordsize="10,0" path="m2837,5l2847,5e" filled="false" stroked="true" strokeweight=".48001pt" strokecolor="#000000">
                <v:path arrowok="t"/>
              </v:shape>
            </v:group>
            <v:group style="position:absolute;left:2847;top:5;width:852;height:2" coordorigin="2847,5" coordsize="852,2">
              <v:shape style="position:absolute;left:2847;top:5;width:852;height:2" coordorigin="2847,5" coordsize="852,0" path="m2847,5l3699,5e" filled="false" stroked="true" strokeweight=".48001pt" strokecolor="#000000">
                <v:path arrowok="t"/>
              </v:shape>
            </v:group>
          </v:group>
        </w:pict>
      </w:r>
      <w:r>
        <w:rPr>
          <w:rFonts w:ascii="宋体"/>
          <w:position w:val="1"/>
          <w:sz w:val="2"/>
        </w:rPr>
      </w:r>
    </w:p>
    <w:p>
      <w:pPr>
        <w:spacing w:after="0" w:line="20" w:lineRule="exact"/>
        <w:rPr>
          <w:rFonts w:ascii="宋体" w:hAnsi="宋体" w:cs="宋体" w:eastAsia="宋体" w:hint="default"/>
          <w:sz w:val="2"/>
          <w:szCs w:val="2"/>
        </w:rPr>
        <w:sectPr>
          <w:type w:val="continuous"/>
          <w:pgSz w:w="11910" w:h="16840"/>
          <w:pgMar w:top="1100" w:bottom="1380" w:left="1080" w:right="160"/>
        </w:sectPr>
      </w:pPr>
    </w:p>
    <w:p>
      <w:pPr>
        <w:spacing w:line="152" w:lineRule="exact" w:before="55"/>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账面余额</w:t>
      </w:r>
    </w:p>
    <w:p>
      <w:pPr>
        <w:spacing w:line="148" w:lineRule="exact" w:before="0"/>
        <w:ind w:left="1337" w:right="0" w:firstLine="0"/>
        <w:jc w:val="left"/>
        <w:rPr>
          <w:rFonts w:ascii="宋体" w:hAnsi="宋体" w:cs="宋体" w:eastAsia="宋体" w:hint="default"/>
          <w:sz w:val="15"/>
          <w:szCs w:val="15"/>
        </w:rPr>
      </w:pPr>
      <w:r>
        <w:rPr/>
        <w:pict>
          <v:group style="position:absolute;margin-left:181.220001pt;margin-top:3.312546pt;width:121.5pt;height:1pt;mso-position-horizontal-relative:page;mso-position-vertical-relative:paragraph;z-index:5080" coordorigin="3624,66" coordsize="2430,20">
            <v:group style="position:absolute;left:3634;top:76;width:1136;height:2" coordorigin="3634,76" coordsize="1136,2">
              <v:shape style="position:absolute;left:3634;top:76;width:1136;height:2" coordorigin="3634,76" coordsize="1136,0" path="m3634,76l4770,76e" filled="false" stroked="true" strokeweight=".95999pt" strokecolor="#000000">
                <v:path arrowok="t"/>
              </v:shape>
            </v:group>
            <v:group style="position:absolute;left:4770;top:76;width:20;height:2" coordorigin="4770,76" coordsize="20,2">
              <v:shape style="position:absolute;left:4770;top:76;width:20;height:2" coordorigin="4770,76" coordsize="20,0" path="m4770,76l4789,76e" filled="false" stroked="true" strokeweight=".95999pt" strokecolor="#000000">
                <v:path arrowok="t"/>
              </v:shape>
            </v:group>
            <v:group style="position:absolute;left:4789;top:76;width:264;height:2" coordorigin="4789,76" coordsize="264,2">
              <v:shape style="position:absolute;left:4789;top:76;width:264;height:2" coordorigin="4789,76" coordsize="264,0" path="m4789,76l5053,76e" filled="false" stroked="true" strokeweight=".95999pt" strokecolor="#000000">
                <v:path arrowok="t"/>
              </v:shape>
            </v:group>
            <v:group style="position:absolute;left:5053;top:76;width:20;height:2" coordorigin="5053,76" coordsize="20,2">
              <v:shape style="position:absolute;left:5053;top:76;width:20;height:2" coordorigin="5053,76" coordsize="20,0" path="m5053,76l5072,76e" filled="false" stroked="true" strokeweight=".95999pt" strokecolor="#000000">
                <v:path arrowok="t"/>
              </v:shape>
            </v:group>
            <v:group style="position:absolute;left:5072;top:76;width:972;height:2" coordorigin="5072,76" coordsize="972,2">
              <v:shape style="position:absolute;left:5072;top:76;width:972;height:2" coordorigin="5072,76" coordsize="972,0" path="m5072,76l6044,76e" filled="false" stroked="true" strokeweight=".95999pt" strokecolor="#000000">
                <v:path arrowok="t"/>
              </v:shape>
            </v:group>
            <w10:wrap type="none"/>
          </v:group>
        </w:pict>
      </w:r>
      <w:r>
        <w:rPr>
          <w:rFonts w:ascii="宋体" w:hAnsi="宋体" w:cs="宋体" w:eastAsia="宋体" w:hint="default"/>
          <w:sz w:val="15"/>
          <w:szCs w:val="15"/>
        </w:rPr>
        <w:t>账龄</w:t>
      </w:r>
    </w:p>
    <w:p>
      <w:pPr>
        <w:spacing w:line="240" w:lineRule="auto" w:before="6"/>
        <w:rPr>
          <w:rFonts w:ascii="宋体" w:hAnsi="宋体" w:cs="宋体" w:eastAsia="宋体" w:hint="default"/>
          <w:sz w:val="12"/>
          <w:szCs w:val="12"/>
        </w:rPr>
      </w:pPr>
      <w:r>
        <w:rPr/>
        <w:br w:type="column"/>
      </w:r>
      <w:r>
        <w:rPr>
          <w:rFonts w:ascii="宋体"/>
          <w:sz w:val="12"/>
        </w:rPr>
      </w:r>
    </w:p>
    <w:p>
      <w:pPr>
        <w:spacing w:line="192"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坏账准备</w:t>
      </w:r>
    </w:p>
    <w:p>
      <w:pPr>
        <w:spacing w:before="55"/>
        <w:ind w:left="0" w:right="0" w:firstLine="0"/>
        <w:jc w:val="righ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账面余额</w:t>
      </w:r>
    </w:p>
    <w:p>
      <w:pPr>
        <w:spacing w:line="240" w:lineRule="auto" w:before="6"/>
        <w:rPr>
          <w:rFonts w:ascii="宋体" w:hAnsi="宋体" w:cs="宋体" w:eastAsia="宋体" w:hint="default"/>
          <w:sz w:val="12"/>
          <w:szCs w:val="12"/>
        </w:rPr>
      </w:pPr>
      <w:r>
        <w:rPr/>
        <w:br w:type="column"/>
      </w:r>
      <w:r>
        <w:rPr>
          <w:rFonts w:ascii="宋体"/>
          <w:sz w:val="12"/>
        </w:rPr>
      </w:r>
    </w:p>
    <w:p>
      <w:pPr>
        <w:spacing w:line="192" w:lineRule="exact" w:before="0"/>
        <w:ind w:left="1337" w:right="0" w:firstLine="0"/>
        <w:jc w:val="left"/>
        <w:rPr>
          <w:rFonts w:ascii="宋体" w:hAnsi="宋体" w:cs="宋体" w:eastAsia="宋体" w:hint="default"/>
          <w:sz w:val="15"/>
          <w:szCs w:val="15"/>
        </w:rPr>
      </w:pPr>
      <w:r>
        <w:rPr/>
        <w:pict>
          <v:group style="position:absolute;margin-left:379.75pt;margin-top:5.519775pt;width:128.4500pt;height:1pt;mso-position-horizontal-relative:page;mso-position-vertical-relative:paragraph;z-index:5104" coordorigin="7595,110" coordsize="2569,20">
            <v:group style="position:absolute;left:7605;top:120;width:1275;height:2" coordorigin="7605,120" coordsize="1275,2">
              <v:shape style="position:absolute;left:7605;top:120;width:1275;height:2" coordorigin="7605,120" coordsize="1275,0" path="m7605,120l8879,120e" filled="false" stroked="true" strokeweight=".95999pt" strokecolor="#000000">
                <v:path arrowok="t"/>
              </v:shape>
            </v:group>
            <v:group style="position:absolute;left:8879;top:120;width:20;height:2" coordorigin="8879,120" coordsize="20,2">
              <v:shape style="position:absolute;left:8879;top:120;width:20;height:2" coordorigin="8879,120" coordsize="20,0" path="m8879,120l8899,120e" filled="false" stroked="true" strokeweight=".95999pt" strokecolor="#000000">
                <v:path arrowok="t"/>
              </v:shape>
            </v:group>
            <v:group style="position:absolute;left:8899;top:120;width:269;height:2" coordorigin="8899,120" coordsize="269,2">
              <v:shape style="position:absolute;left:8899;top:120;width:269;height:2" coordorigin="8899,120" coordsize="269,0" path="m8899,120l9168,120e" filled="false" stroked="true" strokeweight=".95999pt" strokecolor="#000000">
                <v:path arrowok="t"/>
              </v:shape>
            </v:group>
            <v:group style="position:absolute;left:9168;top:120;width:20;height:2" coordorigin="9168,120" coordsize="20,2">
              <v:shape style="position:absolute;left:9168;top:120;width:20;height:2" coordorigin="9168,120" coordsize="20,0" path="m9168,120l9187,120e" filled="false" stroked="true" strokeweight=".95999pt" strokecolor="#000000">
                <v:path arrowok="t"/>
              </v:shape>
            </v:group>
            <v:group style="position:absolute;left:9187;top:120;width:968;height:2" coordorigin="9187,120" coordsize="968,2">
              <v:shape style="position:absolute;left:9187;top:120;width:968;height:2" coordorigin="9187,120" coordsize="968,0" path="m9187,120l10154,120e" filled="false" stroked="true" strokeweight=".95999pt" strokecolor="#000000">
                <v:path arrowok="t"/>
              </v:shape>
            </v:group>
            <w10:wrap type="none"/>
          </v:group>
        </w:pict>
      </w:r>
      <w:r>
        <w:rPr>
          <w:rFonts w:ascii="宋体" w:hAnsi="宋体" w:cs="宋体" w:eastAsia="宋体" w:hint="default"/>
          <w:sz w:val="15"/>
          <w:szCs w:val="15"/>
        </w:rPr>
        <w:t>坏账准备</w:t>
      </w:r>
    </w:p>
    <w:p>
      <w:pPr>
        <w:spacing w:after="0" w:line="192" w:lineRule="exact"/>
        <w:jc w:val="left"/>
        <w:rPr>
          <w:rFonts w:ascii="宋体" w:hAnsi="宋体" w:cs="宋体" w:eastAsia="宋体" w:hint="default"/>
          <w:sz w:val="15"/>
          <w:szCs w:val="15"/>
        </w:rPr>
        <w:sectPr>
          <w:type w:val="continuous"/>
          <w:pgSz w:w="11910" w:h="16840"/>
          <w:pgMar w:top="1100" w:bottom="1380" w:left="1080" w:right="160"/>
          <w:cols w:num="4" w:equalWidth="0">
            <w:col w:w="4062" w:space="45"/>
            <w:col w:w="1940" w:space="114"/>
            <w:col w:w="1940" w:space="48"/>
            <w:col w:w="2521"/>
          </w:cols>
        </w:sectPr>
      </w:pPr>
    </w:p>
    <w:p>
      <w:pPr>
        <w:tabs>
          <w:tab w:pos="4131" w:val="left" w:leader="none"/>
          <w:tab w:pos="7011" w:val="left" w:leader="none"/>
          <w:tab w:pos="8241" w:val="left" w:leader="none"/>
        </w:tabs>
        <w:spacing w:line="151" w:lineRule="exact" w:before="0"/>
        <w:ind w:left="2969" w:right="0" w:firstLine="0"/>
        <w:jc w:val="left"/>
        <w:rPr>
          <w:rFonts w:ascii="宋体" w:hAnsi="宋体" w:cs="宋体" w:eastAsia="宋体" w:hint="default"/>
          <w:sz w:val="15"/>
          <w:szCs w:val="15"/>
        </w:rPr>
      </w:pPr>
      <w:r>
        <w:rPr>
          <w:rFonts w:ascii="宋体" w:hAnsi="宋体" w:cs="宋体" w:eastAsia="宋体" w:hint="default"/>
          <w:sz w:val="15"/>
          <w:szCs w:val="15"/>
        </w:rPr>
        <w:t>金额</w:t>
        <w:tab/>
      </w:r>
      <w:r>
        <w:rPr>
          <w:rFonts w:ascii="宋体" w:hAnsi="宋体" w:cs="宋体" w:eastAsia="宋体" w:hint="default"/>
          <w:spacing w:val="-1"/>
          <w:sz w:val="15"/>
          <w:szCs w:val="15"/>
        </w:rPr>
        <w:t>比例（</w:t>
      </w:r>
      <w:r>
        <w:rPr>
          <w:rFonts w:ascii="宋体" w:hAnsi="宋体" w:cs="宋体" w:eastAsia="宋体"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sz w:val="15"/>
          <w:szCs w:val="15"/>
        </w:rPr>
        <w:t>金额</w:t>
        <w:tab/>
      </w:r>
      <w:r>
        <w:rPr>
          <w:rFonts w:ascii="宋体" w:hAnsi="宋体" w:cs="宋体" w:eastAsia="宋体" w:hint="default"/>
          <w:spacing w:val="-1"/>
          <w:sz w:val="15"/>
          <w:szCs w:val="15"/>
        </w:rPr>
        <w:t>比例（</w:t>
      </w:r>
      <w:r>
        <w:rPr>
          <w:rFonts w:ascii="宋体" w:hAnsi="宋体" w:cs="宋体" w:eastAsia="宋体" w:hint="default"/>
          <w:spacing w:val="-1"/>
          <w:sz w:val="15"/>
          <w:szCs w:val="15"/>
        </w:rPr>
        <w:t>%</w:t>
      </w:r>
      <w:r>
        <w:rPr>
          <w:rFonts w:ascii="宋体" w:hAnsi="宋体" w:cs="宋体" w:eastAsia="宋体" w:hint="default"/>
          <w:spacing w:val="-1"/>
          <w:sz w:val="15"/>
          <w:szCs w:val="15"/>
        </w:rPr>
        <w:t>）</w:t>
      </w:r>
    </w:p>
    <w:p>
      <w:pPr>
        <w:spacing w:line="240" w:lineRule="auto" w:before="8"/>
        <w:rPr>
          <w:rFonts w:ascii="宋体" w:hAnsi="宋体" w:cs="宋体" w:eastAsia="宋体" w:hint="default"/>
          <w:sz w:val="4"/>
          <w:szCs w:val="4"/>
        </w:rPr>
      </w:pPr>
    </w:p>
    <w:p>
      <w:pPr>
        <w:tabs>
          <w:tab w:pos="2544" w:val="left" w:leader="none"/>
          <w:tab w:pos="3963" w:val="left" w:leader="none"/>
          <w:tab w:pos="5237" w:val="left" w:leader="none"/>
          <w:tab w:pos="6515" w:val="left" w:leader="none"/>
          <w:tab w:pos="8078" w:val="left" w:leader="none"/>
          <w:tab w:pos="9347" w:val="left" w:leader="none"/>
        </w:tabs>
        <w:spacing w:line="20" w:lineRule="exact"/>
        <w:ind w:left="706" w:right="0" w:firstLine="0"/>
        <w:rPr>
          <w:rFonts w:ascii="宋体" w:hAnsi="宋体" w:cs="宋体" w:eastAsia="宋体" w:hint="default"/>
          <w:sz w:val="2"/>
          <w:szCs w:val="2"/>
        </w:rPr>
      </w:pPr>
      <w:r>
        <w:rPr>
          <w:rFonts w:ascii="宋体"/>
          <w:sz w:val="2"/>
        </w:rPr>
        <w:pict>
          <v:group style="width:78.150pt;height:1pt;mso-position-horizontal-relative:char;mso-position-vertical-relative:line" coordorigin="0,0" coordsize="1563,20">
            <v:group style="position:absolute;left:10;top:10;width:1544;height:2" coordorigin="10,10" coordsize="1544,2">
              <v:shape style="position:absolute;left:10;top:10;width:1544;height:2" coordorigin="10,10" coordsize="1544,0" path="m10,10l1553,10e" filled="false" stroked="true" strokeweight=".96002pt" strokecolor="#000000">
                <v:path arrowok="t"/>
              </v:shape>
            </v:group>
          </v:group>
        </w:pict>
      </w:r>
      <w:r>
        <w:rPr>
          <w:rFonts w:ascii="宋体"/>
          <w:sz w:val="2"/>
        </w:rPr>
      </w:r>
      <w:r>
        <w:rPr>
          <w:rFonts w:ascii="宋体"/>
          <w:sz w:val="2"/>
        </w:rPr>
        <w:tab/>
      </w:r>
      <w:r>
        <w:rPr>
          <w:rFonts w:ascii="宋体"/>
          <w:sz w:val="2"/>
        </w:rPr>
        <w:pict>
          <v:group style="width:57.75pt;height:1pt;mso-position-horizontal-relative:char;mso-position-vertical-relative:line" coordorigin="0,0" coordsize="1155,20">
            <v:group style="position:absolute;left:10;top:10;width:1136;height:2" coordorigin="10,10" coordsize="1136,2">
              <v:shape style="position:absolute;left:10;top:10;width:1136;height:2" coordorigin="10,10" coordsize="1136,0" path="m10,10l1145,10e" filled="false" stroked="true" strokeweight=".96002pt" strokecolor="#000000">
                <v:path arrowok="t"/>
              </v:shape>
            </v:group>
          </v:group>
        </w:pict>
      </w:r>
      <w:r>
        <w:rPr>
          <w:rFonts w:ascii="宋体"/>
          <w:sz w:val="2"/>
        </w:rPr>
      </w:r>
      <w:r>
        <w:rPr>
          <w:rFonts w:ascii="宋体"/>
          <w:sz w:val="2"/>
        </w:rPr>
        <w:tab/>
      </w:r>
      <w:r>
        <w:rPr>
          <w:rFonts w:ascii="宋体"/>
          <w:sz w:val="2"/>
        </w:rPr>
        <w:pict>
          <v:group style="width:50.55pt;height:1pt;mso-position-horizontal-relative:char;mso-position-vertical-relative:line" coordorigin="0,0" coordsize="1011,20">
            <v:group style="position:absolute;left:10;top:10;width:992;height:2" coordorigin="10,10" coordsize="992,2">
              <v:shape style="position:absolute;left:10;top:10;width:992;height:2" coordorigin="10,10" coordsize="992,0" path="m10,10l1001,10e" filled="false" stroked="true" strokeweight=".96002pt" strokecolor="#000000">
                <v:path arrowok="t"/>
              </v:shape>
            </v:group>
          </v:group>
        </w:pict>
      </w:r>
      <w:r>
        <w:rPr>
          <w:rFonts w:ascii="宋体"/>
          <w:sz w:val="2"/>
        </w:rPr>
      </w:r>
      <w:r>
        <w:rPr>
          <w:rFonts w:ascii="宋体"/>
          <w:sz w:val="2"/>
        </w:rPr>
        <w:tab/>
      </w:r>
      <w:r>
        <w:rPr>
          <w:rFonts w:ascii="宋体"/>
          <w:sz w:val="2"/>
        </w:rPr>
        <w:pict>
          <v:group style="width:50.7pt;height:1pt;mso-position-horizontal-relative:char;mso-position-vertical-relative:line" coordorigin="0,0" coordsize="1014,20">
            <v:group style="position:absolute;left:10;top:10;width:995;height:2" coordorigin="10,10" coordsize="995,2">
              <v:shape style="position:absolute;left:10;top:10;width:995;height:2" coordorigin="10,10" coordsize="995,0" path="m10,10l1004,10e" filled="false" stroked="true" strokeweight=".96002pt" strokecolor="#000000">
                <v:path arrowok="t"/>
              </v:shape>
            </v:group>
          </v:group>
        </w:pict>
      </w:r>
      <w:r>
        <w:rPr>
          <w:rFonts w:ascii="宋体"/>
          <w:sz w:val="2"/>
        </w:rPr>
      </w:r>
      <w:r>
        <w:rPr>
          <w:rFonts w:ascii="宋体"/>
          <w:sz w:val="2"/>
        </w:rPr>
        <w:tab/>
      </w:r>
      <w:r>
        <w:rPr>
          <w:rFonts w:ascii="宋体"/>
          <w:sz w:val="2"/>
        </w:rPr>
        <w:pict>
          <v:group style="width:64.7pt;height:1pt;mso-position-horizontal-relative:char;mso-position-vertical-relative:line" coordorigin="0,0" coordsize="1294,20">
            <v:group style="position:absolute;left:10;top:10;width:1275;height:2" coordorigin="10,10" coordsize="1275,2">
              <v:shape style="position:absolute;left:10;top:10;width:1275;height:2" coordorigin="10,10" coordsize="1275,0" path="m10,10l1284,10e" filled="false" stroked="true" strokeweight=".96002pt" strokecolor="#000000">
                <v:path arrowok="t"/>
              </v:shape>
            </v:group>
          </v:group>
        </w:pict>
      </w:r>
      <w:r>
        <w:rPr>
          <w:rFonts w:ascii="宋体"/>
          <w:sz w:val="2"/>
        </w:rPr>
      </w:r>
      <w:r>
        <w:rPr>
          <w:rFonts w:ascii="宋体"/>
          <w:sz w:val="2"/>
        </w:rPr>
        <w:tab/>
      </w:r>
      <w:r>
        <w:rPr>
          <w:rFonts w:ascii="宋体"/>
          <w:sz w:val="2"/>
        </w:rPr>
        <w:pict>
          <v:group style="width:50.3pt;height:1pt;mso-position-horizontal-relative:char;mso-position-vertical-relative:line" coordorigin="0,0" coordsize="1006,20">
            <v:group style="position:absolute;left:10;top:10;width:987;height:2" coordorigin="10,10" coordsize="987,2">
              <v:shape style="position:absolute;left:10;top:10;width:987;height:2" coordorigin="10,10" coordsize="987,0" path="m10,10l996,10e" filled="false" stroked="true" strokeweight=".96002pt" strokecolor="#000000">
                <v:path arrowok="t"/>
              </v:shape>
            </v:group>
          </v:group>
        </w:pict>
      </w:r>
      <w:r>
        <w:rPr>
          <w:rFonts w:ascii="宋体"/>
          <w:sz w:val="2"/>
        </w:rPr>
      </w:r>
      <w:r>
        <w:rPr>
          <w:rFonts w:ascii="宋体"/>
          <w:sz w:val="2"/>
        </w:rPr>
        <w:tab/>
      </w:r>
      <w:r>
        <w:rPr>
          <w:rFonts w:ascii="宋体"/>
          <w:sz w:val="2"/>
        </w:rPr>
        <w:pict>
          <v:group style="width:44.05pt;height:1pt;mso-position-horizontal-relative:char;mso-position-vertical-relative:line" coordorigin="0,0" coordsize="881,20">
            <v:group style="position:absolute;left:10;top:10;width:862;height:2" coordorigin="10,10" coordsize="862,2">
              <v:shape style="position:absolute;left:10;top:10;width:862;height:2" coordorigin="10,10" coordsize="862,0" path="m10,10l871,10e" filled="false" stroked="true" strokeweight=".96002pt" strokecolor="#000000">
                <v:path arrowok="t"/>
              </v:shape>
            </v:group>
          </v:group>
        </w:pict>
      </w:r>
      <w:r>
        <w:rPr>
          <w:rFonts w:ascii="宋体"/>
          <w:sz w:val="2"/>
        </w:rPr>
      </w:r>
    </w:p>
    <w:p>
      <w:pPr>
        <w:tabs>
          <w:tab w:pos="2828" w:val="left" w:leader="none"/>
          <w:tab w:pos="4404" w:val="left" w:leader="none"/>
          <w:tab w:pos="6058" w:val="left" w:leader="none"/>
          <w:tab w:pos="6793" w:val="left" w:leader="none"/>
          <w:tab w:pos="8514" w:val="left" w:leader="none"/>
          <w:tab w:pos="10036" w:val="left" w:leader="none"/>
        </w:tabs>
        <w:spacing w:before="54"/>
        <w:ind w:left="823" w:right="0" w:firstLine="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4"/>
          <w:sz w:val="15"/>
          <w:szCs w:val="15"/>
        </w:rPr>
        <w:t> </w:t>
      </w:r>
      <w:r>
        <w:rPr>
          <w:rFonts w:ascii="宋体" w:hAnsi="宋体" w:cs="宋体" w:eastAsia="宋体" w:hint="default"/>
          <w:spacing w:val="-1"/>
          <w:sz w:val="15"/>
          <w:szCs w:val="15"/>
        </w:rPr>
        <w:t>年以内</w:t>
        <w:tab/>
      </w:r>
      <w:r>
        <w:rPr>
          <w:rFonts w:ascii="宋体" w:hAnsi="宋体" w:cs="宋体" w:eastAsia="宋体" w:hint="default"/>
          <w:spacing w:val="-1"/>
          <w:sz w:val="15"/>
          <w:szCs w:val="15"/>
        </w:rPr>
        <w:t>335,208.70</w:t>
        <w:tab/>
        <w:t>100.00</w:t>
        <w:tab/>
      </w:r>
      <w:r>
        <w:rPr>
          <w:rFonts w:ascii="宋体" w:hAnsi="宋体" w:cs="宋体" w:eastAsia="宋体" w:hint="default"/>
          <w:sz w:val="15"/>
          <w:szCs w:val="15"/>
        </w:rPr>
        <w:t>-</w:t>
        <w:tab/>
      </w:r>
      <w:r>
        <w:rPr>
          <w:rFonts w:ascii="宋体" w:hAnsi="宋体" w:cs="宋体" w:eastAsia="宋体" w:hint="default"/>
          <w:spacing w:val="-2"/>
          <w:sz w:val="15"/>
          <w:szCs w:val="15"/>
        </w:rPr>
        <w:t>6,493,667.07</w:t>
        <w:tab/>
      </w:r>
      <w:r>
        <w:rPr>
          <w:rFonts w:ascii="宋体" w:hAnsi="宋体" w:cs="宋体" w:eastAsia="宋体" w:hint="default"/>
          <w:spacing w:val="-1"/>
          <w:sz w:val="15"/>
          <w:szCs w:val="15"/>
        </w:rPr>
        <w:t>100.00</w:t>
        <w:tab/>
      </w:r>
      <w:r>
        <w:rPr>
          <w:rFonts w:ascii="宋体" w:hAnsi="宋体" w:cs="宋体" w:eastAsia="宋体" w:hint="default"/>
          <w:sz w:val="15"/>
          <w:szCs w:val="15"/>
        </w:rPr>
        <w:t>-</w:t>
      </w:r>
    </w:p>
    <w:p>
      <w:pPr>
        <w:tabs>
          <w:tab w:pos="3968" w:val="left" w:leader="none"/>
          <w:tab w:pos="5242" w:val="left" w:leader="none"/>
          <w:tab w:pos="6519" w:val="left" w:leader="none"/>
          <w:tab w:pos="8082" w:val="left" w:leader="none"/>
          <w:tab w:pos="9352" w:val="left" w:leader="none"/>
        </w:tabs>
        <w:spacing w:line="28" w:lineRule="exact"/>
        <w:ind w:left="2549" w:right="0" w:firstLine="0"/>
        <w:rPr>
          <w:rFonts w:ascii="宋体" w:hAnsi="宋体" w:cs="宋体" w:eastAsia="宋体" w:hint="default"/>
          <w:sz w:val="2"/>
          <w:szCs w:val="2"/>
        </w:rPr>
      </w:pPr>
      <w:r>
        <w:rPr>
          <w:rFonts w:ascii="宋体"/>
          <w:position w:val="0"/>
          <w:sz w:val="2"/>
        </w:rPr>
        <w:pict>
          <v:group style="width:57.3pt;height:1.45pt;mso-position-horizontal-relative:char;mso-position-vertical-relative:line" coordorigin="0,0" coordsize="1146,29">
            <v:group style="position:absolute;left:5;top:5;width:1136;height:2" coordorigin="5,5" coordsize="1136,2">
              <v:shape style="position:absolute;left:5;top:5;width:1136;height:2" coordorigin="5,5" coordsize="1136,0" path="m5,5l1140,5e" filled="false" stroked="true" strokeweight=".48001pt" strokecolor="#000000">
                <v:path arrowok="t"/>
              </v:shape>
            </v:group>
            <v:group style="position:absolute;left:5;top:24;width:1136;height:2" coordorigin="5,24" coordsize="1136,2">
              <v:shape style="position:absolute;left:5;top:24;width:1136;height:2" coordorigin="5,24" coordsize="1136,0" path="m5,24l1140,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0.05pt;height:1.45pt;mso-position-horizontal-relative:char;mso-position-vertical-relative:line" coordorigin="0,0" coordsize="1001,29">
            <v:group style="position:absolute;left:5;top:5;width:992;height:2" coordorigin="5,5" coordsize="992,2">
              <v:shape style="position:absolute;left:5;top:5;width:992;height:2" coordorigin="5,5" coordsize="992,0" path="m5,5l996,5e" filled="false" stroked="true" strokeweight=".48001pt" strokecolor="#000000">
                <v:path arrowok="t"/>
              </v:shape>
            </v:group>
            <v:group style="position:absolute;left:5;top:24;width:992;height:2" coordorigin="5,24" coordsize="992,2">
              <v:shape style="position:absolute;left:5;top:24;width:992;height:2" coordorigin="5,24" coordsize="992,0" path="m5,24l996,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0.2pt;height:1.45pt;mso-position-horizontal-relative:char;mso-position-vertical-relative:line" coordorigin="0,0" coordsize="1004,29">
            <v:group style="position:absolute;left:5;top:5;width:995;height:2" coordorigin="5,5" coordsize="995,2">
              <v:shape style="position:absolute;left:5;top:5;width:995;height:2" coordorigin="5,5" coordsize="995,0" path="m5,5l999,5e" filled="false" stroked="true" strokeweight=".48001pt" strokecolor="#000000">
                <v:path arrowok="t"/>
              </v:shape>
            </v:group>
            <v:group style="position:absolute;left:5;top:24;width:995;height:2" coordorigin="5,24" coordsize="995,2">
              <v:shape style="position:absolute;left:5;top:24;width:995;height:2" coordorigin="5,24" coordsize="995,0" path="m5,24l999,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2pt;height:1.45pt;mso-position-horizontal-relative:char;mso-position-vertical-relative:line" coordorigin="0,0" coordsize="1284,29">
            <v:group style="position:absolute;left:5;top:5;width:1275;height:2" coordorigin="5,5" coordsize="1275,2">
              <v:shape style="position:absolute;left:5;top:5;width:1275;height:2" coordorigin="5,5" coordsize="1275,0" path="m5,5l1279,5e" filled="false" stroked="true" strokeweight=".48001pt" strokecolor="#000000">
                <v:path arrowok="t"/>
              </v:shape>
            </v:group>
            <v:group style="position:absolute;left:5;top:24;width:1275;height:2" coordorigin="5,24" coordsize="1275,2">
              <v:shape style="position:absolute;left:5;top:24;width:1275;height:2" coordorigin="5,24" coordsize="1275,0" path="m5,24l1279,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9.8pt;height:1.45pt;mso-position-horizontal-relative:char;mso-position-vertical-relative:line" coordorigin="0,0" coordsize="996,29">
            <v:group style="position:absolute;left:5;top:5;width:987;height:2" coordorigin="5,5" coordsize="987,2">
              <v:shape style="position:absolute;left:5;top:5;width:987;height:2" coordorigin="5,5" coordsize="987,0" path="m5,5l991,5e" filled="false" stroked="true" strokeweight=".48001pt" strokecolor="#000000">
                <v:path arrowok="t"/>
              </v:shape>
            </v:group>
            <v:group style="position:absolute;left:5;top:24;width:987;height:2" coordorigin="5,24" coordsize="987,2">
              <v:shape style="position:absolute;left:5;top:24;width:987;height:2" coordorigin="5,24" coordsize="987,0" path="m5,24l991,24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3.6pt;height:1.45pt;mso-position-horizontal-relative:char;mso-position-vertical-relative:line" coordorigin="0,0" coordsize="872,29">
            <v:group style="position:absolute;left:5;top:5;width:862;height:2" coordorigin="5,5" coordsize="862,2">
              <v:shape style="position:absolute;left:5;top:5;width:862;height:2" coordorigin="5,5" coordsize="862,0" path="m5,5l866,5e" filled="false" stroked="true" strokeweight=".48001pt" strokecolor="#000000">
                <v:path arrowok="t"/>
              </v:shape>
            </v:group>
            <v:group style="position:absolute;left:5;top:24;width:862;height:2" coordorigin="5,24" coordsize="862,2">
              <v:shape style="position:absolute;left:5;top:24;width:862;height:2" coordorigin="5,24" coordsize="862,0" path="m5,24l866,24e" filled="false" stroked="true" strokeweight=".48001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36"/>
        <w:ind w:left="823" w:right="0"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组合中，采用其他方法计提坏账准备的其他应收款：</w:t>
      </w:r>
    </w:p>
    <w:p>
      <w:pPr>
        <w:spacing w:line="240" w:lineRule="auto" w:before="11"/>
        <w:rPr>
          <w:rFonts w:ascii="宋体" w:hAnsi="宋体" w:cs="宋体" w:eastAsia="宋体" w:hint="default"/>
          <w:sz w:val="17"/>
          <w:szCs w:val="17"/>
        </w:rPr>
      </w:pPr>
    </w:p>
    <w:tbl>
      <w:tblPr>
        <w:tblW w:w="0" w:type="auto"/>
        <w:jc w:val="left"/>
        <w:tblInd w:w="715" w:type="dxa"/>
        <w:tblLayout w:type="fixed"/>
        <w:tblCellMar>
          <w:top w:w="0" w:type="dxa"/>
          <w:left w:w="0" w:type="dxa"/>
          <w:bottom w:w="0" w:type="dxa"/>
          <w:right w:w="0" w:type="dxa"/>
        </w:tblCellMar>
        <w:tblLook w:val="01E0"/>
      </w:tblPr>
      <w:tblGrid>
        <w:gridCol w:w="3118"/>
        <w:gridCol w:w="855"/>
        <w:gridCol w:w="2676"/>
        <w:gridCol w:w="723"/>
        <w:gridCol w:w="1702"/>
        <w:gridCol w:w="430"/>
      </w:tblGrid>
      <w:tr>
        <w:trPr>
          <w:trHeight w:val="349" w:hRule="exact"/>
        </w:trPr>
        <w:tc>
          <w:tcPr>
            <w:tcW w:w="3118"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10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55" w:type="dxa"/>
            <w:tcBorders>
              <w:top w:val="nil" w:sz="6" w:space="0" w:color="auto"/>
              <w:left w:val="nil" w:sz="6" w:space="0" w:color="auto"/>
              <w:bottom w:val="nil" w:sz="6" w:space="0" w:color="auto"/>
              <w:right w:val="nil" w:sz="6" w:space="0" w:color="auto"/>
            </w:tcBorders>
          </w:tcPr>
          <w:p>
            <w:pPr/>
          </w:p>
        </w:tc>
        <w:tc>
          <w:tcPr>
            <w:tcW w:w="267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2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30" w:type="dxa"/>
            <w:tcBorders>
              <w:top w:val="nil" w:sz="6" w:space="0" w:color="auto"/>
              <w:left w:val="nil" w:sz="6" w:space="0" w:color="auto"/>
              <w:bottom w:val="single" w:sz="4" w:space="0" w:color="000000"/>
              <w:right w:val="nil" w:sz="6" w:space="0" w:color="auto"/>
            </w:tcBorders>
          </w:tcPr>
          <w:p>
            <w:pPr/>
          </w:p>
        </w:tc>
      </w:tr>
      <w:tr>
        <w:trPr>
          <w:trHeight w:val="300" w:hRule="exact"/>
        </w:trPr>
        <w:tc>
          <w:tcPr>
            <w:tcW w:w="3118" w:type="dxa"/>
            <w:tcBorders>
              <w:top w:val="single" w:sz="8"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保证金组合</w:t>
            </w:r>
          </w:p>
        </w:tc>
        <w:tc>
          <w:tcPr>
            <w:tcW w:w="855" w:type="dxa"/>
            <w:tcBorders>
              <w:top w:val="nil" w:sz="6" w:space="0" w:color="auto"/>
              <w:left w:val="nil" w:sz="6" w:space="0" w:color="auto"/>
              <w:bottom w:val="nil" w:sz="6" w:space="0" w:color="auto"/>
              <w:right w:val="nil" w:sz="6" w:space="0" w:color="auto"/>
            </w:tcBorders>
          </w:tcPr>
          <w:p>
            <w:pPr/>
          </w:p>
        </w:tc>
        <w:tc>
          <w:tcPr>
            <w:tcW w:w="2676" w:type="dxa"/>
            <w:tcBorders>
              <w:top w:val="single" w:sz="4" w:space="0" w:color="000000"/>
              <w:left w:val="nil" w:sz="6" w:space="0" w:color="auto"/>
              <w:bottom w:val="single" w:sz="12" w:space="0" w:color="000000"/>
              <w:right w:val="nil" w:sz="6" w:space="0" w:color="auto"/>
            </w:tcBorders>
          </w:tcPr>
          <w:p>
            <w:pPr>
              <w:pStyle w:val="TableParagraph"/>
              <w:spacing w:line="250" w:lineRule="exact"/>
              <w:ind w:left="1514" w:right="0"/>
              <w:jc w:val="left"/>
              <w:rPr>
                <w:rFonts w:ascii="宋体" w:hAnsi="宋体" w:cs="宋体" w:eastAsia="宋体" w:hint="default"/>
                <w:sz w:val="21"/>
                <w:szCs w:val="21"/>
              </w:rPr>
            </w:pPr>
            <w:r>
              <w:rPr>
                <w:rFonts w:ascii="宋体"/>
                <w:sz w:val="21"/>
              </w:rPr>
              <w:t>930,530.00</w:t>
            </w:r>
          </w:p>
        </w:tc>
        <w:tc>
          <w:tcPr>
            <w:tcW w:w="72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
        </w:tc>
        <w:tc>
          <w:tcPr>
            <w:tcW w:w="430" w:type="dxa"/>
            <w:tcBorders>
              <w:top w:val="single" w:sz="4" w:space="0" w:color="000000"/>
              <w:left w:val="nil" w:sz="6" w:space="0" w:color="auto"/>
              <w:bottom w:val="single" w:sz="12" w:space="0" w:color="000000"/>
              <w:right w:val="nil" w:sz="6" w:space="0" w:color="auto"/>
            </w:tcBorders>
          </w:tcPr>
          <w:p>
            <w:pPr>
              <w:pStyle w:val="TableParagraph"/>
              <w:spacing w:line="250" w:lineRule="exact"/>
              <w:ind w:left="215" w:right="0"/>
              <w:jc w:val="left"/>
              <w:rPr>
                <w:rFonts w:ascii="宋体" w:hAnsi="宋体" w:cs="宋体" w:eastAsia="宋体" w:hint="default"/>
                <w:sz w:val="21"/>
                <w:szCs w:val="21"/>
              </w:rPr>
            </w:pPr>
            <w:r>
              <w:rPr>
                <w:rFonts w:ascii="宋体"/>
                <w:w w:val="100"/>
                <w:sz w:val="21"/>
              </w:rPr>
              <w:t>-</w:t>
            </w:r>
          </w:p>
        </w:tc>
      </w:tr>
    </w:tbl>
    <w:p>
      <w:pPr>
        <w:spacing w:after="0" w:line="250" w:lineRule="exact"/>
        <w:jc w:val="left"/>
        <w:rPr>
          <w:rFonts w:ascii="宋体" w:hAnsi="宋体" w:cs="宋体" w:eastAsia="宋体" w:hint="default"/>
          <w:sz w:val="21"/>
          <w:szCs w:val="21"/>
        </w:rPr>
        <w:sectPr>
          <w:type w:val="continuous"/>
          <w:pgSz w:w="11910" w:h="16840"/>
          <w:pgMar w:top="1100" w:bottom="1380" w:left="1080" w:right="160"/>
        </w:sectPr>
      </w:pPr>
    </w:p>
    <w:p>
      <w:pPr>
        <w:spacing w:line="240" w:lineRule="auto" w:before="2"/>
        <w:rPr>
          <w:rFonts w:ascii="Times New Roman" w:hAnsi="Times New Roman" w:cs="Times New Roman" w:eastAsia="Times New Roman" w:hint="default"/>
          <w:sz w:val="5"/>
          <w:szCs w:val="5"/>
        </w:rPr>
      </w:pPr>
      <w:r>
        <w:rPr/>
        <w:pict>
          <v:group style="position:absolute;margin-left:88.463997pt;margin-top:90.47998pt;width:493.2pt;height:.1pt;mso-position-horizontal-relative:page;mso-position-vertical-relative:page;z-index:-792952" coordorigin="1769,1810" coordsize="9864,2">
            <v:shape style="position:absolute;left:1769;top:1810;width:9864;height:2" coordorigin="1769,1810" coordsize="9864,0" path="m1769,1810l11633,1810e" filled="false" stroked="true" strokeweight=".48pt" strokecolor="#000000">
              <v:path arrowok="t"/>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774"/>
        <w:gridCol w:w="8062"/>
      </w:tblGrid>
      <w:tr>
        <w:trPr>
          <w:trHeight w:val="687"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1"/>
                <w:szCs w:val="21"/>
              </w:rPr>
            </w:pPr>
            <w:r>
              <w:rPr>
                <w:rFonts w:ascii="宋体"/>
                <w:b/>
                <w:sz w:val="21"/>
              </w:rPr>
              <w:t>12</w:t>
            </w:r>
            <w:r>
              <w:rPr>
                <w:rFonts w:ascii="宋体"/>
                <w:sz w:val="21"/>
              </w:rPr>
            </w:r>
          </w:p>
        </w:tc>
        <w:tc>
          <w:tcPr>
            <w:tcW w:w="80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7" w:right="0"/>
              <w:jc w:val="left"/>
              <w:rPr>
                <w:rFonts w:ascii="宋体" w:hAnsi="宋体" w:cs="宋体" w:eastAsia="宋体" w:hint="default"/>
                <w:sz w:val="21"/>
                <w:szCs w:val="21"/>
              </w:rPr>
            </w:pPr>
            <w:r>
              <w:rPr>
                <w:rFonts w:ascii="宋体"/>
                <w:sz w:val="21"/>
              </w:rPr>
              <w:t>12.2</w:t>
            </w:r>
          </w:p>
        </w:tc>
        <w:tc>
          <w:tcPr>
            <w:tcW w:w="80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其他应收款（续）</w:t>
            </w:r>
          </w:p>
        </w:tc>
      </w:tr>
      <w:tr>
        <w:trPr>
          <w:trHeight w:val="378" w:hRule="exact"/>
        </w:trPr>
        <w:tc>
          <w:tcPr>
            <w:tcW w:w="774" w:type="dxa"/>
            <w:tcBorders>
              <w:top w:val="nil" w:sz="6" w:space="0" w:color="auto"/>
              <w:left w:val="nil" w:sz="6" w:space="0" w:color="auto"/>
              <w:bottom w:val="nil" w:sz="6" w:space="0" w:color="auto"/>
              <w:right w:val="nil" w:sz="6" w:space="0" w:color="auto"/>
            </w:tcBorders>
          </w:tcPr>
          <w:p>
            <w:pPr/>
          </w:p>
        </w:tc>
        <w:tc>
          <w:tcPr>
            <w:tcW w:w="80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12.2.3</w:t>
            </w:r>
            <w:r>
              <w:rPr>
                <w:rFonts w:ascii="宋体" w:hAnsi="宋体" w:cs="宋体" w:eastAsia="宋体" w:hint="default"/>
                <w:spacing w:val="-55"/>
                <w:sz w:val="21"/>
                <w:szCs w:val="21"/>
              </w:rPr>
              <w:t> </w:t>
            </w:r>
            <w:r>
              <w:rPr>
                <w:rFonts w:ascii="宋体" w:hAnsi="宋体" w:cs="宋体" w:eastAsia="宋体" w:hint="default"/>
                <w:sz w:val="21"/>
                <w:szCs w:val="21"/>
              </w:rPr>
              <w:t>本报告期其他应收款中无持公司</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表决权股份的股东单位款项。</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922" w:type="dxa"/>
        <w:tblLayout w:type="fixed"/>
        <w:tblCellMar>
          <w:top w:w="0" w:type="dxa"/>
          <w:left w:w="0" w:type="dxa"/>
          <w:bottom w:w="0" w:type="dxa"/>
          <w:right w:w="0" w:type="dxa"/>
        </w:tblCellMar>
        <w:tblLook w:val="01E0"/>
      </w:tblPr>
      <w:tblGrid>
        <w:gridCol w:w="2830"/>
        <w:gridCol w:w="286"/>
        <w:gridCol w:w="1558"/>
        <w:gridCol w:w="286"/>
        <w:gridCol w:w="1416"/>
        <w:gridCol w:w="283"/>
        <w:gridCol w:w="980"/>
        <w:gridCol w:w="303"/>
        <w:gridCol w:w="1555"/>
      </w:tblGrid>
      <w:tr>
        <w:trPr>
          <w:trHeight w:val="378" w:hRule="exact"/>
        </w:trPr>
        <w:tc>
          <w:tcPr>
            <w:tcW w:w="9496"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12.2.4</w:t>
            </w:r>
            <w:r>
              <w:rPr>
                <w:rFonts w:ascii="宋体" w:hAnsi="宋体" w:cs="宋体" w:eastAsia="宋体" w:hint="default"/>
                <w:spacing w:val="-57"/>
                <w:sz w:val="21"/>
                <w:szCs w:val="21"/>
              </w:rPr>
              <w:t> </w:t>
            </w:r>
            <w:r>
              <w:rPr>
                <w:rFonts w:ascii="宋体" w:hAnsi="宋体" w:cs="宋体" w:eastAsia="宋体" w:hint="default"/>
                <w:sz w:val="21"/>
                <w:szCs w:val="21"/>
              </w:rPr>
              <w:t>其他应收款余额前五名单位情况</w:t>
            </w:r>
          </w:p>
        </w:tc>
      </w:tr>
      <w:tr>
        <w:trPr>
          <w:trHeight w:val="687" w:hRule="exact"/>
        </w:trPr>
        <w:tc>
          <w:tcPr>
            <w:tcW w:w="283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78"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72" w:lineRule="exact" w:before="130"/>
              <w:ind w:left="107" w:right="79" w:firstLine="38"/>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pacing w:val="-2"/>
                <w:sz w:val="21"/>
                <w:szCs w:val="21"/>
              </w:rPr>
              <w:t>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77" w:hRule="exact"/>
        </w:trPr>
        <w:tc>
          <w:tcPr>
            <w:tcW w:w="2830"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550,000.00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43.45</w:t>
            </w:r>
          </w:p>
        </w:tc>
      </w:tr>
      <w:tr>
        <w:trPr>
          <w:trHeight w:val="272"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pacing w:val="-1"/>
                <w:sz w:val="21"/>
              </w:rPr>
              <w:t>232,230.00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18.35</w:t>
            </w:r>
          </w:p>
        </w:tc>
      </w:tr>
      <w:tr>
        <w:trPr>
          <w:trHeight w:val="273"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Ravinder</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65,000.00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5.14</w:t>
            </w:r>
          </w:p>
        </w:tc>
      </w:tr>
      <w:tr>
        <w:trPr>
          <w:trHeight w:val="273"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信用卡保证金</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50,000.00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3"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z w:val="21"/>
              </w:rPr>
              <w:t>3.95</w:t>
            </w:r>
          </w:p>
        </w:tc>
      </w:tr>
      <w:tr>
        <w:trPr>
          <w:trHeight w:val="271"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刘女士租房押金</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40,000.00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3.16</w:t>
            </w:r>
          </w:p>
        </w:tc>
      </w:tr>
      <w:tr>
        <w:trPr>
          <w:trHeight w:val="279"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蒋女士备用金</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公司员工</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25,203.60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1.99</w:t>
            </w:r>
          </w:p>
        </w:tc>
      </w:tr>
      <w:tr>
        <w:trPr>
          <w:trHeight w:val="293"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962,433.60</w:t>
            </w:r>
          </w:p>
        </w:tc>
        <w:tc>
          <w:tcPr>
            <w:tcW w:w="283"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76.04</w:t>
            </w:r>
          </w:p>
        </w:tc>
      </w:tr>
      <w:tr>
        <w:trPr>
          <w:trHeight w:val="800" w:hRule="exact"/>
        </w:trPr>
        <w:tc>
          <w:tcPr>
            <w:tcW w:w="949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z w:val="21"/>
                <w:szCs w:val="21"/>
              </w:rPr>
              <w:t>其他应收款年末数比年初数减少</w:t>
            </w:r>
            <w:r>
              <w:rPr>
                <w:rFonts w:ascii="宋体" w:hAnsi="宋体" w:cs="宋体" w:eastAsia="宋体" w:hint="default"/>
                <w:spacing w:val="-59"/>
                <w:sz w:val="21"/>
                <w:szCs w:val="21"/>
              </w:rPr>
              <w:t> </w:t>
            </w:r>
            <w:r>
              <w:rPr>
                <w:rFonts w:ascii="宋体" w:hAnsi="宋体" w:cs="宋体" w:eastAsia="宋体" w:hint="default"/>
                <w:sz w:val="21"/>
                <w:szCs w:val="21"/>
              </w:rPr>
              <w:t>6,147,928.37</w:t>
            </w:r>
            <w:r>
              <w:rPr>
                <w:rFonts w:ascii="宋体" w:hAnsi="宋体" w:cs="宋体" w:eastAsia="宋体" w:hint="default"/>
                <w:spacing w:val="-59"/>
                <w:sz w:val="21"/>
                <w:szCs w:val="21"/>
              </w:rPr>
              <w:t> </w:t>
            </w:r>
            <w:r>
              <w:rPr>
                <w:rFonts w:ascii="宋体" w:hAnsi="宋体" w:cs="宋体" w:eastAsia="宋体" w:hint="default"/>
                <w:sz w:val="21"/>
                <w:szCs w:val="21"/>
              </w:rPr>
              <w:t>元，减少比例为</w:t>
            </w:r>
            <w:r>
              <w:rPr>
                <w:rFonts w:ascii="宋体" w:hAnsi="宋体" w:cs="宋体" w:eastAsia="宋体" w:hint="default"/>
                <w:spacing w:val="-59"/>
                <w:sz w:val="21"/>
                <w:szCs w:val="21"/>
              </w:rPr>
              <w:t> </w:t>
            </w:r>
            <w:r>
              <w:rPr>
                <w:rFonts w:ascii="宋体" w:hAnsi="宋体" w:cs="宋体" w:eastAsia="宋体" w:hint="default"/>
                <w:sz w:val="21"/>
                <w:szCs w:val="21"/>
              </w:rPr>
              <w:t>82.93</w:t>
            </w:r>
            <w:r>
              <w:rPr>
                <w:rFonts w:ascii="宋体" w:hAnsi="宋体" w:cs="宋体" w:eastAsia="宋体" w:hint="default"/>
                <w:sz w:val="21"/>
                <w:szCs w:val="21"/>
              </w:rPr>
              <w:t>％，主要原因为：上年末暂付的</w:t>
            </w:r>
            <w:r>
              <w:rPr>
                <w:rFonts w:ascii="宋体" w:hAnsi="宋体" w:cs="宋体" w:eastAsia="宋体" w:hint="default"/>
                <w:w w:val="100"/>
                <w:sz w:val="21"/>
                <w:szCs w:val="21"/>
              </w:rPr>
              <w:t> </w:t>
            </w:r>
            <w:r>
              <w:rPr>
                <w:rFonts w:ascii="宋体" w:hAnsi="宋体" w:cs="宋体" w:eastAsia="宋体" w:hint="default"/>
                <w:sz w:val="21"/>
                <w:szCs w:val="21"/>
              </w:rPr>
              <w:t>购房意向金</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6"/>
                <w:sz w:val="21"/>
                <w:szCs w:val="21"/>
              </w:rPr>
              <w:t> </w:t>
            </w:r>
            <w:r>
              <w:rPr>
                <w:rFonts w:ascii="宋体" w:hAnsi="宋体" w:cs="宋体" w:eastAsia="宋体" w:hint="default"/>
                <w:sz w:val="21"/>
                <w:szCs w:val="21"/>
              </w:rPr>
              <w:t>万元本年转入固定资产，导致本年末其他应收款余额大幅减少。</w:t>
            </w:r>
          </w:p>
        </w:tc>
      </w:tr>
    </w:tbl>
    <w:p>
      <w:pPr>
        <w:spacing w:after="0" w:line="272" w:lineRule="exact"/>
        <w:jc w:val="left"/>
        <w:rPr>
          <w:rFonts w:ascii="宋体" w:hAnsi="宋体" w:cs="宋体" w:eastAsia="宋体" w:hint="default"/>
          <w:sz w:val="21"/>
          <w:szCs w:val="21"/>
        </w:rPr>
        <w:sectPr>
          <w:pgSz w:w="11910" w:h="16840"/>
          <w:pgMar w:header="886" w:footer="980" w:top="1740" w:bottom="1160" w:left="880" w:right="160"/>
        </w:sectPr>
      </w:pPr>
    </w:p>
    <w:p>
      <w:pPr>
        <w:pStyle w:val="BodyText"/>
        <w:spacing w:line="310" w:lineRule="exact" w:before="37"/>
        <w:ind w:left="900" w:right="11778"/>
        <w:jc w:val="left"/>
      </w:pPr>
      <w:r>
        <w:rPr/>
        <w:t>上海海隆软件股份有限公司 </w:t>
      </w:r>
      <w:r>
        <w:rPr>
          <w:rFonts w:ascii="宋体" w:hAnsi="宋体" w:cs="宋体" w:eastAsia="宋体" w:hint="default"/>
        </w:rPr>
        <w:t>2011</w:t>
      </w:r>
      <w:r>
        <w:rPr>
          <w:rFonts w:ascii="宋体" w:hAnsi="宋体" w:cs="宋体" w:eastAsia="宋体" w:hint="default"/>
          <w:spacing w:val="-60"/>
        </w:rPr>
        <w:t> </w:t>
      </w:r>
      <w:r>
        <w:rPr/>
        <w:t>年度财务报表附注</w:t>
      </w:r>
    </w:p>
    <w:p>
      <w:pPr>
        <w:pStyle w:val="BodyText"/>
        <w:spacing w:line="286" w:lineRule="exact" w:before="0"/>
        <w:ind w:left="900" w:right="0"/>
        <w:jc w:val="left"/>
        <w:rPr>
          <w:rFonts w:ascii="宋体" w:hAnsi="宋体" w:cs="宋体" w:eastAsia="宋体" w:hint="default"/>
        </w:rPr>
      </w:pPr>
      <w:r>
        <w:rPr>
          <w:rFonts w:ascii="宋体" w:hAnsi="宋体" w:cs="宋体" w:eastAsia="宋体" w:hint="default"/>
        </w:rPr>
        <w:t>(</w:t>
      </w:r>
      <w:r>
        <w:rPr/>
        <w:t>除特别注明外，金额单位为人民币元</w:t>
      </w:r>
      <w:r>
        <w:rPr>
          <w:rFonts w:ascii="宋体" w:hAnsi="宋体" w:cs="宋体" w:eastAsia="宋体" w:hint="default"/>
        </w:rPr>
        <w:t>)</w:t>
      </w:r>
    </w:p>
    <w:p>
      <w:pPr>
        <w:spacing w:line="240" w:lineRule="auto" w:before="3"/>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661"/>
        <w:gridCol w:w="108"/>
        <w:gridCol w:w="1163"/>
        <w:gridCol w:w="275"/>
        <w:gridCol w:w="566"/>
        <w:gridCol w:w="240"/>
        <w:gridCol w:w="1248"/>
        <w:gridCol w:w="235"/>
        <w:gridCol w:w="970"/>
        <w:gridCol w:w="235"/>
        <w:gridCol w:w="487"/>
        <w:gridCol w:w="283"/>
        <w:gridCol w:w="1202"/>
        <w:gridCol w:w="266"/>
        <w:gridCol w:w="953"/>
        <w:gridCol w:w="235"/>
        <w:gridCol w:w="898"/>
        <w:gridCol w:w="238"/>
        <w:gridCol w:w="1442"/>
        <w:gridCol w:w="238"/>
        <w:gridCol w:w="1049"/>
        <w:gridCol w:w="235"/>
        <w:gridCol w:w="802"/>
        <w:gridCol w:w="238"/>
        <w:gridCol w:w="1092"/>
      </w:tblGrid>
      <w:tr>
        <w:trPr>
          <w:trHeight w:val="686" w:hRule="exact"/>
        </w:trPr>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b/>
                <w:sz w:val="21"/>
              </w:rPr>
              <w:t>12</w:t>
            </w:r>
            <w:r>
              <w:rPr>
                <w:rFonts w:ascii="宋体"/>
                <w:sz w:val="21"/>
              </w:rPr>
            </w:r>
          </w:p>
        </w:tc>
        <w:tc>
          <w:tcPr>
            <w:tcW w:w="3600"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35" w:type="dxa"/>
            <w:tcBorders>
              <w:top w:val="single" w:sz="4" w:space="0" w:color="000000"/>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487"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nil" w:sz="6" w:space="0" w:color="auto"/>
              <w:right w:val="nil" w:sz="6" w:space="0" w:color="auto"/>
            </w:tcBorders>
          </w:tcPr>
          <w:p>
            <w:pPr/>
          </w:p>
        </w:tc>
        <w:tc>
          <w:tcPr>
            <w:tcW w:w="266" w:type="dxa"/>
            <w:tcBorders>
              <w:top w:val="single" w:sz="4" w:space="0" w:color="000000"/>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802"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
        </w:tc>
      </w:tr>
      <w:tr>
        <w:trPr>
          <w:trHeight w:val="545" w:hRule="exact"/>
        </w:trPr>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2" w:right="0"/>
              <w:jc w:val="left"/>
              <w:rPr>
                <w:rFonts w:ascii="宋体" w:hAnsi="宋体" w:cs="宋体" w:eastAsia="宋体" w:hint="default"/>
                <w:sz w:val="21"/>
                <w:szCs w:val="21"/>
              </w:rPr>
            </w:pPr>
            <w:r>
              <w:rPr>
                <w:rFonts w:ascii="宋体"/>
                <w:sz w:val="21"/>
              </w:rPr>
              <w:t>12.3</w:t>
            </w:r>
          </w:p>
        </w:tc>
        <w:tc>
          <w:tcPr>
            <w:tcW w:w="10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7"/>
              <w:jc w:val="center"/>
              <w:rPr>
                <w:rFonts w:ascii="宋体" w:hAnsi="宋体" w:cs="宋体" w:eastAsia="宋体" w:hint="default"/>
                <w:sz w:val="21"/>
                <w:szCs w:val="21"/>
              </w:rPr>
            </w:pPr>
            <w:r>
              <w:rPr>
                <w:rFonts w:ascii="宋体" w:hAnsi="宋体" w:cs="宋体" w:eastAsia="宋体" w:hint="default"/>
                <w:spacing w:val="-1"/>
                <w:sz w:val="21"/>
                <w:szCs w:val="21"/>
              </w:rPr>
              <w:t>长期股权投</w:t>
            </w:r>
          </w:p>
        </w:tc>
        <w:tc>
          <w:tcPr>
            <w:tcW w:w="27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2"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566"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r>
      <w:tr>
        <w:trPr>
          <w:trHeight w:val="537" w:hRule="exact"/>
        </w:trPr>
        <w:tc>
          <w:tcPr>
            <w:tcW w:w="661" w:type="dxa"/>
            <w:tcBorders>
              <w:top w:val="nil" w:sz="6" w:space="0" w:color="auto"/>
              <w:left w:val="nil" w:sz="6" w:space="0" w:color="auto"/>
              <w:bottom w:val="nil" w:sz="6" w:space="0" w:color="auto"/>
              <w:right w:val="nil" w:sz="6" w:space="0" w:color="auto"/>
            </w:tcBorders>
          </w:tcPr>
          <w:p>
            <w:pPr/>
          </w:p>
        </w:tc>
        <w:tc>
          <w:tcPr>
            <w:tcW w:w="360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12.3.1</w:t>
            </w:r>
            <w:r>
              <w:rPr>
                <w:rFonts w:ascii="宋体" w:hAnsi="宋体" w:cs="宋体" w:eastAsia="宋体" w:hint="default"/>
                <w:spacing w:val="-3"/>
                <w:sz w:val="21"/>
                <w:szCs w:val="21"/>
              </w:rPr>
              <w:t> </w:t>
            </w:r>
            <w:r>
              <w:rPr>
                <w:rFonts w:ascii="宋体" w:hAnsi="宋体" w:cs="宋体" w:eastAsia="宋体" w:hint="default"/>
                <w:sz w:val="21"/>
                <w:szCs w:val="21"/>
              </w:rPr>
              <w:t>长期股权投资情况表</w:t>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r>
      <w:tr>
        <w:trPr>
          <w:trHeight w:val="654" w:hRule="exact"/>
        </w:trPr>
        <w:tc>
          <w:tcPr>
            <w:tcW w:w="66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09"/>
              <w:jc w:val="center"/>
              <w:rPr>
                <w:rFonts w:ascii="宋体" w:hAnsi="宋体" w:cs="宋体" w:eastAsia="宋体" w:hint="default"/>
                <w:sz w:val="13"/>
                <w:szCs w:val="13"/>
              </w:rPr>
            </w:pPr>
            <w:r>
              <w:rPr>
                <w:rFonts w:ascii="宋体" w:hAnsi="宋体" w:cs="宋体" w:eastAsia="宋体" w:hint="default"/>
                <w:sz w:val="13"/>
                <w:szCs w:val="13"/>
              </w:rPr>
              <w:t>被投资单位名称</w:t>
            </w:r>
          </w:p>
        </w:tc>
        <w:tc>
          <w:tcPr>
            <w:tcW w:w="27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53" w:right="151"/>
              <w:jc w:val="left"/>
              <w:rPr>
                <w:rFonts w:ascii="宋体" w:hAnsi="宋体" w:cs="宋体" w:eastAsia="宋体" w:hint="default"/>
                <w:sz w:val="13"/>
                <w:szCs w:val="13"/>
              </w:rPr>
            </w:pPr>
            <w:r>
              <w:rPr>
                <w:rFonts w:ascii="宋体" w:hAnsi="宋体" w:cs="宋体" w:eastAsia="宋体" w:hint="default"/>
                <w:sz w:val="13"/>
                <w:szCs w:val="13"/>
              </w:rPr>
              <w:t>核算</w:t>
            </w:r>
            <w:r>
              <w:rPr>
                <w:rFonts w:ascii="宋体" w:hAnsi="宋体" w:cs="宋体" w:eastAsia="宋体" w:hint="default"/>
                <w:w w:val="99"/>
                <w:sz w:val="13"/>
                <w:szCs w:val="13"/>
              </w:rPr>
              <w:t> </w:t>
            </w:r>
            <w:r>
              <w:rPr>
                <w:rFonts w:ascii="宋体" w:hAnsi="宋体" w:cs="宋体" w:eastAsia="宋体" w:hint="default"/>
                <w:sz w:val="13"/>
                <w:szCs w:val="13"/>
              </w:rPr>
              <w:t>方法</w:t>
            </w: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79" w:right="0"/>
              <w:jc w:val="left"/>
              <w:rPr>
                <w:rFonts w:ascii="宋体" w:hAnsi="宋体" w:cs="宋体" w:eastAsia="宋体" w:hint="default"/>
                <w:sz w:val="13"/>
                <w:szCs w:val="13"/>
              </w:rPr>
            </w:pPr>
            <w:r>
              <w:rPr>
                <w:rFonts w:ascii="宋体" w:hAnsi="宋体" w:cs="宋体" w:eastAsia="宋体" w:hint="default"/>
                <w:sz w:val="13"/>
                <w:szCs w:val="13"/>
              </w:rPr>
              <w:t>投资成本</w:t>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54" w:right="454"/>
              <w:jc w:val="left"/>
              <w:rPr>
                <w:rFonts w:ascii="宋体" w:hAnsi="宋体" w:cs="宋体" w:eastAsia="宋体" w:hint="default"/>
                <w:sz w:val="13"/>
                <w:szCs w:val="13"/>
              </w:rPr>
            </w:pPr>
            <w:r>
              <w:rPr>
                <w:rFonts w:ascii="宋体" w:hAnsi="宋体" w:cs="宋体" w:eastAsia="宋体" w:hint="default"/>
                <w:sz w:val="13"/>
                <w:szCs w:val="13"/>
              </w:rPr>
              <w:t>年初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12" w:right="113"/>
              <w:jc w:val="left"/>
              <w:rPr>
                <w:rFonts w:ascii="宋体" w:hAnsi="宋体" w:cs="宋体" w:eastAsia="宋体" w:hint="default"/>
                <w:sz w:val="13"/>
                <w:szCs w:val="13"/>
              </w:rPr>
            </w:pPr>
            <w:r>
              <w:rPr>
                <w:rFonts w:ascii="宋体" w:hAnsi="宋体" w:cs="宋体" w:eastAsia="宋体" w:hint="default"/>
                <w:sz w:val="13"/>
                <w:szCs w:val="13"/>
              </w:rPr>
              <w:t>增减</w:t>
            </w:r>
            <w:r>
              <w:rPr>
                <w:rFonts w:ascii="宋体" w:hAnsi="宋体" w:cs="宋体" w:eastAsia="宋体" w:hint="default"/>
                <w:w w:val="99"/>
                <w:sz w:val="13"/>
                <w:szCs w:val="13"/>
              </w:rPr>
              <w:t> </w:t>
            </w:r>
            <w:r>
              <w:rPr>
                <w:rFonts w:ascii="宋体" w:hAnsi="宋体" w:cs="宋体" w:eastAsia="宋体" w:hint="default"/>
                <w:sz w:val="13"/>
                <w:szCs w:val="13"/>
              </w:rPr>
              <w:t>变动</w:t>
            </w: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38" w:right="0"/>
              <w:jc w:val="left"/>
              <w:rPr>
                <w:rFonts w:ascii="宋体" w:hAnsi="宋体" w:cs="宋体" w:eastAsia="宋体" w:hint="default"/>
                <w:sz w:val="13"/>
                <w:szCs w:val="13"/>
              </w:rPr>
            </w:pPr>
            <w:r>
              <w:rPr>
                <w:rFonts w:ascii="宋体" w:hAnsi="宋体" w:cs="宋体" w:eastAsia="宋体" w:hint="default"/>
                <w:sz w:val="13"/>
                <w:szCs w:val="13"/>
              </w:rPr>
              <w:t>期末余额</w:t>
            </w: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51" w:right="152"/>
              <w:jc w:val="center"/>
              <w:rPr>
                <w:rFonts w:ascii="宋体" w:hAnsi="宋体" w:cs="宋体" w:eastAsia="宋体" w:hint="default"/>
                <w:sz w:val="13"/>
                <w:szCs w:val="13"/>
              </w:rPr>
            </w:pPr>
            <w:r>
              <w:rPr>
                <w:rFonts w:ascii="宋体" w:hAnsi="宋体" w:cs="宋体" w:eastAsia="宋体" w:hint="default"/>
                <w:w w:val="95"/>
                <w:sz w:val="13"/>
                <w:szCs w:val="13"/>
              </w:rPr>
              <w:t>在被投资单</w:t>
            </w:r>
            <w:r>
              <w:rPr>
                <w:rFonts w:ascii="宋体" w:hAnsi="宋体" w:cs="宋体" w:eastAsia="宋体" w:hint="default"/>
                <w:spacing w:val="-33"/>
                <w:w w:val="95"/>
                <w:sz w:val="13"/>
                <w:szCs w:val="13"/>
              </w:rPr>
              <w:t> </w:t>
            </w:r>
            <w:r>
              <w:rPr>
                <w:rFonts w:ascii="宋体" w:hAnsi="宋体" w:cs="宋体" w:eastAsia="宋体" w:hint="default"/>
                <w:w w:val="95"/>
                <w:sz w:val="13"/>
                <w:szCs w:val="13"/>
              </w:rPr>
              <w:t>位持股比例</w:t>
            </w:r>
            <w:r>
              <w:rPr>
                <w:rFonts w:ascii="宋体" w:hAnsi="宋体" w:cs="宋体" w:eastAsia="宋体" w:hint="default"/>
                <w:sz w:val="13"/>
                <w:szCs w:val="13"/>
              </w:rPr>
            </w:r>
          </w:p>
          <w:p>
            <w:pPr>
              <w:pStyle w:val="TableParagraph"/>
              <w:spacing w:line="168" w:lineRule="exact"/>
              <w:ind w:right="0"/>
              <w:jc w:val="center"/>
              <w:rPr>
                <w:rFonts w:ascii="宋体" w:hAnsi="宋体" w:cs="宋体" w:eastAsia="宋体" w:hint="default"/>
                <w:sz w:val="13"/>
                <w:szCs w:val="13"/>
              </w:rPr>
            </w:pPr>
            <w:r>
              <w:rPr>
                <w:rFonts w:ascii="宋体" w:hAnsi="宋体" w:cs="宋体" w:eastAsia="宋体" w:hint="default"/>
                <w:sz w:val="13"/>
                <w:szCs w:val="13"/>
              </w:rPr>
              <w:t>（</w:t>
            </w:r>
            <w:r>
              <w:rPr>
                <w:rFonts w:ascii="宋体" w:hAnsi="宋体" w:cs="宋体" w:eastAsia="宋体" w:hint="default"/>
                <w:sz w:val="13"/>
                <w:szCs w:val="13"/>
              </w:rPr>
              <w:t>%</w:t>
            </w:r>
            <w:r>
              <w:rPr>
                <w:rFonts w:ascii="宋体" w:hAnsi="宋体" w:cs="宋体" w:eastAsia="宋体" w:hint="default"/>
                <w:sz w:val="13"/>
                <w:szCs w:val="13"/>
              </w:rPr>
              <w:t>）</w:t>
            </w: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37" w:lineRule="auto"/>
              <w:ind w:left="122" w:right="125"/>
              <w:jc w:val="center"/>
              <w:rPr>
                <w:rFonts w:ascii="宋体" w:hAnsi="宋体" w:cs="宋体" w:eastAsia="宋体" w:hint="default"/>
                <w:sz w:val="13"/>
                <w:szCs w:val="13"/>
              </w:rPr>
            </w:pPr>
            <w:r>
              <w:rPr>
                <w:rFonts w:ascii="宋体" w:hAnsi="宋体" w:cs="宋体" w:eastAsia="宋体" w:hint="default"/>
                <w:w w:val="95"/>
                <w:sz w:val="13"/>
                <w:szCs w:val="13"/>
              </w:rPr>
              <w:t>在被投资单</w:t>
            </w:r>
            <w:r>
              <w:rPr>
                <w:rFonts w:ascii="宋体" w:hAnsi="宋体" w:cs="宋体" w:eastAsia="宋体" w:hint="default"/>
                <w:spacing w:val="-33"/>
                <w:w w:val="95"/>
                <w:sz w:val="13"/>
                <w:szCs w:val="13"/>
              </w:rPr>
              <w:t> </w:t>
            </w:r>
            <w:r>
              <w:rPr>
                <w:rFonts w:ascii="宋体" w:hAnsi="宋体" w:cs="宋体" w:eastAsia="宋体" w:hint="default"/>
                <w:w w:val="95"/>
                <w:sz w:val="13"/>
                <w:szCs w:val="13"/>
              </w:rPr>
              <w:t>位表决权比</w:t>
            </w:r>
            <w:r>
              <w:rPr>
                <w:rFonts w:ascii="宋体" w:hAnsi="宋体" w:cs="宋体" w:eastAsia="宋体" w:hint="default"/>
                <w:spacing w:val="-33"/>
                <w:w w:val="95"/>
                <w:sz w:val="13"/>
                <w:szCs w:val="13"/>
              </w:rPr>
              <w:t> </w:t>
            </w:r>
            <w:r>
              <w:rPr>
                <w:rFonts w:ascii="宋体" w:hAnsi="宋体" w:cs="宋体" w:eastAsia="宋体" w:hint="default"/>
                <w:sz w:val="13"/>
                <w:szCs w:val="13"/>
              </w:rPr>
              <w:t>例（</w:t>
            </w:r>
            <w:r>
              <w:rPr>
                <w:rFonts w:ascii="宋体" w:hAnsi="宋体" w:cs="宋体" w:eastAsia="宋体" w:hint="default"/>
                <w:sz w:val="13"/>
                <w:szCs w:val="13"/>
              </w:rPr>
              <w:t>%</w:t>
            </w:r>
            <w:r>
              <w:rPr>
                <w:rFonts w:ascii="宋体" w:hAnsi="宋体" w:cs="宋体" w:eastAsia="宋体" w:hint="default"/>
                <w:sz w:val="13"/>
                <w:szCs w:val="13"/>
              </w:rPr>
              <w:t>）</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37" w:lineRule="auto"/>
              <w:ind w:left="134" w:right="137"/>
              <w:jc w:val="center"/>
              <w:rPr>
                <w:rFonts w:ascii="宋体" w:hAnsi="宋体" w:cs="宋体" w:eastAsia="宋体" w:hint="default"/>
                <w:sz w:val="13"/>
                <w:szCs w:val="13"/>
              </w:rPr>
            </w:pPr>
            <w:r>
              <w:rPr>
                <w:rFonts w:ascii="宋体" w:hAnsi="宋体" w:cs="宋体" w:eastAsia="宋体" w:hint="default"/>
                <w:w w:val="95"/>
                <w:sz w:val="13"/>
                <w:szCs w:val="13"/>
              </w:rPr>
              <w:t>在被投资单位持股比</w:t>
            </w:r>
            <w:r>
              <w:rPr>
                <w:rFonts w:ascii="宋体" w:hAnsi="宋体" w:cs="宋体" w:eastAsia="宋体" w:hint="default"/>
                <w:spacing w:val="-7"/>
                <w:w w:val="95"/>
                <w:sz w:val="13"/>
                <w:szCs w:val="13"/>
              </w:rPr>
              <w:t> </w:t>
            </w:r>
            <w:r>
              <w:rPr>
                <w:rFonts w:ascii="宋体" w:hAnsi="宋体" w:cs="宋体" w:eastAsia="宋体" w:hint="default"/>
                <w:spacing w:val="-7"/>
                <w:w w:val="95"/>
                <w:sz w:val="13"/>
                <w:szCs w:val="13"/>
              </w:rPr>
            </w:r>
            <w:r>
              <w:rPr>
                <w:rFonts w:ascii="宋体" w:hAnsi="宋体" w:cs="宋体" w:eastAsia="宋体" w:hint="default"/>
                <w:w w:val="95"/>
                <w:sz w:val="13"/>
                <w:szCs w:val="13"/>
              </w:rPr>
              <w:t>例与表决权比例不一</w:t>
            </w:r>
            <w:r>
              <w:rPr>
                <w:rFonts w:ascii="宋体" w:hAnsi="宋体" w:cs="宋体" w:eastAsia="宋体" w:hint="default"/>
                <w:spacing w:val="-7"/>
                <w:w w:val="95"/>
                <w:sz w:val="13"/>
                <w:szCs w:val="13"/>
              </w:rPr>
              <w:t> </w:t>
            </w:r>
            <w:r>
              <w:rPr>
                <w:rFonts w:ascii="宋体" w:hAnsi="宋体" w:cs="宋体" w:eastAsia="宋体" w:hint="default"/>
                <w:spacing w:val="-7"/>
                <w:w w:val="95"/>
                <w:sz w:val="13"/>
                <w:szCs w:val="13"/>
              </w:rPr>
            </w:r>
            <w:r>
              <w:rPr>
                <w:rFonts w:ascii="宋体" w:hAnsi="宋体" w:cs="宋体" w:eastAsia="宋体" w:hint="default"/>
                <w:sz w:val="13"/>
                <w:szCs w:val="13"/>
              </w:rPr>
              <w:t>致的说明</w:t>
            </w: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93" w:right="394"/>
              <w:jc w:val="center"/>
              <w:rPr>
                <w:rFonts w:ascii="宋体" w:hAnsi="宋体" w:cs="宋体" w:eastAsia="宋体" w:hint="default"/>
                <w:sz w:val="13"/>
                <w:szCs w:val="13"/>
              </w:rPr>
            </w:pPr>
            <w:r>
              <w:rPr>
                <w:rFonts w:ascii="宋体" w:hAnsi="宋体" w:cs="宋体" w:eastAsia="宋体" w:hint="default"/>
                <w:sz w:val="13"/>
                <w:szCs w:val="13"/>
              </w:rPr>
              <w:t>减值</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39" w:right="143"/>
              <w:jc w:val="left"/>
              <w:rPr>
                <w:rFonts w:ascii="宋体" w:hAnsi="宋体" w:cs="宋体" w:eastAsia="宋体" w:hint="default"/>
                <w:sz w:val="13"/>
                <w:szCs w:val="13"/>
              </w:rPr>
            </w:pPr>
            <w:r>
              <w:rPr>
                <w:rFonts w:ascii="宋体" w:hAnsi="宋体" w:cs="宋体" w:eastAsia="宋体" w:hint="default"/>
                <w:w w:val="95"/>
                <w:sz w:val="13"/>
                <w:szCs w:val="13"/>
              </w:rPr>
              <w:t>本年计提</w:t>
            </w:r>
            <w:r>
              <w:rPr>
                <w:rFonts w:ascii="宋体" w:hAnsi="宋体" w:cs="宋体" w:eastAsia="宋体" w:hint="default"/>
                <w:spacing w:val="-38"/>
                <w:w w:val="95"/>
                <w:sz w:val="13"/>
                <w:szCs w:val="13"/>
              </w:rPr>
              <w:t> </w:t>
            </w:r>
            <w:r>
              <w:rPr>
                <w:rFonts w:ascii="宋体" w:hAnsi="宋体" w:cs="宋体" w:eastAsia="宋体" w:hint="default"/>
                <w:w w:val="95"/>
                <w:sz w:val="13"/>
                <w:szCs w:val="13"/>
              </w:rPr>
              <w:t>减值准备</w:t>
            </w:r>
            <w:r>
              <w:rPr>
                <w:rFonts w:ascii="宋体" w:hAnsi="宋体" w:cs="宋体" w:eastAsia="宋体" w:hint="default"/>
                <w:sz w:val="13"/>
                <w:szCs w:val="13"/>
              </w:rPr>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56"/>
              <w:jc w:val="right"/>
              <w:rPr>
                <w:rFonts w:ascii="宋体" w:hAnsi="宋体" w:cs="宋体" w:eastAsia="宋体" w:hint="default"/>
                <w:sz w:val="13"/>
                <w:szCs w:val="13"/>
              </w:rPr>
            </w:pPr>
            <w:r>
              <w:rPr>
                <w:rFonts w:ascii="宋体" w:hAnsi="宋体" w:cs="宋体" w:eastAsia="宋体" w:hint="default"/>
                <w:w w:val="95"/>
                <w:sz w:val="13"/>
                <w:szCs w:val="13"/>
              </w:rPr>
              <w:t>本期现金红利</w:t>
            </w:r>
            <w:r>
              <w:rPr>
                <w:rFonts w:ascii="宋体" w:hAnsi="宋体" w:cs="宋体" w:eastAsia="宋体" w:hint="default"/>
                <w:sz w:val="13"/>
                <w:szCs w:val="13"/>
              </w:rPr>
            </w:r>
          </w:p>
        </w:tc>
      </w:tr>
      <w:tr>
        <w:trPr>
          <w:trHeight w:val="233" w:hRule="exact"/>
        </w:trPr>
        <w:tc>
          <w:tcPr>
            <w:tcW w:w="661" w:type="dxa"/>
            <w:tcBorders>
              <w:top w:val="nil" w:sz="6" w:space="0" w:color="auto"/>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145" w:lineRule="exact"/>
              <w:ind w:right="114"/>
              <w:jc w:val="center"/>
              <w:rPr>
                <w:rFonts w:ascii="宋体" w:hAnsi="宋体" w:cs="宋体" w:eastAsia="宋体" w:hint="default"/>
                <w:sz w:val="13"/>
                <w:szCs w:val="13"/>
              </w:rPr>
            </w:pPr>
            <w:r>
              <w:rPr>
                <w:rFonts w:ascii="宋体" w:hAnsi="宋体" w:cs="宋体" w:eastAsia="宋体" w:hint="default"/>
                <w:sz w:val="13"/>
                <w:szCs w:val="13"/>
              </w:rPr>
              <w:t>日本海隆株式会社</w:t>
            </w:r>
          </w:p>
        </w:tc>
        <w:tc>
          <w:tcPr>
            <w:tcW w:w="275"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15"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36"/>
              <w:jc w:val="right"/>
              <w:rPr>
                <w:rFonts w:ascii="宋体" w:hAnsi="宋体" w:cs="宋体" w:eastAsia="宋体" w:hint="default"/>
                <w:sz w:val="13"/>
                <w:szCs w:val="13"/>
              </w:rPr>
            </w:pPr>
            <w:r>
              <w:rPr>
                <w:rFonts w:ascii="宋体"/>
                <w:w w:val="95"/>
                <w:sz w:val="13"/>
              </w:rPr>
              <w:t>3,756,819.40</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right"/>
              <w:rPr>
                <w:rFonts w:ascii="宋体" w:hAnsi="宋体" w:cs="宋体" w:eastAsia="宋体" w:hint="default"/>
                <w:sz w:val="13"/>
                <w:szCs w:val="13"/>
              </w:rPr>
            </w:pPr>
            <w:r>
              <w:rPr>
                <w:rFonts w:ascii="宋体"/>
                <w:w w:val="95"/>
                <w:sz w:val="13"/>
              </w:rPr>
              <w:t>3,756,819.40</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right"/>
              <w:rPr>
                <w:rFonts w:ascii="宋体" w:hAnsi="宋体" w:cs="宋体" w:eastAsia="宋体" w:hint="default"/>
                <w:sz w:val="13"/>
                <w:szCs w:val="13"/>
              </w:rPr>
            </w:pPr>
            <w:r>
              <w:rPr>
                <w:rFonts w:ascii="宋体"/>
                <w:w w:val="95"/>
                <w:sz w:val="13"/>
              </w:rPr>
              <w:t>3,756,819.40</w:t>
            </w:r>
            <w:r>
              <w:rPr>
                <w:rFonts w:ascii="宋体"/>
                <w:sz w:val="13"/>
              </w:rPr>
            </w: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3"/>
                <w:szCs w:val="13"/>
              </w:rPr>
            </w:pPr>
            <w:r>
              <w:rPr>
                <w:rFonts w:ascii="宋体"/>
                <w:sz w:val="13"/>
              </w:rPr>
              <w:t>100</w:t>
            </w: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3"/>
                <w:szCs w:val="13"/>
              </w:rPr>
            </w:pPr>
            <w:r>
              <w:rPr>
                <w:rFonts w:ascii="宋体"/>
                <w:sz w:val="13"/>
              </w:rPr>
              <w:t>100</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05" w:lineRule="exact"/>
              <w:ind w:right="67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8"/>
              <w:jc w:val="right"/>
              <w:rPr>
                <w:rFonts w:ascii="宋体" w:hAnsi="宋体" w:cs="宋体" w:eastAsia="宋体" w:hint="default"/>
                <w:sz w:val="13"/>
                <w:szCs w:val="13"/>
              </w:rPr>
            </w:pPr>
            <w:r>
              <w:rPr>
                <w:rFonts w:ascii="宋体"/>
                <w:w w:val="95"/>
                <w:sz w:val="13"/>
              </w:rPr>
              <w:t>1,655,442.06</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13"/>
                <w:szCs w:val="13"/>
              </w:rPr>
            </w:pPr>
            <w:r>
              <w:rPr>
                <w:rFonts w:ascii="宋体"/>
                <w:w w:val="99"/>
                <w:sz w:val="13"/>
              </w:rPr>
              <w:t>-</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13"/>
                <w:szCs w:val="13"/>
              </w:rPr>
            </w:pPr>
            <w:r>
              <w:rPr>
                <w:rFonts w:ascii="宋体"/>
                <w:w w:val="99"/>
                <w:sz w:val="13"/>
              </w:rPr>
              <w:t>-</w:t>
            </w:r>
            <w:r>
              <w:rPr>
                <w:rFonts w:ascii="宋体"/>
                <w:sz w:val="13"/>
              </w:rPr>
            </w:r>
          </w:p>
        </w:tc>
      </w:tr>
      <w:tr>
        <w:trPr>
          <w:trHeight w:val="340" w:hRule="exact"/>
        </w:trPr>
        <w:tc>
          <w:tcPr>
            <w:tcW w:w="66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Style w:val="TableParagraph"/>
              <w:spacing w:line="168" w:lineRule="exact"/>
              <w:ind w:left="-8" w:right="-15"/>
              <w:jc w:val="left"/>
              <w:rPr>
                <w:rFonts w:ascii="宋体" w:hAnsi="宋体" w:cs="宋体" w:eastAsia="宋体" w:hint="default"/>
                <w:sz w:val="13"/>
                <w:szCs w:val="13"/>
              </w:rPr>
            </w:pPr>
            <w:r>
              <w:rPr>
                <w:rFonts w:ascii="宋体" w:hAnsi="宋体" w:cs="宋体" w:eastAsia="宋体" w:hint="default"/>
                <w:sz w:val="13"/>
                <w:szCs w:val="13"/>
              </w:rPr>
              <w:t>上</w:t>
            </w:r>
            <w:r>
              <w:rPr>
                <w:rFonts w:ascii="宋体" w:hAnsi="宋体" w:cs="宋体" w:eastAsia="宋体" w:hint="default"/>
                <w:w w:val="99"/>
                <w:sz w:val="13"/>
                <w:szCs w:val="13"/>
              </w:rPr>
              <w:t> </w:t>
            </w:r>
            <w:r>
              <w:rPr>
                <w:rFonts w:ascii="宋体" w:hAnsi="宋体" w:cs="宋体" w:eastAsia="宋体" w:hint="default"/>
                <w:sz w:val="13"/>
                <w:szCs w:val="13"/>
              </w:rPr>
              <w:t>开</w:t>
            </w:r>
          </w:p>
        </w:tc>
        <w:tc>
          <w:tcPr>
            <w:tcW w:w="1163" w:type="dxa"/>
            <w:tcBorders>
              <w:top w:val="nil" w:sz="6" w:space="0" w:color="auto"/>
              <w:left w:val="nil" w:sz="6" w:space="0" w:color="auto"/>
              <w:bottom w:val="nil" w:sz="6" w:space="0" w:color="auto"/>
              <w:right w:val="nil" w:sz="6" w:space="0" w:color="auto"/>
            </w:tcBorders>
          </w:tcPr>
          <w:p>
            <w:pPr>
              <w:pStyle w:val="TableParagraph"/>
              <w:spacing w:line="168" w:lineRule="exact"/>
              <w:ind w:left="14" w:right="0" w:firstLine="14"/>
              <w:jc w:val="left"/>
              <w:rPr>
                <w:rFonts w:ascii="宋体" w:hAnsi="宋体" w:cs="宋体" w:eastAsia="宋体" w:hint="default"/>
                <w:sz w:val="13"/>
                <w:szCs w:val="13"/>
              </w:rPr>
            </w:pPr>
            <w:r>
              <w:rPr>
                <w:rFonts w:ascii="宋体" w:hAnsi="宋体" w:cs="宋体" w:eastAsia="宋体" w:hint="default"/>
                <w:spacing w:val="11"/>
                <w:sz w:val="13"/>
                <w:szCs w:val="13"/>
              </w:rPr>
              <w:t>海华钟计算机软件</w:t>
            </w:r>
            <w:r>
              <w:rPr>
                <w:rFonts w:ascii="宋体" w:hAnsi="宋体" w:cs="宋体" w:eastAsia="宋体" w:hint="default"/>
                <w:w w:val="99"/>
                <w:sz w:val="13"/>
                <w:szCs w:val="13"/>
              </w:rPr>
              <w:t> </w:t>
            </w:r>
            <w:r>
              <w:rPr>
                <w:rFonts w:ascii="宋体" w:hAnsi="宋体" w:cs="宋体" w:eastAsia="宋体" w:hint="default"/>
                <w:sz w:val="13"/>
                <w:szCs w:val="13"/>
              </w:rPr>
              <w:t>发有限公司</w:t>
            </w:r>
          </w:p>
        </w:tc>
        <w:tc>
          <w:tcPr>
            <w:tcW w:w="27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5"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6"/>
              <w:jc w:val="right"/>
              <w:rPr>
                <w:rFonts w:ascii="宋体" w:hAnsi="宋体" w:cs="宋体" w:eastAsia="宋体" w:hint="default"/>
                <w:sz w:val="13"/>
                <w:szCs w:val="13"/>
              </w:rPr>
            </w:pPr>
            <w:r>
              <w:rPr>
                <w:rFonts w:ascii="宋体"/>
                <w:w w:val="95"/>
                <w:sz w:val="13"/>
              </w:rPr>
              <w:t>2,690,542.61</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宋体" w:hAnsi="宋体" w:cs="宋体" w:eastAsia="宋体" w:hint="default"/>
                <w:sz w:val="13"/>
                <w:szCs w:val="13"/>
              </w:rPr>
            </w:pPr>
            <w:r>
              <w:rPr>
                <w:rFonts w:ascii="宋体"/>
                <w:w w:val="95"/>
                <w:sz w:val="13"/>
              </w:rPr>
              <w:t>2,690,542.61</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宋体" w:hAnsi="宋体" w:cs="宋体" w:eastAsia="宋体" w:hint="default"/>
                <w:sz w:val="13"/>
                <w:szCs w:val="13"/>
              </w:rPr>
            </w:pPr>
            <w:r>
              <w:rPr>
                <w:rFonts w:ascii="宋体"/>
                <w:w w:val="95"/>
                <w:sz w:val="13"/>
              </w:rPr>
              <w:t>2,690,542.61</w:t>
            </w:r>
            <w:r>
              <w:rPr>
                <w:rFonts w:ascii="宋体"/>
                <w:sz w:val="13"/>
              </w:rPr>
            </w: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center"/>
              <w:rPr>
                <w:rFonts w:ascii="宋体" w:hAnsi="宋体" w:cs="宋体" w:eastAsia="宋体" w:hint="default"/>
                <w:sz w:val="13"/>
                <w:szCs w:val="13"/>
              </w:rPr>
            </w:pPr>
            <w:r>
              <w:rPr>
                <w:rFonts w:ascii="宋体"/>
                <w:sz w:val="13"/>
              </w:rPr>
              <w:t>51</w:t>
            </w: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
              <w:jc w:val="center"/>
              <w:rPr>
                <w:rFonts w:ascii="宋体" w:hAnsi="宋体" w:cs="宋体" w:eastAsia="宋体" w:hint="default"/>
                <w:sz w:val="13"/>
                <w:szCs w:val="13"/>
              </w:rPr>
            </w:pPr>
            <w:r>
              <w:rPr>
                <w:rFonts w:ascii="宋体"/>
                <w:sz w:val="13"/>
              </w:rPr>
              <w:t>51</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12" w:lineRule="exact"/>
              <w:ind w:right="67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宋体" w:hAnsi="宋体" w:cs="宋体" w:eastAsia="宋体" w:hint="default"/>
                <w:sz w:val="13"/>
                <w:szCs w:val="13"/>
              </w:rPr>
            </w:pPr>
            <w:r>
              <w:rPr>
                <w:rFonts w:ascii="宋体"/>
                <w:w w:val="99"/>
                <w:sz w:val="13"/>
              </w:rPr>
              <w:t>-</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宋体" w:hAnsi="宋体" w:cs="宋体" w:eastAsia="宋体" w:hint="default"/>
                <w:sz w:val="13"/>
                <w:szCs w:val="13"/>
              </w:rPr>
            </w:pPr>
            <w:r>
              <w:rPr>
                <w:rFonts w:ascii="宋体"/>
                <w:w w:val="99"/>
                <w:sz w:val="13"/>
              </w:rPr>
              <w:t>-</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8"/>
              <w:jc w:val="right"/>
              <w:rPr>
                <w:rFonts w:ascii="宋体" w:hAnsi="宋体" w:cs="宋体" w:eastAsia="宋体" w:hint="default"/>
                <w:sz w:val="13"/>
                <w:szCs w:val="13"/>
              </w:rPr>
            </w:pPr>
            <w:r>
              <w:rPr>
                <w:rFonts w:ascii="宋体"/>
                <w:w w:val="95"/>
                <w:sz w:val="13"/>
              </w:rPr>
              <w:t>486,516.00</w:t>
            </w:r>
            <w:r>
              <w:rPr>
                <w:rFonts w:ascii="宋体"/>
                <w:sz w:val="13"/>
              </w:rPr>
            </w:r>
          </w:p>
        </w:tc>
      </w:tr>
      <w:tr>
        <w:trPr>
          <w:trHeight w:val="337" w:hRule="exact"/>
        </w:trPr>
        <w:tc>
          <w:tcPr>
            <w:tcW w:w="66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Style w:val="TableParagraph"/>
              <w:spacing w:line="148" w:lineRule="exact"/>
              <w:ind w:left="-8" w:right="-15"/>
              <w:jc w:val="left"/>
              <w:rPr>
                <w:rFonts w:ascii="宋体" w:hAnsi="宋体" w:cs="宋体" w:eastAsia="宋体" w:hint="default"/>
                <w:sz w:val="13"/>
                <w:szCs w:val="13"/>
              </w:rPr>
            </w:pPr>
            <w:r>
              <w:rPr>
                <w:rFonts w:ascii="宋体" w:hAnsi="宋体" w:cs="宋体" w:eastAsia="宋体" w:hint="default"/>
                <w:w w:val="99"/>
                <w:sz w:val="13"/>
                <w:szCs w:val="13"/>
              </w:rPr>
              <w:t>江</w:t>
            </w:r>
            <w:r>
              <w:rPr>
                <w:rFonts w:ascii="宋体" w:hAnsi="宋体" w:cs="宋体" w:eastAsia="宋体" w:hint="default"/>
                <w:sz w:val="13"/>
                <w:szCs w:val="13"/>
              </w:rPr>
            </w:r>
          </w:p>
          <w:p>
            <w:pPr>
              <w:pStyle w:val="TableParagraph"/>
              <w:spacing w:line="169" w:lineRule="exact"/>
              <w:ind w:left="-8" w:right="-15"/>
              <w:jc w:val="left"/>
              <w:rPr>
                <w:rFonts w:ascii="宋体" w:hAnsi="宋体" w:cs="宋体" w:eastAsia="宋体" w:hint="default"/>
                <w:sz w:val="13"/>
                <w:szCs w:val="13"/>
              </w:rPr>
            </w:pPr>
            <w:r>
              <w:rPr>
                <w:rFonts w:ascii="宋体" w:hAnsi="宋体" w:cs="宋体" w:eastAsia="宋体" w:hint="default"/>
                <w:w w:val="99"/>
                <w:sz w:val="13"/>
                <w:szCs w:val="13"/>
              </w:rPr>
              <w:t>限</w:t>
            </w:r>
            <w:r>
              <w:rPr>
                <w:rFonts w:ascii="宋体" w:hAnsi="宋体" w:cs="宋体" w:eastAsia="宋体" w:hint="default"/>
                <w:sz w:val="13"/>
                <w:szCs w:val="13"/>
              </w:rPr>
            </w:r>
          </w:p>
        </w:tc>
        <w:tc>
          <w:tcPr>
            <w:tcW w:w="1163" w:type="dxa"/>
            <w:tcBorders>
              <w:top w:val="nil" w:sz="6" w:space="0" w:color="auto"/>
              <w:left w:val="nil" w:sz="6" w:space="0" w:color="auto"/>
              <w:bottom w:val="nil" w:sz="6" w:space="0" w:color="auto"/>
              <w:right w:val="nil" w:sz="6" w:space="0" w:color="auto"/>
            </w:tcBorders>
          </w:tcPr>
          <w:p>
            <w:pPr>
              <w:pStyle w:val="TableParagraph"/>
              <w:spacing w:line="148" w:lineRule="exact"/>
              <w:ind w:left="14" w:right="0"/>
              <w:jc w:val="left"/>
              <w:rPr>
                <w:rFonts w:ascii="宋体" w:hAnsi="宋体" w:cs="宋体" w:eastAsia="宋体" w:hint="default"/>
                <w:sz w:val="13"/>
                <w:szCs w:val="13"/>
              </w:rPr>
            </w:pPr>
            <w:r>
              <w:rPr>
                <w:rFonts w:ascii="宋体" w:hAnsi="宋体" w:cs="宋体" w:eastAsia="宋体" w:hint="default"/>
                <w:sz w:val="13"/>
                <w:szCs w:val="13"/>
              </w:rPr>
              <w:t>苏海隆软件技术有</w:t>
            </w:r>
          </w:p>
          <w:p>
            <w:pPr>
              <w:pStyle w:val="TableParagraph"/>
              <w:spacing w:line="169" w:lineRule="exact"/>
              <w:ind w:left="14"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27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5"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宋体" w:hAnsi="宋体" w:cs="宋体" w:eastAsia="宋体" w:hint="default"/>
                <w:sz w:val="13"/>
                <w:szCs w:val="13"/>
              </w:rPr>
            </w:pPr>
            <w:r>
              <w:rPr>
                <w:rFonts w:ascii="宋体"/>
                <w:w w:val="95"/>
                <w:sz w:val="13"/>
              </w:rPr>
              <w:t>10,000,000.00</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3"/>
                <w:szCs w:val="13"/>
              </w:rPr>
            </w:pPr>
            <w:r>
              <w:rPr>
                <w:rFonts w:ascii="宋体"/>
                <w:w w:val="95"/>
                <w:sz w:val="13"/>
              </w:rPr>
              <w:t>10,000,000.00</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3"/>
                <w:szCs w:val="13"/>
              </w:rPr>
            </w:pPr>
            <w:r>
              <w:rPr>
                <w:rFonts w:ascii="宋体"/>
                <w:w w:val="95"/>
                <w:sz w:val="13"/>
              </w:rPr>
              <w:t>10,000,000.00</w:t>
            </w:r>
            <w:r>
              <w:rPr>
                <w:rFonts w:ascii="宋体"/>
                <w:sz w:val="13"/>
              </w:rPr>
            </w: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宋体" w:hAnsi="宋体" w:cs="宋体" w:eastAsia="宋体" w:hint="default"/>
                <w:sz w:val="13"/>
                <w:szCs w:val="13"/>
              </w:rPr>
            </w:pPr>
            <w:r>
              <w:rPr>
                <w:rFonts w:ascii="宋体"/>
                <w:sz w:val="13"/>
              </w:rPr>
              <w:t>100</w:t>
            </w: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宋体" w:hAnsi="宋体" w:cs="宋体" w:eastAsia="宋体" w:hint="default"/>
                <w:sz w:val="13"/>
                <w:szCs w:val="13"/>
              </w:rPr>
            </w:pPr>
            <w:r>
              <w:rPr>
                <w:rFonts w:ascii="宋体"/>
                <w:sz w:val="13"/>
              </w:rPr>
              <w:t>100</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09" w:lineRule="exact"/>
              <w:ind w:right="67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宋体" w:hAnsi="宋体" w:cs="宋体" w:eastAsia="宋体" w:hint="default"/>
                <w:sz w:val="13"/>
                <w:szCs w:val="13"/>
              </w:rPr>
            </w:pPr>
            <w:r>
              <w:rPr>
                <w:rFonts w:ascii="宋体"/>
                <w:w w:val="99"/>
                <w:sz w:val="13"/>
              </w:rPr>
              <w:t>-</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3"/>
                <w:szCs w:val="13"/>
              </w:rPr>
            </w:pPr>
            <w:r>
              <w:rPr>
                <w:rFonts w:ascii="宋体"/>
                <w:w w:val="99"/>
                <w:sz w:val="13"/>
              </w:rPr>
              <w:t>-</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3"/>
                <w:szCs w:val="13"/>
              </w:rPr>
            </w:pPr>
            <w:r>
              <w:rPr>
                <w:rFonts w:ascii="宋体"/>
                <w:w w:val="99"/>
                <w:sz w:val="13"/>
              </w:rPr>
              <w:t>-</w:t>
            </w:r>
            <w:r>
              <w:rPr>
                <w:rFonts w:ascii="宋体"/>
                <w:sz w:val="13"/>
              </w:rPr>
            </w:r>
          </w:p>
        </w:tc>
      </w:tr>
      <w:tr>
        <w:trPr>
          <w:trHeight w:val="345" w:hRule="exact"/>
        </w:trPr>
        <w:tc>
          <w:tcPr>
            <w:tcW w:w="66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Style w:val="TableParagraph"/>
              <w:spacing w:line="149" w:lineRule="exact"/>
              <w:ind w:left="-8" w:right="-15"/>
              <w:jc w:val="left"/>
              <w:rPr>
                <w:rFonts w:ascii="宋体" w:hAnsi="宋体" w:cs="宋体" w:eastAsia="宋体" w:hint="default"/>
                <w:sz w:val="13"/>
                <w:szCs w:val="13"/>
              </w:rPr>
            </w:pPr>
            <w:r>
              <w:rPr>
                <w:rFonts w:ascii="宋体" w:hAnsi="宋体" w:cs="宋体" w:eastAsia="宋体" w:hint="default"/>
                <w:w w:val="99"/>
                <w:sz w:val="13"/>
                <w:szCs w:val="13"/>
              </w:rPr>
              <w:t>上</w:t>
            </w:r>
            <w:r>
              <w:rPr>
                <w:rFonts w:ascii="宋体" w:hAnsi="宋体" w:cs="宋体" w:eastAsia="宋体" w:hint="default"/>
                <w:sz w:val="13"/>
                <w:szCs w:val="13"/>
              </w:rPr>
            </w:r>
          </w:p>
          <w:p>
            <w:pPr>
              <w:pStyle w:val="TableParagraph"/>
              <w:spacing w:line="169" w:lineRule="exact"/>
              <w:ind w:left="-8" w:right="-15"/>
              <w:jc w:val="left"/>
              <w:rPr>
                <w:rFonts w:ascii="宋体" w:hAnsi="宋体" w:cs="宋体" w:eastAsia="宋体" w:hint="default"/>
                <w:sz w:val="13"/>
                <w:szCs w:val="13"/>
              </w:rPr>
            </w:pPr>
            <w:r>
              <w:rPr>
                <w:rFonts w:ascii="宋体" w:hAnsi="宋体" w:cs="宋体" w:eastAsia="宋体" w:hint="default"/>
                <w:w w:val="99"/>
                <w:sz w:val="13"/>
                <w:szCs w:val="13"/>
              </w:rPr>
              <w:t>术</w:t>
            </w:r>
            <w:r>
              <w:rPr>
                <w:rFonts w:ascii="宋体" w:hAnsi="宋体" w:cs="宋体" w:eastAsia="宋体" w:hint="default"/>
                <w:sz w:val="13"/>
                <w:szCs w:val="13"/>
              </w:rPr>
            </w:r>
          </w:p>
        </w:tc>
        <w:tc>
          <w:tcPr>
            <w:tcW w:w="1163" w:type="dxa"/>
            <w:tcBorders>
              <w:top w:val="nil" w:sz="6" w:space="0" w:color="auto"/>
              <w:left w:val="nil" w:sz="6" w:space="0" w:color="auto"/>
              <w:bottom w:val="nil" w:sz="6" w:space="0" w:color="auto"/>
              <w:right w:val="nil" w:sz="6" w:space="0" w:color="auto"/>
            </w:tcBorders>
          </w:tcPr>
          <w:p>
            <w:pPr>
              <w:pStyle w:val="TableParagraph"/>
              <w:spacing w:line="149" w:lineRule="exact"/>
              <w:ind w:left="28" w:right="0"/>
              <w:jc w:val="left"/>
              <w:rPr>
                <w:rFonts w:ascii="宋体" w:hAnsi="宋体" w:cs="宋体" w:eastAsia="宋体" w:hint="default"/>
                <w:sz w:val="13"/>
                <w:szCs w:val="13"/>
              </w:rPr>
            </w:pPr>
            <w:r>
              <w:rPr>
                <w:rFonts w:ascii="宋体" w:hAnsi="宋体" w:cs="宋体" w:eastAsia="宋体" w:hint="default"/>
                <w:spacing w:val="11"/>
                <w:sz w:val="13"/>
                <w:szCs w:val="13"/>
              </w:rPr>
              <w:t>海海隆宜通信息技</w:t>
            </w:r>
          </w:p>
          <w:p>
            <w:pPr>
              <w:pStyle w:val="TableParagraph"/>
              <w:spacing w:line="169" w:lineRule="exact"/>
              <w:ind w:left="14"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27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5"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36"/>
              <w:jc w:val="right"/>
              <w:rPr>
                <w:rFonts w:ascii="宋体" w:hAnsi="宋体" w:cs="宋体" w:eastAsia="宋体" w:hint="default"/>
                <w:sz w:val="13"/>
                <w:szCs w:val="13"/>
              </w:rPr>
            </w:pPr>
            <w:r>
              <w:rPr>
                <w:rFonts w:ascii="宋体"/>
                <w:w w:val="95"/>
                <w:sz w:val="13"/>
              </w:rPr>
              <w:t>4,125,000.00</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13"/>
                <w:szCs w:val="13"/>
              </w:rPr>
            </w:pPr>
            <w:r>
              <w:rPr>
                <w:rFonts w:ascii="宋体"/>
                <w:w w:val="95"/>
                <w:sz w:val="13"/>
              </w:rPr>
              <w:t>4,125,000.00</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w:t>
            </w: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13"/>
                <w:szCs w:val="13"/>
              </w:rPr>
            </w:pPr>
            <w:r>
              <w:rPr>
                <w:rFonts w:ascii="宋体"/>
                <w:w w:val="95"/>
                <w:sz w:val="13"/>
              </w:rPr>
              <w:t>4,125,000.00</w:t>
            </w:r>
            <w:r>
              <w:rPr>
                <w:rFonts w:ascii="宋体"/>
                <w:sz w:val="13"/>
              </w:rPr>
            </w: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13"/>
                <w:szCs w:val="13"/>
              </w:rPr>
            </w:pPr>
            <w:r>
              <w:rPr>
                <w:rFonts w:ascii="宋体"/>
                <w:sz w:val="13"/>
              </w:rPr>
              <w:t>55</w:t>
            </w: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
              <w:jc w:val="center"/>
              <w:rPr>
                <w:rFonts w:ascii="宋体" w:hAnsi="宋体" w:cs="宋体" w:eastAsia="宋体" w:hint="default"/>
                <w:sz w:val="13"/>
                <w:szCs w:val="13"/>
              </w:rPr>
            </w:pPr>
            <w:r>
              <w:rPr>
                <w:rFonts w:ascii="宋体"/>
                <w:sz w:val="13"/>
              </w:rPr>
              <w:t>55</w:t>
            </w: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10" w:lineRule="exact"/>
              <w:ind w:right="67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5"/>
              <w:jc w:val="right"/>
              <w:rPr>
                <w:rFonts w:ascii="宋体" w:hAnsi="宋体" w:cs="宋体" w:eastAsia="宋体" w:hint="default"/>
                <w:sz w:val="13"/>
                <w:szCs w:val="13"/>
              </w:rPr>
            </w:pPr>
            <w:r>
              <w:rPr>
                <w:rFonts w:ascii="宋体"/>
                <w:w w:val="99"/>
                <w:sz w:val="13"/>
              </w:rPr>
              <w:t>-</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3"/>
                <w:szCs w:val="13"/>
              </w:rPr>
            </w:pPr>
            <w:r>
              <w:rPr>
                <w:rFonts w:ascii="宋体"/>
                <w:w w:val="99"/>
                <w:sz w:val="13"/>
              </w:rPr>
              <w:t>-</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3"/>
                <w:szCs w:val="13"/>
              </w:rPr>
            </w:pPr>
            <w:r>
              <w:rPr>
                <w:rFonts w:ascii="宋体"/>
                <w:w w:val="99"/>
                <w:sz w:val="13"/>
              </w:rPr>
              <w:t>-</w:t>
            </w:r>
            <w:r>
              <w:rPr>
                <w:rFonts w:ascii="宋体"/>
                <w:sz w:val="13"/>
              </w:rPr>
            </w:r>
          </w:p>
        </w:tc>
      </w:tr>
      <w:tr>
        <w:trPr>
          <w:trHeight w:val="254" w:hRule="exact"/>
        </w:trPr>
        <w:tc>
          <w:tcPr>
            <w:tcW w:w="66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
              <w:jc w:val="center"/>
              <w:rPr>
                <w:rFonts w:ascii="宋体" w:hAnsi="宋体" w:cs="宋体" w:eastAsia="宋体" w:hint="default"/>
                <w:sz w:val="13"/>
                <w:szCs w:val="13"/>
              </w:rPr>
            </w:pPr>
            <w:r>
              <w:rPr>
                <w:rFonts w:ascii="宋体" w:hAnsi="宋体" w:cs="宋体" w:eastAsia="宋体" w:hint="default"/>
                <w:sz w:val="13"/>
                <w:szCs w:val="13"/>
              </w:rPr>
              <w:t>合计</w:t>
            </w:r>
          </w:p>
        </w:tc>
        <w:tc>
          <w:tcPr>
            <w:tcW w:w="27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36"/>
              <w:jc w:val="right"/>
              <w:rPr>
                <w:rFonts w:ascii="宋体" w:hAnsi="宋体" w:cs="宋体" w:eastAsia="宋体" w:hint="default"/>
                <w:sz w:val="13"/>
                <w:szCs w:val="13"/>
              </w:rPr>
            </w:pPr>
            <w:r>
              <w:rPr>
                <w:rFonts w:ascii="宋体"/>
                <w:w w:val="95"/>
                <w:sz w:val="13"/>
              </w:rPr>
              <w:t>20,572,362.01</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right"/>
              <w:rPr>
                <w:rFonts w:ascii="宋体" w:hAnsi="宋体" w:cs="宋体" w:eastAsia="宋体" w:hint="default"/>
                <w:sz w:val="13"/>
                <w:szCs w:val="13"/>
              </w:rPr>
            </w:pPr>
            <w:r>
              <w:rPr>
                <w:rFonts w:ascii="宋体"/>
                <w:w w:val="95"/>
                <w:sz w:val="13"/>
              </w:rPr>
              <w:t>20,572,362.01</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487"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13"/>
                <w:szCs w:val="13"/>
              </w:rPr>
            </w:pPr>
            <w:r>
              <w:rPr>
                <w:rFonts w:ascii="宋体"/>
                <w:w w:val="99"/>
                <w:sz w:val="13"/>
              </w:rPr>
              <w:t>-</w:t>
            </w:r>
            <w:r>
              <w:rPr>
                <w:rFonts w:ascii="宋体"/>
                <w:sz w:val="13"/>
              </w:rPr>
            </w:r>
          </w:p>
        </w:tc>
        <w:tc>
          <w:tcPr>
            <w:tcW w:w="283" w:type="dxa"/>
            <w:tcBorders>
              <w:top w:val="nil" w:sz="6" w:space="0" w:color="auto"/>
              <w:left w:val="nil" w:sz="6" w:space="0" w:color="auto"/>
              <w:bottom w:val="nil" w:sz="6" w:space="0" w:color="auto"/>
              <w:right w:val="nil" w:sz="6" w:space="0" w:color="auto"/>
            </w:tcBorders>
          </w:tcPr>
          <w:p>
            <w:pPr/>
          </w:p>
        </w:tc>
        <w:tc>
          <w:tcPr>
            <w:tcW w:w="12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right"/>
              <w:rPr>
                <w:rFonts w:ascii="宋体" w:hAnsi="宋体" w:cs="宋体" w:eastAsia="宋体" w:hint="default"/>
                <w:sz w:val="13"/>
                <w:szCs w:val="13"/>
              </w:rPr>
            </w:pPr>
            <w:r>
              <w:rPr>
                <w:rFonts w:ascii="宋体"/>
                <w:w w:val="95"/>
                <w:sz w:val="13"/>
              </w:rPr>
              <w:t>20,572,362.01</w:t>
            </w:r>
            <w:r>
              <w:rPr>
                <w:rFonts w:ascii="宋体"/>
                <w:sz w:val="13"/>
              </w:rPr>
            </w:r>
          </w:p>
        </w:tc>
        <w:tc>
          <w:tcPr>
            <w:tcW w:w="266"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8"/>
              <w:jc w:val="right"/>
              <w:rPr>
                <w:rFonts w:ascii="宋体" w:hAnsi="宋体" w:cs="宋体" w:eastAsia="宋体" w:hint="default"/>
                <w:sz w:val="13"/>
                <w:szCs w:val="13"/>
              </w:rPr>
            </w:pPr>
            <w:r>
              <w:rPr>
                <w:rFonts w:ascii="宋体"/>
                <w:w w:val="95"/>
                <w:sz w:val="13"/>
              </w:rPr>
              <w:t>1,655,442.06</w:t>
            </w:r>
            <w:r>
              <w:rPr>
                <w:rFonts w:ascii="宋体"/>
                <w:sz w:val="13"/>
              </w:rPr>
            </w:r>
          </w:p>
        </w:tc>
        <w:tc>
          <w:tcPr>
            <w:tcW w:w="235" w:type="dxa"/>
            <w:tcBorders>
              <w:top w:val="nil" w:sz="6" w:space="0" w:color="auto"/>
              <w:left w:val="nil" w:sz="6" w:space="0" w:color="auto"/>
              <w:bottom w:val="nil" w:sz="6" w:space="0" w:color="auto"/>
              <w:right w:val="nil" w:sz="6" w:space="0" w:color="auto"/>
            </w:tcBorders>
          </w:tcPr>
          <w:p>
            <w:pPr/>
          </w:p>
        </w:tc>
        <w:tc>
          <w:tcPr>
            <w:tcW w:w="80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7"/>
              <w:jc w:val="right"/>
              <w:rPr>
                <w:rFonts w:ascii="宋体" w:hAnsi="宋体" w:cs="宋体" w:eastAsia="宋体" w:hint="default"/>
                <w:sz w:val="13"/>
                <w:szCs w:val="13"/>
              </w:rPr>
            </w:pPr>
            <w:r>
              <w:rPr>
                <w:rFonts w:ascii="宋体"/>
                <w:w w:val="99"/>
                <w:sz w:val="13"/>
              </w:rPr>
              <w:t>-</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8"/>
              <w:jc w:val="right"/>
              <w:rPr>
                <w:rFonts w:ascii="宋体" w:hAnsi="宋体" w:cs="宋体" w:eastAsia="宋体" w:hint="default"/>
                <w:sz w:val="13"/>
                <w:szCs w:val="13"/>
              </w:rPr>
            </w:pPr>
            <w:r>
              <w:rPr>
                <w:rFonts w:ascii="宋体"/>
                <w:w w:val="95"/>
                <w:sz w:val="13"/>
              </w:rPr>
              <w:t>486,516.00</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7725" w:right="7543" w:firstLine="0"/>
        <w:jc w:val="center"/>
        <w:rPr>
          <w:rFonts w:ascii="Times New Roman" w:hAnsi="Times New Roman" w:cs="Times New Roman" w:eastAsia="Times New Roman" w:hint="default"/>
          <w:sz w:val="18"/>
          <w:szCs w:val="18"/>
        </w:rPr>
      </w:pPr>
      <w:r>
        <w:rPr>
          <w:rFonts w:ascii="Times New Roman"/>
          <w:sz w:val="18"/>
        </w:rPr>
        <w:t>144</w:t>
      </w:r>
    </w:p>
    <w:p>
      <w:pPr>
        <w:spacing w:after="0"/>
        <w:jc w:val="center"/>
        <w:rPr>
          <w:rFonts w:ascii="Times New Roman" w:hAnsi="Times New Roman" w:cs="Times New Roman" w:eastAsia="Times New Roman" w:hint="default"/>
          <w:sz w:val="18"/>
          <w:szCs w:val="18"/>
        </w:rPr>
        <w:sectPr>
          <w:headerReference w:type="default" r:id="rId40"/>
          <w:footerReference w:type="default" r:id="rId41"/>
          <w:pgSz w:w="16840" w:h="11910" w:orient="landscape"/>
          <w:pgMar w:header="0" w:footer="0" w:top="800" w:bottom="280" w:left="540" w:right="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688"/>
        <w:gridCol w:w="1666"/>
        <w:gridCol w:w="1947"/>
        <w:gridCol w:w="226"/>
        <w:gridCol w:w="1817"/>
        <w:gridCol w:w="130"/>
        <w:gridCol w:w="1646"/>
        <w:gridCol w:w="172"/>
        <w:gridCol w:w="1668"/>
      </w:tblGrid>
      <w:tr>
        <w:trPr>
          <w:trHeight w:val="378"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12</w:t>
            </w:r>
            <w:r>
              <w:rPr>
                <w:rFonts w:ascii="宋体"/>
                <w:sz w:val="21"/>
              </w:rPr>
            </w:r>
          </w:p>
        </w:tc>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545"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6" w:right="0"/>
              <w:jc w:val="left"/>
              <w:rPr>
                <w:rFonts w:ascii="宋体" w:hAnsi="宋体" w:cs="宋体" w:eastAsia="宋体" w:hint="default"/>
                <w:sz w:val="21"/>
                <w:szCs w:val="21"/>
              </w:rPr>
            </w:pPr>
            <w:r>
              <w:rPr>
                <w:rFonts w:ascii="宋体"/>
                <w:sz w:val="21"/>
              </w:rPr>
              <w:t>12.4</w:t>
            </w:r>
          </w:p>
        </w:tc>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545"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12.4.1</w:t>
            </w:r>
            <w:r>
              <w:rPr>
                <w:rFonts w:ascii="宋体" w:hAnsi="宋体" w:cs="宋体" w:eastAsia="宋体" w:hint="default"/>
                <w:spacing w:val="-54"/>
                <w:sz w:val="21"/>
                <w:szCs w:val="21"/>
              </w:rPr>
              <w:t> </w:t>
            </w:r>
            <w:r>
              <w:rPr>
                <w:rFonts w:ascii="宋体" w:hAnsi="宋体" w:cs="宋体" w:eastAsia="宋体" w:hint="default"/>
                <w:sz w:val="21"/>
                <w:szCs w:val="21"/>
              </w:rPr>
              <w:t>营业收入</w:t>
            </w:r>
          </w:p>
        </w:tc>
        <w:tc>
          <w:tcPr>
            <w:tcW w:w="194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415"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5"/>
              <w:jc w:val="right"/>
              <w:rPr>
                <w:rFonts w:ascii="宋体" w:hAnsi="宋体" w:cs="宋体" w:eastAsia="宋体" w:hint="default"/>
                <w:sz w:val="21"/>
                <w:szCs w:val="21"/>
              </w:rPr>
            </w:pPr>
            <w:r>
              <w:rPr>
                <w:rFonts w:ascii="宋体" w:hAnsi="宋体" w:cs="宋体" w:eastAsia="宋体" w:hint="default"/>
                <w:sz w:val="21"/>
                <w:szCs w:val="21"/>
              </w:rPr>
              <w:t>项目</w:t>
            </w:r>
          </w:p>
        </w:tc>
        <w:tc>
          <w:tcPr>
            <w:tcW w:w="1947"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1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1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75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47" w:type="dxa"/>
            <w:tcBorders>
              <w:top w:val="single" w:sz="4" w:space="0" w:color="000000"/>
              <w:left w:val="nil" w:sz="6" w:space="0" w:color="auto"/>
              <w:bottom w:val="nil" w:sz="6" w:space="0" w:color="auto"/>
              <w:right w:val="nil" w:sz="6" w:space="0" w:color="auto"/>
            </w:tcBorders>
          </w:tcPr>
          <w:p>
            <w:pPr/>
          </w:p>
        </w:tc>
        <w:tc>
          <w:tcPr>
            <w:tcW w:w="3990" w:type="dxa"/>
            <w:gridSpan w:val="5"/>
            <w:tcBorders>
              <w:top w:val="nil" w:sz="6" w:space="0" w:color="auto"/>
              <w:left w:val="nil" w:sz="6" w:space="0" w:color="auto"/>
              <w:bottom w:val="nil" w:sz="6" w:space="0" w:color="auto"/>
              <w:right w:val="nil" w:sz="6" w:space="0" w:color="auto"/>
            </w:tcBorders>
          </w:tcPr>
          <w:p>
            <w:pPr>
              <w:pStyle w:val="TableParagraph"/>
              <w:spacing w:line="246" w:lineRule="exact"/>
              <w:ind w:left="876" w:right="0"/>
              <w:jc w:val="left"/>
              <w:rPr>
                <w:rFonts w:ascii="宋体" w:hAnsi="宋体" w:cs="宋体" w:eastAsia="宋体" w:hint="default"/>
                <w:sz w:val="21"/>
                <w:szCs w:val="21"/>
              </w:rPr>
            </w:pPr>
            <w:r>
              <w:rPr>
                <w:rFonts w:ascii="宋体"/>
                <w:sz w:val="21"/>
              </w:rPr>
              <w:t>239,814,580.20</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176,888,577.87</w:t>
            </w:r>
          </w:p>
        </w:tc>
      </w:tr>
      <w:tr>
        <w:trPr>
          <w:trHeight w:val="272"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947" w:type="dxa"/>
            <w:tcBorders>
              <w:top w:val="nil" w:sz="6" w:space="0" w:color="auto"/>
              <w:left w:val="nil" w:sz="6" w:space="0" w:color="auto"/>
              <w:bottom w:val="nil" w:sz="6" w:space="0" w:color="auto"/>
              <w:right w:val="nil" w:sz="6" w:space="0" w:color="auto"/>
            </w:tcBorders>
          </w:tcPr>
          <w:p>
            <w:pPr/>
          </w:p>
        </w:tc>
        <w:tc>
          <w:tcPr>
            <w:tcW w:w="3990" w:type="dxa"/>
            <w:gridSpan w:val="5"/>
            <w:tcBorders>
              <w:top w:val="nil" w:sz="6" w:space="0" w:color="auto"/>
              <w:left w:val="nil" w:sz="6" w:space="0" w:color="auto"/>
              <w:bottom w:val="nil" w:sz="6" w:space="0" w:color="auto"/>
              <w:right w:val="nil" w:sz="6" w:space="0" w:color="auto"/>
            </w:tcBorders>
          </w:tcPr>
          <w:p>
            <w:pPr>
              <w:pStyle w:val="TableParagraph"/>
              <w:spacing w:line="241" w:lineRule="exact"/>
              <w:ind w:left="1296" w:right="0"/>
              <w:jc w:val="left"/>
              <w:rPr>
                <w:rFonts w:ascii="宋体" w:hAnsi="宋体" w:cs="宋体" w:eastAsia="宋体" w:hint="default"/>
                <w:sz w:val="21"/>
                <w:szCs w:val="21"/>
              </w:rPr>
            </w:pPr>
            <w:r>
              <w:rPr>
                <w:rFonts w:ascii="宋体"/>
                <w:sz w:val="21"/>
              </w:rPr>
              <w:t>434,775.00</w:t>
            </w:r>
          </w:p>
        </w:tc>
        <w:tc>
          <w:tcPr>
            <w:tcW w:w="166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383,400.00</w:t>
            </w:r>
          </w:p>
        </w:tc>
      </w:tr>
      <w:tr>
        <w:trPr>
          <w:trHeight w:val="409"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2" w:lineRule="exact"/>
              <w:ind w:left="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47" w:type="dxa"/>
            <w:tcBorders>
              <w:top w:val="nil" w:sz="6" w:space="0" w:color="auto"/>
              <w:left w:val="nil" w:sz="6" w:space="0" w:color="auto"/>
              <w:bottom w:val="nil" w:sz="6" w:space="0" w:color="auto"/>
              <w:right w:val="nil" w:sz="6" w:space="0" w:color="auto"/>
            </w:tcBorders>
          </w:tcPr>
          <w:p>
            <w:pPr/>
          </w:p>
        </w:tc>
        <w:tc>
          <w:tcPr>
            <w:tcW w:w="3990" w:type="dxa"/>
            <w:gridSpan w:val="5"/>
            <w:tcBorders>
              <w:top w:val="nil" w:sz="6" w:space="0" w:color="auto"/>
              <w:left w:val="nil" w:sz="6" w:space="0" w:color="auto"/>
              <w:bottom w:val="nil" w:sz="6" w:space="0" w:color="auto"/>
              <w:right w:val="nil" w:sz="6" w:space="0" w:color="auto"/>
            </w:tcBorders>
          </w:tcPr>
          <w:p>
            <w:pPr>
              <w:pStyle w:val="TableParagraph"/>
              <w:spacing w:line="242" w:lineRule="exact"/>
              <w:ind w:left="876" w:right="0"/>
              <w:jc w:val="left"/>
              <w:rPr>
                <w:rFonts w:ascii="宋体" w:hAnsi="宋体" w:cs="宋体" w:eastAsia="宋体" w:hint="default"/>
                <w:sz w:val="21"/>
                <w:szCs w:val="21"/>
              </w:rPr>
            </w:pPr>
            <w:r>
              <w:rPr>
                <w:rFonts w:ascii="宋体"/>
                <w:sz w:val="21"/>
              </w:rPr>
              <w:t>119,763,203.63</w:t>
            </w:r>
          </w:p>
        </w:tc>
        <w:tc>
          <w:tcPr>
            <w:tcW w:w="1668"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91,929,467.52</w:t>
            </w:r>
          </w:p>
        </w:tc>
      </w:tr>
      <w:tr>
        <w:trPr>
          <w:trHeight w:val="545" w:hRule="exact"/>
        </w:trPr>
        <w:tc>
          <w:tcPr>
            <w:tcW w:w="688" w:type="dxa"/>
            <w:tcBorders>
              <w:top w:val="nil" w:sz="6" w:space="0" w:color="auto"/>
              <w:left w:val="nil" w:sz="6" w:space="0" w:color="auto"/>
              <w:bottom w:val="nil" w:sz="6" w:space="0" w:color="auto"/>
              <w:right w:val="nil" w:sz="6" w:space="0" w:color="auto"/>
            </w:tcBorders>
          </w:tcPr>
          <w:p>
            <w:pPr/>
          </w:p>
        </w:tc>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12.4.2</w:t>
            </w:r>
            <w:r>
              <w:rPr>
                <w:rFonts w:ascii="宋体" w:hAnsi="宋体" w:cs="宋体" w:eastAsia="宋体" w:hint="default"/>
                <w:spacing w:val="-57"/>
                <w:sz w:val="21"/>
                <w:szCs w:val="21"/>
              </w:rPr>
              <w:t> </w:t>
            </w:r>
            <w:r>
              <w:rPr>
                <w:rFonts w:ascii="宋体" w:hAnsi="宋体" w:cs="宋体" w:eastAsia="宋体" w:hint="default"/>
                <w:sz w:val="21"/>
                <w:szCs w:val="21"/>
              </w:rPr>
              <w:t>主营业务（分行业）</w:t>
            </w: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413" w:hRule="exact"/>
        </w:trPr>
        <w:tc>
          <w:tcPr>
            <w:tcW w:w="688" w:type="dxa"/>
            <w:tcBorders>
              <w:top w:val="nil" w:sz="6" w:space="0" w:color="auto"/>
              <w:left w:val="nil" w:sz="6" w:space="0" w:color="auto"/>
              <w:bottom w:val="nil" w:sz="6" w:space="0" w:color="auto"/>
              <w:right w:val="nil" w:sz="6" w:space="0" w:color="auto"/>
            </w:tcBorders>
          </w:tcPr>
          <w:p>
            <w:pPr/>
          </w:p>
        </w:tc>
        <w:tc>
          <w:tcPr>
            <w:tcW w:w="1666" w:type="dxa"/>
            <w:vMerge w:val="restart"/>
            <w:tcBorders>
              <w:top w:val="nil" w:sz="6" w:space="0" w:color="auto"/>
              <w:left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9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15"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284" w:hRule="exact"/>
        </w:trPr>
        <w:tc>
          <w:tcPr>
            <w:tcW w:w="688" w:type="dxa"/>
            <w:tcBorders>
              <w:top w:val="nil" w:sz="6" w:space="0" w:color="auto"/>
              <w:left w:val="nil" w:sz="6" w:space="0" w:color="auto"/>
              <w:bottom w:val="nil" w:sz="6" w:space="0" w:color="auto"/>
              <w:right w:val="nil" w:sz="6" w:space="0" w:color="auto"/>
            </w:tcBorders>
          </w:tcPr>
          <w:p>
            <w:pPr/>
          </w:p>
        </w:tc>
        <w:tc>
          <w:tcPr>
            <w:tcW w:w="1666" w:type="dxa"/>
            <w:vMerge/>
            <w:tcBorders>
              <w:left w:val="nil" w:sz="6" w:space="0" w:color="auto"/>
              <w:bottom w:val="single" w:sz="4" w:space="0" w:color="000000"/>
              <w:right w:val="nil" w:sz="6" w:space="0" w:color="auto"/>
            </w:tcBorders>
          </w:tcPr>
          <w:p>
            <w:pPr/>
          </w:p>
        </w:tc>
        <w:tc>
          <w:tcPr>
            <w:tcW w:w="194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6" w:type="dxa"/>
            <w:tcBorders>
              <w:top w:val="single" w:sz="4" w:space="0" w:color="000000"/>
              <w:left w:val="nil" w:sz="6" w:space="0" w:color="auto"/>
              <w:bottom w:val="single" w:sz="4" w:space="0" w:color="000000"/>
              <w:right w:val="nil" w:sz="6" w:space="0" w:color="auto"/>
            </w:tcBorders>
          </w:tcPr>
          <w:p>
            <w:pPr/>
          </w:p>
        </w:tc>
        <w:tc>
          <w:tcPr>
            <w:tcW w:w="181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 w:type="dxa"/>
            <w:tcBorders>
              <w:top w:val="single" w:sz="4" w:space="0" w:color="000000"/>
              <w:left w:val="nil" w:sz="6" w:space="0" w:color="auto"/>
              <w:bottom w:val="single" w:sz="4" w:space="0" w:color="000000"/>
              <w:right w:val="nil" w:sz="6" w:space="0" w:color="auto"/>
            </w:tcBorders>
          </w:tcPr>
          <w:p>
            <w:pP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 w:type="dxa"/>
            <w:tcBorders>
              <w:top w:val="single" w:sz="4" w:space="0" w:color="000000"/>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6"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947" w:type="dxa"/>
            <w:tcBorders>
              <w:top w:val="single" w:sz="4" w:space="0" w:color="000000"/>
              <w:left w:val="nil" w:sz="6" w:space="0" w:color="auto"/>
              <w:bottom w:val="nil" w:sz="6" w:space="0" w:color="auto"/>
              <w:right w:val="nil" w:sz="6" w:space="0" w:color="auto"/>
            </w:tcBorders>
          </w:tcPr>
          <w:p>
            <w:pPr>
              <w:pStyle w:val="TableParagraph"/>
              <w:spacing w:line="262" w:lineRule="exact"/>
              <w:ind w:left="129" w:right="0"/>
              <w:jc w:val="left"/>
              <w:rPr>
                <w:rFonts w:ascii="宋体" w:hAnsi="宋体" w:cs="宋体" w:eastAsia="宋体" w:hint="default"/>
                <w:sz w:val="21"/>
                <w:szCs w:val="21"/>
              </w:rPr>
            </w:pPr>
            <w:r>
              <w:rPr>
                <w:rFonts w:ascii="宋体"/>
                <w:sz w:val="21"/>
              </w:rPr>
              <w:t>236,463,799.87</w:t>
            </w:r>
          </w:p>
        </w:tc>
        <w:tc>
          <w:tcPr>
            <w:tcW w:w="226" w:type="dxa"/>
            <w:tcBorders>
              <w:top w:val="single" w:sz="4" w:space="0" w:color="000000"/>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21"/>
                <w:szCs w:val="21"/>
              </w:rPr>
            </w:pPr>
            <w:r>
              <w:rPr>
                <w:rFonts w:ascii="宋体"/>
                <w:sz w:val="21"/>
              </w:rPr>
              <w:t>117,803,060.13</w:t>
            </w:r>
          </w:p>
        </w:tc>
        <w:tc>
          <w:tcPr>
            <w:tcW w:w="130"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r>
              <w:rPr>
                <w:rFonts w:ascii="宋体"/>
                <w:sz w:val="21"/>
              </w:rPr>
              <w:t>175,204,590.68</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5"/>
              <w:jc w:val="right"/>
              <w:rPr>
                <w:rFonts w:ascii="宋体" w:hAnsi="宋体" w:cs="宋体" w:eastAsia="宋体" w:hint="default"/>
                <w:sz w:val="21"/>
                <w:szCs w:val="21"/>
              </w:rPr>
            </w:pPr>
            <w:r>
              <w:rPr>
                <w:rFonts w:ascii="宋体"/>
                <w:spacing w:val="-1"/>
                <w:sz w:val="21"/>
              </w:rPr>
              <w:t>91,451,635.74</w:t>
            </w:r>
          </w:p>
        </w:tc>
      </w:tr>
      <w:tr>
        <w:trPr>
          <w:trHeight w:val="317"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263" w:lineRule="exact"/>
              <w:ind w:left="340" w:right="0"/>
              <w:jc w:val="left"/>
              <w:rPr>
                <w:rFonts w:ascii="宋体" w:hAnsi="宋体" w:cs="宋体" w:eastAsia="宋体" w:hint="default"/>
                <w:sz w:val="21"/>
                <w:szCs w:val="21"/>
              </w:rPr>
            </w:pPr>
            <w:r>
              <w:rPr>
                <w:rFonts w:ascii="宋体"/>
                <w:sz w:val="21"/>
              </w:rPr>
              <w:t>3,350,780.33</w:t>
            </w:r>
          </w:p>
        </w:tc>
        <w:tc>
          <w:tcPr>
            <w:tcW w:w="22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63" w:lineRule="exact"/>
              <w:ind w:left="213" w:right="0"/>
              <w:jc w:val="left"/>
              <w:rPr>
                <w:rFonts w:ascii="宋体" w:hAnsi="宋体" w:cs="宋体" w:eastAsia="宋体" w:hint="default"/>
                <w:sz w:val="21"/>
                <w:szCs w:val="21"/>
              </w:rPr>
            </w:pPr>
            <w:r>
              <w:rPr>
                <w:rFonts w:ascii="宋体"/>
                <w:sz w:val="21"/>
              </w:rPr>
              <w:t>1,766,933.57</w:t>
            </w:r>
          </w:p>
        </w:tc>
        <w:tc>
          <w:tcPr>
            <w:tcW w:w="130" w:type="dxa"/>
            <w:tcBorders>
              <w:top w:val="nil" w:sz="6" w:space="0" w:color="auto"/>
              <w:left w:val="nil" w:sz="6" w:space="0" w:color="auto"/>
              <w:bottom w:val="single" w:sz="4" w:space="0" w:color="000000"/>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11" w:right="0"/>
              <w:jc w:val="left"/>
              <w:rPr>
                <w:rFonts w:ascii="宋体" w:hAnsi="宋体" w:cs="宋体" w:eastAsia="宋体" w:hint="default"/>
                <w:sz w:val="21"/>
                <w:szCs w:val="21"/>
              </w:rPr>
            </w:pPr>
            <w:r>
              <w:rPr>
                <w:rFonts w:ascii="宋体"/>
                <w:sz w:val="21"/>
              </w:rPr>
              <w:t>1,683,987.19</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1"/>
                <w:szCs w:val="21"/>
              </w:rPr>
            </w:pPr>
            <w:r>
              <w:rPr>
                <w:rFonts w:ascii="宋体"/>
                <w:spacing w:val="-1"/>
                <w:sz w:val="21"/>
              </w:rPr>
              <w:t>366,418.80</w:t>
            </w:r>
          </w:p>
        </w:tc>
      </w:tr>
      <w:tr>
        <w:trPr>
          <w:trHeight w:val="331"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7"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129" w:right="0"/>
              <w:jc w:val="left"/>
              <w:rPr>
                <w:rFonts w:ascii="宋体" w:hAnsi="宋体" w:cs="宋体" w:eastAsia="宋体" w:hint="default"/>
                <w:sz w:val="21"/>
                <w:szCs w:val="21"/>
              </w:rPr>
            </w:pPr>
            <w:r>
              <w:rPr>
                <w:rFonts w:ascii="宋体"/>
                <w:sz w:val="21"/>
              </w:rPr>
              <w:t>239,814,580.20</w:t>
            </w:r>
          </w:p>
        </w:tc>
        <w:tc>
          <w:tcPr>
            <w:tcW w:w="226" w:type="dxa"/>
            <w:tcBorders>
              <w:top w:val="single" w:sz="4" w:space="0" w:color="000000"/>
              <w:left w:val="nil" w:sz="6" w:space="0" w:color="auto"/>
              <w:bottom w:val="single" w:sz="12" w:space="0" w:color="000000"/>
              <w:right w:val="nil" w:sz="6" w:space="0" w:color="auto"/>
            </w:tcBorders>
          </w:tcPr>
          <w:p>
            <w:pPr/>
          </w:p>
        </w:tc>
        <w:tc>
          <w:tcPr>
            <w:tcW w:w="1817"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sz w:val="21"/>
              </w:rPr>
              <w:t>119,569,993.70</w:t>
            </w:r>
          </w:p>
        </w:tc>
        <w:tc>
          <w:tcPr>
            <w:tcW w:w="130" w:type="dxa"/>
            <w:tcBorders>
              <w:top w:val="single" w:sz="4" w:space="0" w:color="000000"/>
              <w:left w:val="nil" w:sz="6" w:space="0" w:color="auto"/>
              <w:bottom w:val="single" w:sz="12" w:space="0" w:color="000000"/>
              <w:right w:val="nil" w:sz="6" w:space="0" w:color="auto"/>
            </w:tcBorders>
          </w:tcPr>
          <w:p>
            <w:pPr/>
          </w:p>
        </w:tc>
        <w:tc>
          <w:tcPr>
            <w:tcW w:w="1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r>
              <w:rPr>
                <w:rFonts w:ascii="宋体"/>
                <w:sz w:val="21"/>
              </w:rPr>
              <w:t>176,888,577.87</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105"/>
              <w:jc w:val="right"/>
              <w:rPr>
                <w:rFonts w:ascii="宋体" w:hAnsi="宋体" w:cs="宋体" w:eastAsia="宋体" w:hint="default"/>
                <w:sz w:val="21"/>
                <w:szCs w:val="21"/>
              </w:rPr>
            </w:pPr>
            <w:r>
              <w:rPr>
                <w:rFonts w:ascii="宋体"/>
                <w:spacing w:val="-1"/>
                <w:sz w:val="21"/>
              </w:rPr>
              <w:t>91,818,054.54</w:t>
            </w:r>
          </w:p>
        </w:tc>
      </w:tr>
      <w:tr>
        <w:trPr>
          <w:trHeight w:val="696" w:hRule="exact"/>
        </w:trPr>
        <w:tc>
          <w:tcPr>
            <w:tcW w:w="688" w:type="dxa"/>
            <w:tcBorders>
              <w:top w:val="nil" w:sz="6" w:space="0" w:color="auto"/>
              <w:left w:val="nil" w:sz="6" w:space="0" w:color="auto"/>
              <w:bottom w:val="nil" w:sz="6" w:space="0" w:color="auto"/>
              <w:right w:val="nil" w:sz="6" w:space="0" w:color="auto"/>
            </w:tcBorders>
          </w:tcPr>
          <w:p>
            <w:pPr/>
          </w:p>
        </w:tc>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12.4.3 </w:t>
            </w:r>
            <w:r>
              <w:rPr>
                <w:rFonts w:ascii="宋体" w:hAnsi="宋体" w:cs="宋体" w:eastAsia="宋体" w:hint="default"/>
                <w:sz w:val="21"/>
                <w:szCs w:val="21"/>
              </w:rPr>
              <w:t>主营业务 （分地区）</w:t>
            </w:r>
          </w:p>
        </w:tc>
        <w:tc>
          <w:tcPr>
            <w:tcW w:w="226" w:type="dxa"/>
            <w:tcBorders>
              <w:top w:val="single" w:sz="12" w:space="0" w:color="000000"/>
              <w:left w:val="nil" w:sz="6" w:space="0" w:color="auto"/>
              <w:bottom w:val="nil" w:sz="6" w:space="0" w:color="auto"/>
              <w:right w:val="nil" w:sz="6" w:space="0" w:color="auto"/>
            </w:tcBorders>
          </w:tcPr>
          <w:p>
            <w:pPr/>
          </w:p>
        </w:tc>
        <w:tc>
          <w:tcPr>
            <w:tcW w:w="1817" w:type="dxa"/>
            <w:tcBorders>
              <w:top w:val="single" w:sz="12" w:space="0" w:color="000000"/>
              <w:left w:val="nil" w:sz="6" w:space="0" w:color="auto"/>
              <w:bottom w:val="nil" w:sz="6" w:space="0" w:color="auto"/>
              <w:right w:val="nil" w:sz="6" w:space="0" w:color="auto"/>
            </w:tcBorders>
          </w:tcPr>
          <w:p>
            <w:pPr/>
          </w:p>
        </w:tc>
        <w:tc>
          <w:tcPr>
            <w:tcW w:w="130" w:type="dxa"/>
            <w:tcBorders>
              <w:top w:val="single" w:sz="12" w:space="0" w:color="000000"/>
              <w:left w:val="nil" w:sz="6" w:space="0" w:color="auto"/>
              <w:bottom w:val="nil" w:sz="6" w:space="0" w:color="auto"/>
              <w:right w:val="nil" w:sz="6" w:space="0" w:color="auto"/>
            </w:tcBorders>
          </w:tcPr>
          <w:p>
            <w:pPr/>
          </w:p>
        </w:tc>
        <w:tc>
          <w:tcPr>
            <w:tcW w:w="1646" w:type="dxa"/>
            <w:tcBorders>
              <w:top w:val="single" w:sz="12" w:space="0" w:color="000000"/>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688" w:type="dxa"/>
            <w:tcBorders>
              <w:top w:val="nil" w:sz="6" w:space="0" w:color="auto"/>
              <w:left w:val="nil" w:sz="6" w:space="0" w:color="auto"/>
              <w:bottom w:val="nil" w:sz="6" w:space="0" w:color="auto"/>
              <w:right w:val="nil" w:sz="6" w:space="0" w:color="auto"/>
            </w:tcBorders>
          </w:tcPr>
          <w:p>
            <w:pPr/>
          </w:p>
        </w:tc>
        <w:tc>
          <w:tcPr>
            <w:tcW w:w="1666" w:type="dxa"/>
            <w:vMerge w:val="restart"/>
            <w:tcBorders>
              <w:top w:val="nil" w:sz="6" w:space="0" w:color="auto"/>
              <w:left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9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28"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15"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3"/>
              <w:ind w:left="156"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281" w:hRule="exact"/>
        </w:trPr>
        <w:tc>
          <w:tcPr>
            <w:tcW w:w="688" w:type="dxa"/>
            <w:tcBorders>
              <w:top w:val="nil" w:sz="6" w:space="0" w:color="auto"/>
              <w:left w:val="nil" w:sz="6" w:space="0" w:color="auto"/>
              <w:bottom w:val="nil" w:sz="6" w:space="0" w:color="auto"/>
              <w:right w:val="nil" w:sz="6" w:space="0" w:color="auto"/>
            </w:tcBorders>
          </w:tcPr>
          <w:p>
            <w:pPr/>
          </w:p>
        </w:tc>
        <w:tc>
          <w:tcPr>
            <w:tcW w:w="1666" w:type="dxa"/>
            <w:vMerge/>
            <w:tcBorders>
              <w:left w:val="nil" w:sz="6" w:space="0" w:color="auto"/>
              <w:bottom w:val="single" w:sz="4" w:space="0" w:color="000000"/>
              <w:right w:val="nil" w:sz="6" w:space="0" w:color="auto"/>
            </w:tcBorders>
          </w:tcPr>
          <w:p>
            <w:pPr/>
          </w:p>
        </w:tc>
        <w:tc>
          <w:tcPr>
            <w:tcW w:w="194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6" w:type="dxa"/>
            <w:tcBorders>
              <w:top w:val="single" w:sz="4" w:space="0" w:color="000000"/>
              <w:left w:val="nil" w:sz="6" w:space="0" w:color="auto"/>
              <w:bottom w:val="single" w:sz="4" w:space="0" w:color="000000"/>
              <w:right w:val="nil" w:sz="6" w:space="0" w:color="auto"/>
            </w:tcBorders>
          </w:tcPr>
          <w:p>
            <w:pPr/>
          </w:p>
        </w:tc>
        <w:tc>
          <w:tcPr>
            <w:tcW w:w="181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 w:type="dxa"/>
            <w:tcBorders>
              <w:top w:val="single" w:sz="4" w:space="0" w:color="000000"/>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78"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日本国</w:t>
            </w:r>
          </w:p>
        </w:tc>
        <w:tc>
          <w:tcPr>
            <w:tcW w:w="1947" w:type="dxa"/>
            <w:tcBorders>
              <w:top w:val="single" w:sz="4" w:space="0" w:color="000000"/>
              <w:left w:val="nil" w:sz="6" w:space="0" w:color="auto"/>
              <w:bottom w:val="nil" w:sz="6" w:space="0" w:color="auto"/>
              <w:right w:val="nil" w:sz="6" w:space="0" w:color="auto"/>
            </w:tcBorders>
          </w:tcPr>
          <w:p>
            <w:pPr/>
          </w:p>
        </w:tc>
        <w:tc>
          <w:tcPr>
            <w:tcW w:w="226" w:type="dxa"/>
            <w:tcBorders>
              <w:top w:val="single" w:sz="4" w:space="0" w:color="000000"/>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nil" w:sz="6" w:space="0" w:color="auto"/>
              <w:right w:val="nil" w:sz="6" w:space="0" w:color="auto"/>
            </w:tcBorders>
          </w:tcPr>
          <w:p>
            <w:pPr/>
          </w:p>
        </w:tc>
      </w:tr>
      <w:tr>
        <w:trPr>
          <w:trHeight w:val="302"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其中：软件销售</w:t>
            </w:r>
          </w:p>
        </w:tc>
        <w:tc>
          <w:tcPr>
            <w:tcW w:w="1947" w:type="dxa"/>
            <w:tcBorders>
              <w:top w:val="nil" w:sz="6" w:space="0" w:color="auto"/>
              <w:left w:val="nil" w:sz="6" w:space="0" w:color="auto"/>
              <w:bottom w:val="nil" w:sz="6" w:space="0" w:color="auto"/>
              <w:right w:val="nil" w:sz="6" w:space="0" w:color="auto"/>
            </w:tcBorders>
          </w:tcPr>
          <w:p>
            <w:pPr>
              <w:pStyle w:val="TableParagraph"/>
              <w:spacing w:line="263" w:lineRule="exact"/>
              <w:ind w:right="32"/>
              <w:jc w:val="right"/>
              <w:rPr>
                <w:rFonts w:ascii="宋体" w:hAnsi="宋体" w:cs="宋体" w:eastAsia="宋体" w:hint="default"/>
                <w:sz w:val="21"/>
                <w:szCs w:val="21"/>
              </w:rPr>
            </w:pPr>
            <w:r>
              <w:rPr>
                <w:rFonts w:ascii="宋体"/>
                <w:spacing w:val="-1"/>
                <w:sz w:val="21"/>
              </w:rPr>
              <w:t>220,530,505.85</w:t>
            </w: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63" w:lineRule="exact"/>
              <w:ind w:left="237" w:right="0"/>
              <w:jc w:val="left"/>
              <w:rPr>
                <w:rFonts w:ascii="宋体" w:hAnsi="宋体" w:cs="宋体" w:eastAsia="宋体" w:hint="default"/>
                <w:sz w:val="21"/>
                <w:szCs w:val="21"/>
              </w:rPr>
            </w:pPr>
            <w:r>
              <w:rPr>
                <w:rFonts w:ascii="宋体"/>
                <w:sz w:val="21"/>
              </w:rPr>
              <w:t>109,660,684.94</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161,447,039.90</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83,318,037.79</w:t>
            </w:r>
          </w:p>
        </w:tc>
      </w:tr>
      <w:tr>
        <w:trPr>
          <w:trHeight w:val="281"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美国</w:t>
            </w:r>
          </w:p>
        </w:tc>
        <w:tc>
          <w:tcPr>
            <w:tcW w:w="194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303"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其中：软件销售</w:t>
            </w:r>
          </w:p>
        </w:tc>
        <w:tc>
          <w:tcPr>
            <w:tcW w:w="1947" w:type="dxa"/>
            <w:tcBorders>
              <w:top w:val="nil" w:sz="6" w:space="0" w:color="auto"/>
              <w:left w:val="nil" w:sz="6" w:space="0" w:color="auto"/>
              <w:bottom w:val="nil" w:sz="6" w:space="0" w:color="auto"/>
              <w:right w:val="nil" w:sz="6" w:space="0" w:color="auto"/>
            </w:tcBorders>
          </w:tcPr>
          <w:p>
            <w:pPr>
              <w:pStyle w:val="TableParagraph"/>
              <w:spacing w:line="263" w:lineRule="exact"/>
              <w:ind w:right="32"/>
              <w:jc w:val="right"/>
              <w:rPr>
                <w:rFonts w:ascii="宋体" w:hAnsi="宋体" w:cs="宋体" w:eastAsia="宋体" w:hint="default"/>
                <w:sz w:val="21"/>
                <w:szCs w:val="21"/>
              </w:rPr>
            </w:pPr>
            <w:r>
              <w:rPr>
                <w:rFonts w:ascii="宋体"/>
                <w:spacing w:val="-1"/>
                <w:sz w:val="21"/>
              </w:rPr>
              <w:t>12,680,282.12</w:t>
            </w: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63" w:lineRule="exact"/>
              <w:ind w:left="448" w:right="0"/>
              <w:jc w:val="left"/>
              <w:rPr>
                <w:rFonts w:ascii="宋体" w:hAnsi="宋体" w:cs="宋体" w:eastAsia="宋体" w:hint="default"/>
                <w:sz w:val="21"/>
                <w:szCs w:val="21"/>
              </w:rPr>
            </w:pPr>
            <w:r>
              <w:rPr>
                <w:rFonts w:ascii="宋体"/>
                <w:sz w:val="21"/>
              </w:rPr>
              <w:t>6,321,001.93</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12,103,073.78</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7,284,171.92</w:t>
            </w:r>
          </w:p>
        </w:tc>
      </w:tr>
      <w:tr>
        <w:trPr>
          <w:trHeight w:val="282"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中国</w:t>
            </w:r>
          </w:p>
        </w:tc>
        <w:tc>
          <w:tcPr>
            <w:tcW w:w="194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304"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其中：软件销售</w:t>
            </w:r>
          </w:p>
        </w:tc>
        <w:tc>
          <w:tcPr>
            <w:tcW w:w="1947" w:type="dxa"/>
            <w:tcBorders>
              <w:top w:val="nil" w:sz="6" w:space="0" w:color="auto"/>
              <w:left w:val="nil" w:sz="6" w:space="0" w:color="auto"/>
              <w:bottom w:val="nil" w:sz="6" w:space="0" w:color="auto"/>
              <w:right w:val="nil" w:sz="6" w:space="0" w:color="auto"/>
            </w:tcBorders>
          </w:tcPr>
          <w:p>
            <w:pPr>
              <w:pStyle w:val="TableParagraph"/>
              <w:spacing w:line="264" w:lineRule="exact"/>
              <w:ind w:right="32"/>
              <w:jc w:val="right"/>
              <w:rPr>
                <w:rFonts w:ascii="宋体" w:hAnsi="宋体" w:cs="宋体" w:eastAsia="宋体" w:hint="default"/>
                <w:sz w:val="21"/>
                <w:szCs w:val="21"/>
              </w:rPr>
            </w:pPr>
            <w:r>
              <w:rPr>
                <w:rFonts w:ascii="宋体"/>
                <w:spacing w:val="-1"/>
                <w:sz w:val="21"/>
              </w:rPr>
              <w:t>3,253,011.90</w:t>
            </w: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64" w:lineRule="exact"/>
              <w:ind w:left="448" w:right="0"/>
              <w:jc w:val="left"/>
              <w:rPr>
                <w:rFonts w:ascii="宋体" w:hAnsi="宋体" w:cs="宋体" w:eastAsia="宋体" w:hint="default"/>
                <w:sz w:val="21"/>
                <w:szCs w:val="21"/>
              </w:rPr>
            </w:pPr>
            <w:r>
              <w:rPr>
                <w:rFonts w:ascii="宋体"/>
                <w:sz w:val="21"/>
              </w:rPr>
              <w:t>1,821,373.26</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2" w:lineRule="exact"/>
              <w:ind w:right="1"/>
              <w:jc w:val="right"/>
              <w:rPr>
                <w:rFonts w:ascii="宋体" w:hAnsi="宋体" w:cs="宋体" w:eastAsia="宋体" w:hint="default"/>
                <w:sz w:val="21"/>
                <w:szCs w:val="21"/>
              </w:rPr>
            </w:pPr>
            <w:r>
              <w:rPr>
                <w:rFonts w:ascii="宋体"/>
                <w:spacing w:val="-1"/>
                <w:sz w:val="21"/>
              </w:rPr>
              <w:t>1,654,477.00</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849,426.03</w:t>
            </w:r>
          </w:p>
        </w:tc>
      </w:tr>
      <w:tr>
        <w:trPr>
          <w:trHeight w:val="327"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51" w:lineRule="exact"/>
              <w:ind w:right="81"/>
              <w:jc w:val="right"/>
              <w:rPr>
                <w:rFonts w:ascii="宋体" w:hAnsi="宋体" w:cs="宋体" w:eastAsia="宋体" w:hint="default"/>
                <w:sz w:val="21"/>
                <w:szCs w:val="21"/>
              </w:rPr>
            </w:pPr>
            <w:r>
              <w:rPr>
                <w:rFonts w:ascii="宋体" w:hAnsi="宋体" w:cs="宋体" w:eastAsia="宋体" w:hint="default"/>
                <w:spacing w:val="-1"/>
                <w:sz w:val="21"/>
                <w:szCs w:val="21"/>
              </w:rPr>
              <w:t>硬件销售</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272" w:lineRule="exact"/>
              <w:ind w:right="32"/>
              <w:jc w:val="right"/>
              <w:rPr>
                <w:rFonts w:ascii="宋体" w:hAnsi="宋体" w:cs="宋体" w:eastAsia="宋体" w:hint="default"/>
                <w:sz w:val="21"/>
                <w:szCs w:val="21"/>
              </w:rPr>
            </w:pPr>
            <w:r>
              <w:rPr>
                <w:rFonts w:ascii="宋体"/>
                <w:spacing w:val="-1"/>
                <w:sz w:val="21"/>
              </w:rPr>
              <w:t>3,350,780.33</w:t>
            </w:r>
          </w:p>
        </w:tc>
        <w:tc>
          <w:tcPr>
            <w:tcW w:w="22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72" w:lineRule="exact"/>
              <w:ind w:left="448" w:right="0"/>
              <w:jc w:val="left"/>
              <w:rPr>
                <w:rFonts w:ascii="宋体" w:hAnsi="宋体" w:cs="宋体" w:eastAsia="宋体" w:hint="default"/>
                <w:sz w:val="21"/>
                <w:szCs w:val="21"/>
              </w:rPr>
            </w:pPr>
            <w:r>
              <w:rPr>
                <w:rFonts w:ascii="宋体"/>
                <w:sz w:val="21"/>
              </w:rPr>
              <w:t>1,766,933.57</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51" w:lineRule="exact"/>
              <w:ind w:right="1"/>
              <w:jc w:val="right"/>
              <w:rPr>
                <w:rFonts w:ascii="宋体" w:hAnsi="宋体" w:cs="宋体" w:eastAsia="宋体" w:hint="default"/>
                <w:sz w:val="21"/>
                <w:szCs w:val="21"/>
              </w:rPr>
            </w:pPr>
            <w:r>
              <w:rPr>
                <w:rFonts w:ascii="宋体"/>
                <w:spacing w:val="-1"/>
                <w:sz w:val="21"/>
              </w:rPr>
              <w:t>1,683,987.19</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4" w:space="0" w:color="000000"/>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宋体"/>
                <w:spacing w:val="-1"/>
                <w:sz w:val="21"/>
              </w:rPr>
              <w:t>366,418.80</w:t>
            </w:r>
          </w:p>
        </w:tc>
      </w:tr>
      <w:tr>
        <w:trPr>
          <w:trHeight w:val="331"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7" w:type="dxa"/>
            <w:tcBorders>
              <w:top w:val="single" w:sz="4" w:space="0" w:color="000000"/>
              <w:left w:val="nil" w:sz="6" w:space="0" w:color="auto"/>
              <w:bottom w:val="single" w:sz="12" w:space="0" w:color="000000"/>
              <w:right w:val="nil" w:sz="6" w:space="0" w:color="auto"/>
            </w:tcBorders>
          </w:tcPr>
          <w:p>
            <w:pPr>
              <w:pStyle w:val="TableParagraph"/>
              <w:spacing w:line="262" w:lineRule="exact"/>
              <w:ind w:right="32"/>
              <w:jc w:val="right"/>
              <w:rPr>
                <w:rFonts w:ascii="宋体" w:hAnsi="宋体" w:cs="宋体" w:eastAsia="宋体" w:hint="default"/>
                <w:sz w:val="21"/>
                <w:szCs w:val="21"/>
              </w:rPr>
            </w:pPr>
            <w:r>
              <w:rPr>
                <w:rFonts w:ascii="宋体"/>
                <w:spacing w:val="-1"/>
                <w:sz w:val="21"/>
              </w:rPr>
              <w:t>239,814,580.20</w:t>
            </w:r>
          </w:p>
        </w:tc>
        <w:tc>
          <w:tcPr>
            <w:tcW w:w="226" w:type="dxa"/>
            <w:tcBorders>
              <w:top w:val="single" w:sz="4" w:space="0" w:color="000000"/>
              <w:left w:val="nil" w:sz="6" w:space="0" w:color="auto"/>
              <w:bottom w:val="single" w:sz="12" w:space="0" w:color="000000"/>
              <w:right w:val="nil" w:sz="6" w:space="0" w:color="auto"/>
            </w:tcBorders>
          </w:tcPr>
          <w:p>
            <w:pPr/>
          </w:p>
        </w:tc>
        <w:tc>
          <w:tcPr>
            <w:tcW w:w="1817"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237" w:right="0"/>
              <w:jc w:val="left"/>
              <w:rPr>
                <w:rFonts w:ascii="宋体" w:hAnsi="宋体" w:cs="宋体" w:eastAsia="宋体" w:hint="default"/>
                <w:sz w:val="21"/>
                <w:szCs w:val="21"/>
              </w:rPr>
            </w:pPr>
            <w:r>
              <w:rPr>
                <w:rFonts w:ascii="宋体"/>
                <w:sz w:val="21"/>
              </w:rPr>
              <w:t>119,569,993.70</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176,888,577.87</w:t>
            </w: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91,818,054.54</w:t>
            </w:r>
          </w:p>
        </w:tc>
      </w:tr>
      <w:tr>
        <w:trPr>
          <w:trHeight w:val="560" w:hRule="exact"/>
        </w:trPr>
        <w:tc>
          <w:tcPr>
            <w:tcW w:w="688" w:type="dxa"/>
            <w:tcBorders>
              <w:top w:val="nil" w:sz="6" w:space="0" w:color="auto"/>
              <w:left w:val="nil" w:sz="6" w:space="0" w:color="auto"/>
              <w:bottom w:val="nil" w:sz="6" w:space="0" w:color="auto"/>
              <w:right w:val="nil" w:sz="6" w:space="0" w:color="auto"/>
            </w:tcBorders>
          </w:tcPr>
          <w:p>
            <w:pPr/>
          </w:p>
        </w:tc>
        <w:tc>
          <w:tcPr>
            <w:tcW w:w="565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12.4.4</w:t>
            </w:r>
            <w:r>
              <w:rPr>
                <w:rFonts w:ascii="宋体" w:hAnsi="宋体" w:cs="宋体" w:eastAsia="宋体" w:hint="default"/>
                <w:spacing w:val="-3"/>
                <w:sz w:val="21"/>
                <w:szCs w:val="21"/>
              </w:rPr>
              <w:t> </w:t>
            </w:r>
            <w:r>
              <w:rPr>
                <w:rFonts w:ascii="宋体" w:hAnsi="宋体" w:cs="宋体" w:eastAsia="宋体" w:hint="default"/>
                <w:sz w:val="21"/>
                <w:szCs w:val="21"/>
              </w:rPr>
              <w:t>公司前五名客户的营业收入情况</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single" w:sz="12" w:space="0" w:color="000000"/>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single" w:sz="12" w:space="0" w:color="000000"/>
              <w:left w:val="nil" w:sz="6" w:space="0" w:color="auto"/>
              <w:bottom w:val="nil" w:sz="6" w:space="0" w:color="auto"/>
              <w:right w:val="nil" w:sz="6" w:space="0" w:color="auto"/>
            </w:tcBorders>
          </w:tcPr>
          <w:p>
            <w:pPr/>
          </w:p>
        </w:tc>
      </w:tr>
      <w:tr>
        <w:trPr>
          <w:trHeight w:val="277" w:hRule="exact"/>
        </w:trPr>
        <w:tc>
          <w:tcPr>
            <w:tcW w:w="688" w:type="dxa"/>
            <w:tcBorders>
              <w:top w:val="nil" w:sz="6" w:space="0" w:color="auto"/>
              <w:left w:val="nil" w:sz="6" w:space="0" w:color="auto"/>
              <w:bottom w:val="nil" w:sz="6" w:space="0" w:color="auto"/>
              <w:right w:val="nil" w:sz="6" w:space="0" w:color="auto"/>
            </w:tcBorders>
          </w:tcPr>
          <w:p>
            <w:pPr/>
          </w:p>
        </w:tc>
        <w:tc>
          <w:tcPr>
            <w:tcW w:w="3613"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1053"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2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615"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511"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327"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10" w:right="0"/>
              <w:jc w:val="left"/>
              <w:rPr>
                <w:rFonts w:ascii="宋体" w:hAnsi="宋体" w:cs="宋体" w:eastAsia="宋体" w:hint="default"/>
                <w:sz w:val="21"/>
                <w:szCs w:val="21"/>
              </w:rPr>
            </w:pPr>
            <w:r>
              <w:rPr>
                <w:rFonts w:ascii="宋体" w:hAnsi="宋体" w:cs="宋体" w:eastAsia="宋体" w:hint="default"/>
                <w:sz w:val="21"/>
                <w:szCs w:val="21"/>
              </w:rPr>
              <w:t>第一名客户</w:t>
            </w:r>
          </w:p>
        </w:tc>
        <w:tc>
          <w:tcPr>
            <w:tcW w:w="1947" w:type="dxa"/>
            <w:tcBorders>
              <w:top w:val="single" w:sz="4" w:space="0" w:color="000000"/>
              <w:left w:val="nil" w:sz="6" w:space="0" w:color="auto"/>
              <w:bottom w:val="nil" w:sz="6" w:space="0" w:color="auto"/>
              <w:right w:val="nil" w:sz="6" w:space="0" w:color="auto"/>
            </w:tcBorders>
          </w:tcPr>
          <w:p>
            <w:pPr/>
          </w:p>
        </w:tc>
        <w:tc>
          <w:tcPr>
            <w:tcW w:w="226" w:type="dxa"/>
            <w:tcBorders>
              <w:top w:val="single" w:sz="4" w:space="0" w:color="000000"/>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nil" w:sz="6" w:space="0" w:color="auto"/>
              <w:right w:val="nil" w:sz="6" w:space="0" w:color="auto"/>
            </w:tcBorders>
          </w:tcPr>
          <w:p>
            <w:pPr>
              <w:pStyle w:val="TableParagraph"/>
              <w:spacing w:line="262" w:lineRule="exact"/>
              <w:ind w:right="53"/>
              <w:jc w:val="right"/>
              <w:rPr>
                <w:rFonts w:ascii="宋体" w:hAnsi="宋体" w:cs="宋体" w:eastAsia="宋体" w:hint="default"/>
                <w:sz w:val="21"/>
                <w:szCs w:val="21"/>
              </w:rPr>
            </w:pPr>
            <w:r>
              <w:rPr>
                <w:rFonts w:ascii="宋体"/>
                <w:spacing w:val="-1"/>
                <w:sz w:val="21"/>
              </w:rPr>
              <w:t>166,961,035.47</w:t>
            </w:r>
          </w:p>
        </w:tc>
        <w:tc>
          <w:tcPr>
            <w:tcW w:w="130" w:type="dxa"/>
            <w:tcBorders>
              <w:top w:val="single" w:sz="4" w:space="0" w:color="000000"/>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
        </w:tc>
        <w:tc>
          <w:tcPr>
            <w:tcW w:w="172" w:type="dxa"/>
            <w:tcBorders>
              <w:top w:val="single" w:sz="4" w:space="0" w:color="000000"/>
              <w:left w:val="nil" w:sz="6" w:space="0" w:color="auto"/>
              <w:bottom w:val="nil" w:sz="6" w:space="0" w:color="auto"/>
              <w:right w:val="nil" w:sz="6" w:space="0" w:color="auto"/>
            </w:tcBorders>
          </w:tcPr>
          <w:p>
            <w:pP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107"/>
              <w:jc w:val="right"/>
              <w:rPr>
                <w:rFonts w:ascii="宋体" w:hAnsi="宋体" w:cs="宋体" w:eastAsia="宋体" w:hint="default"/>
                <w:sz w:val="21"/>
                <w:szCs w:val="21"/>
              </w:rPr>
            </w:pPr>
            <w:r>
              <w:rPr>
                <w:rFonts w:ascii="宋体"/>
                <w:sz w:val="21"/>
              </w:rPr>
              <w:t>69.49</w:t>
            </w:r>
          </w:p>
        </w:tc>
      </w:tr>
      <w:tr>
        <w:trPr>
          <w:trHeight w:val="312"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第二名客户</w:t>
            </w:r>
          </w:p>
        </w:tc>
        <w:tc>
          <w:tcPr>
            <w:tcW w:w="194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52" w:lineRule="exact"/>
              <w:ind w:right="53"/>
              <w:jc w:val="right"/>
              <w:rPr>
                <w:rFonts w:ascii="宋体" w:hAnsi="宋体" w:cs="宋体" w:eastAsia="宋体" w:hint="default"/>
                <w:sz w:val="21"/>
                <w:szCs w:val="21"/>
              </w:rPr>
            </w:pPr>
            <w:r>
              <w:rPr>
                <w:rFonts w:ascii="宋体"/>
                <w:spacing w:val="-1"/>
                <w:sz w:val="21"/>
              </w:rPr>
              <w:t>19,643,761.84</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71" w:lineRule="exact"/>
              <w:ind w:right="107"/>
              <w:jc w:val="right"/>
              <w:rPr>
                <w:rFonts w:ascii="宋体" w:hAnsi="宋体" w:cs="宋体" w:eastAsia="宋体" w:hint="default"/>
                <w:sz w:val="21"/>
                <w:szCs w:val="21"/>
              </w:rPr>
            </w:pPr>
            <w:r>
              <w:rPr>
                <w:rFonts w:ascii="宋体"/>
                <w:sz w:val="21"/>
              </w:rPr>
              <w:t>8.18</w:t>
            </w:r>
          </w:p>
        </w:tc>
      </w:tr>
      <w:tr>
        <w:trPr>
          <w:trHeight w:val="312"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第三名客户</w:t>
            </w:r>
          </w:p>
        </w:tc>
        <w:tc>
          <w:tcPr>
            <w:tcW w:w="194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52" w:lineRule="exact"/>
              <w:ind w:right="53"/>
              <w:jc w:val="right"/>
              <w:rPr>
                <w:rFonts w:ascii="宋体" w:hAnsi="宋体" w:cs="宋体" w:eastAsia="宋体" w:hint="default"/>
                <w:sz w:val="21"/>
                <w:szCs w:val="21"/>
              </w:rPr>
            </w:pPr>
            <w:r>
              <w:rPr>
                <w:rFonts w:ascii="宋体"/>
                <w:spacing w:val="-1"/>
                <w:sz w:val="21"/>
              </w:rPr>
              <w:t>13,946,227.25</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71" w:lineRule="exact"/>
              <w:ind w:right="107"/>
              <w:jc w:val="right"/>
              <w:rPr>
                <w:rFonts w:ascii="宋体" w:hAnsi="宋体" w:cs="宋体" w:eastAsia="宋体" w:hint="default"/>
                <w:sz w:val="21"/>
                <w:szCs w:val="21"/>
              </w:rPr>
            </w:pPr>
            <w:r>
              <w:rPr>
                <w:rFonts w:ascii="宋体"/>
                <w:sz w:val="21"/>
              </w:rPr>
              <w:t>5.80</w:t>
            </w:r>
          </w:p>
        </w:tc>
      </w:tr>
      <w:tr>
        <w:trPr>
          <w:trHeight w:val="312"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52" w:lineRule="exact"/>
              <w:ind w:left="110" w:right="0"/>
              <w:jc w:val="left"/>
              <w:rPr>
                <w:rFonts w:ascii="宋体" w:hAnsi="宋体" w:cs="宋体" w:eastAsia="宋体" w:hint="default"/>
                <w:sz w:val="21"/>
                <w:szCs w:val="21"/>
              </w:rPr>
            </w:pPr>
            <w:r>
              <w:rPr>
                <w:rFonts w:ascii="宋体" w:hAnsi="宋体" w:cs="宋体" w:eastAsia="宋体" w:hint="default"/>
                <w:sz w:val="21"/>
                <w:szCs w:val="21"/>
              </w:rPr>
              <w:t>第四名客户</w:t>
            </w:r>
          </w:p>
        </w:tc>
        <w:tc>
          <w:tcPr>
            <w:tcW w:w="1947"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52" w:lineRule="exact"/>
              <w:ind w:right="53"/>
              <w:jc w:val="right"/>
              <w:rPr>
                <w:rFonts w:ascii="宋体" w:hAnsi="宋体" w:cs="宋体" w:eastAsia="宋体" w:hint="default"/>
                <w:sz w:val="21"/>
                <w:szCs w:val="21"/>
              </w:rPr>
            </w:pPr>
            <w:r>
              <w:rPr>
                <w:rFonts w:ascii="宋体"/>
                <w:spacing w:val="-1"/>
                <w:sz w:val="21"/>
              </w:rPr>
              <w:t>12,680,282.12</w:t>
            </w:r>
          </w:p>
        </w:tc>
        <w:tc>
          <w:tcPr>
            <w:tcW w:w="13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7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71" w:lineRule="exact"/>
              <w:ind w:right="107"/>
              <w:jc w:val="right"/>
              <w:rPr>
                <w:rFonts w:ascii="宋体" w:hAnsi="宋体" w:cs="宋体" w:eastAsia="宋体" w:hint="default"/>
                <w:sz w:val="21"/>
                <w:szCs w:val="21"/>
              </w:rPr>
            </w:pPr>
            <w:r>
              <w:rPr>
                <w:rFonts w:ascii="宋体"/>
                <w:sz w:val="21"/>
              </w:rPr>
              <w:t>5.28</w:t>
            </w:r>
          </w:p>
        </w:tc>
      </w:tr>
      <w:tr>
        <w:trPr>
          <w:trHeight w:val="306"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第五名客户</w:t>
            </w:r>
          </w:p>
        </w:tc>
        <w:tc>
          <w:tcPr>
            <w:tcW w:w="1947"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52" w:lineRule="exact"/>
              <w:ind w:right="53"/>
              <w:jc w:val="right"/>
              <w:rPr>
                <w:rFonts w:ascii="宋体" w:hAnsi="宋体" w:cs="宋体" w:eastAsia="宋体" w:hint="default"/>
                <w:sz w:val="21"/>
                <w:szCs w:val="21"/>
              </w:rPr>
            </w:pPr>
            <w:r>
              <w:rPr>
                <w:rFonts w:ascii="宋体"/>
                <w:spacing w:val="-1"/>
                <w:sz w:val="21"/>
              </w:rPr>
              <w:t>6,483,968.14</w:t>
            </w:r>
          </w:p>
        </w:tc>
        <w:tc>
          <w:tcPr>
            <w:tcW w:w="130" w:type="dxa"/>
            <w:tcBorders>
              <w:top w:val="nil" w:sz="6" w:space="0" w:color="auto"/>
              <w:left w:val="nil" w:sz="6" w:space="0" w:color="auto"/>
              <w:bottom w:val="single" w:sz="4" w:space="0" w:color="000000"/>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
        </w:tc>
        <w:tc>
          <w:tcPr>
            <w:tcW w:w="172" w:type="dxa"/>
            <w:tcBorders>
              <w:top w:val="nil" w:sz="6" w:space="0" w:color="auto"/>
              <w:left w:val="nil" w:sz="6" w:space="0" w:color="auto"/>
              <w:bottom w:val="single" w:sz="4" w:space="0" w:color="000000"/>
              <w:right w:val="nil" w:sz="6" w:space="0" w:color="auto"/>
            </w:tcBorders>
          </w:tcPr>
          <w:p>
            <w:pPr/>
          </w:p>
        </w:tc>
        <w:tc>
          <w:tcPr>
            <w:tcW w:w="1668" w:type="dxa"/>
            <w:tcBorders>
              <w:top w:val="nil" w:sz="6" w:space="0" w:color="auto"/>
              <w:left w:val="nil" w:sz="6" w:space="0" w:color="auto"/>
              <w:bottom w:val="single" w:sz="4" w:space="0" w:color="000000"/>
              <w:right w:val="nil" w:sz="6" w:space="0" w:color="auto"/>
            </w:tcBorders>
          </w:tcPr>
          <w:p>
            <w:pPr>
              <w:pStyle w:val="TableParagraph"/>
              <w:spacing w:line="271" w:lineRule="exact"/>
              <w:ind w:right="107"/>
              <w:jc w:val="right"/>
              <w:rPr>
                <w:rFonts w:ascii="宋体" w:hAnsi="宋体" w:cs="宋体" w:eastAsia="宋体" w:hint="default"/>
                <w:sz w:val="21"/>
                <w:szCs w:val="21"/>
              </w:rPr>
            </w:pPr>
            <w:r>
              <w:rPr>
                <w:rFonts w:ascii="宋体"/>
                <w:sz w:val="21"/>
              </w:rPr>
              <w:t>2.70</w:t>
            </w:r>
          </w:p>
        </w:tc>
      </w:tr>
      <w:tr>
        <w:trPr>
          <w:trHeight w:val="293" w:hRule="exact"/>
        </w:trPr>
        <w:tc>
          <w:tcPr>
            <w:tcW w:w="688"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7" w:type="dxa"/>
            <w:tcBorders>
              <w:top w:val="single" w:sz="4" w:space="0" w:color="000000"/>
              <w:left w:val="nil" w:sz="6" w:space="0" w:color="auto"/>
              <w:bottom w:val="single" w:sz="12" w:space="0" w:color="000000"/>
              <w:right w:val="nil" w:sz="6" w:space="0" w:color="auto"/>
            </w:tcBorders>
          </w:tcPr>
          <w:p>
            <w:pPr/>
          </w:p>
        </w:tc>
        <w:tc>
          <w:tcPr>
            <w:tcW w:w="226" w:type="dxa"/>
            <w:tcBorders>
              <w:top w:val="single" w:sz="4" w:space="0" w:color="000000"/>
              <w:left w:val="nil" w:sz="6" w:space="0" w:color="auto"/>
              <w:bottom w:val="single" w:sz="12" w:space="0" w:color="000000"/>
              <w:right w:val="nil" w:sz="6" w:space="0" w:color="auto"/>
            </w:tcBorders>
          </w:tcPr>
          <w:p>
            <w:pPr/>
          </w:p>
        </w:tc>
        <w:tc>
          <w:tcPr>
            <w:tcW w:w="181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219,715,274.82</w:t>
            </w:r>
          </w:p>
        </w:tc>
        <w:tc>
          <w:tcPr>
            <w:tcW w:w="130" w:type="dxa"/>
            <w:tcBorders>
              <w:top w:val="single" w:sz="4" w:space="0" w:color="000000"/>
              <w:left w:val="nil" w:sz="6" w:space="0" w:color="auto"/>
              <w:bottom w:val="single" w:sz="12" w:space="0" w:color="000000"/>
              <w:right w:val="nil" w:sz="6" w:space="0" w:color="auto"/>
            </w:tcBorders>
          </w:tcPr>
          <w:p>
            <w:pPr/>
          </w:p>
        </w:tc>
        <w:tc>
          <w:tcPr>
            <w:tcW w:w="1646" w:type="dxa"/>
            <w:tcBorders>
              <w:top w:val="single" w:sz="4" w:space="0" w:color="000000"/>
              <w:left w:val="nil" w:sz="6" w:space="0" w:color="auto"/>
              <w:bottom w:val="single" w:sz="12" w:space="0" w:color="000000"/>
              <w:right w:val="nil" w:sz="6" w:space="0" w:color="auto"/>
            </w:tcBorders>
          </w:tcPr>
          <w:p>
            <w:pPr/>
          </w:p>
        </w:tc>
        <w:tc>
          <w:tcPr>
            <w:tcW w:w="172" w:type="dxa"/>
            <w:tcBorders>
              <w:top w:val="single" w:sz="4" w:space="0" w:color="000000"/>
              <w:left w:val="nil" w:sz="6" w:space="0" w:color="auto"/>
              <w:bottom w:val="single" w:sz="12" w:space="0" w:color="000000"/>
              <w:right w:val="nil" w:sz="6" w:space="0" w:color="auto"/>
            </w:tcBorders>
          </w:tcPr>
          <w:p>
            <w:pP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91.45</w:t>
            </w:r>
          </w:p>
        </w:tc>
      </w:tr>
      <w:tr>
        <w:trPr>
          <w:trHeight w:val="800" w:hRule="exact"/>
        </w:trPr>
        <w:tc>
          <w:tcPr>
            <w:tcW w:w="688" w:type="dxa"/>
            <w:tcBorders>
              <w:top w:val="nil" w:sz="6" w:space="0" w:color="auto"/>
              <w:left w:val="nil" w:sz="6" w:space="0" w:color="auto"/>
              <w:bottom w:val="nil" w:sz="6" w:space="0" w:color="auto"/>
              <w:right w:val="nil" w:sz="6" w:space="0" w:color="auto"/>
            </w:tcBorders>
          </w:tcPr>
          <w:p>
            <w:pPr/>
          </w:p>
        </w:tc>
        <w:tc>
          <w:tcPr>
            <w:tcW w:w="92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108" w:right="107"/>
              <w:jc w:val="left"/>
              <w:rPr>
                <w:rFonts w:ascii="宋体" w:hAnsi="宋体" w:cs="宋体" w:eastAsia="宋体" w:hint="default"/>
                <w:sz w:val="21"/>
                <w:szCs w:val="21"/>
              </w:rPr>
            </w:pPr>
            <w:r>
              <w:rPr>
                <w:rFonts w:ascii="宋体" w:hAnsi="宋体" w:cs="宋体" w:eastAsia="宋体" w:hint="default"/>
                <w:sz w:val="21"/>
                <w:szCs w:val="21"/>
              </w:rPr>
              <w:t>营业收入本年发生数比上年发生数增加 </w:t>
            </w:r>
            <w:r>
              <w:rPr>
                <w:rFonts w:ascii="宋体" w:hAnsi="宋体" w:cs="宋体" w:eastAsia="宋体" w:hint="default"/>
                <w:sz w:val="21"/>
                <w:szCs w:val="21"/>
              </w:rPr>
              <w:t>62,977,377.33 </w:t>
            </w:r>
            <w:r>
              <w:rPr>
                <w:rFonts w:ascii="宋体" w:hAnsi="宋体" w:cs="宋体" w:eastAsia="宋体" w:hint="default"/>
                <w:sz w:val="21"/>
                <w:szCs w:val="21"/>
              </w:rPr>
              <w:t>元，增加比例为</w:t>
            </w:r>
            <w:r>
              <w:rPr>
                <w:rFonts w:ascii="宋体" w:hAnsi="宋体" w:cs="宋体" w:eastAsia="宋体" w:hint="default"/>
                <w:spacing w:val="12"/>
                <w:sz w:val="21"/>
                <w:szCs w:val="21"/>
              </w:rPr>
              <w:t> </w:t>
            </w:r>
            <w:r>
              <w:rPr>
                <w:rFonts w:ascii="宋体" w:hAnsi="宋体" w:cs="宋体" w:eastAsia="宋体" w:hint="default"/>
                <w:sz w:val="21"/>
                <w:szCs w:val="21"/>
              </w:rPr>
              <w:t>35.53%</w:t>
            </w:r>
            <w:r>
              <w:rPr>
                <w:rFonts w:ascii="宋体" w:hAnsi="宋体" w:cs="宋体" w:eastAsia="宋体" w:hint="default"/>
                <w:sz w:val="21"/>
                <w:szCs w:val="21"/>
              </w:rPr>
              <w:t>，主要原因为：本</w:t>
            </w:r>
            <w:r>
              <w:rPr>
                <w:rFonts w:ascii="宋体" w:hAnsi="宋体" w:cs="宋体" w:eastAsia="宋体" w:hint="default"/>
                <w:w w:val="100"/>
                <w:sz w:val="21"/>
                <w:szCs w:val="21"/>
              </w:rPr>
              <w:t> </w:t>
            </w:r>
            <w:r>
              <w:rPr>
                <w:rFonts w:ascii="宋体" w:hAnsi="宋体" w:cs="宋体" w:eastAsia="宋体" w:hint="default"/>
                <w:sz w:val="21"/>
                <w:szCs w:val="21"/>
              </w:rPr>
              <w:t>年来自主要业务市场日本企业的订单增加，对日本企业销售增长较快所致。</w:t>
            </w:r>
          </w:p>
        </w:tc>
      </w:tr>
    </w:tbl>
    <w:p>
      <w:pPr>
        <w:spacing w:after="0" w:line="272" w:lineRule="exact"/>
        <w:jc w:val="left"/>
        <w:rPr>
          <w:rFonts w:ascii="宋体" w:hAnsi="宋体" w:cs="宋体" w:eastAsia="宋体" w:hint="default"/>
          <w:sz w:val="21"/>
          <w:szCs w:val="21"/>
        </w:rPr>
        <w:sectPr>
          <w:headerReference w:type="default" r:id="rId42"/>
          <w:footerReference w:type="default" r:id="rId43"/>
          <w:pgSz w:w="11910" w:h="16840"/>
          <w:pgMar w:header="876" w:footer="980" w:top="1100" w:bottom="1160" w:left="660" w:right="1080"/>
          <w:pgNumType w:start="14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99"/>
        <w:gridCol w:w="4212"/>
        <w:gridCol w:w="283"/>
        <w:gridCol w:w="2211"/>
        <w:gridCol w:w="283"/>
        <w:gridCol w:w="2314"/>
      </w:tblGrid>
      <w:tr>
        <w:trPr>
          <w:trHeight w:val="378"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12</w:t>
            </w:r>
            <w:r>
              <w:rPr>
                <w:rFonts w:ascii="宋体"/>
                <w:sz w:val="21"/>
              </w:rPr>
            </w:r>
          </w:p>
        </w:tc>
        <w:tc>
          <w:tcPr>
            <w:tcW w:w="4212" w:type="dxa"/>
            <w:tcBorders>
              <w:top w:val="nil" w:sz="6" w:space="0" w:color="auto"/>
              <w:left w:val="nil" w:sz="6" w:space="0" w:color="auto"/>
              <w:bottom w:val="nil" w:sz="6" w:space="0" w:color="auto"/>
              <w:right w:val="nil" w:sz="6" w:space="0" w:color="auto"/>
            </w:tcBorders>
          </w:tcPr>
          <w:p>
            <w:pPr>
              <w:pStyle w:val="TableParagraph"/>
              <w:spacing w:line="211" w:lineRule="exact"/>
              <w:ind w:left="127" w:right="0"/>
              <w:jc w:val="left"/>
              <w:rPr>
                <w:rFonts w:ascii="宋体" w:hAnsi="宋体" w:cs="宋体" w:eastAsia="宋体" w:hint="default"/>
                <w:sz w:val="21"/>
                <w:szCs w:val="21"/>
              </w:rPr>
            </w:pP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545" w:hRule="exact"/>
        </w:trPr>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89" w:right="0"/>
              <w:jc w:val="left"/>
              <w:rPr>
                <w:rFonts w:ascii="宋体" w:hAnsi="宋体" w:cs="宋体" w:eastAsia="宋体" w:hint="default"/>
                <w:sz w:val="21"/>
                <w:szCs w:val="21"/>
              </w:rPr>
            </w:pPr>
            <w:r>
              <w:rPr>
                <w:rFonts w:ascii="宋体"/>
                <w:sz w:val="21"/>
              </w:rPr>
              <w:t>12.5</w:t>
            </w:r>
          </w:p>
        </w:tc>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7"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545"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7" w:right="0"/>
              <w:jc w:val="left"/>
              <w:rPr>
                <w:rFonts w:ascii="宋体" w:hAnsi="宋体" w:cs="宋体" w:eastAsia="宋体" w:hint="default"/>
                <w:sz w:val="21"/>
                <w:szCs w:val="21"/>
              </w:rPr>
            </w:pPr>
            <w:r>
              <w:rPr>
                <w:rFonts w:ascii="宋体" w:hAnsi="宋体" w:cs="宋体" w:eastAsia="宋体" w:hint="default"/>
                <w:sz w:val="21"/>
                <w:szCs w:val="21"/>
              </w:rPr>
              <w:t>12.5.1</w:t>
            </w:r>
            <w:r>
              <w:rPr>
                <w:rFonts w:ascii="宋体" w:hAnsi="宋体" w:cs="宋体" w:eastAsia="宋体" w:hint="default"/>
                <w:spacing w:val="-1"/>
                <w:sz w:val="21"/>
                <w:szCs w:val="21"/>
              </w:rPr>
              <w:t> </w:t>
            </w:r>
            <w:r>
              <w:rPr>
                <w:rFonts w:ascii="宋体" w:hAnsi="宋体" w:cs="宋体" w:eastAsia="宋体" w:hint="default"/>
                <w:sz w:val="21"/>
                <w:szCs w:val="21"/>
              </w:rPr>
              <w:t>投资收益明细情况</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415"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65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70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09"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nil" w:sz="6" w:space="0" w:color="auto"/>
              <w:right w:val="nil" w:sz="6" w:space="0" w:color="auto"/>
            </w:tcBorders>
          </w:tcPr>
          <w:p>
            <w:pPr>
              <w:pStyle w:val="TableParagraph"/>
              <w:spacing w:line="266" w:lineRule="exact"/>
              <w:ind w:right="103"/>
              <w:jc w:val="right"/>
              <w:rPr>
                <w:rFonts w:ascii="宋体" w:hAnsi="宋体" w:cs="宋体" w:eastAsia="宋体" w:hint="default"/>
                <w:sz w:val="22"/>
                <w:szCs w:val="22"/>
              </w:rPr>
            </w:pPr>
            <w:r>
              <w:rPr>
                <w:rFonts w:ascii="宋体"/>
                <w:spacing w:val="-1"/>
                <w:sz w:val="22"/>
              </w:rPr>
              <w:t>486,516.00</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single" w:sz="4" w:space="0" w:color="000000"/>
              <w:left w:val="nil" w:sz="6" w:space="0" w:color="auto"/>
              <w:bottom w:val="nil" w:sz="6" w:space="0" w:color="auto"/>
              <w:right w:val="nil" w:sz="6" w:space="0" w:color="auto"/>
            </w:tcBorders>
          </w:tcPr>
          <w:p>
            <w:pPr>
              <w:pStyle w:val="TableParagraph"/>
              <w:spacing w:line="266" w:lineRule="exact"/>
              <w:ind w:right="105"/>
              <w:jc w:val="right"/>
              <w:rPr>
                <w:rFonts w:ascii="宋体" w:hAnsi="宋体" w:cs="宋体" w:eastAsia="宋体" w:hint="default"/>
                <w:sz w:val="22"/>
                <w:szCs w:val="22"/>
              </w:rPr>
            </w:pPr>
            <w:r>
              <w:rPr>
                <w:rFonts w:ascii="宋体"/>
                <w:spacing w:val="-1"/>
                <w:sz w:val="22"/>
              </w:rPr>
              <w:t>253,499.10</w:t>
            </w:r>
          </w:p>
        </w:tc>
      </w:tr>
      <w:tr>
        <w:trPr>
          <w:trHeight w:val="279"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9" w:lineRule="exact"/>
              <w:ind w:right="108"/>
              <w:jc w:val="right"/>
              <w:rPr>
                <w:rFonts w:ascii="宋体" w:hAnsi="宋体" w:cs="宋体" w:eastAsia="宋体" w:hint="default"/>
                <w:sz w:val="21"/>
                <w:szCs w:val="21"/>
              </w:rPr>
            </w:pPr>
            <w:r>
              <w:rPr>
                <w:rFonts w:ascii="宋体"/>
                <w:w w:val="100"/>
                <w:sz w:val="21"/>
              </w:rPr>
              <w:t>-</w:t>
            </w:r>
          </w:p>
        </w:tc>
      </w:tr>
      <w:tr>
        <w:trPr>
          <w:trHeight w:val="312"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66" w:lineRule="exact"/>
              <w:ind w:right="105"/>
              <w:jc w:val="right"/>
              <w:rPr>
                <w:rFonts w:ascii="宋体" w:hAnsi="宋体" w:cs="宋体" w:eastAsia="宋体" w:hint="default"/>
                <w:sz w:val="22"/>
                <w:szCs w:val="22"/>
              </w:rPr>
            </w:pPr>
            <w:r>
              <w:rPr>
                <w:rFonts w:ascii="宋体"/>
                <w:spacing w:val="-1"/>
                <w:sz w:val="22"/>
              </w:rPr>
              <w:t>-437,377.78</w:t>
            </w:r>
          </w:p>
        </w:tc>
      </w:tr>
      <w:tr>
        <w:trPr>
          <w:trHeight w:val="272"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545"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r>
        <w:trPr>
          <w:trHeight w:val="545"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宋体" w:hAnsi="宋体" w:cs="宋体" w:eastAsia="宋体" w:hint="default"/>
                <w:sz w:val="21"/>
                <w:szCs w:val="21"/>
              </w:rPr>
            </w:pPr>
            <w:r>
              <w:rPr>
                <w:rFonts w:ascii="宋体"/>
                <w:w w:val="100"/>
                <w:sz w:val="21"/>
              </w:rPr>
              <w:t>-</w:t>
            </w:r>
          </w:p>
        </w:tc>
      </w:tr>
      <w:tr>
        <w:trPr>
          <w:trHeight w:val="272"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w w:val="100"/>
                <w:sz w:val="21"/>
              </w:rPr>
              <w:t>-</w:t>
            </w:r>
          </w:p>
        </w:tc>
      </w:tr>
      <w:tr>
        <w:trPr>
          <w:trHeight w:val="272"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272"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w w:val="100"/>
                <w:sz w:val="21"/>
              </w:rPr>
              <w:t>-</w:t>
            </w:r>
          </w:p>
        </w:tc>
      </w:tr>
      <w:tr>
        <w:trPr>
          <w:trHeight w:val="279"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241" w:lineRule="exact"/>
              <w:ind w:right="108"/>
              <w:jc w:val="right"/>
              <w:rPr>
                <w:rFonts w:ascii="宋体" w:hAnsi="宋体" w:cs="宋体" w:eastAsia="宋体" w:hint="default"/>
                <w:sz w:val="21"/>
                <w:szCs w:val="21"/>
              </w:rPr>
            </w:pPr>
            <w:r>
              <w:rPr>
                <w:rFonts w:ascii="宋体"/>
                <w:w w:val="100"/>
                <w:sz w:val="21"/>
              </w:rPr>
              <w:t>-</w:t>
            </w:r>
          </w:p>
        </w:tc>
      </w:tr>
      <w:tr>
        <w:trPr>
          <w:trHeight w:val="331" w:hRule="exact"/>
        </w:trPr>
        <w:tc>
          <w:tcPr>
            <w:tcW w:w="899" w:type="dxa"/>
            <w:tcBorders>
              <w:top w:val="nil" w:sz="6" w:space="0" w:color="auto"/>
              <w:left w:val="nil" w:sz="6" w:space="0" w:color="auto"/>
              <w:bottom w:val="nil" w:sz="6" w:space="0" w:color="auto"/>
              <w:right w:val="nil" w:sz="6" w:space="0" w:color="auto"/>
            </w:tcBorders>
          </w:tcPr>
          <w:p>
            <w:pPr/>
          </w:p>
        </w:tc>
        <w:tc>
          <w:tcPr>
            <w:tcW w:w="4212"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single" w:sz="12" w:space="0" w:color="000000"/>
              <w:right w:val="nil" w:sz="6" w:space="0" w:color="auto"/>
            </w:tcBorders>
          </w:tcPr>
          <w:p>
            <w:pPr>
              <w:pStyle w:val="TableParagraph"/>
              <w:spacing w:line="266" w:lineRule="exact"/>
              <w:ind w:right="103"/>
              <w:jc w:val="right"/>
              <w:rPr>
                <w:rFonts w:ascii="宋体" w:hAnsi="宋体" w:cs="宋体" w:eastAsia="宋体" w:hint="default"/>
                <w:sz w:val="22"/>
                <w:szCs w:val="22"/>
              </w:rPr>
            </w:pPr>
            <w:r>
              <w:rPr>
                <w:rFonts w:ascii="宋体"/>
                <w:spacing w:val="-1"/>
                <w:sz w:val="22"/>
              </w:rPr>
              <w:t>486,516.00</w:t>
            </w:r>
          </w:p>
        </w:tc>
        <w:tc>
          <w:tcPr>
            <w:tcW w:w="283" w:type="dxa"/>
            <w:tcBorders>
              <w:top w:val="nil" w:sz="6" w:space="0" w:color="auto"/>
              <w:left w:val="nil" w:sz="6" w:space="0" w:color="auto"/>
              <w:bottom w:val="nil" w:sz="6" w:space="0" w:color="auto"/>
              <w:right w:val="nil" w:sz="6" w:space="0" w:color="auto"/>
            </w:tcBorders>
          </w:tcPr>
          <w:p>
            <w:pPr/>
          </w:p>
        </w:tc>
        <w:tc>
          <w:tcPr>
            <w:tcW w:w="2314" w:type="dxa"/>
            <w:tcBorders>
              <w:top w:val="single" w:sz="4" w:space="0" w:color="000000"/>
              <w:left w:val="nil" w:sz="6" w:space="0" w:color="auto"/>
              <w:bottom w:val="single" w:sz="12" w:space="0" w:color="000000"/>
              <w:right w:val="nil" w:sz="6" w:space="0" w:color="auto"/>
            </w:tcBorders>
          </w:tcPr>
          <w:p>
            <w:pPr>
              <w:pStyle w:val="TableParagraph"/>
              <w:spacing w:line="266" w:lineRule="exact"/>
              <w:ind w:right="105"/>
              <w:jc w:val="right"/>
              <w:rPr>
                <w:rFonts w:ascii="宋体" w:hAnsi="宋体" w:cs="宋体" w:eastAsia="宋体" w:hint="default"/>
                <w:sz w:val="22"/>
                <w:szCs w:val="22"/>
              </w:rPr>
            </w:pPr>
            <w:r>
              <w:rPr>
                <w:rFonts w:ascii="宋体"/>
                <w:spacing w:val="-1"/>
                <w:sz w:val="22"/>
              </w:rPr>
              <w:t>-183,878.68</w:t>
            </w:r>
          </w:p>
        </w:tc>
      </w:tr>
      <w:tr>
        <w:trPr>
          <w:trHeight w:val="800" w:hRule="exact"/>
        </w:trPr>
        <w:tc>
          <w:tcPr>
            <w:tcW w:w="899" w:type="dxa"/>
            <w:tcBorders>
              <w:top w:val="nil" w:sz="6" w:space="0" w:color="auto"/>
              <w:left w:val="nil" w:sz="6" w:space="0" w:color="auto"/>
              <w:bottom w:val="nil" w:sz="6" w:space="0" w:color="auto"/>
              <w:right w:val="nil" w:sz="6" w:space="0" w:color="auto"/>
            </w:tcBorders>
          </w:tcPr>
          <w:p>
            <w:pPr/>
          </w:p>
        </w:tc>
        <w:tc>
          <w:tcPr>
            <w:tcW w:w="930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2" w:lineRule="exact"/>
              <w:ind w:left="127" w:right="100"/>
              <w:jc w:val="left"/>
              <w:rPr>
                <w:rFonts w:ascii="宋体" w:hAnsi="宋体" w:cs="宋体" w:eastAsia="宋体" w:hint="default"/>
                <w:sz w:val="21"/>
                <w:szCs w:val="21"/>
              </w:rPr>
            </w:pPr>
            <w:r>
              <w:rPr>
                <w:rFonts w:ascii="宋体" w:hAnsi="宋体" w:cs="宋体" w:eastAsia="宋体" w:hint="default"/>
                <w:sz w:val="21"/>
                <w:szCs w:val="21"/>
              </w:rPr>
              <w:t>投资收益本年发生数比上年发生数增加</w:t>
            </w:r>
            <w:r>
              <w:rPr>
                <w:rFonts w:ascii="宋体" w:hAnsi="宋体" w:cs="宋体" w:eastAsia="宋体" w:hint="default"/>
                <w:spacing w:val="-60"/>
                <w:sz w:val="21"/>
                <w:szCs w:val="21"/>
              </w:rPr>
              <w:t> </w:t>
            </w:r>
            <w:r>
              <w:rPr>
                <w:rFonts w:ascii="宋体" w:hAnsi="宋体" w:cs="宋体" w:eastAsia="宋体" w:hint="default"/>
                <w:sz w:val="21"/>
                <w:szCs w:val="21"/>
              </w:rPr>
              <w:t>670,394.68</w:t>
            </w:r>
            <w:r>
              <w:rPr>
                <w:rFonts w:ascii="宋体" w:hAnsi="宋体" w:cs="宋体" w:eastAsia="宋体" w:hint="default"/>
                <w:spacing w:val="-62"/>
                <w:sz w:val="21"/>
                <w:szCs w:val="21"/>
              </w:rPr>
              <w:t> </w:t>
            </w:r>
            <w:r>
              <w:rPr>
                <w:rFonts w:ascii="宋体" w:hAnsi="宋体" w:cs="宋体" w:eastAsia="宋体" w:hint="default"/>
                <w:sz w:val="21"/>
                <w:szCs w:val="21"/>
              </w:rPr>
              <w:t>元，增加比例为</w:t>
            </w:r>
            <w:r>
              <w:rPr>
                <w:rFonts w:ascii="宋体" w:hAnsi="宋体" w:cs="宋体" w:eastAsia="宋体" w:hint="default"/>
                <w:spacing w:val="-60"/>
                <w:sz w:val="21"/>
                <w:szCs w:val="21"/>
              </w:rPr>
              <w:t> </w:t>
            </w:r>
            <w:r>
              <w:rPr>
                <w:rFonts w:ascii="宋体" w:hAnsi="宋体" w:cs="宋体" w:eastAsia="宋体" w:hint="default"/>
                <w:sz w:val="21"/>
                <w:szCs w:val="21"/>
              </w:rPr>
              <w:t>364.59%</w:t>
            </w:r>
            <w:r>
              <w:rPr>
                <w:rFonts w:ascii="宋体" w:hAnsi="宋体" w:cs="宋体" w:eastAsia="宋体" w:hint="default"/>
                <w:sz w:val="21"/>
                <w:szCs w:val="21"/>
              </w:rPr>
              <w:t>，主要原因为：上年含</w:t>
            </w:r>
            <w:r>
              <w:rPr>
                <w:rFonts w:ascii="宋体" w:hAnsi="宋体" w:cs="宋体" w:eastAsia="宋体" w:hint="default"/>
                <w:w w:val="100"/>
                <w:sz w:val="21"/>
                <w:szCs w:val="21"/>
              </w:rPr>
              <w:t> </w:t>
            </w:r>
            <w:r>
              <w:rPr>
                <w:rFonts w:ascii="宋体" w:hAnsi="宋体" w:cs="宋体" w:eastAsia="宋体" w:hint="default"/>
                <w:sz w:val="21"/>
                <w:szCs w:val="21"/>
              </w:rPr>
              <w:t>处置原子公司南京欧亚物流信息系统有限公司的投资损失。</w:t>
            </w:r>
          </w:p>
        </w:tc>
      </w:tr>
    </w:tbl>
    <w:p>
      <w:pPr>
        <w:spacing w:after="0" w:line="272" w:lineRule="exact"/>
        <w:jc w:val="left"/>
        <w:rPr>
          <w:rFonts w:ascii="宋体" w:hAnsi="宋体" w:cs="宋体" w:eastAsia="宋体" w:hint="default"/>
          <w:sz w:val="21"/>
          <w:szCs w:val="21"/>
        </w:rPr>
        <w:sectPr>
          <w:pgSz w:w="11910" w:h="16840"/>
          <w:pgMar w:header="876" w:footer="980" w:top="1100" w:bottom="1160" w:left="66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798"/>
        <w:gridCol w:w="4704"/>
        <w:gridCol w:w="245"/>
        <w:gridCol w:w="1925"/>
        <w:gridCol w:w="238"/>
        <w:gridCol w:w="1736"/>
      </w:tblGrid>
      <w:tr>
        <w:trPr>
          <w:trHeight w:val="378"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12</w:t>
            </w:r>
            <w:r>
              <w:rPr>
                <w:rFonts w:ascii="宋体"/>
                <w:sz w:val="21"/>
              </w:rPr>
            </w:r>
          </w:p>
        </w:tc>
        <w:tc>
          <w:tcPr>
            <w:tcW w:w="4704"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公司财务报表主要项目注释</w:t>
            </w:r>
            <w:r>
              <w:rPr>
                <w:rFonts w:ascii="宋体" w:hAnsi="宋体" w:cs="宋体" w:eastAsia="宋体" w:hint="default"/>
                <w:b/>
                <w:bCs/>
                <w:sz w:val="21"/>
                <w:szCs w:val="21"/>
              </w:rPr>
              <w:t>(</w:t>
            </w:r>
            <w:r>
              <w:rPr>
                <w:rFonts w:ascii="宋体" w:hAnsi="宋体" w:cs="宋体" w:eastAsia="宋体" w:hint="default"/>
                <w:b/>
                <w:bCs/>
                <w:sz w:val="21"/>
                <w:szCs w:val="21"/>
              </w:rPr>
              <w:t>续</w:t>
            </w:r>
            <w:r>
              <w:rPr>
                <w:rFonts w:ascii="宋体" w:hAnsi="宋体" w:cs="宋体" w:eastAsia="宋体" w:hint="default"/>
                <w:b/>
                <w:bCs/>
                <w:sz w:val="21"/>
                <w:szCs w:val="21"/>
              </w:rPr>
              <w:t>)</w:t>
            </w:r>
            <w:r>
              <w:rPr>
                <w:rFonts w:ascii="宋体" w:hAnsi="宋体" w:cs="宋体" w:eastAsia="宋体" w:hint="default"/>
                <w:sz w:val="21"/>
                <w:szCs w:val="21"/>
              </w:rPr>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r>
      <w:tr>
        <w:trPr>
          <w:trHeight w:val="407"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69" w:right="0"/>
              <w:jc w:val="left"/>
              <w:rPr>
                <w:rFonts w:ascii="宋体" w:hAnsi="宋体" w:cs="宋体" w:eastAsia="宋体" w:hint="default"/>
                <w:sz w:val="21"/>
                <w:szCs w:val="21"/>
              </w:rPr>
            </w:pPr>
            <w:r>
              <w:rPr>
                <w:rFonts w:ascii="宋体"/>
                <w:sz w:val="21"/>
              </w:rPr>
              <w:t>12.6</w:t>
            </w:r>
          </w:p>
        </w:tc>
        <w:tc>
          <w:tcPr>
            <w:tcW w:w="470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r>
      <w:tr>
        <w:trPr>
          <w:trHeight w:val="280"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single" w:sz="4" w:space="0" w:color="000000"/>
              <w:right w:val="nil" w:sz="6" w:space="0" w:color="auto"/>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09" w:lineRule="exact"/>
              <w:ind w:left="5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09" w:lineRule="exact"/>
              <w:ind w:left="48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58"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single" w:sz="4" w:space="0" w:color="000000"/>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nil" w:sz="6" w:space="0" w:color="auto"/>
              <w:right w:val="nil" w:sz="6" w:space="0" w:color="auto"/>
            </w:tcBorders>
          </w:tcPr>
          <w:p>
            <w:pPr/>
          </w:p>
        </w:tc>
      </w:tr>
      <w:tr>
        <w:trPr>
          <w:trHeight w:val="29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1"/>
                <w:sz w:val="18"/>
              </w:rPr>
              <w:t>56,902,766.07</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pacing w:val="-1"/>
                <w:sz w:val="18"/>
              </w:rPr>
              <w:t>41,257,300.95</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-200,000.00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宋体" w:hAnsi="宋体" w:cs="宋体" w:eastAsia="宋体" w:hint="default"/>
                <w:sz w:val="18"/>
                <w:szCs w:val="18"/>
              </w:rPr>
            </w:pPr>
            <w:r>
              <w:rPr>
                <w:rFonts w:ascii="宋体"/>
                <w:spacing w:val="-1"/>
                <w:sz w:val="18"/>
              </w:rPr>
              <w:t>5,235,209.50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2,814,503.60</w:t>
            </w:r>
          </w:p>
        </w:tc>
      </w:tr>
      <w:tr>
        <w:trPr>
          <w:trHeight w:val="274"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8"/>
                <w:szCs w:val="18"/>
              </w:rPr>
            </w:pPr>
            <w:r>
              <w:rPr>
                <w:rFonts w:ascii="宋体"/>
                <w:spacing w:val="-1"/>
                <w:sz w:val="18"/>
              </w:rPr>
              <w:t>1,700,984.38</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1,230,061.17</w:t>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宋体" w:hAnsi="宋体" w:cs="宋体" w:eastAsia="宋体" w:hint="default"/>
                <w:sz w:val="18"/>
                <w:szCs w:val="18"/>
              </w:rPr>
            </w:pPr>
            <w:r>
              <w:rPr>
                <w:rFonts w:ascii="宋体"/>
                <w:spacing w:val="-1"/>
                <w:sz w:val="18"/>
              </w:rPr>
              <w:t>344,768.16</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1,284,659.82</w:t>
            </w:r>
          </w:p>
        </w:tc>
      </w:tr>
      <w:tr>
        <w:trPr>
          <w:trHeight w:val="468"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pacing w:val="-1"/>
                <w:sz w:val="18"/>
              </w:rPr>
              <w:t>75,478.60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pacing w:val="-1"/>
                <w:sz w:val="18"/>
              </w:rPr>
              <w:t>50,059.90</w:t>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r>
      <w:tr>
        <w:trPr>
          <w:trHeight w:val="274"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4,701,847.14</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-727,402.16</w:t>
            </w:r>
          </w:p>
        </w:tc>
      </w:tr>
      <w:tr>
        <w:trPr>
          <w:trHeight w:val="274"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8"/>
                <w:szCs w:val="18"/>
              </w:rPr>
            </w:pPr>
            <w:r>
              <w:rPr>
                <w:rFonts w:ascii="宋体"/>
                <w:spacing w:val="-1"/>
                <w:sz w:val="18"/>
              </w:rPr>
              <w:t>-486,516.00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183,878.68</w:t>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宋体" w:hAnsi="宋体" w:cs="宋体" w:eastAsia="宋体" w:hint="default"/>
                <w:sz w:val="18"/>
                <w:szCs w:val="18"/>
              </w:rPr>
            </w:pPr>
            <w:r>
              <w:rPr>
                <w:rFonts w:ascii="宋体"/>
                <w:spacing w:val="-1"/>
                <w:sz w:val="18"/>
              </w:rPr>
              <w:t>20,000.00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24,067.50</w:t>
            </w:r>
          </w:p>
        </w:tc>
      </w:tr>
      <w:tr>
        <w:trPr>
          <w:trHeight w:val="274"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宋体" w:hAnsi="宋体" w:cs="宋体" w:eastAsia="宋体" w:hint="default"/>
                <w:sz w:val="18"/>
                <w:szCs w:val="18"/>
              </w:rPr>
            </w:pPr>
            <w:r>
              <w:rPr>
                <w:rFonts w:ascii="宋体"/>
                <w:spacing w:val="-1"/>
                <w:sz w:val="18"/>
              </w:rPr>
              <w:t>523,691.92</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-22,060,262.87</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8"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1,272,595.60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8,416,792.53</w:t>
            </w:r>
          </w:p>
        </w:tc>
      </w:tr>
      <w:tr>
        <w:trPr>
          <w:trHeight w:val="279"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05"/>
              <w:jc w:val="right"/>
              <w:rPr>
                <w:rFonts w:ascii="宋体" w:hAnsi="宋体" w:cs="宋体" w:eastAsia="宋体" w:hint="default"/>
                <w:sz w:val="18"/>
                <w:szCs w:val="18"/>
              </w:rPr>
            </w:pPr>
            <w:r>
              <w:rPr>
                <w:rFonts w:ascii="宋体"/>
                <w:spacing w:val="-1"/>
                <w:sz w:val="18"/>
              </w:rPr>
              <w:t>3,897,600.00</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r>
      <w:tr>
        <w:trPr>
          <w:trHeight w:val="290"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10"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73,988,425.37</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32,473,659.12</w:t>
            </w:r>
          </w:p>
        </w:tc>
      </w:tr>
      <w:tr>
        <w:trPr>
          <w:trHeight w:val="268"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3"/>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single" w:sz="12" w:space="0" w:color="000000"/>
              <w:left w:val="nil" w:sz="6" w:space="0" w:color="auto"/>
              <w:bottom w:val="nil" w:sz="6" w:space="0" w:color="auto"/>
              <w:right w:val="nil" w:sz="6" w:space="0" w:color="auto"/>
            </w:tcBorders>
          </w:tcPr>
          <w:p>
            <w:pP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6" w:lineRule="exact"/>
              <w:ind w:left="46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7" w:lineRule="exact"/>
              <w:ind w:left="46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6" w:lineRule="exact"/>
              <w:ind w:left="46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w:t>
            </w:r>
          </w:p>
        </w:tc>
      </w:tr>
      <w:tr>
        <w:trPr>
          <w:trHeight w:val="273"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2"/>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
        </w:tc>
      </w:tr>
      <w:tr>
        <w:trPr>
          <w:trHeight w:val="29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26"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18"/>
                <w:szCs w:val="18"/>
              </w:rPr>
            </w:pPr>
            <w:r>
              <w:rPr>
                <w:rFonts w:ascii="宋体"/>
                <w:spacing w:val="-1"/>
                <w:sz w:val="18"/>
              </w:rPr>
              <w:t>193,057,115.59</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1"/>
                <w:sz w:val="18"/>
              </w:rPr>
              <w:t>246,645,739.02</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8"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246,645,739.02</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242,064,061.70</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6" w:lineRule="exact"/>
              <w:ind w:left="46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宋体" w:hAnsi="宋体" w:cs="宋体" w:eastAsia="宋体" w:hint="default"/>
                <w:sz w:val="18"/>
                <w:szCs w:val="18"/>
              </w:rPr>
            </w:pPr>
            <w:r>
              <w:rPr>
                <w:rFonts w:ascii="宋体"/>
                <w:sz w:val="18"/>
              </w:rPr>
              <w:t>-</w:t>
            </w:r>
          </w:p>
        </w:tc>
      </w:tr>
      <w:tr>
        <w:trPr>
          <w:trHeight w:val="278"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08"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w:t>
            </w:r>
          </w:p>
        </w:tc>
      </w:tr>
      <w:tr>
        <w:trPr>
          <w:trHeight w:val="293" w:hRule="exact"/>
        </w:trPr>
        <w:tc>
          <w:tcPr>
            <w:tcW w:w="798" w:type="dxa"/>
            <w:tcBorders>
              <w:top w:val="nil" w:sz="6" w:space="0" w:color="auto"/>
              <w:left w:val="nil" w:sz="6" w:space="0" w:color="auto"/>
              <w:bottom w:val="nil" w:sz="6" w:space="0" w:color="auto"/>
              <w:right w:val="nil" w:sz="6" w:space="0" w:color="auto"/>
            </w:tcBorders>
          </w:tcPr>
          <w:p>
            <w:pPr/>
          </w:p>
        </w:tc>
        <w:tc>
          <w:tcPr>
            <w:tcW w:w="4704" w:type="dxa"/>
            <w:tcBorders>
              <w:top w:val="nil" w:sz="6" w:space="0" w:color="auto"/>
              <w:left w:val="nil" w:sz="6" w:space="0" w:color="auto"/>
              <w:bottom w:val="nil" w:sz="6" w:space="0" w:color="auto"/>
              <w:right w:val="nil" w:sz="6" w:space="0" w:color="auto"/>
            </w:tcBorders>
          </w:tcPr>
          <w:p>
            <w:pPr>
              <w:pStyle w:val="TableParagraph"/>
              <w:spacing w:line="210"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spacing w:val="-1"/>
                <w:sz w:val="18"/>
              </w:rPr>
              <w:t>-53,588,623.43</w:t>
            </w:r>
          </w:p>
        </w:tc>
        <w:tc>
          <w:tcPr>
            <w:tcW w:w="238" w:type="dxa"/>
            <w:tcBorders>
              <w:top w:val="nil" w:sz="6" w:space="0" w:color="auto"/>
              <w:left w:val="nil" w:sz="6" w:space="0" w:color="auto"/>
              <w:bottom w:val="nil" w:sz="6" w:space="0" w:color="auto"/>
              <w:right w:val="nil" w:sz="6" w:space="0" w:color="auto"/>
            </w:tcBorders>
          </w:tcPr>
          <w:p>
            <w:pPr/>
          </w:p>
        </w:tc>
        <w:tc>
          <w:tcPr>
            <w:tcW w:w="17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4,581,677.32</w:t>
            </w:r>
          </w:p>
        </w:tc>
      </w:tr>
    </w:tbl>
    <w:p>
      <w:pPr>
        <w:spacing w:after="0" w:line="240" w:lineRule="auto"/>
        <w:jc w:val="right"/>
        <w:rPr>
          <w:rFonts w:ascii="宋体" w:hAnsi="宋体" w:cs="宋体" w:eastAsia="宋体" w:hint="default"/>
          <w:sz w:val="18"/>
          <w:szCs w:val="18"/>
        </w:rPr>
        <w:sectPr>
          <w:pgSz w:w="11910" w:h="16840"/>
          <w:pgMar w:header="876" w:footer="980" w:top="1100" w:bottom="1160" w:left="64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093"/>
        <w:gridCol w:w="4347"/>
        <w:gridCol w:w="236"/>
        <w:gridCol w:w="2021"/>
        <w:gridCol w:w="319"/>
        <w:gridCol w:w="2180"/>
      </w:tblGrid>
      <w:tr>
        <w:trPr>
          <w:trHeight w:val="378"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13</w:t>
            </w:r>
            <w:r>
              <w:rPr>
                <w:rFonts w:ascii="宋体"/>
                <w:sz w:val="21"/>
              </w:rPr>
            </w:r>
          </w:p>
        </w:tc>
        <w:tc>
          <w:tcPr>
            <w:tcW w:w="434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407"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565" w:right="0"/>
              <w:jc w:val="left"/>
              <w:rPr>
                <w:rFonts w:ascii="宋体" w:hAnsi="宋体" w:cs="宋体" w:eastAsia="宋体" w:hint="default"/>
                <w:sz w:val="21"/>
                <w:szCs w:val="21"/>
              </w:rPr>
            </w:pPr>
            <w:r>
              <w:rPr>
                <w:rFonts w:ascii="宋体"/>
                <w:sz w:val="21"/>
              </w:rPr>
              <w:t>13.1</w:t>
            </w:r>
          </w:p>
        </w:tc>
        <w:tc>
          <w:tcPr>
            <w:tcW w:w="434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当期非经常性损益明细表</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241"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single" w:sz="4" w:space="0" w:color="000000"/>
              <w:right w:val="nil" w:sz="6" w:space="0" w:color="auto"/>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09" w:lineRule="exact"/>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说 </w:t>
            </w:r>
            <w:r>
              <w:rPr>
                <w:rFonts w:ascii="宋体" w:hAnsi="宋体" w:cs="宋体" w:eastAsia="宋体" w:hint="default"/>
                <w:spacing w:val="2"/>
                <w:sz w:val="18"/>
                <w:szCs w:val="18"/>
              </w:rPr>
              <w:t> </w:t>
            </w:r>
            <w:r>
              <w:rPr>
                <w:rFonts w:ascii="宋体" w:hAnsi="宋体" w:cs="宋体" w:eastAsia="宋体" w:hint="default"/>
                <w:sz w:val="18"/>
                <w:szCs w:val="18"/>
              </w:rPr>
              <w:t>明</w:t>
            </w:r>
          </w:p>
        </w:tc>
      </w:tr>
      <w:tr>
        <w:trPr>
          <w:trHeight w:val="472"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冲销部分</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-89,129.66</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w:t>
            </w:r>
          </w:p>
        </w:tc>
      </w:tr>
      <w:tr>
        <w:trPr>
          <w:trHeight w:val="466"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5"/>
                <w:sz w:val="18"/>
                <w:szCs w:val="18"/>
              </w:rPr>
              <w:t>越权审批，或无正式批准文件，或偶发性的税收返还、</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减免</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r>
        <w:trPr>
          <w:trHeight w:val="701"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w:t>
            </w:r>
          </w:p>
          <w:p>
            <w:pPr>
              <w:pStyle w:val="TableParagraph"/>
              <w:spacing w:line="232" w:lineRule="exact" w:before="24"/>
              <w:ind w:left="108" w:right="106"/>
              <w:jc w:val="left"/>
              <w:rPr>
                <w:rFonts w:ascii="宋体" w:hAnsi="宋体" w:cs="宋体" w:eastAsia="宋体" w:hint="default"/>
                <w:sz w:val="18"/>
                <w:szCs w:val="18"/>
              </w:rPr>
            </w:pPr>
            <w:r>
              <w:rPr>
                <w:rFonts w:ascii="宋体" w:hAnsi="宋体" w:cs="宋体" w:eastAsia="宋体" w:hint="default"/>
                <w:spacing w:val="-1"/>
                <w:sz w:val="18"/>
                <w:szCs w:val="18"/>
              </w:rPr>
              <w:t>切相关，符合国家政策规定、按照一定标准定额或定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量持续享受的政府补助除外</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6,941,321.00</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233"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701"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w:t>
            </w:r>
          </w:p>
          <w:p>
            <w:pPr>
              <w:pStyle w:val="TableParagraph"/>
              <w:spacing w:line="232" w:lineRule="exact" w:before="24"/>
              <w:ind w:left="108" w:right="114"/>
              <w:jc w:val="left"/>
              <w:rPr>
                <w:rFonts w:ascii="宋体" w:hAnsi="宋体" w:cs="宋体" w:eastAsia="宋体" w:hint="default"/>
                <w:sz w:val="18"/>
                <w:szCs w:val="18"/>
              </w:rPr>
            </w:pPr>
            <w:r>
              <w:rPr>
                <w:rFonts w:ascii="宋体" w:hAnsi="宋体" w:cs="宋体" w:eastAsia="宋体" w:hint="default"/>
                <w:spacing w:val="7"/>
                <w:sz w:val="18"/>
                <w:szCs w:val="18"/>
              </w:rPr>
              <w:t>于取得投资时应享有被投资单位可辨认净资产公允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价值产生的收益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sz w:val="18"/>
              </w:rPr>
              <w:t>-</w:t>
            </w:r>
          </w:p>
        </w:tc>
      </w:tr>
      <w:tr>
        <w:trPr>
          <w:trHeight w:val="466"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sz w:val="18"/>
              </w:rPr>
              <w:t>-</w:t>
            </w:r>
          </w:p>
        </w:tc>
      </w:tr>
      <w:tr>
        <w:trPr>
          <w:trHeight w:val="466"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交易价格显失公允的交易产生的超过公允价值部分</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r>
      <w:tr>
        <w:trPr>
          <w:trHeight w:val="468"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同一控制下企业合并产生的子公司期初至合并日的</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当期净损益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r>
        <w:trPr>
          <w:trHeight w:val="233"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9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w:t>
            </w:r>
          </w:p>
          <w:p>
            <w:pPr>
              <w:pStyle w:val="TableParagraph"/>
              <w:spacing w:line="237" w:lineRule="auto"/>
              <w:ind w:left="108" w:right="105"/>
              <w:jc w:val="both"/>
              <w:rPr>
                <w:rFonts w:ascii="宋体" w:hAnsi="宋体" w:cs="宋体" w:eastAsia="宋体" w:hint="default"/>
                <w:sz w:val="18"/>
                <w:szCs w:val="18"/>
              </w:rPr>
            </w:pPr>
            <w:r>
              <w:rPr>
                <w:rFonts w:ascii="宋体" w:hAnsi="宋体" w:cs="宋体" w:eastAsia="宋体" w:hint="default"/>
                <w:spacing w:val="-1"/>
                <w:sz w:val="18"/>
                <w:szCs w:val="18"/>
              </w:rPr>
              <w:t>持有交易性金融资产、交易性金融负债产生的公允价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值变动损益，以及处置交易性金融资产、交易性金融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负债和可供出售金融资产取得的投资收益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sz w:val="18"/>
              </w:rPr>
              <w:t>-</w:t>
            </w:r>
          </w:p>
        </w:tc>
      </w:tr>
      <w:tr>
        <w:trPr>
          <w:trHeight w:val="466"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采用公允价值模式进行后续计量的投资性房地产公</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允价值变动产生的损益</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w:t>
            </w:r>
          </w:p>
        </w:tc>
      </w:tr>
      <w:tr>
        <w:trPr>
          <w:trHeight w:val="468"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一次性调整对当期损益的影响</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w:t>
            </w:r>
          </w:p>
        </w:tc>
      </w:tr>
      <w:tr>
        <w:trPr>
          <w:trHeight w:val="233"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33"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除上述各项之外的其他营业收外收入和支出</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98,765.26</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3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-1,105,690.95</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sz w:val="18"/>
              </w:rPr>
              <w:t>-</w:t>
            </w:r>
          </w:p>
        </w:tc>
      </w:tr>
      <w:tr>
        <w:trPr>
          <w:trHeight w:val="239"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pacing w:val="-1"/>
                <w:sz w:val="18"/>
              </w:rPr>
              <w:t>-224,213.88</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sz w:val="18"/>
              </w:rPr>
              <w:t>-</w:t>
            </w:r>
          </w:p>
        </w:tc>
      </w:tr>
      <w:tr>
        <w:trPr>
          <w:trHeight w:val="254" w:hRule="exact"/>
        </w:trPr>
        <w:tc>
          <w:tcPr>
            <w:tcW w:w="1093" w:type="dxa"/>
            <w:tcBorders>
              <w:top w:val="nil" w:sz="6" w:space="0" w:color="auto"/>
              <w:left w:val="nil" w:sz="6" w:space="0" w:color="auto"/>
              <w:bottom w:val="nil" w:sz="6" w:space="0" w:color="auto"/>
              <w:right w:val="nil" w:sz="6" w:space="0" w:color="auto"/>
            </w:tcBorders>
          </w:tcPr>
          <w:p>
            <w:pPr/>
          </w:p>
        </w:tc>
        <w:tc>
          <w:tcPr>
            <w:tcW w:w="434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6"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5,621,051.77</w:t>
            </w:r>
          </w:p>
        </w:tc>
        <w:tc>
          <w:tcPr>
            <w:tcW w:w="31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sz w:val="18"/>
              </w:rPr>
              <w:t>-</w:t>
            </w:r>
          </w:p>
        </w:tc>
      </w:tr>
    </w:tbl>
    <w:p>
      <w:pPr>
        <w:spacing w:after="0" w:line="210" w:lineRule="exact"/>
        <w:jc w:val="center"/>
        <w:rPr>
          <w:rFonts w:ascii="宋体" w:hAnsi="宋体" w:cs="宋体" w:eastAsia="宋体" w:hint="default"/>
          <w:sz w:val="18"/>
          <w:szCs w:val="18"/>
        </w:rPr>
        <w:sectPr>
          <w:pgSz w:w="11910" w:h="16840"/>
          <w:pgMar w:header="876" w:footer="980" w:top="1100" w:bottom="1160" w:left="66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992"/>
        <w:gridCol w:w="3200"/>
        <w:gridCol w:w="238"/>
        <w:gridCol w:w="1764"/>
        <w:gridCol w:w="235"/>
        <w:gridCol w:w="1664"/>
        <w:gridCol w:w="238"/>
        <w:gridCol w:w="1764"/>
      </w:tblGrid>
      <w:tr>
        <w:trPr>
          <w:trHeight w:val="378"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13</w:t>
            </w:r>
            <w:r>
              <w:rPr>
                <w:rFonts w:ascii="宋体"/>
                <w:sz w:val="21"/>
              </w:rPr>
            </w:r>
          </w:p>
        </w:tc>
        <w:tc>
          <w:tcPr>
            <w:tcW w:w="3200"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补充资料（续）</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r>
      <w:tr>
        <w:trPr>
          <w:trHeight w:val="545"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64" w:right="0"/>
              <w:jc w:val="left"/>
              <w:rPr>
                <w:rFonts w:ascii="宋体" w:hAnsi="宋体" w:cs="宋体" w:eastAsia="宋体" w:hint="default"/>
                <w:sz w:val="21"/>
                <w:szCs w:val="21"/>
              </w:rPr>
            </w:pPr>
            <w:r>
              <w:rPr>
                <w:rFonts w:ascii="宋体"/>
                <w:sz w:val="21"/>
              </w:rPr>
              <w:t>13.2</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净资产收益率及每股收益</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r>
      <w:tr>
        <w:trPr>
          <w:trHeight w:val="415" w:hRule="exact"/>
        </w:trPr>
        <w:tc>
          <w:tcPr>
            <w:tcW w:w="992" w:type="dxa"/>
            <w:tcBorders>
              <w:top w:val="nil" w:sz="6" w:space="0" w:color="auto"/>
              <w:left w:val="nil" w:sz="6" w:space="0" w:color="auto"/>
              <w:bottom w:val="nil" w:sz="6" w:space="0" w:color="auto"/>
              <w:right w:val="nil" w:sz="6" w:space="0" w:color="auto"/>
            </w:tcBorders>
          </w:tcPr>
          <w:p>
            <w:pPr/>
          </w:p>
        </w:tc>
        <w:tc>
          <w:tcPr>
            <w:tcW w:w="3200" w:type="dxa"/>
            <w:vMerge w:val="restart"/>
            <w:tcBorders>
              <w:top w:val="nil" w:sz="6" w:space="0" w:color="auto"/>
              <w:left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969" w:right="0"/>
              <w:jc w:val="left"/>
              <w:rPr>
                <w:rFonts w:ascii="宋体" w:hAnsi="宋体" w:cs="宋体" w:eastAsia="宋体" w:hint="default"/>
                <w:sz w:val="21"/>
                <w:szCs w:val="21"/>
              </w:rPr>
            </w:pPr>
            <w:r>
              <w:rPr>
                <w:rFonts w:ascii="宋体" w:hAnsi="宋体" w:cs="宋体" w:eastAsia="宋体" w:hint="default"/>
                <w:sz w:val="21"/>
                <w:szCs w:val="21"/>
              </w:rPr>
              <w:t>报告期净利润</w:t>
            </w:r>
          </w:p>
        </w:tc>
        <w:tc>
          <w:tcPr>
            <w:tcW w:w="238" w:type="dxa"/>
            <w:vMerge w:val="restart"/>
            <w:tcBorders>
              <w:top w:val="nil" w:sz="6" w:space="0" w:color="auto"/>
              <w:left w:val="nil" w:sz="6" w:space="0" w:color="auto"/>
              <w:right w:val="nil" w:sz="6" w:space="0" w:color="auto"/>
            </w:tcBorders>
          </w:tcPr>
          <w:p>
            <w:pPr/>
          </w:p>
        </w:tc>
        <w:tc>
          <w:tcPr>
            <w:tcW w:w="1764" w:type="dxa"/>
            <w:vMerge w:val="restart"/>
            <w:tcBorders>
              <w:top w:val="nil" w:sz="6" w:space="0" w:color="auto"/>
              <w:left w:val="nil" w:sz="6" w:space="0" w:color="auto"/>
              <w:right w:val="nil" w:sz="6" w:space="0" w:color="auto"/>
            </w:tcBorders>
          </w:tcPr>
          <w:p>
            <w:pPr>
              <w:pStyle w:val="TableParagraph"/>
              <w:spacing w:line="240" w:lineRule="auto" w:before="108"/>
              <w:ind w:left="566" w:right="142" w:hanging="420"/>
              <w:jc w:val="left"/>
              <w:rPr>
                <w:rFonts w:ascii="宋体" w:hAnsi="宋体" w:cs="宋体" w:eastAsia="宋体" w:hint="default"/>
                <w:sz w:val="21"/>
                <w:szCs w:val="21"/>
              </w:rPr>
            </w:pPr>
            <w:r>
              <w:rPr>
                <w:rFonts w:ascii="宋体" w:hAnsi="宋体" w:cs="宋体" w:eastAsia="宋体" w:hint="default"/>
                <w:spacing w:val="-1"/>
                <w:sz w:val="21"/>
                <w:szCs w:val="21"/>
              </w:rPr>
              <w:t>加权平均净资产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收益率</w:t>
            </w:r>
          </w:p>
        </w:tc>
        <w:tc>
          <w:tcPr>
            <w:tcW w:w="235" w:type="dxa"/>
            <w:vMerge w:val="restart"/>
            <w:tcBorders>
              <w:top w:val="nil" w:sz="6" w:space="0" w:color="auto"/>
              <w:left w:val="nil" w:sz="6" w:space="0" w:color="auto"/>
              <w:right w:val="nil" w:sz="6" w:space="0" w:color="auto"/>
            </w:tcBorders>
          </w:tcPr>
          <w:p>
            <w:pPr/>
          </w:p>
        </w:tc>
        <w:tc>
          <w:tcPr>
            <w:tcW w:w="366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3" w:hRule="exact"/>
        </w:trPr>
        <w:tc>
          <w:tcPr>
            <w:tcW w:w="992" w:type="dxa"/>
            <w:tcBorders>
              <w:top w:val="nil" w:sz="6" w:space="0" w:color="auto"/>
              <w:left w:val="nil" w:sz="6" w:space="0" w:color="auto"/>
              <w:bottom w:val="nil" w:sz="6" w:space="0" w:color="auto"/>
              <w:right w:val="nil" w:sz="6" w:space="0" w:color="auto"/>
            </w:tcBorders>
          </w:tcPr>
          <w:p>
            <w:pPr/>
          </w:p>
        </w:tc>
        <w:tc>
          <w:tcPr>
            <w:tcW w:w="3200" w:type="dxa"/>
            <w:vMerge/>
            <w:tcBorders>
              <w:left w:val="nil" w:sz="6" w:space="0" w:color="auto"/>
              <w:bottom w:val="single" w:sz="4" w:space="0" w:color="000000"/>
              <w:right w:val="nil" w:sz="6" w:space="0" w:color="auto"/>
            </w:tcBorders>
          </w:tcPr>
          <w:p>
            <w:pPr/>
          </w:p>
        </w:tc>
        <w:tc>
          <w:tcPr>
            <w:tcW w:w="238" w:type="dxa"/>
            <w:vMerge/>
            <w:tcBorders>
              <w:left w:val="nil" w:sz="6" w:space="0" w:color="auto"/>
              <w:bottom w:val="nil" w:sz="6" w:space="0" w:color="auto"/>
              <w:right w:val="nil" w:sz="6" w:space="0" w:color="auto"/>
            </w:tcBorders>
          </w:tcPr>
          <w:p>
            <w:pPr/>
          </w:p>
        </w:tc>
        <w:tc>
          <w:tcPr>
            <w:tcW w:w="1764" w:type="dxa"/>
            <w:vMerge/>
            <w:tcBorders>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38" w:type="dxa"/>
            <w:tcBorders>
              <w:top w:val="single" w:sz="4" w:space="0" w:color="000000"/>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76" w:hRule="exact"/>
        </w:trPr>
        <w:tc>
          <w:tcPr>
            <w:tcW w:w="992" w:type="dxa"/>
            <w:tcBorders>
              <w:top w:val="nil" w:sz="6" w:space="0" w:color="auto"/>
              <w:left w:val="nil" w:sz="6" w:space="0" w:color="auto"/>
              <w:bottom w:val="nil" w:sz="6" w:space="0" w:color="auto"/>
              <w:right w:val="nil" w:sz="6" w:space="0" w:color="auto"/>
            </w:tcBorders>
          </w:tcPr>
          <w:p>
            <w:pPr/>
          </w:p>
        </w:tc>
        <w:tc>
          <w:tcPr>
            <w:tcW w:w="3200"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19.46%</w:t>
            </w:r>
          </w:p>
        </w:tc>
        <w:tc>
          <w:tcPr>
            <w:tcW w:w="235"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0.58</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0.58</w:t>
            </w:r>
          </w:p>
        </w:tc>
      </w:tr>
      <w:tr>
        <w:trPr>
          <w:trHeight w:val="692" w:hRule="exact"/>
        </w:trPr>
        <w:tc>
          <w:tcPr>
            <w:tcW w:w="992" w:type="dxa"/>
            <w:tcBorders>
              <w:top w:val="nil" w:sz="6" w:space="0" w:color="auto"/>
              <w:left w:val="nil" w:sz="6" w:space="0" w:color="auto"/>
              <w:bottom w:val="nil" w:sz="6" w:space="0" w:color="auto"/>
              <w:right w:val="nil" w:sz="6" w:space="0" w:color="auto"/>
            </w:tcBorders>
          </w:tcPr>
          <w:p>
            <w:pP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17.77%</w:t>
            </w:r>
          </w:p>
        </w:tc>
        <w:tc>
          <w:tcPr>
            <w:tcW w:w="23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 w:right="0"/>
              <w:jc w:val="center"/>
              <w:rPr>
                <w:rFonts w:ascii="宋体" w:hAnsi="宋体" w:cs="宋体" w:eastAsia="宋体" w:hint="default"/>
                <w:sz w:val="21"/>
                <w:szCs w:val="21"/>
              </w:rPr>
            </w:pPr>
            <w:r>
              <w:rPr>
                <w:rFonts w:ascii="宋体"/>
                <w:sz w:val="21"/>
              </w:rPr>
              <w:t>0.53</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0.53</w:t>
            </w:r>
          </w:p>
        </w:tc>
      </w:tr>
      <w:tr>
        <w:trPr>
          <w:trHeight w:val="2573" w:hRule="exact"/>
        </w:trPr>
        <w:tc>
          <w:tcPr>
            <w:tcW w:w="992" w:type="dxa"/>
            <w:tcBorders>
              <w:top w:val="nil" w:sz="6" w:space="0" w:color="auto"/>
              <w:left w:val="nil" w:sz="6" w:space="0" w:color="auto"/>
              <w:bottom w:val="nil" w:sz="6" w:space="0" w:color="auto"/>
              <w:right w:val="nil" w:sz="6" w:space="0" w:color="auto"/>
            </w:tcBorders>
          </w:tcPr>
          <w:p>
            <w:pPr/>
          </w:p>
        </w:tc>
        <w:tc>
          <w:tcPr>
            <w:tcW w:w="910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4"/>
              <w:ind w:left="108" w:right="0"/>
              <w:jc w:val="both"/>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=P0/(E0</w:t>
            </w:r>
            <w:r>
              <w:rPr>
                <w:rFonts w:ascii="宋体" w:hAnsi="宋体" w:cs="宋体" w:eastAsia="宋体" w:hint="default"/>
                <w:sz w:val="21"/>
                <w:szCs w:val="21"/>
              </w:rPr>
              <w:t>＋</w:t>
            </w:r>
            <w:r>
              <w:rPr>
                <w:rFonts w:ascii="宋体" w:hAnsi="宋体" w:cs="宋体" w:eastAsia="宋体" w:hint="default"/>
                <w:sz w:val="21"/>
                <w:szCs w:val="21"/>
              </w:rPr>
              <w:t>NP</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Ei</w:t>
            </w:r>
            <w:r>
              <w:rPr>
                <w:rFonts w:ascii="宋体" w:hAnsi="宋体" w:cs="宋体" w:eastAsia="宋体" w:hint="default"/>
                <w:sz w:val="21"/>
                <w:szCs w:val="21"/>
              </w:rPr>
              <w:t>×</w:t>
            </w:r>
            <w:r>
              <w:rPr>
                <w:rFonts w:ascii="宋体" w:hAnsi="宋体" w:cs="宋体" w:eastAsia="宋体" w:hint="default"/>
                <w:sz w:val="21"/>
                <w:szCs w:val="21"/>
              </w:rPr>
              <w:t>Mi</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Ej</w:t>
            </w:r>
            <w:r>
              <w:rPr>
                <w:rFonts w:ascii="宋体" w:hAnsi="宋体" w:cs="宋体" w:eastAsia="宋体" w:hint="default"/>
                <w:sz w:val="21"/>
                <w:szCs w:val="21"/>
              </w:rPr>
              <w:t>×</w:t>
            </w:r>
            <w:r>
              <w:rPr>
                <w:rFonts w:ascii="宋体" w:hAnsi="宋体" w:cs="宋体" w:eastAsia="宋体" w:hint="default"/>
                <w:sz w:val="21"/>
                <w:szCs w:val="21"/>
              </w:rPr>
              <w:t>Mj</w:t>
            </w:r>
            <w:r>
              <w:rPr>
                <w:rFonts w:ascii="宋体" w:hAnsi="宋体" w:cs="宋体" w:eastAsia="宋体" w:hint="default"/>
                <w:sz w:val="21"/>
                <w:szCs w:val="21"/>
              </w:rPr>
              <w:t>÷</w:t>
            </w:r>
            <w:r>
              <w:rPr>
                <w:rFonts w:ascii="宋体" w:hAnsi="宋体" w:cs="宋体" w:eastAsia="宋体" w:hint="default"/>
                <w:sz w:val="21"/>
                <w:szCs w:val="21"/>
              </w:rPr>
              <w:t>M0</w:t>
            </w:r>
            <w:r>
              <w:rPr>
                <w:rFonts w:ascii="宋体" w:hAnsi="宋体" w:cs="宋体" w:eastAsia="宋体" w:hint="default"/>
                <w:sz w:val="21"/>
                <w:szCs w:val="21"/>
              </w:rPr>
              <w:t>±</w:t>
            </w:r>
            <w:r>
              <w:rPr>
                <w:rFonts w:ascii="宋体" w:hAnsi="宋体" w:cs="宋体" w:eastAsia="宋体" w:hint="default"/>
                <w:sz w:val="21"/>
                <w:szCs w:val="21"/>
              </w:rPr>
              <w:t>Ek</w:t>
            </w:r>
            <w:r>
              <w:rPr>
                <w:rFonts w:ascii="宋体" w:hAnsi="宋体" w:cs="宋体" w:eastAsia="宋体" w:hint="default"/>
                <w:sz w:val="21"/>
                <w:szCs w:val="21"/>
              </w:rPr>
              <w:t>×</w:t>
            </w:r>
            <w:r>
              <w:rPr>
                <w:rFonts w:ascii="宋体" w:hAnsi="宋体" w:cs="宋体" w:eastAsia="宋体" w:hint="default"/>
                <w:sz w:val="21"/>
                <w:szCs w:val="21"/>
              </w:rPr>
              <w:t>Mk</w:t>
            </w:r>
            <w:r>
              <w:rPr>
                <w:rFonts w:ascii="宋体" w:hAnsi="宋体" w:cs="宋体" w:eastAsia="宋体" w:hint="default"/>
                <w:sz w:val="21"/>
                <w:szCs w:val="21"/>
              </w:rPr>
              <w:t>÷</w:t>
            </w:r>
            <w:r>
              <w:rPr>
                <w:rFonts w:ascii="宋体" w:hAnsi="宋体" w:cs="宋体" w:eastAsia="宋体" w:hint="default"/>
                <w:sz w:val="21"/>
                <w:szCs w:val="21"/>
              </w:rPr>
              <w:t>M0)</w:t>
            </w:r>
          </w:p>
          <w:p>
            <w:pPr>
              <w:pStyle w:val="TableParagraph"/>
              <w:spacing w:line="273" w:lineRule="auto" w:before="37"/>
              <w:ind w:left="108" w:right="65"/>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P0</w:t>
            </w:r>
            <w:r>
              <w:rPr>
                <w:rFonts w:ascii="宋体" w:hAnsi="宋体" w:cs="宋体" w:eastAsia="宋体" w:hint="default"/>
                <w:spacing w:val="-45"/>
                <w:sz w:val="21"/>
                <w:szCs w:val="21"/>
              </w:rPr>
              <w:t> </w:t>
            </w:r>
            <w:r>
              <w:rPr>
                <w:rFonts w:ascii="宋体" w:hAnsi="宋体" w:cs="宋体" w:eastAsia="宋体" w:hint="default"/>
                <w:sz w:val="21"/>
                <w:szCs w:val="21"/>
              </w:rPr>
              <w:t>分别对应于归属于公司普通股股东的净利润、扣除非经常性损益后归属于公司普通股股</w:t>
            </w:r>
            <w:r>
              <w:rPr>
                <w:rFonts w:ascii="宋体" w:hAnsi="宋体" w:cs="宋体" w:eastAsia="宋体" w:hint="default"/>
                <w:w w:val="100"/>
                <w:sz w:val="21"/>
                <w:szCs w:val="21"/>
              </w:rPr>
              <w:t> </w:t>
            </w:r>
            <w:r>
              <w:rPr>
                <w:rFonts w:ascii="宋体" w:hAnsi="宋体" w:cs="宋体" w:eastAsia="宋体" w:hint="default"/>
                <w:sz w:val="21"/>
                <w:szCs w:val="21"/>
              </w:rPr>
              <w:t>东的净利润；</w:t>
            </w:r>
            <w:r>
              <w:rPr>
                <w:rFonts w:ascii="宋体" w:hAnsi="宋体" w:cs="宋体" w:eastAsia="宋体" w:hint="default"/>
                <w:sz w:val="21"/>
                <w:szCs w:val="21"/>
              </w:rPr>
              <w:t>NP</w:t>
            </w:r>
            <w:r>
              <w:rPr>
                <w:rFonts w:ascii="宋体" w:hAnsi="宋体" w:cs="宋体" w:eastAsia="宋体" w:hint="default"/>
                <w:spacing w:val="-58"/>
                <w:sz w:val="21"/>
                <w:szCs w:val="21"/>
              </w:rPr>
              <w:t> </w:t>
            </w:r>
            <w:r>
              <w:rPr>
                <w:rFonts w:ascii="宋体" w:hAnsi="宋体" w:cs="宋体" w:eastAsia="宋体" w:hint="default"/>
                <w:sz w:val="21"/>
                <w:szCs w:val="21"/>
              </w:rPr>
              <w:t>为归属于公司普通股股东的净利润；</w:t>
            </w:r>
            <w:r>
              <w:rPr>
                <w:rFonts w:ascii="宋体" w:hAnsi="宋体" w:cs="宋体" w:eastAsia="宋体" w:hint="default"/>
                <w:sz w:val="21"/>
                <w:szCs w:val="21"/>
              </w:rPr>
              <w:t>E0</w:t>
            </w:r>
            <w:r>
              <w:rPr>
                <w:rFonts w:ascii="宋体" w:hAnsi="宋体" w:cs="宋体" w:eastAsia="宋体" w:hint="default"/>
                <w:spacing w:val="-60"/>
                <w:sz w:val="21"/>
                <w:szCs w:val="21"/>
              </w:rPr>
              <w:t> </w:t>
            </w:r>
            <w:r>
              <w:rPr>
                <w:rFonts w:ascii="宋体" w:hAnsi="宋体" w:cs="宋体" w:eastAsia="宋体" w:hint="default"/>
                <w:sz w:val="21"/>
                <w:szCs w:val="21"/>
              </w:rPr>
              <w:t>为归属于公司普通股股东的期初净资产；</w:t>
            </w:r>
            <w:r>
              <w:rPr>
                <w:rFonts w:ascii="宋体" w:hAnsi="宋体" w:cs="宋体" w:eastAsia="宋体" w:hint="default"/>
                <w:w w:val="100"/>
                <w:sz w:val="21"/>
                <w:szCs w:val="21"/>
              </w:rPr>
              <w:t> </w:t>
            </w:r>
            <w:r>
              <w:rPr>
                <w:rFonts w:ascii="宋体" w:hAnsi="宋体" w:cs="宋体" w:eastAsia="宋体" w:hint="default"/>
                <w:sz w:val="21"/>
                <w:szCs w:val="21"/>
              </w:rPr>
              <w:t>Ei</w:t>
            </w:r>
            <w:r>
              <w:rPr>
                <w:rFonts w:ascii="宋体" w:hAnsi="宋体" w:cs="宋体" w:eastAsia="宋体" w:hint="default"/>
                <w:spacing w:val="-37"/>
                <w:sz w:val="21"/>
                <w:szCs w:val="21"/>
              </w:rPr>
              <w:t> </w:t>
            </w:r>
            <w:r>
              <w:rPr>
                <w:rFonts w:ascii="宋体" w:hAnsi="宋体" w:cs="宋体" w:eastAsia="宋体" w:hint="default"/>
                <w:spacing w:val="-3"/>
                <w:sz w:val="21"/>
                <w:szCs w:val="21"/>
              </w:rPr>
              <w:t>为报告期发行新股或债转股等新增的、归属于公司普通股股东的净资产；</w:t>
            </w:r>
            <w:r>
              <w:rPr>
                <w:rFonts w:ascii="宋体" w:hAnsi="宋体" w:cs="宋体" w:eastAsia="宋体" w:hint="default"/>
                <w:spacing w:val="-3"/>
                <w:sz w:val="21"/>
                <w:szCs w:val="21"/>
              </w:rPr>
              <w:t>Ej</w:t>
            </w:r>
            <w:r>
              <w:rPr>
                <w:rFonts w:ascii="宋体" w:hAnsi="宋体" w:cs="宋体" w:eastAsia="宋体" w:hint="default"/>
                <w:spacing w:val="-37"/>
                <w:sz w:val="21"/>
                <w:szCs w:val="21"/>
              </w:rPr>
              <w:t> </w:t>
            </w:r>
            <w:r>
              <w:rPr>
                <w:rFonts w:ascii="宋体" w:hAnsi="宋体" w:cs="宋体" w:eastAsia="宋体" w:hint="default"/>
                <w:sz w:val="21"/>
                <w:szCs w:val="21"/>
              </w:rPr>
              <w:t>为报告期回购或现</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金分红等减少的、归属于公司普通股股东的净资产；</w:t>
            </w:r>
            <w:r>
              <w:rPr>
                <w:rFonts w:ascii="宋体" w:hAnsi="宋体" w:cs="宋体" w:eastAsia="宋体" w:hint="default"/>
                <w:spacing w:val="-3"/>
                <w:sz w:val="21"/>
                <w:szCs w:val="21"/>
              </w:rPr>
              <w:t>M0</w:t>
            </w:r>
            <w:r>
              <w:rPr>
                <w:rFonts w:ascii="宋体" w:hAnsi="宋体" w:cs="宋体" w:eastAsia="宋体" w:hint="default"/>
                <w:spacing w:val="-33"/>
                <w:sz w:val="21"/>
                <w:szCs w:val="21"/>
              </w:rPr>
              <w:t> </w:t>
            </w:r>
            <w:r>
              <w:rPr>
                <w:rFonts w:ascii="宋体" w:hAnsi="宋体" w:cs="宋体" w:eastAsia="宋体" w:hint="default"/>
                <w:spacing w:val="-3"/>
                <w:sz w:val="21"/>
                <w:szCs w:val="21"/>
              </w:rPr>
              <w:t>为报告期月份数；</w:t>
            </w:r>
            <w:r>
              <w:rPr>
                <w:rFonts w:ascii="宋体" w:hAnsi="宋体" w:cs="宋体" w:eastAsia="宋体" w:hint="default"/>
                <w:spacing w:val="-3"/>
                <w:sz w:val="21"/>
                <w:szCs w:val="21"/>
              </w:rPr>
              <w:t>Mi</w:t>
            </w:r>
            <w:r>
              <w:rPr>
                <w:rFonts w:ascii="宋体" w:hAnsi="宋体" w:cs="宋体" w:eastAsia="宋体" w:hint="default"/>
                <w:spacing w:val="-35"/>
                <w:sz w:val="21"/>
                <w:szCs w:val="21"/>
              </w:rPr>
              <w:t> </w:t>
            </w:r>
            <w:r>
              <w:rPr>
                <w:rFonts w:ascii="宋体" w:hAnsi="宋体" w:cs="宋体" w:eastAsia="宋体" w:hint="default"/>
                <w:sz w:val="21"/>
                <w:szCs w:val="21"/>
              </w:rPr>
              <w:t>为新增净资产次月起</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至报告期期末的累计月数；</w:t>
            </w:r>
            <w:r>
              <w:rPr>
                <w:rFonts w:ascii="宋体" w:hAnsi="宋体" w:cs="宋体" w:eastAsia="宋体" w:hint="default"/>
                <w:spacing w:val="-3"/>
                <w:sz w:val="21"/>
                <w:szCs w:val="21"/>
              </w:rPr>
              <w:t>Mj</w:t>
            </w:r>
            <w:r>
              <w:rPr>
                <w:rFonts w:ascii="宋体" w:hAnsi="宋体" w:cs="宋体" w:eastAsia="宋体" w:hint="default"/>
                <w:spacing w:val="-32"/>
                <w:sz w:val="21"/>
                <w:szCs w:val="21"/>
              </w:rPr>
              <w:t> </w:t>
            </w:r>
            <w:r>
              <w:rPr>
                <w:rFonts w:ascii="宋体" w:hAnsi="宋体" w:cs="宋体" w:eastAsia="宋体" w:hint="default"/>
                <w:spacing w:val="-3"/>
                <w:sz w:val="21"/>
                <w:szCs w:val="21"/>
              </w:rPr>
              <w:t>为减少净资产次月起至报告期期末的累计月数；</w:t>
            </w:r>
            <w:r>
              <w:rPr>
                <w:rFonts w:ascii="宋体" w:hAnsi="宋体" w:cs="宋体" w:eastAsia="宋体" w:hint="default"/>
                <w:spacing w:val="-3"/>
                <w:sz w:val="21"/>
                <w:szCs w:val="21"/>
              </w:rPr>
              <w:t>Ek</w:t>
            </w:r>
            <w:r>
              <w:rPr>
                <w:rFonts w:ascii="宋体" w:hAnsi="宋体" w:cs="宋体" w:eastAsia="宋体" w:hint="default"/>
                <w:spacing w:val="-32"/>
                <w:sz w:val="21"/>
                <w:szCs w:val="21"/>
              </w:rPr>
              <w:t> </w:t>
            </w:r>
            <w:r>
              <w:rPr>
                <w:rFonts w:ascii="宋体" w:hAnsi="宋体" w:cs="宋体" w:eastAsia="宋体" w:hint="default"/>
                <w:sz w:val="21"/>
                <w:szCs w:val="21"/>
              </w:rPr>
              <w:t>为因其他交易或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事项引起的、归属于公司普通股股东的净资产增减变动；</w:t>
            </w:r>
            <w:r>
              <w:rPr>
                <w:rFonts w:ascii="宋体" w:hAnsi="宋体" w:cs="宋体" w:eastAsia="宋体" w:hint="default"/>
                <w:sz w:val="21"/>
                <w:szCs w:val="21"/>
              </w:rPr>
              <w:t>Mk</w:t>
            </w:r>
            <w:r>
              <w:rPr>
                <w:rFonts w:ascii="宋体" w:hAnsi="宋体" w:cs="宋体" w:eastAsia="宋体" w:hint="default"/>
                <w:spacing w:val="-45"/>
                <w:sz w:val="21"/>
                <w:szCs w:val="21"/>
              </w:rPr>
              <w:t> </w:t>
            </w:r>
            <w:r>
              <w:rPr>
                <w:rFonts w:ascii="宋体" w:hAnsi="宋体" w:cs="宋体" w:eastAsia="宋体" w:hint="default"/>
                <w:sz w:val="21"/>
                <w:szCs w:val="21"/>
              </w:rPr>
              <w:t>为发生其他净资产增减变动次月起至</w:t>
            </w:r>
            <w:r>
              <w:rPr>
                <w:rFonts w:ascii="宋体" w:hAnsi="宋体" w:cs="宋体" w:eastAsia="宋体" w:hint="default"/>
                <w:w w:val="100"/>
                <w:sz w:val="21"/>
                <w:szCs w:val="21"/>
              </w:rPr>
              <w:t> </w:t>
            </w:r>
            <w:r>
              <w:rPr>
                <w:rFonts w:ascii="宋体" w:hAnsi="宋体" w:cs="宋体" w:eastAsia="宋体" w:hint="default"/>
                <w:sz w:val="21"/>
                <w:szCs w:val="21"/>
              </w:rPr>
              <w:t>报告期期末的累计月数。</w:t>
            </w:r>
          </w:p>
        </w:tc>
      </w:tr>
    </w:tbl>
    <w:p>
      <w:pPr>
        <w:spacing w:after="0" w:line="273" w:lineRule="auto"/>
        <w:jc w:val="both"/>
        <w:rPr>
          <w:rFonts w:ascii="宋体" w:hAnsi="宋体" w:cs="宋体" w:eastAsia="宋体" w:hint="default"/>
          <w:sz w:val="21"/>
          <w:szCs w:val="21"/>
        </w:rPr>
        <w:sectPr>
          <w:pgSz w:w="11910" w:h="16840"/>
          <w:pgMar w:header="876" w:footer="980" w:top="1100" w:bottom="1160" w:left="76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578"/>
        <w:gridCol w:w="1566"/>
        <w:gridCol w:w="1516"/>
        <w:gridCol w:w="1499"/>
        <w:gridCol w:w="1228"/>
        <w:gridCol w:w="3523"/>
      </w:tblGrid>
      <w:tr>
        <w:trPr>
          <w:trHeight w:val="378" w:hRule="exact"/>
        </w:trPr>
        <w:tc>
          <w:tcPr>
            <w:tcW w:w="57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14</w:t>
            </w:r>
            <w:r>
              <w:rPr>
                <w:rFonts w:ascii="宋体"/>
                <w:sz w:val="21"/>
              </w:rPr>
            </w:r>
          </w:p>
        </w:tc>
        <w:tc>
          <w:tcPr>
            <w:tcW w:w="5809"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本公司合并财务报表主要项目的变动情况及原因的说明</w:t>
            </w:r>
            <w:r>
              <w:rPr>
                <w:rFonts w:ascii="宋体" w:hAnsi="宋体" w:cs="宋体" w:eastAsia="宋体" w:hint="default"/>
                <w:sz w:val="21"/>
                <w:szCs w:val="21"/>
              </w:rPr>
            </w:r>
          </w:p>
        </w:tc>
        <w:tc>
          <w:tcPr>
            <w:tcW w:w="3523" w:type="dxa"/>
            <w:tcBorders>
              <w:top w:val="nil" w:sz="6" w:space="0" w:color="auto"/>
              <w:left w:val="nil" w:sz="6" w:space="0" w:color="auto"/>
              <w:bottom w:val="nil" w:sz="6" w:space="0" w:color="auto"/>
              <w:right w:val="nil" w:sz="6" w:space="0" w:color="auto"/>
            </w:tcBorders>
          </w:tcPr>
          <w:p>
            <w:pPr/>
          </w:p>
        </w:tc>
      </w:tr>
      <w:tr>
        <w:trPr>
          <w:trHeight w:val="678"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7" w:right="0"/>
              <w:jc w:val="left"/>
              <w:rPr>
                <w:rFonts w:ascii="宋体" w:hAnsi="宋体" w:cs="宋体" w:eastAsia="宋体" w:hint="default"/>
                <w:sz w:val="21"/>
                <w:szCs w:val="21"/>
              </w:rPr>
            </w:pPr>
            <w:r>
              <w:rPr>
                <w:rFonts w:ascii="宋体" w:hAnsi="宋体" w:cs="宋体" w:eastAsia="宋体" w:hint="default"/>
                <w:b/>
                <w:bCs/>
                <w:sz w:val="21"/>
                <w:szCs w:val="21"/>
              </w:rPr>
              <w:t>报表项目</w:t>
            </w:r>
            <w:r>
              <w:rPr>
                <w:rFonts w:ascii="宋体" w:hAnsi="宋体" w:cs="宋体" w:eastAsia="宋体" w:hint="default"/>
                <w:sz w:val="21"/>
                <w:szCs w:val="21"/>
              </w:rPr>
            </w:r>
          </w:p>
        </w:tc>
        <w:tc>
          <w:tcPr>
            <w:tcW w:w="1516"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39" w:right="423"/>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z w:val="21"/>
                <w:szCs w:val="21"/>
              </w:rPr>
              <w:t>本年金额</w:t>
            </w:r>
            <w:r>
              <w:rPr>
                <w:rFonts w:ascii="宋体" w:hAnsi="宋体" w:cs="宋体" w:eastAsia="宋体" w:hint="default"/>
                <w:sz w:val="21"/>
                <w:szCs w:val="21"/>
              </w:rPr>
            </w:r>
          </w:p>
        </w:tc>
        <w:tc>
          <w:tcPr>
            <w:tcW w:w="1499"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09" w:right="437"/>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b/>
                <w:bCs/>
                <w:sz w:val="21"/>
                <w:szCs w:val="21"/>
              </w:rPr>
              <w:t>上年金额</w:t>
            </w:r>
            <w:r>
              <w:rPr>
                <w:rFonts w:ascii="宋体" w:hAnsi="宋体" w:cs="宋体" w:eastAsia="宋体" w:hint="default"/>
                <w:sz w:val="21"/>
                <w:szCs w:val="21"/>
              </w:rPr>
            </w:r>
          </w:p>
        </w:tc>
        <w:tc>
          <w:tcPr>
            <w:tcW w:w="1228"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107" w:right="0"/>
              <w:jc w:val="left"/>
              <w:rPr>
                <w:rFonts w:ascii="宋体" w:hAnsi="宋体" w:cs="宋体" w:eastAsia="宋体" w:hint="default"/>
                <w:sz w:val="21"/>
                <w:szCs w:val="21"/>
              </w:rPr>
            </w:pPr>
            <w:r>
              <w:rPr>
                <w:rFonts w:ascii="宋体" w:hAnsi="宋体" w:cs="宋体" w:eastAsia="宋体" w:hint="default"/>
                <w:b/>
                <w:bCs/>
                <w:spacing w:val="35"/>
                <w:sz w:val="21"/>
                <w:szCs w:val="21"/>
              </w:rPr>
              <w:t>变动比率</w:t>
            </w:r>
            <w:r>
              <w:rPr>
                <w:rFonts w:ascii="宋体" w:hAnsi="宋体" w:cs="宋体" w:eastAsia="宋体" w:hint="default"/>
                <w:b/>
                <w:bCs/>
                <w:spacing w:val="-58"/>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2"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487"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247,726,796.12</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296,183,647.67</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pacing w:val="-1"/>
                <w:sz w:val="18"/>
              </w:rPr>
              <w:t>-16.36</w:t>
            </w:r>
          </w:p>
        </w:tc>
        <w:tc>
          <w:tcPr>
            <w:tcW w:w="3523" w:type="dxa"/>
            <w:tcBorders>
              <w:top w:val="nil" w:sz="6" w:space="0" w:color="auto"/>
              <w:left w:val="nil" w:sz="6" w:space="0" w:color="auto"/>
              <w:bottom w:val="nil" w:sz="6" w:space="0" w:color="auto"/>
              <w:right w:val="nil" w:sz="6" w:space="0" w:color="auto"/>
            </w:tcBorders>
          </w:tcPr>
          <w:p>
            <w:pPr>
              <w:pStyle w:val="TableParagraph"/>
              <w:spacing w:line="208" w:lineRule="exact"/>
              <w:ind w:left="82" w:right="0"/>
              <w:jc w:val="left"/>
              <w:rPr>
                <w:rFonts w:ascii="宋体" w:hAnsi="宋体" w:cs="宋体" w:eastAsia="宋体" w:hint="default"/>
                <w:sz w:val="18"/>
                <w:szCs w:val="18"/>
              </w:rPr>
            </w:pPr>
            <w:r>
              <w:rPr>
                <w:rFonts w:ascii="宋体" w:hAnsi="宋体" w:cs="宋体" w:eastAsia="宋体" w:hint="default"/>
                <w:spacing w:val="6"/>
                <w:sz w:val="18"/>
                <w:szCs w:val="18"/>
              </w:rPr>
              <w:t>本公司 </w:t>
            </w:r>
            <w:r>
              <w:rPr>
                <w:rFonts w:ascii="宋体" w:hAnsi="宋体" w:cs="宋体" w:eastAsia="宋体" w:hint="default"/>
                <w:sz w:val="18"/>
                <w:szCs w:val="18"/>
              </w:rPr>
              <w:t>2011</w:t>
            </w:r>
            <w:r>
              <w:rPr>
                <w:rFonts w:ascii="宋体" w:hAnsi="宋体" w:cs="宋体" w:eastAsia="宋体" w:hint="default"/>
                <w:spacing w:val="19"/>
                <w:sz w:val="18"/>
                <w:szCs w:val="18"/>
              </w:rPr>
              <w:t> </w:t>
            </w:r>
            <w:r>
              <w:rPr>
                <w:rFonts w:ascii="宋体" w:hAnsi="宋体" w:cs="宋体" w:eastAsia="宋体" w:hint="default"/>
                <w:spacing w:val="7"/>
                <w:sz w:val="18"/>
                <w:szCs w:val="18"/>
              </w:rPr>
              <w:t>年内为购买办公楼</w:t>
            </w:r>
            <w:r>
              <w:rPr>
                <w:rFonts w:ascii="MS UI Gothic" w:hAnsi="MS UI Gothic" w:cs="MS UI Gothic" w:eastAsia="MS UI Gothic" w:hint="default"/>
                <w:spacing w:val="7"/>
                <w:sz w:val="18"/>
                <w:szCs w:val="18"/>
              </w:rPr>
              <w:t>付款</w:t>
            </w:r>
            <w:r>
              <w:rPr>
                <w:rFonts w:ascii="宋体" w:hAnsi="宋体" w:cs="宋体" w:eastAsia="宋体" w:hint="default"/>
                <w:spacing w:val="7"/>
                <w:sz w:val="18"/>
                <w:szCs w:val="18"/>
              </w:rPr>
              <w:t>所</w:t>
            </w:r>
          </w:p>
          <w:p>
            <w:pPr>
              <w:pStyle w:val="TableParagraph"/>
              <w:spacing w:line="234" w:lineRule="exact"/>
              <w:ind w:left="8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274"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6"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30,849,856.34</w:t>
            </w:r>
          </w:p>
        </w:tc>
        <w:tc>
          <w:tcPr>
            <w:tcW w:w="1499" w:type="dxa"/>
            <w:tcBorders>
              <w:top w:val="nil" w:sz="6" w:space="0" w:color="auto"/>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pacing w:val="-1"/>
                <w:sz w:val="18"/>
              </w:rPr>
              <w:t>25,388,054.15</w:t>
            </w:r>
          </w:p>
        </w:tc>
        <w:tc>
          <w:tcPr>
            <w:tcW w:w="1228" w:type="dxa"/>
            <w:tcBorders>
              <w:top w:val="nil" w:sz="6" w:space="0" w:color="auto"/>
              <w:left w:val="nil" w:sz="6" w:space="0" w:color="auto"/>
              <w:bottom w:val="nil" w:sz="6" w:space="0" w:color="auto"/>
              <w:right w:val="nil" w:sz="6" w:space="0" w:color="auto"/>
            </w:tcBorders>
          </w:tcPr>
          <w:p>
            <w:pPr>
              <w:pStyle w:val="TableParagraph"/>
              <w:spacing w:line="226" w:lineRule="exact"/>
              <w:ind w:right="130"/>
              <w:jc w:val="right"/>
              <w:rPr>
                <w:rFonts w:ascii="宋体" w:hAnsi="宋体" w:cs="宋体" w:eastAsia="宋体" w:hint="default"/>
                <w:sz w:val="18"/>
                <w:szCs w:val="18"/>
              </w:rPr>
            </w:pPr>
            <w:r>
              <w:rPr>
                <w:rFonts w:ascii="宋体"/>
                <w:sz w:val="18"/>
              </w:rPr>
              <w:t>21.51</w:t>
            </w:r>
          </w:p>
        </w:tc>
        <w:tc>
          <w:tcPr>
            <w:tcW w:w="3523"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18"/>
                <w:szCs w:val="18"/>
              </w:rPr>
            </w:pPr>
            <w:r>
              <w:rPr>
                <w:rFonts w:ascii="宋体" w:hAnsi="宋体" w:cs="宋体" w:eastAsia="宋体" w:hint="default"/>
                <w:sz w:val="18"/>
                <w:szCs w:val="18"/>
              </w:rPr>
              <w:t>营业收入增长导致应收账款相应增加。</w:t>
            </w:r>
          </w:p>
        </w:tc>
      </w:tr>
      <w:tr>
        <w:trPr>
          <w:trHeight w:val="720"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3,197,618.00</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8,115,134.41</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spacing w:val="-1"/>
                <w:sz w:val="18"/>
              </w:rPr>
              <w:t>-60.60</w:t>
            </w:r>
          </w:p>
        </w:tc>
        <w:tc>
          <w:tcPr>
            <w:tcW w:w="3523" w:type="dxa"/>
            <w:tcBorders>
              <w:top w:val="nil" w:sz="6" w:space="0" w:color="auto"/>
              <w:left w:val="nil" w:sz="6" w:space="0" w:color="auto"/>
              <w:bottom w:val="nil" w:sz="6" w:space="0" w:color="auto"/>
              <w:right w:val="nil" w:sz="6" w:space="0" w:color="auto"/>
            </w:tcBorders>
          </w:tcPr>
          <w:p>
            <w:pPr>
              <w:pStyle w:val="TableParagraph"/>
              <w:spacing w:line="237" w:lineRule="auto"/>
              <w:ind w:left="82" w:right="245"/>
              <w:jc w:val="both"/>
              <w:rPr>
                <w:rFonts w:ascii="宋体" w:hAnsi="宋体" w:cs="宋体" w:eastAsia="宋体" w:hint="default"/>
                <w:sz w:val="18"/>
                <w:szCs w:val="18"/>
              </w:rPr>
            </w:pPr>
            <w:r>
              <w:rPr>
                <w:rFonts w:ascii="宋体" w:hAnsi="宋体" w:cs="宋体" w:eastAsia="宋体" w:hint="default"/>
                <w:sz w:val="18"/>
                <w:szCs w:val="18"/>
              </w:rPr>
              <w:t>上年末暂付的购房意向金 </w:t>
            </w:r>
            <w:r>
              <w:rPr>
                <w:rFonts w:ascii="宋体" w:hAnsi="宋体" w:cs="宋体" w:eastAsia="宋体" w:hint="default"/>
                <w:sz w:val="18"/>
                <w:szCs w:val="18"/>
              </w:rPr>
              <w:t>500</w:t>
            </w:r>
            <w:r>
              <w:rPr>
                <w:rFonts w:ascii="宋体" w:hAnsi="宋体" w:cs="宋体" w:eastAsia="宋体" w:hint="default"/>
                <w:spacing w:val="33"/>
                <w:sz w:val="18"/>
                <w:szCs w:val="18"/>
              </w:rPr>
              <w:t> </w:t>
            </w:r>
            <w:r>
              <w:rPr>
                <w:rFonts w:ascii="宋体" w:hAnsi="宋体" w:cs="宋体" w:eastAsia="宋体" w:hint="default"/>
                <w:sz w:val="18"/>
                <w:szCs w:val="18"/>
              </w:rPr>
              <w:t>万元本年</w:t>
            </w:r>
            <w:r>
              <w:rPr>
                <w:rFonts w:ascii="宋体" w:hAnsi="宋体" w:cs="宋体" w:eastAsia="宋体" w:hint="default"/>
                <w:spacing w:val="2"/>
                <w:sz w:val="18"/>
                <w:szCs w:val="18"/>
              </w:rPr>
              <w:t> </w:t>
            </w:r>
            <w:r>
              <w:rPr>
                <w:rFonts w:ascii="宋体" w:hAnsi="宋体" w:cs="宋体" w:eastAsia="宋体" w:hint="default"/>
                <w:spacing w:val="-3"/>
                <w:sz w:val="18"/>
                <w:szCs w:val="18"/>
              </w:rPr>
              <w:t>转入固定资产，导致本年末其他应收款余</w:t>
            </w:r>
            <w:r>
              <w:rPr>
                <w:rFonts w:ascii="宋体" w:hAnsi="宋体" w:cs="宋体" w:eastAsia="宋体" w:hint="default"/>
                <w:sz w:val="18"/>
                <w:szCs w:val="18"/>
              </w:rPr>
              <w:t> 额大幅减少。</w:t>
            </w:r>
          </w:p>
        </w:tc>
      </w:tr>
      <w:tr>
        <w:trPr>
          <w:trHeight w:val="934"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7"/>
              <w:jc w:val="right"/>
              <w:rPr>
                <w:rFonts w:ascii="宋体" w:hAnsi="宋体" w:cs="宋体" w:eastAsia="宋体" w:hint="default"/>
                <w:sz w:val="18"/>
                <w:szCs w:val="18"/>
              </w:rPr>
            </w:pPr>
            <w:r>
              <w:rPr>
                <w:rFonts w:ascii="宋体"/>
                <w:spacing w:val="-1"/>
                <w:sz w:val="18"/>
              </w:rPr>
              <w:t>123,119,088.45</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6"/>
              <w:jc w:val="right"/>
              <w:rPr>
                <w:rFonts w:ascii="宋体" w:hAnsi="宋体" w:cs="宋体" w:eastAsia="宋体" w:hint="default"/>
                <w:sz w:val="18"/>
                <w:szCs w:val="18"/>
              </w:rPr>
            </w:pPr>
            <w:r>
              <w:rPr>
                <w:rFonts w:ascii="宋体"/>
                <w:spacing w:val="-1"/>
                <w:sz w:val="18"/>
              </w:rPr>
              <w:t>14,062,094.49</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30"/>
              <w:jc w:val="right"/>
              <w:rPr>
                <w:rFonts w:ascii="宋体" w:hAnsi="宋体" w:cs="宋体" w:eastAsia="宋体" w:hint="default"/>
                <w:sz w:val="18"/>
                <w:szCs w:val="18"/>
              </w:rPr>
            </w:pPr>
            <w:r>
              <w:rPr>
                <w:rFonts w:ascii="宋体"/>
                <w:spacing w:val="-1"/>
                <w:sz w:val="18"/>
              </w:rPr>
              <w:t>775.54</w:t>
            </w:r>
          </w:p>
        </w:tc>
        <w:tc>
          <w:tcPr>
            <w:tcW w:w="3523" w:type="dxa"/>
            <w:tcBorders>
              <w:top w:val="nil" w:sz="6" w:space="0" w:color="auto"/>
              <w:left w:val="nil" w:sz="6" w:space="0" w:color="auto"/>
              <w:bottom w:val="nil" w:sz="6" w:space="0" w:color="auto"/>
              <w:right w:val="nil" w:sz="6" w:space="0" w:color="auto"/>
            </w:tcBorders>
          </w:tcPr>
          <w:p>
            <w:pPr>
              <w:pStyle w:val="TableParagraph"/>
              <w:spacing w:line="205" w:lineRule="exact"/>
              <w:ind w:left="82" w:right="0"/>
              <w:jc w:val="both"/>
              <w:rPr>
                <w:rFonts w:ascii="宋体" w:hAnsi="宋体" w:cs="宋体" w:eastAsia="宋体" w:hint="default"/>
                <w:sz w:val="18"/>
                <w:szCs w:val="18"/>
              </w:rPr>
            </w:pPr>
            <w:r>
              <w:rPr>
                <w:rFonts w:ascii="宋体" w:hAnsi="宋体" w:cs="宋体" w:eastAsia="宋体" w:hint="default"/>
                <w:spacing w:val="7"/>
                <w:sz w:val="18"/>
                <w:szCs w:val="18"/>
              </w:rPr>
              <w:t>本年购买位于上海市徐汇区宜山路</w:t>
            </w:r>
            <w:r>
              <w:rPr>
                <w:rFonts w:ascii="宋体" w:hAnsi="宋体" w:cs="宋体" w:eastAsia="宋体" w:hint="default"/>
                <w:spacing w:val="20"/>
                <w:sz w:val="18"/>
                <w:szCs w:val="18"/>
              </w:rPr>
              <w:t> </w:t>
            </w:r>
            <w:r>
              <w:rPr>
                <w:rFonts w:ascii="宋体" w:hAnsi="宋体" w:cs="宋体" w:eastAsia="宋体" w:hint="default"/>
                <w:sz w:val="18"/>
                <w:szCs w:val="18"/>
              </w:rPr>
              <w:t>700</w:t>
            </w:r>
          </w:p>
          <w:p>
            <w:pPr>
              <w:pStyle w:val="TableParagraph"/>
              <w:spacing w:line="237" w:lineRule="auto"/>
              <w:ind w:left="82" w:right="247"/>
              <w:jc w:val="both"/>
              <w:rPr>
                <w:rFonts w:ascii="宋体" w:hAnsi="宋体" w:cs="宋体" w:eastAsia="宋体" w:hint="default"/>
                <w:sz w:val="18"/>
                <w:szCs w:val="18"/>
              </w:rPr>
            </w:pPr>
            <w:r>
              <w:rPr>
                <w:rFonts w:ascii="宋体" w:hAnsi="宋体" w:cs="宋体" w:eastAsia="宋体" w:hint="default"/>
                <w:sz w:val="18"/>
                <w:szCs w:val="18"/>
              </w:rPr>
              <w:t>号“普天信息产业园”</w:t>
            </w:r>
            <w:r>
              <w:rPr>
                <w:rFonts w:ascii="宋体" w:hAnsi="宋体" w:cs="宋体" w:eastAsia="宋体" w:hint="default"/>
                <w:spacing w:val="-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层 </w:t>
            </w:r>
            <w:r>
              <w:rPr>
                <w:rFonts w:ascii="宋体" w:hAnsi="宋体" w:cs="宋体" w:eastAsia="宋体" w:hint="default"/>
                <w:spacing w:val="7"/>
                <w:sz w:val="18"/>
                <w:szCs w:val="18"/>
              </w:rPr>
              <w:t>房屋作为办公楼使用，增加本年固定资</w:t>
            </w:r>
            <w:r>
              <w:rPr>
                <w:rFonts w:ascii="宋体" w:hAnsi="宋体" w:cs="宋体" w:eastAsia="宋体" w:hint="default"/>
                <w:sz w:val="18"/>
                <w:szCs w:val="18"/>
              </w:rPr>
              <w:t> 产。</w:t>
            </w:r>
          </w:p>
        </w:tc>
      </w:tr>
      <w:tr>
        <w:trPr>
          <w:trHeight w:val="469"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3,194,138.72</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1,715,732.24</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86.17</w:t>
            </w:r>
          </w:p>
        </w:tc>
        <w:tc>
          <w:tcPr>
            <w:tcW w:w="3523"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18"/>
                <w:szCs w:val="18"/>
              </w:rPr>
            </w:pPr>
            <w:r>
              <w:rPr>
                <w:rFonts w:ascii="宋体" w:hAnsi="宋体" w:cs="宋体" w:eastAsia="宋体" w:hint="default"/>
                <w:spacing w:val="7"/>
                <w:sz w:val="18"/>
                <w:szCs w:val="18"/>
              </w:rPr>
              <w:t>本年新增开发轨道交通站务设备嵌入式</w:t>
            </w: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软件项目所致。</w:t>
            </w:r>
          </w:p>
        </w:tc>
      </w:tr>
      <w:tr>
        <w:trPr>
          <w:trHeight w:val="485"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宋体" w:hAnsi="宋体" w:cs="宋体" w:eastAsia="宋体" w:hint="default"/>
                <w:sz w:val="18"/>
                <w:szCs w:val="18"/>
              </w:rPr>
            </w:pPr>
            <w:r>
              <w:rPr>
                <w:rFonts w:ascii="宋体"/>
                <w:sz w:val="18"/>
              </w:rPr>
              <w:t>-</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pacing w:val="-1"/>
                <w:sz w:val="18"/>
              </w:rPr>
              <w:t>20,000.00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
              <w:jc w:val="right"/>
              <w:rPr>
                <w:rFonts w:ascii="宋体" w:hAnsi="宋体" w:cs="宋体" w:eastAsia="宋体" w:hint="default"/>
                <w:sz w:val="18"/>
                <w:szCs w:val="18"/>
              </w:rPr>
            </w:pPr>
            <w:r>
              <w:rPr>
                <w:rFonts w:ascii="宋体"/>
                <w:sz w:val="18"/>
              </w:rPr>
              <w:t>-100.00</w:t>
            </w:r>
          </w:p>
        </w:tc>
        <w:tc>
          <w:tcPr>
            <w:tcW w:w="3523" w:type="dxa"/>
            <w:tcBorders>
              <w:top w:val="nil" w:sz="6" w:space="0" w:color="auto"/>
              <w:left w:val="nil" w:sz="6" w:space="0" w:color="auto"/>
              <w:bottom w:val="nil" w:sz="6" w:space="0" w:color="auto"/>
              <w:right w:val="nil" w:sz="6" w:space="0" w:color="auto"/>
            </w:tcBorders>
          </w:tcPr>
          <w:p>
            <w:pPr>
              <w:pStyle w:val="TableParagraph"/>
              <w:spacing w:line="205" w:lineRule="exact"/>
              <w:ind w:left="82" w:right="0"/>
              <w:jc w:val="left"/>
              <w:rPr>
                <w:rFonts w:ascii="宋体" w:hAnsi="宋体" w:cs="宋体" w:eastAsia="宋体" w:hint="default"/>
                <w:sz w:val="18"/>
                <w:szCs w:val="18"/>
              </w:rPr>
            </w:pPr>
            <w:r>
              <w:rPr>
                <w:rFonts w:ascii="宋体" w:hAnsi="宋体" w:cs="宋体" w:eastAsia="宋体" w:hint="default"/>
                <w:spacing w:val="7"/>
                <w:sz w:val="18"/>
                <w:szCs w:val="18"/>
              </w:rPr>
              <w:t>本年坏账准备转回相应可抵扣暂时性差</w:t>
            </w:r>
          </w:p>
          <w:p>
            <w:pPr>
              <w:pStyle w:val="TableParagraph"/>
              <w:spacing w:line="234" w:lineRule="exact"/>
              <w:ind w:left="82" w:right="0"/>
              <w:jc w:val="left"/>
              <w:rPr>
                <w:rFonts w:ascii="宋体" w:hAnsi="宋体" w:cs="宋体" w:eastAsia="宋体" w:hint="default"/>
                <w:sz w:val="18"/>
                <w:szCs w:val="18"/>
              </w:rPr>
            </w:pPr>
            <w:r>
              <w:rPr>
                <w:rFonts w:ascii="宋体" w:hAnsi="宋体" w:cs="宋体" w:eastAsia="宋体" w:hint="default"/>
                <w:sz w:val="18"/>
                <w:szCs w:val="18"/>
              </w:rPr>
              <w:t>异减少所致。</w:t>
            </w:r>
          </w:p>
        </w:tc>
      </w:tr>
      <w:tr>
        <w:trPr>
          <w:trHeight w:val="274"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6"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2,207,983.10</w:t>
            </w:r>
          </w:p>
        </w:tc>
        <w:tc>
          <w:tcPr>
            <w:tcW w:w="1499" w:type="dxa"/>
            <w:tcBorders>
              <w:top w:val="nil" w:sz="6" w:space="0" w:color="auto"/>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pacing w:val="-1"/>
                <w:sz w:val="18"/>
              </w:rPr>
              <w:t>678,579.56</w:t>
            </w:r>
          </w:p>
        </w:tc>
        <w:tc>
          <w:tcPr>
            <w:tcW w:w="1228" w:type="dxa"/>
            <w:tcBorders>
              <w:top w:val="nil" w:sz="6" w:space="0" w:color="auto"/>
              <w:left w:val="nil" w:sz="6" w:space="0" w:color="auto"/>
              <w:bottom w:val="nil" w:sz="6" w:space="0" w:color="auto"/>
              <w:right w:val="nil" w:sz="6" w:space="0" w:color="auto"/>
            </w:tcBorders>
          </w:tcPr>
          <w:p>
            <w:pPr>
              <w:pStyle w:val="TableParagraph"/>
              <w:spacing w:line="226" w:lineRule="exact"/>
              <w:ind w:right="130"/>
              <w:jc w:val="right"/>
              <w:rPr>
                <w:rFonts w:ascii="宋体" w:hAnsi="宋体" w:cs="宋体" w:eastAsia="宋体" w:hint="default"/>
                <w:sz w:val="18"/>
                <w:szCs w:val="18"/>
              </w:rPr>
            </w:pPr>
            <w:r>
              <w:rPr>
                <w:rFonts w:ascii="宋体"/>
                <w:spacing w:val="-1"/>
                <w:sz w:val="18"/>
              </w:rPr>
              <w:t>225.38</w:t>
            </w:r>
          </w:p>
        </w:tc>
        <w:tc>
          <w:tcPr>
            <w:tcW w:w="3523"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18"/>
                <w:szCs w:val="18"/>
              </w:rPr>
            </w:pPr>
            <w:r>
              <w:rPr>
                <w:rFonts w:ascii="宋体" w:hAnsi="宋体" w:cs="宋体" w:eastAsia="宋体" w:hint="default"/>
                <w:sz w:val="18"/>
                <w:szCs w:val="18"/>
              </w:rPr>
              <w:t>年末应付外部公司软件开发费增加所致。</w:t>
            </w:r>
          </w:p>
        </w:tc>
      </w:tr>
      <w:tr>
        <w:trPr>
          <w:trHeight w:val="720"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969,036.67</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1,487,591.04</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sz w:val="18"/>
              </w:rPr>
              <w:t>-34.8</w:t>
            </w:r>
          </w:p>
        </w:tc>
        <w:tc>
          <w:tcPr>
            <w:tcW w:w="3523" w:type="dxa"/>
            <w:tcBorders>
              <w:top w:val="nil" w:sz="6" w:space="0" w:color="auto"/>
              <w:left w:val="nil" w:sz="6" w:space="0" w:color="auto"/>
              <w:bottom w:val="nil" w:sz="6" w:space="0" w:color="auto"/>
              <w:right w:val="nil" w:sz="6" w:space="0" w:color="auto"/>
            </w:tcBorders>
          </w:tcPr>
          <w:p>
            <w:pPr>
              <w:pStyle w:val="TableParagraph"/>
              <w:spacing w:line="237" w:lineRule="auto"/>
              <w:ind w:left="82" w:right="256"/>
              <w:jc w:val="both"/>
              <w:rPr>
                <w:rFonts w:ascii="宋体" w:hAnsi="宋体" w:cs="宋体" w:eastAsia="宋体" w:hint="default"/>
                <w:sz w:val="18"/>
                <w:szCs w:val="18"/>
              </w:rPr>
            </w:pPr>
            <w:r>
              <w:rPr>
                <w:rFonts w:ascii="宋体" w:hAnsi="宋体" w:cs="宋体" w:eastAsia="宋体" w:hint="default"/>
                <w:spacing w:val="7"/>
                <w:sz w:val="18"/>
                <w:szCs w:val="18"/>
              </w:rPr>
              <w:t>子公司上海华钟计算机软件开发有限公</w:t>
            </w:r>
            <w:r>
              <w:rPr>
                <w:rFonts w:ascii="宋体" w:hAnsi="宋体" w:cs="宋体" w:eastAsia="宋体" w:hint="default"/>
                <w:sz w:val="18"/>
                <w:szCs w:val="18"/>
              </w:rPr>
              <w:t> </w:t>
            </w:r>
            <w:r>
              <w:rPr>
                <w:rFonts w:ascii="宋体" w:hAnsi="宋体" w:cs="宋体" w:eastAsia="宋体" w:hint="default"/>
                <w:spacing w:val="7"/>
                <w:sz w:val="18"/>
                <w:szCs w:val="18"/>
              </w:rPr>
              <w:t>司较上年末签约预收客户的计算机系统</w:t>
            </w:r>
            <w:r>
              <w:rPr>
                <w:rFonts w:ascii="宋体" w:hAnsi="宋体" w:cs="宋体" w:eastAsia="宋体" w:hint="default"/>
                <w:sz w:val="18"/>
                <w:szCs w:val="18"/>
              </w:rPr>
              <w:t> 服务款项减少所致。</w:t>
            </w:r>
          </w:p>
        </w:tc>
      </w:tr>
      <w:tr>
        <w:trPr>
          <w:trHeight w:val="1420"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7"/>
              <w:jc w:val="right"/>
              <w:rPr>
                <w:rFonts w:ascii="宋体" w:hAnsi="宋体" w:cs="宋体" w:eastAsia="宋体" w:hint="default"/>
                <w:sz w:val="18"/>
                <w:szCs w:val="18"/>
              </w:rPr>
            </w:pPr>
            <w:r>
              <w:rPr>
                <w:rFonts w:ascii="宋体"/>
                <w:spacing w:val="-1"/>
                <w:sz w:val="18"/>
              </w:rPr>
              <w:t>11,595,569.18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6"/>
              <w:jc w:val="right"/>
              <w:rPr>
                <w:rFonts w:ascii="宋体" w:hAnsi="宋体" w:cs="宋体" w:eastAsia="宋体" w:hint="default"/>
                <w:sz w:val="18"/>
                <w:szCs w:val="18"/>
              </w:rPr>
            </w:pPr>
            <w:r>
              <w:rPr>
                <w:rFonts w:ascii="宋体"/>
                <w:spacing w:val="-1"/>
                <w:sz w:val="18"/>
              </w:rPr>
              <w:t>7,052,159.27</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30"/>
              <w:jc w:val="right"/>
              <w:rPr>
                <w:rFonts w:ascii="宋体" w:hAnsi="宋体" w:cs="宋体" w:eastAsia="宋体" w:hint="default"/>
                <w:sz w:val="18"/>
                <w:szCs w:val="18"/>
              </w:rPr>
            </w:pPr>
            <w:r>
              <w:rPr>
                <w:rFonts w:ascii="宋体"/>
                <w:sz w:val="18"/>
              </w:rPr>
              <w:t>64.43</w:t>
            </w:r>
          </w:p>
        </w:tc>
        <w:tc>
          <w:tcPr>
            <w:tcW w:w="3523" w:type="dxa"/>
            <w:tcBorders>
              <w:top w:val="nil" w:sz="6" w:space="0" w:color="auto"/>
              <w:left w:val="nil" w:sz="6" w:space="0" w:color="auto"/>
              <w:bottom w:val="nil" w:sz="6" w:space="0" w:color="auto"/>
              <w:right w:val="nil" w:sz="6" w:space="0" w:color="auto"/>
            </w:tcBorders>
          </w:tcPr>
          <w:p>
            <w:pPr>
              <w:pStyle w:val="TableParagraph"/>
              <w:spacing w:line="205" w:lineRule="exact"/>
              <w:ind w:left="82" w:right="0"/>
              <w:jc w:val="both"/>
              <w:rPr>
                <w:rFonts w:ascii="宋体" w:hAnsi="宋体" w:cs="宋体" w:eastAsia="宋体" w:hint="default"/>
                <w:sz w:val="18"/>
                <w:szCs w:val="18"/>
              </w:rPr>
            </w:pPr>
            <w:r>
              <w:rPr>
                <w:rFonts w:ascii="宋体" w:hAnsi="宋体" w:cs="宋体" w:eastAsia="宋体" w:hint="default"/>
                <w:spacing w:val="-4"/>
                <w:sz w:val="18"/>
                <w:szCs w:val="18"/>
              </w:rPr>
              <w:t>年末应交所得税余额大幅增加所致，上年</w:t>
            </w:r>
          </w:p>
          <w:p>
            <w:pPr>
              <w:pStyle w:val="TableParagraph"/>
              <w:spacing w:line="237" w:lineRule="auto"/>
              <w:ind w:left="82" w:right="250"/>
              <w:jc w:val="both"/>
              <w:rPr>
                <w:rFonts w:ascii="宋体" w:hAnsi="宋体" w:cs="宋体" w:eastAsia="宋体" w:hint="default"/>
                <w:sz w:val="18"/>
                <w:szCs w:val="18"/>
              </w:rPr>
            </w:pPr>
            <w:r>
              <w:rPr>
                <w:rFonts w:ascii="宋体" w:hAnsi="宋体" w:cs="宋体" w:eastAsia="宋体" w:hint="default"/>
                <w:spacing w:val="7"/>
                <w:sz w:val="18"/>
                <w:szCs w:val="18"/>
              </w:rPr>
              <w:t>本公司享受国家布局内重点软件企业所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得税减按</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z w:val="18"/>
                <w:szCs w:val="18"/>
              </w:rPr>
              <w:t>计缴，本年作为高新技术企 业所得税按</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z w:val="18"/>
                <w:szCs w:val="18"/>
              </w:rPr>
              <w:t>计缴，企业所得税率增加 </w:t>
            </w:r>
            <w:r>
              <w:rPr>
                <w:rFonts w:ascii="宋体" w:hAnsi="宋体" w:cs="宋体" w:eastAsia="宋体" w:hint="default"/>
                <w:spacing w:val="7"/>
                <w:sz w:val="18"/>
                <w:szCs w:val="18"/>
              </w:rPr>
              <w:t>和利润总额增加导致应交所得税余额增</w:t>
            </w:r>
            <w:r>
              <w:rPr>
                <w:rFonts w:ascii="宋体" w:hAnsi="宋体" w:cs="宋体" w:eastAsia="宋体" w:hint="default"/>
                <w:sz w:val="18"/>
                <w:szCs w:val="18"/>
              </w:rPr>
              <w:t> 加。</w:t>
            </w:r>
          </w:p>
        </w:tc>
      </w:tr>
      <w:tr>
        <w:trPr>
          <w:trHeight w:val="274"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27" w:lineRule="exact"/>
              <w:ind w:left="1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6"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pacing w:val="-1"/>
                <w:sz w:val="18"/>
              </w:rPr>
              <w:t>374,933.55</w:t>
            </w:r>
          </w:p>
        </w:tc>
        <w:tc>
          <w:tcPr>
            <w:tcW w:w="1499" w:type="dxa"/>
            <w:tcBorders>
              <w:top w:val="nil" w:sz="6" w:space="0" w:color="auto"/>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958,910.34</w:t>
            </w:r>
          </w:p>
        </w:tc>
        <w:tc>
          <w:tcPr>
            <w:tcW w:w="1228" w:type="dxa"/>
            <w:tcBorders>
              <w:top w:val="nil" w:sz="6" w:space="0" w:color="auto"/>
              <w:left w:val="nil" w:sz="6" w:space="0" w:color="auto"/>
              <w:bottom w:val="nil" w:sz="6" w:space="0" w:color="auto"/>
              <w:right w:val="nil" w:sz="6" w:space="0" w:color="auto"/>
            </w:tcBorders>
          </w:tcPr>
          <w:p>
            <w:pPr>
              <w:pStyle w:val="TableParagraph"/>
              <w:spacing w:line="227" w:lineRule="exact"/>
              <w:ind w:right="130"/>
              <w:jc w:val="right"/>
              <w:rPr>
                <w:rFonts w:ascii="宋体" w:hAnsi="宋体" w:cs="宋体" w:eastAsia="宋体" w:hint="default"/>
                <w:sz w:val="18"/>
                <w:szCs w:val="18"/>
              </w:rPr>
            </w:pPr>
            <w:r>
              <w:rPr>
                <w:rFonts w:ascii="宋体"/>
                <w:spacing w:val="-1"/>
                <w:sz w:val="18"/>
              </w:rPr>
              <w:t>-60.90</w:t>
            </w:r>
          </w:p>
        </w:tc>
        <w:tc>
          <w:tcPr>
            <w:tcW w:w="3523" w:type="dxa"/>
            <w:tcBorders>
              <w:top w:val="nil" w:sz="6" w:space="0" w:color="auto"/>
              <w:left w:val="nil" w:sz="6" w:space="0" w:color="auto"/>
              <w:bottom w:val="nil" w:sz="6" w:space="0" w:color="auto"/>
              <w:right w:val="nil" w:sz="6" w:space="0" w:color="auto"/>
            </w:tcBorders>
          </w:tcPr>
          <w:p>
            <w:pPr>
              <w:pStyle w:val="TableParagraph"/>
              <w:spacing w:line="227"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本年末偿付了较多暂收款所致。</w:t>
            </w:r>
          </w:p>
        </w:tc>
      </w:tr>
      <w:tr>
        <w:trPr>
          <w:trHeight w:val="954"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8"/>
              <w:jc w:val="right"/>
              <w:rPr>
                <w:rFonts w:ascii="宋体" w:hAnsi="宋体" w:cs="宋体" w:eastAsia="宋体" w:hint="default"/>
                <w:sz w:val="18"/>
                <w:szCs w:val="18"/>
              </w:rPr>
            </w:pPr>
            <w:r>
              <w:rPr>
                <w:rFonts w:ascii="宋体"/>
                <w:sz w:val="18"/>
              </w:rPr>
              <w:t>-</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6"/>
              <w:jc w:val="right"/>
              <w:rPr>
                <w:rFonts w:ascii="宋体" w:hAnsi="宋体" w:cs="宋体" w:eastAsia="宋体" w:hint="default"/>
                <w:sz w:val="18"/>
                <w:szCs w:val="18"/>
              </w:rPr>
            </w:pPr>
            <w:r>
              <w:rPr>
                <w:rFonts w:ascii="宋体"/>
                <w:spacing w:val="-1"/>
                <w:sz w:val="18"/>
              </w:rPr>
              <w:t>2,136,748.02</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30"/>
              <w:jc w:val="right"/>
              <w:rPr>
                <w:rFonts w:ascii="宋体" w:hAnsi="宋体" w:cs="宋体" w:eastAsia="宋体" w:hint="default"/>
                <w:sz w:val="18"/>
                <w:szCs w:val="18"/>
              </w:rPr>
            </w:pPr>
            <w:r>
              <w:rPr>
                <w:rFonts w:ascii="宋体"/>
                <w:sz w:val="18"/>
              </w:rPr>
              <w:t>-100.00</w:t>
            </w:r>
          </w:p>
        </w:tc>
        <w:tc>
          <w:tcPr>
            <w:tcW w:w="3523" w:type="dxa"/>
            <w:tcBorders>
              <w:top w:val="nil" w:sz="6" w:space="0" w:color="auto"/>
              <w:left w:val="nil" w:sz="6" w:space="0" w:color="auto"/>
              <w:bottom w:val="nil" w:sz="6" w:space="0" w:color="auto"/>
              <w:right w:val="nil" w:sz="6" w:space="0" w:color="auto"/>
            </w:tcBorders>
          </w:tcPr>
          <w:p>
            <w:pPr>
              <w:pStyle w:val="TableParagraph"/>
              <w:spacing w:line="237" w:lineRule="auto"/>
              <w:ind w:left="82" w:right="251"/>
              <w:jc w:val="both"/>
              <w:rPr>
                <w:rFonts w:ascii="宋体" w:hAnsi="宋体" w:cs="宋体" w:eastAsia="宋体" w:hint="default"/>
                <w:sz w:val="18"/>
                <w:szCs w:val="18"/>
              </w:rPr>
            </w:pPr>
            <w:r>
              <w:rPr>
                <w:rFonts w:ascii="宋体" w:hAnsi="宋体" w:cs="宋体" w:eastAsia="宋体" w:hint="default"/>
                <w:spacing w:val="7"/>
                <w:sz w:val="18"/>
                <w:szCs w:val="18"/>
              </w:rPr>
              <w:t>上年末结余的递延收益于本年全部结转</w:t>
            </w:r>
            <w:r>
              <w:rPr>
                <w:rFonts w:ascii="宋体" w:hAnsi="宋体" w:cs="宋体" w:eastAsia="宋体" w:hint="default"/>
                <w:sz w:val="18"/>
                <w:szCs w:val="18"/>
              </w:rPr>
              <w:t> </w:t>
            </w:r>
            <w:r>
              <w:rPr>
                <w:rFonts w:ascii="宋体" w:hAnsi="宋体" w:cs="宋体" w:eastAsia="宋体" w:hint="default"/>
                <w:spacing w:val="-3"/>
                <w:sz w:val="18"/>
                <w:szCs w:val="18"/>
              </w:rPr>
              <w:t>营业外收入，另外上年末预提的办公楼折</w:t>
            </w:r>
            <w:r>
              <w:rPr>
                <w:rFonts w:ascii="宋体" w:hAnsi="宋体" w:cs="宋体" w:eastAsia="宋体" w:hint="default"/>
                <w:sz w:val="18"/>
                <w:szCs w:val="18"/>
              </w:rPr>
              <w:t> </w:t>
            </w:r>
            <w:r>
              <w:rPr>
                <w:rFonts w:ascii="宋体" w:hAnsi="宋体" w:cs="宋体" w:eastAsia="宋体" w:hint="default"/>
                <w:spacing w:val="7"/>
                <w:sz w:val="18"/>
                <w:szCs w:val="18"/>
              </w:rPr>
              <w:t>旧费用在本年办公楼计入固定资产后相</w:t>
            </w:r>
            <w:r>
              <w:rPr>
                <w:rFonts w:ascii="宋体" w:hAnsi="宋体" w:cs="宋体" w:eastAsia="宋体" w:hint="default"/>
                <w:sz w:val="18"/>
                <w:szCs w:val="18"/>
              </w:rPr>
              <w:t> 应结转累计折旧。</w:t>
            </w:r>
          </w:p>
        </w:tc>
      </w:tr>
      <w:tr>
        <w:trPr>
          <w:trHeight w:val="485"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pacing w:val="-1"/>
                <w:sz w:val="18"/>
              </w:rPr>
              <w:t>390,699,391.77</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pacing w:val="-1"/>
                <w:sz w:val="18"/>
              </w:rPr>
              <w:t>294,250,120.89</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
              <w:jc w:val="right"/>
              <w:rPr>
                <w:rFonts w:ascii="宋体" w:hAnsi="宋体" w:cs="宋体" w:eastAsia="宋体" w:hint="default"/>
                <w:sz w:val="18"/>
                <w:szCs w:val="18"/>
              </w:rPr>
            </w:pPr>
            <w:r>
              <w:rPr>
                <w:rFonts w:ascii="宋体"/>
                <w:sz w:val="18"/>
              </w:rPr>
              <w:t>32.78</w:t>
            </w:r>
          </w:p>
        </w:tc>
        <w:tc>
          <w:tcPr>
            <w:tcW w:w="3523" w:type="dxa"/>
            <w:tcBorders>
              <w:top w:val="nil" w:sz="6" w:space="0" w:color="auto"/>
              <w:left w:val="nil" w:sz="6" w:space="0" w:color="auto"/>
              <w:bottom w:val="nil" w:sz="6" w:space="0" w:color="auto"/>
              <w:right w:val="nil" w:sz="6" w:space="0" w:color="auto"/>
            </w:tcBorders>
          </w:tcPr>
          <w:p>
            <w:pPr>
              <w:pStyle w:val="TableParagraph"/>
              <w:spacing w:line="205" w:lineRule="exact"/>
              <w:ind w:left="82" w:right="0"/>
              <w:jc w:val="left"/>
              <w:rPr>
                <w:rFonts w:ascii="宋体" w:hAnsi="宋体" w:cs="宋体" w:eastAsia="宋体" w:hint="default"/>
                <w:sz w:val="18"/>
                <w:szCs w:val="18"/>
              </w:rPr>
            </w:pPr>
            <w:r>
              <w:rPr>
                <w:rFonts w:ascii="宋体" w:hAnsi="宋体" w:cs="宋体" w:eastAsia="宋体" w:hint="default"/>
                <w:spacing w:val="7"/>
                <w:sz w:val="18"/>
                <w:szCs w:val="18"/>
              </w:rPr>
              <w:t>本年来自主要业务市场日本企业的订单</w:t>
            </w:r>
          </w:p>
          <w:p>
            <w:pPr>
              <w:pStyle w:val="TableParagraph"/>
              <w:spacing w:line="234" w:lineRule="exact"/>
              <w:ind w:left="82" w:right="0"/>
              <w:jc w:val="left"/>
              <w:rPr>
                <w:rFonts w:ascii="宋体" w:hAnsi="宋体" w:cs="宋体" w:eastAsia="宋体" w:hint="default"/>
                <w:sz w:val="18"/>
                <w:szCs w:val="18"/>
              </w:rPr>
            </w:pPr>
            <w:r>
              <w:rPr>
                <w:rFonts w:ascii="宋体" w:hAnsi="宋体" w:cs="宋体" w:eastAsia="宋体" w:hint="default"/>
                <w:sz w:val="18"/>
                <w:szCs w:val="18"/>
              </w:rPr>
              <w:t>增加，对日本企业销售增长较快所致。</w:t>
            </w:r>
          </w:p>
        </w:tc>
      </w:tr>
      <w:tr>
        <w:trPr>
          <w:trHeight w:val="274"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16"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226,371,728.18</w:t>
            </w:r>
          </w:p>
        </w:tc>
        <w:tc>
          <w:tcPr>
            <w:tcW w:w="1499" w:type="dxa"/>
            <w:tcBorders>
              <w:top w:val="nil" w:sz="6" w:space="0" w:color="auto"/>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pacing w:val="-1"/>
                <w:sz w:val="18"/>
              </w:rPr>
              <w:t>175,755,281.47</w:t>
            </w:r>
          </w:p>
        </w:tc>
        <w:tc>
          <w:tcPr>
            <w:tcW w:w="1228" w:type="dxa"/>
            <w:tcBorders>
              <w:top w:val="nil" w:sz="6" w:space="0" w:color="auto"/>
              <w:left w:val="nil" w:sz="6" w:space="0" w:color="auto"/>
              <w:bottom w:val="nil" w:sz="6" w:space="0" w:color="auto"/>
              <w:right w:val="nil" w:sz="6" w:space="0" w:color="auto"/>
            </w:tcBorders>
          </w:tcPr>
          <w:p>
            <w:pPr>
              <w:pStyle w:val="TableParagraph"/>
              <w:spacing w:line="226" w:lineRule="exact"/>
              <w:ind w:right="130"/>
              <w:jc w:val="right"/>
              <w:rPr>
                <w:rFonts w:ascii="宋体" w:hAnsi="宋体" w:cs="宋体" w:eastAsia="宋体" w:hint="default"/>
                <w:sz w:val="18"/>
                <w:szCs w:val="18"/>
              </w:rPr>
            </w:pPr>
            <w:r>
              <w:rPr>
                <w:rFonts w:ascii="宋体"/>
                <w:sz w:val="18"/>
              </w:rPr>
              <w:t>28.80</w:t>
            </w:r>
          </w:p>
        </w:tc>
        <w:tc>
          <w:tcPr>
            <w:tcW w:w="3523" w:type="dxa"/>
            <w:tcBorders>
              <w:top w:val="nil" w:sz="6" w:space="0" w:color="auto"/>
              <w:left w:val="nil" w:sz="6" w:space="0" w:color="auto"/>
              <w:bottom w:val="nil" w:sz="6" w:space="0" w:color="auto"/>
              <w:right w:val="nil" w:sz="6" w:space="0" w:color="auto"/>
            </w:tcBorders>
          </w:tcPr>
          <w:p>
            <w:pPr>
              <w:pStyle w:val="TableParagraph"/>
              <w:spacing w:line="228"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本年营业收入增加导致相关成本增加。</w:t>
            </w:r>
          </w:p>
        </w:tc>
      </w:tr>
      <w:tr>
        <w:trPr>
          <w:trHeight w:val="487"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6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宋体" w:hAnsi="宋体" w:cs="宋体" w:eastAsia="宋体" w:hint="default"/>
                <w:sz w:val="18"/>
                <w:szCs w:val="18"/>
              </w:rPr>
            </w:pPr>
            <w:r>
              <w:rPr>
                <w:rFonts w:ascii="宋体"/>
                <w:spacing w:val="-1"/>
                <w:sz w:val="18"/>
              </w:rPr>
              <w:t>720,506.95</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宋体" w:hAnsi="宋体" w:cs="宋体" w:eastAsia="宋体" w:hint="default"/>
                <w:sz w:val="18"/>
                <w:szCs w:val="18"/>
              </w:rPr>
            </w:pPr>
            <w:r>
              <w:rPr>
                <w:rFonts w:ascii="宋体"/>
                <w:spacing w:val="-1"/>
                <w:sz w:val="18"/>
              </w:rPr>
              <w:t>413,976.57</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0"/>
              <w:jc w:val="right"/>
              <w:rPr>
                <w:rFonts w:ascii="宋体" w:hAnsi="宋体" w:cs="宋体" w:eastAsia="宋体" w:hint="default"/>
                <w:sz w:val="18"/>
                <w:szCs w:val="18"/>
              </w:rPr>
            </w:pPr>
            <w:r>
              <w:rPr>
                <w:rFonts w:ascii="宋体"/>
                <w:sz w:val="18"/>
              </w:rPr>
              <w:t>74.05</w:t>
            </w:r>
          </w:p>
        </w:tc>
        <w:tc>
          <w:tcPr>
            <w:tcW w:w="3523" w:type="dxa"/>
            <w:tcBorders>
              <w:top w:val="nil" w:sz="6" w:space="0" w:color="auto"/>
              <w:left w:val="nil" w:sz="6" w:space="0" w:color="auto"/>
              <w:bottom w:val="nil" w:sz="6" w:space="0" w:color="auto"/>
              <w:right w:val="nil" w:sz="6" w:space="0" w:color="auto"/>
            </w:tcBorders>
          </w:tcPr>
          <w:p>
            <w:pPr>
              <w:pStyle w:val="TableParagraph"/>
              <w:spacing w:line="236" w:lineRule="exact" w:before="11"/>
              <w:ind w:left="82" w:right="256"/>
              <w:jc w:val="left"/>
              <w:rPr>
                <w:rFonts w:ascii="宋体" w:hAnsi="宋体" w:cs="宋体" w:eastAsia="宋体" w:hint="default"/>
                <w:sz w:val="18"/>
                <w:szCs w:val="18"/>
              </w:rPr>
            </w:pPr>
            <w:r>
              <w:rPr>
                <w:rFonts w:ascii="宋体" w:hAnsi="宋体" w:cs="宋体" w:eastAsia="宋体" w:hint="default"/>
                <w:spacing w:val="7"/>
                <w:sz w:val="18"/>
                <w:szCs w:val="18"/>
              </w:rPr>
              <w:t>本年营业收入增加导致相关税金及附加</w:t>
            </w:r>
            <w:r>
              <w:rPr>
                <w:rFonts w:ascii="宋体" w:hAnsi="宋体" w:cs="宋体" w:eastAsia="宋体" w:hint="default"/>
                <w:sz w:val="18"/>
                <w:szCs w:val="18"/>
              </w:rPr>
              <w:t> 增加。</w:t>
            </w:r>
          </w:p>
        </w:tc>
      </w:tr>
      <w:tr>
        <w:trPr>
          <w:trHeight w:val="466"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pacing w:val="-1"/>
                <w:sz w:val="18"/>
              </w:rPr>
              <w:t>17,048,357.14</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宋体" w:hAnsi="宋体" w:cs="宋体" w:eastAsia="宋体" w:hint="default"/>
                <w:sz w:val="18"/>
                <w:szCs w:val="18"/>
              </w:rPr>
            </w:pPr>
            <w:r>
              <w:rPr>
                <w:rFonts w:ascii="宋体"/>
                <w:spacing w:val="-1"/>
                <w:sz w:val="18"/>
              </w:rPr>
              <w:t>13,693,061.69</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0"/>
              <w:jc w:val="right"/>
              <w:rPr>
                <w:rFonts w:ascii="宋体" w:hAnsi="宋体" w:cs="宋体" w:eastAsia="宋体" w:hint="default"/>
                <w:sz w:val="18"/>
                <w:szCs w:val="18"/>
              </w:rPr>
            </w:pPr>
            <w:r>
              <w:rPr>
                <w:rFonts w:ascii="宋体"/>
                <w:sz w:val="18"/>
              </w:rPr>
              <w:t>24.50</w:t>
            </w:r>
          </w:p>
        </w:tc>
        <w:tc>
          <w:tcPr>
            <w:tcW w:w="3523" w:type="dxa"/>
            <w:tcBorders>
              <w:top w:val="nil" w:sz="6" w:space="0" w:color="auto"/>
              <w:left w:val="nil" w:sz="6" w:space="0" w:color="auto"/>
              <w:bottom w:val="nil" w:sz="6" w:space="0" w:color="auto"/>
              <w:right w:val="nil" w:sz="6" w:space="0" w:color="auto"/>
            </w:tcBorders>
          </w:tcPr>
          <w:p>
            <w:pPr>
              <w:pStyle w:val="TableParagraph"/>
              <w:spacing w:line="205" w:lineRule="exact"/>
              <w:ind w:left="82" w:right="0"/>
              <w:jc w:val="left"/>
              <w:rPr>
                <w:rFonts w:ascii="宋体" w:hAnsi="宋体" w:cs="宋体" w:eastAsia="宋体" w:hint="default"/>
                <w:sz w:val="18"/>
                <w:szCs w:val="18"/>
              </w:rPr>
            </w:pPr>
            <w:r>
              <w:rPr>
                <w:rFonts w:ascii="宋体" w:hAnsi="宋体" w:cs="宋体" w:eastAsia="宋体" w:hint="default"/>
                <w:spacing w:val="-4"/>
                <w:sz w:val="18"/>
                <w:szCs w:val="18"/>
              </w:rPr>
              <w:t>本年营业收入增加导致相关职工薪酬、差</w:t>
            </w:r>
          </w:p>
          <w:p>
            <w:pPr>
              <w:pStyle w:val="TableParagraph"/>
              <w:spacing w:line="234" w:lineRule="exact"/>
              <w:ind w:left="82" w:right="0"/>
              <w:jc w:val="left"/>
              <w:rPr>
                <w:rFonts w:ascii="宋体" w:hAnsi="宋体" w:cs="宋体" w:eastAsia="宋体" w:hint="default"/>
                <w:sz w:val="18"/>
                <w:szCs w:val="18"/>
              </w:rPr>
            </w:pPr>
            <w:r>
              <w:rPr>
                <w:rFonts w:ascii="宋体" w:hAnsi="宋体" w:cs="宋体" w:eastAsia="宋体" w:hint="default"/>
                <w:sz w:val="18"/>
                <w:szCs w:val="18"/>
              </w:rPr>
              <w:t>旅费等费用增加。</w:t>
            </w:r>
          </w:p>
        </w:tc>
      </w:tr>
      <w:tr>
        <w:trPr>
          <w:trHeight w:val="487"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75,818,215.05</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61,519,913.66</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0"/>
              <w:jc w:val="right"/>
              <w:rPr>
                <w:rFonts w:ascii="宋体" w:hAnsi="宋体" w:cs="宋体" w:eastAsia="宋体" w:hint="default"/>
                <w:sz w:val="18"/>
                <w:szCs w:val="18"/>
              </w:rPr>
            </w:pPr>
            <w:r>
              <w:rPr>
                <w:rFonts w:ascii="宋体"/>
                <w:sz w:val="18"/>
              </w:rPr>
              <w:t>23.24</w:t>
            </w:r>
          </w:p>
        </w:tc>
        <w:tc>
          <w:tcPr>
            <w:tcW w:w="3523"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本年经营规模扩大，导致相关职工薪酬、</w:t>
            </w: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研发支出及股权激励等费用增加。</w:t>
            </w:r>
          </w:p>
        </w:tc>
      </w:tr>
      <w:tr>
        <w:trPr>
          <w:trHeight w:val="292"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26" w:lineRule="exact"/>
              <w:ind w:left="16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16"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-149,020.03</w:t>
            </w:r>
          </w:p>
        </w:tc>
        <w:tc>
          <w:tcPr>
            <w:tcW w:w="1499" w:type="dxa"/>
            <w:tcBorders>
              <w:top w:val="nil" w:sz="6" w:space="0" w:color="auto"/>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pacing w:val="-1"/>
                <w:sz w:val="18"/>
              </w:rPr>
              <w:t>-59,348.24</w:t>
            </w:r>
          </w:p>
        </w:tc>
        <w:tc>
          <w:tcPr>
            <w:tcW w:w="1228" w:type="dxa"/>
            <w:tcBorders>
              <w:top w:val="nil" w:sz="6" w:space="0" w:color="auto"/>
              <w:left w:val="nil" w:sz="6" w:space="0" w:color="auto"/>
              <w:bottom w:val="nil" w:sz="6" w:space="0" w:color="auto"/>
              <w:right w:val="nil" w:sz="6" w:space="0" w:color="auto"/>
            </w:tcBorders>
          </w:tcPr>
          <w:p>
            <w:pPr>
              <w:pStyle w:val="TableParagraph"/>
              <w:spacing w:line="226" w:lineRule="exact"/>
              <w:ind w:right="130"/>
              <w:jc w:val="right"/>
              <w:rPr>
                <w:rFonts w:ascii="宋体" w:hAnsi="宋体" w:cs="宋体" w:eastAsia="宋体" w:hint="default"/>
                <w:sz w:val="18"/>
                <w:szCs w:val="18"/>
              </w:rPr>
            </w:pPr>
            <w:r>
              <w:rPr>
                <w:rFonts w:ascii="宋体"/>
                <w:spacing w:val="-1"/>
                <w:sz w:val="18"/>
              </w:rPr>
              <w:t>151.09</w:t>
            </w:r>
          </w:p>
        </w:tc>
        <w:tc>
          <w:tcPr>
            <w:tcW w:w="3523" w:type="dxa"/>
            <w:tcBorders>
              <w:top w:val="nil" w:sz="6" w:space="0" w:color="auto"/>
              <w:left w:val="nil" w:sz="6" w:space="0" w:color="auto"/>
              <w:bottom w:val="nil" w:sz="6" w:space="0" w:color="auto"/>
              <w:right w:val="nil" w:sz="6" w:space="0" w:color="auto"/>
            </w:tcBorders>
          </w:tcPr>
          <w:p>
            <w:pPr>
              <w:pStyle w:val="TableParagraph"/>
              <w:spacing w:line="226" w:lineRule="exact"/>
              <w:ind w:left="82" w:right="0"/>
              <w:jc w:val="left"/>
              <w:rPr>
                <w:rFonts w:ascii="宋体" w:hAnsi="宋体" w:cs="宋体" w:eastAsia="宋体" w:hint="default"/>
                <w:sz w:val="18"/>
                <w:szCs w:val="18"/>
              </w:rPr>
            </w:pPr>
            <w:r>
              <w:rPr>
                <w:rFonts w:ascii="宋体" w:hAnsi="宋体" w:cs="宋体" w:eastAsia="宋体" w:hint="default"/>
                <w:sz w:val="18"/>
                <w:szCs w:val="18"/>
              </w:rPr>
              <w:t>本年应收款项坏账准备转回所致。</w:t>
            </w:r>
          </w:p>
        </w:tc>
      </w:tr>
      <w:tr>
        <w:trPr>
          <w:trHeight w:val="312"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7,118,032.28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pacing w:val="-1"/>
                <w:sz w:val="18"/>
              </w:rPr>
              <w:t>9,619,080.53</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z w:val="18"/>
              </w:rPr>
              <w:t>-26.00%</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本年取得政府补贴较少所致。</w:t>
            </w:r>
          </w:p>
        </w:tc>
      </w:tr>
      <w:tr>
        <w:trPr>
          <w:trHeight w:val="293"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167,075.68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506,126.11</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right"/>
              <w:rPr>
                <w:rFonts w:ascii="宋体" w:hAnsi="宋体" w:cs="宋体" w:eastAsia="宋体" w:hint="default"/>
                <w:sz w:val="18"/>
                <w:szCs w:val="18"/>
              </w:rPr>
            </w:pPr>
            <w:r>
              <w:rPr>
                <w:rFonts w:ascii="宋体"/>
                <w:spacing w:val="-1"/>
                <w:sz w:val="18"/>
              </w:rPr>
              <w:t>-66.99</w:t>
            </w:r>
          </w:p>
        </w:tc>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上年营业外支出包含提前退租赔偿款。</w:t>
            </w:r>
          </w:p>
        </w:tc>
      </w:tr>
      <w:tr>
        <w:trPr>
          <w:trHeight w:val="460" w:hRule="exact"/>
        </w:trPr>
        <w:tc>
          <w:tcPr>
            <w:tcW w:w="578"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6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宋体" w:hAnsi="宋体" w:cs="宋体" w:eastAsia="宋体" w:hint="default"/>
                <w:sz w:val="18"/>
                <w:szCs w:val="18"/>
              </w:rPr>
            </w:pPr>
            <w:r>
              <w:rPr>
                <w:rFonts w:ascii="宋体"/>
                <w:spacing w:val="-1"/>
                <w:sz w:val="18"/>
              </w:rPr>
              <w:t>13,094,823.17</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6"/>
              <w:jc w:val="right"/>
              <w:rPr>
                <w:rFonts w:ascii="宋体" w:hAnsi="宋体" w:cs="宋体" w:eastAsia="宋体" w:hint="default"/>
                <w:sz w:val="18"/>
                <w:szCs w:val="18"/>
              </w:rPr>
            </w:pPr>
            <w:r>
              <w:rPr>
                <w:rFonts w:ascii="宋体"/>
                <w:spacing w:val="-1"/>
                <w:sz w:val="18"/>
              </w:rPr>
              <w:t>6,580,544.01</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0"/>
              <w:jc w:val="right"/>
              <w:rPr>
                <w:rFonts w:ascii="宋体" w:hAnsi="宋体" w:cs="宋体" w:eastAsia="宋体" w:hint="default"/>
                <w:sz w:val="18"/>
                <w:szCs w:val="18"/>
              </w:rPr>
            </w:pPr>
            <w:r>
              <w:rPr>
                <w:rFonts w:ascii="宋体"/>
                <w:sz w:val="18"/>
              </w:rPr>
              <w:t>98.99</w:t>
            </w:r>
          </w:p>
        </w:tc>
        <w:tc>
          <w:tcPr>
            <w:tcW w:w="3523" w:type="dxa"/>
            <w:tcBorders>
              <w:top w:val="nil" w:sz="6" w:space="0" w:color="auto"/>
              <w:left w:val="nil" w:sz="6" w:space="0" w:color="auto"/>
              <w:bottom w:val="nil" w:sz="6" w:space="0" w:color="auto"/>
              <w:right w:val="nil" w:sz="6" w:space="0" w:color="auto"/>
            </w:tcBorders>
          </w:tcPr>
          <w:p>
            <w:pPr>
              <w:pStyle w:val="TableParagraph"/>
              <w:spacing w:line="234" w:lineRule="exact" w:before="14"/>
              <w:ind w:left="82" w:right="253"/>
              <w:jc w:val="left"/>
              <w:rPr>
                <w:rFonts w:ascii="宋体" w:hAnsi="宋体" w:cs="宋体" w:eastAsia="宋体" w:hint="default"/>
                <w:sz w:val="18"/>
                <w:szCs w:val="18"/>
              </w:rPr>
            </w:pPr>
            <w:r>
              <w:rPr>
                <w:rFonts w:ascii="宋体" w:hAnsi="宋体" w:cs="宋体" w:eastAsia="宋体" w:hint="default"/>
                <w:spacing w:val="7"/>
                <w:sz w:val="18"/>
                <w:szCs w:val="18"/>
              </w:rPr>
              <w:t>本公司所得税率由上年</w:t>
            </w:r>
            <w:r>
              <w:rPr>
                <w:rFonts w:ascii="宋体" w:hAnsi="宋体" w:cs="宋体" w:eastAsia="宋体" w:hint="default"/>
                <w:spacing w:val="10"/>
                <w:sz w:val="18"/>
                <w:szCs w:val="18"/>
              </w:rPr>
              <w:t> </w:t>
            </w:r>
            <w:r>
              <w:rPr>
                <w:rFonts w:ascii="宋体" w:hAnsi="宋体" w:cs="宋体" w:eastAsia="宋体" w:hint="default"/>
                <w:spacing w:val="5"/>
                <w:sz w:val="18"/>
                <w:szCs w:val="18"/>
              </w:rPr>
              <w:t>10%</w:t>
            </w:r>
            <w:r>
              <w:rPr>
                <w:rFonts w:ascii="宋体" w:hAnsi="宋体" w:cs="宋体" w:eastAsia="宋体" w:hint="default"/>
                <w:spacing w:val="5"/>
                <w:sz w:val="18"/>
                <w:szCs w:val="18"/>
              </w:rPr>
              <w:t>增加到本年</w:t>
            </w:r>
            <w:r>
              <w:rPr>
                <w:rFonts w:ascii="宋体" w:hAnsi="宋体" w:cs="宋体" w:eastAsia="宋体" w:hint="default"/>
                <w:sz w:val="18"/>
                <w:szCs w:val="18"/>
              </w:rPr>
              <w:t> </w:t>
            </w:r>
            <w:r>
              <w:rPr>
                <w:rFonts w:ascii="宋体" w:hAnsi="宋体" w:cs="宋体" w:eastAsia="宋体" w:hint="default"/>
                <w:sz w:val="18"/>
                <w:szCs w:val="18"/>
              </w:rPr>
              <w:t>15%</w:t>
            </w:r>
            <w:r>
              <w:rPr>
                <w:rFonts w:ascii="宋体" w:hAnsi="宋体" w:cs="宋体" w:eastAsia="宋体" w:hint="default"/>
                <w:sz w:val="18"/>
                <w:szCs w:val="18"/>
              </w:rPr>
              <w:t>及本年利润增加所致。</w:t>
            </w:r>
          </w:p>
        </w:tc>
      </w:tr>
    </w:tbl>
    <w:p>
      <w:pPr>
        <w:spacing w:after="0" w:line="234" w:lineRule="exact"/>
        <w:jc w:val="left"/>
        <w:rPr>
          <w:rFonts w:ascii="宋体" w:hAnsi="宋体" w:cs="宋体" w:eastAsia="宋体" w:hint="default"/>
          <w:sz w:val="18"/>
          <w:szCs w:val="18"/>
        </w:rPr>
        <w:sectPr>
          <w:pgSz w:w="11910" w:h="16840"/>
          <w:pgMar w:header="876" w:footer="980" w:top="1100" w:bottom="1160" w:left="7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56"/>
        <w:gridCol w:w="8357"/>
      </w:tblGrid>
      <w:tr>
        <w:trPr>
          <w:trHeight w:val="378"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b/>
                <w:sz w:val="21"/>
              </w:rPr>
              <w:t>15</w:t>
            </w:r>
            <w:r>
              <w:rPr>
                <w:rFonts w:ascii="宋体"/>
                <w:sz w:val="21"/>
              </w:rPr>
            </w:r>
          </w:p>
        </w:tc>
        <w:tc>
          <w:tcPr>
            <w:tcW w:w="8357" w:type="dxa"/>
            <w:tcBorders>
              <w:top w:val="nil" w:sz="6" w:space="0" w:color="auto"/>
              <w:left w:val="nil" w:sz="6" w:space="0" w:color="auto"/>
              <w:bottom w:val="nil" w:sz="6" w:space="0" w:color="auto"/>
              <w:right w:val="nil" w:sz="6" w:space="0" w:color="auto"/>
            </w:tcBorders>
          </w:tcPr>
          <w:p>
            <w:pPr>
              <w:pStyle w:val="TableParagraph"/>
              <w:spacing w:line="211" w:lineRule="exact"/>
              <w:ind w:left="344" w:right="0"/>
              <w:jc w:val="left"/>
              <w:rPr>
                <w:rFonts w:ascii="宋体" w:hAnsi="宋体" w:cs="宋体" w:eastAsia="宋体" w:hint="default"/>
                <w:sz w:val="21"/>
                <w:szCs w:val="21"/>
              </w:rPr>
            </w:pPr>
            <w:r>
              <w:rPr>
                <w:rFonts w:ascii="宋体" w:hAnsi="宋体" w:cs="宋体" w:eastAsia="宋体" w:hint="default"/>
                <w:b/>
                <w:bCs/>
                <w:sz w:val="21"/>
                <w:szCs w:val="21"/>
              </w:rPr>
              <w:t>财务报表之批准</w:t>
            </w:r>
            <w:r>
              <w:rPr>
                <w:rFonts w:ascii="宋体" w:hAnsi="宋体" w:cs="宋体" w:eastAsia="宋体" w:hint="default"/>
                <w:sz w:val="21"/>
                <w:szCs w:val="21"/>
              </w:rPr>
            </w:r>
          </w:p>
        </w:tc>
      </w:tr>
      <w:tr>
        <w:trPr>
          <w:trHeight w:val="953" w:hRule="exact"/>
        </w:trPr>
        <w:tc>
          <w:tcPr>
            <w:tcW w:w="756" w:type="dxa"/>
            <w:tcBorders>
              <w:top w:val="nil" w:sz="6" w:space="0" w:color="auto"/>
              <w:left w:val="nil" w:sz="6" w:space="0" w:color="auto"/>
              <w:bottom w:val="nil" w:sz="6" w:space="0" w:color="auto"/>
              <w:right w:val="nil" w:sz="6" w:space="0" w:color="auto"/>
            </w:tcBorders>
          </w:tcPr>
          <w:p>
            <w:pPr/>
          </w:p>
        </w:tc>
        <w:tc>
          <w:tcPr>
            <w:tcW w:w="83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44" w:right="0"/>
              <w:jc w:val="left"/>
              <w:rPr>
                <w:rFonts w:ascii="宋体" w:hAnsi="宋体" w:cs="宋体" w:eastAsia="宋体" w:hint="default"/>
                <w:sz w:val="21"/>
                <w:szCs w:val="21"/>
              </w:rPr>
            </w:pPr>
            <w:r>
              <w:rPr>
                <w:rFonts w:ascii="宋体" w:hAnsi="宋体" w:cs="宋体" w:eastAsia="宋体" w:hint="default"/>
                <w:sz w:val="21"/>
                <w:szCs w:val="21"/>
              </w:rPr>
              <w:t>本财务报表业经本公司董事会批准通过。</w:t>
            </w:r>
          </w:p>
        </w:tc>
      </w:tr>
      <w:tr>
        <w:trPr>
          <w:trHeight w:val="953" w:hRule="exact"/>
        </w:trPr>
        <w:tc>
          <w:tcPr>
            <w:tcW w:w="756" w:type="dxa"/>
            <w:tcBorders>
              <w:top w:val="nil" w:sz="6" w:space="0" w:color="auto"/>
              <w:left w:val="nil" w:sz="6" w:space="0" w:color="auto"/>
              <w:bottom w:val="nil" w:sz="6" w:space="0" w:color="auto"/>
              <w:right w:val="nil" w:sz="6" w:space="0" w:color="auto"/>
            </w:tcBorders>
          </w:tcPr>
          <w:p>
            <w:pPr/>
          </w:p>
        </w:tc>
        <w:tc>
          <w:tcPr>
            <w:tcW w:w="8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787" w:right="0"/>
              <w:jc w:val="left"/>
              <w:rPr>
                <w:rFonts w:ascii="宋体" w:hAnsi="宋体" w:cs="宋体" w:eastAsia="宋体" w:hint="default"/>
                <w:sz w:val="21"/>
                <w:szCs w:val="21"/>
              </w:rPr>
            </w:pPr>
            <w:r>
              <w:rPr>
                <w:rFonts w:ascii="宋体" w:hAnsi="宋体" w:cs="宋体" w:eastAsia="宋体" w:hint="default"/>
                <w:sz w:val="21"/>
                <w:szCs w:val="21"/>
              </w:rPr>
              <w:t>上海海隆软件股份有限公司</w:t>
            </w:r>
          </w:p>
        </w:tc>
      </w:tr>
      <w:tr>
        <w:trPr>
          <w:trHeight w:val="383" w:hRule="exact"/>
        </w:trPr>
        <w:tc>
          <w:tcPr>
            <w:tcW w:w="756" w:type="dxa"/>
            <w:tcBorders>
              <w:top w:val="nil" w:sz="6" w:space="0" w:color="auto"/>
              <w:left w:val="nil" w:sz="6" w:space="0" w:color="auto"/>
              <w:bottom w:val="nil" w:sz="6" w:space="0" w:color="auto"/>
              <w:right w:val="nil" w:sz="6" w:space="0" w:color="auto"/>
            </w:tcBorders>
          </w:tcPr>
          <w:p>
            <w:pPr/>
          </w:p>
        </w:tc>
        <w:tc>
          <w:tcPr>
            <w:tcW w:w="8357" w:type="dxa"/>
            <w:tcBorders>
              <w:top w:val="nil" w:sz="6" w:space="0" w:color="auto"/>
              <w:left w:val="nil" w:sz="6" w:space="0" w:color="auto"/>
              <w:bottom w:val="single" w:sz="5" w:space="0" w:color="000000"/>
              <w:right w:val="nil" w:sz="6" w:space="0" w:color="auto"/>
            </w:tcBorders>
          </w:tcPr>
          <w:p>
            <w:pPr>
              <w:pStyle w:val="TableParagraph"/>
              <w:tabs>
                <w:tab w:pos="6362" w:val="left" w:leader="none"/>
              </w:tabs>
              <w:spacing w:line="240" w:lineRule="auto" w:before="103"/>
              <w:ind w:left="4785" w:right="0"/>
              <w:jc w:val="left"/>
              <w:rPr>
                <w:rFonts w:ascii="宋体" w:hAnsi="宋体" w:cs="宋体" w:eastAsia="宋体" w:hint="default"/>
                <w:sz w:val="21"/>
                <w:szCs w:val="21"/>
              </w:rPr>
            </w:pPr>
            <w:r>
              <w:rPr>
                <w:rFonts w:ascii="宋体" w:hAnsi="宋体" w:cs="宋体" w:eastAsia="宋体" w:hint="default"/>
                <w:spacing w:val="-1"/>
                <w:sz w:val="21"/>
                <w:szCs w:val="21"/>
              </w:rPr>
              <w:t>法定代表人：</w:t>
              <w:tab/>
              <w:t>包叔平</w:t>
            </w:r>
          </w:p>
        </w:tc>
      </w:tr>
      <w:tr>
        <w:trPr>
          <w:trHeight w:val="545" w:hRule="exact"/>
        </w:trPr>
        <w:tc>
          <w:tcPr>
            <w:tcW w:w="756" w:type="dxa"/>
            <w:tcBorders>
              <w:top w:val="nil" w:sz="6" w:space="0" w:color="auto"/>
              <w:left w:val="nil" w:sz="6" w:space="0" w:color="auto"/>
              <w:bottom w:val="nil" w:sz="6" w:space="0" w:color="auto"/>
              <w:right w:val="nil" w:sz="6" w:space="0" w:color="auto"/>
            </w:tcBorders>
          </w:tcPr>
          <w:p>
            <w:pPr/>
          </w:p>
        </w:tc>
        <w:tc>
          <w:tcPr>
            <w:tcW w:w="8357" w:type="dxa"/>
            <w:tcBorders>
              <w:top w:val="single" w:sz="5" w:space="0" w:color="000000"/>
              <w:left w:val="nil" w:sz="6" w:space="0" w:color="auto"/>
              <w:bottom w:val="single" w:sz="5"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7414" w:val="left" w:leader="none"/>
              </w:tabs>
              <w:spacing w:line="240" w:lineRule="auto"/>
              <w:ind w:left="4787" w:right="0"/>
              <w:jc w:val="left"/>
              <w:rPr>
                <w:rFonts w:ascii="宋体" w:hAnsi="宋体" w:cs="宋体" w:eastAsia="宋体" w:hint="default"/>
                <w:sz w:val="21"/>
                <w:szCs w:val="21"/>
              </w:rPr>
            </w:pPr>
            <w:r>
              <w:rPr>
                <w:rFonts w:ascii="宋体" w:hAnsi="宋体" w:cs="宋体" w:eastAsia="宋体" w:hint="default"/>
                <w:spacing w:val="-2"/>
                <w:sz w:val="21"/>
                <w:szCs w:val="21"/>
              </w:rPr>
              <w:t>主管会计工作的负责人：</w:t>
              <w:tab/>
            </w:r>
            <w:r>
              <w:rPr>
                <w:rFonts w:ascii="宋体" w:hAnsi="宋体" w:cs="宋体" w:eastAsia="宋体" w:hint="default"/>
                <w:spacing w:val="-3"/>
                <w:sz w:val="21"/>
                <w:szCs w:val="21"/>
              </w:rPr>
              <w:t>包叔平</w:t>
            </w:r>
            <w:r>
              <w:rPr>
                <w:rFonts w:ascii="宋体" w:hAnsi="宋体" w:cs="宋体" w:eastAsia="宋体" w:hint="default"/>
                <w:sz w:val="21"/>
                <w:szCs w:val="21"/>
              </w:rPr>
            </w:r>
          </w:p>
        </w:tc>
      </w:tr>
      <w:tr>
        <w:trPr>
          <w:trHeight w:val="545" w:hRule="exact"/>
        </w:trPr>
        <w:tc>
          <w:tcPr>
            <w:tcW w:w="756" w:type="dxa"/>
            <w:tcBorders>
              <w:top w:val="nil" w:sz="6" w:space="0" w:color="auto"/>
              <w:left w:val="nil" w:sz="6" w:space="0" w:color="auto"/>
              <w:bottom w:val="nil" w:sz="6" w:space="0" w:color="auto"/>
              <w:right w:val="nil" w:sz="6" w:space="0" w:color="auto"/>
            </w:tcBorders>
          </w:tcPr>
          <w:p>
            <w:pPr/>
          </w:p>
        </w:tc>
        <w:tc>
          <w:tcPr>
            <w:tcW w:w="8357" w:type="dxa"/>
            <w:tcBorders>
              <w:top w:val="single" w:sz="5" w:space="0" w:color="000000"/>
              <w:left w:val="nil" w:sz="6" w:space="0" w:color="auto"/>
              <w:bottom w:val="single" w:sz="5"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tabs>
                <w:tab w:pos="6782" w:val="left" w:leader="none"/>
              </w:tabs>
              <w:spacing w:line="240" w:lineRule="auto"/>
              <w:ind w:left="4787" w:right="0"/>
              <w:jc w:val="left"/>
              <w:rPr>
                <w:rFonts w:ascii="宋体" w:hAnsi="宋体" w:cs="宋体" w:eastAsia="宋体" w:hint="default"/>
                <w:sz w:val="21"/>
                <w:szCs w:val="21"/>
              </w:rPr>
            </w:pPr>
            <w:r>
              <w:rPr>
                <w:rFonts w:ascii="宋体" w:hAnsi="宋体" w:cs="宋体" w:eastAsia="宋体" w:hint="default"/>
                <w:spacing w:val="-2"/>
                <w:sz w:val="21"/>
                <w:szCs w:val="21"/>
              </w:rPr>
              <w:t>会计机构负责人：</w:t>
              <w:tab/>
            </w:r>
            <w:r>
              <w:rPr>
                <w:rFonts w:ascii="宋体" w:hAnsi="宋体" w:cs="宋体" w:eastAsia="宋体" w:hint="default"/>
                <w:sz w:val="21"/>
                <w:szCs w:val="21"/>
              </w:rPr>
              <w:t>董樑</w:t>
            </w:r>
          </w:p>
        </w:tc>
      </w:tr>
      <w:tr>
        <w:trPr>
          <w:trHeight w:val="540" w:hRule="exact"/>
        </w:trPr>
        <w:tc>
          <w:tcPr>
            <w:tcW w:w="756" w:type="dxa"/>
            <w:tcBorders>
              <w:top w:val="nil" w:sz="6" w:space="0" w:color="auto"/>
              <w:left w:val="nil" w:sz="6" w:space="0" w:color="auto"/>
              <w:bottom w:val="nil" w:sz="6" w:space="0" w:color="auto"/>
              <w:right w:val="nil" w:sz="6" w:space="0" w:color="auto"/>
            </w:tcBorders>
          </w:tcPr>
          <w:p>
            <w:pPr/>
          </w:p>
        </w:tc>
        <w:tc>
          <w:tcPr>
            <w:tcW w:w="8357" w:type="dxa"/>
            <w:tcBorders>
              <w:top w:val="single" w:sz="5"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761"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6" w:footer="980" w:top="1100" w:bottom="1160" w:left="76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1"/>
        <w:tabs>
          <w:tab w:pos="4453" w:val="left" w:leader="none"/>
        </w:tabs>
        <w:spacing w:line="240" w:lineRule="auto"/>
        <w:ind w:left="2845" w:right="138"/>
        <w:jc w:val="left"/>
        <w:rPr>
          <w:b w:val="0"/>
          <w:bCs w:val="0"/>
        </w:rPr>
      </w:pPr>
      <w:bookmarkStart w:name="_TOC_250000" w:id="13"/>
      <w:r>
        <w:rPr>
          <w:w w:val="95"/>
        </w:rPr>
        <w:t>第十三节</w:t>
        <w:tab/>
      </w:r>
      <w:r>
        <w:rPr/>
        <w:t>备查文件目录</w:t>
      </w:r>
      <w:bookmarkEnd w:id="13"/>
      <w:r>
        <w:rPr>
          <w:b w:val="0"/>
          <w:bCs w:val="0"/>
        </w:rPr>
      </w:r>
    </w:p>
    <w:p>
      <w:pPr>
        <w:spacing w:line="240" w:lineRule="auto" w:before="0"/>
        <w:rPr>
          <w:rFonts w:ascii="宋体" w:hAnsi="宋体" w:cs="宋体" w:eastAsia="宋体" w:hint="default"/>
          <w:b/>
          <w:bCs/>
          <w:sz w:val="32"/>
          <w:szCs w:val="32"/>
        </w:rPr>
      </w:pPr>
    </w:p>
    <w:p>
      <w:pPr>
        <w:pStyle w:val="BodyText"/>
        <w:spacing w:line="357" w:lineRule="auto" w:before="242"/>
        <w:ind w:left="382" w:right="138"/>
        <w:jc w:val="left"/>
      </w:pPr>
      <w:r>
        <w:rPr/>
        <w:t>公司在办公地点备置有完整、齐备的下列文件： </w:t>
      </w:r>
      <w:r>
        <w:rPr>
          <w:rFonts w:ascii="宋体" w:hAnsi="宋体" w:cs="宋体" w:eastAsia="宋体" w:hint="default"/>
          <w:spacing w:val="-2"/>
        </w:rPr>
        <w:t>1</w:t>
      </w:r>
      <w:r>
        <w:rPr>
          <w:spacing w:val="-2"/>
        </w:rPr>
        <w:t>、载有公司法定代表人、主管会计工作负责人、会计机构负责人签名并盖章的会计</w:t>
      </w:r>
    </w:p>
    <w:p>
      <w:pPr>
        <w:pStyle w:val="BodyText"/>
        <w:spacing w:line="240" w:lineRule="auto"/>
        <w:ind w:left="140" w:right="138"/>
        <w:jc w:val="left"/>
      </w:pPr>
      <w:r>
        <w:rPr/>
        <w:t>报表。</w:t>
      </w:r>
    </w:p>
    <w:p>
      <w:pPr>
        <w:pStyle w:val="BodyText"/>
        <w:spacing w:line="357" w:lineRule="auto" w:before="154"/>
        <w:ind w:left="140" w:right="138" w:firstLine="242"/>
        <w:jc w:val="left"/>
      </w:pPr>
      <w:r>
        <w:rPr>
          <w:rFonts w:ascii="宋体" w:hAnsi="宋体" w:cs="宋体" w:eastAsia="宋体" w:hint="default"/>
          <w:spacing w:val="-2"/>
        </w:rPr>
        <w:t>2</w:t>
      </w:r>
      <w:r>
        <w:rPr>
          <w:spacing w:val="-2"/>
        </w:rPr>
        <w:t>、载有上海众华沪银会计师事务所有限公司盖章、注册会计师签名并盖章的审计报</w:t>
      </w:r>
      <w:r>
        <w:rPr/>
        <w:t> 告原件。</w:t>
      </w:r>
    </w:p>
    <w:p>
      <w:pPr>
        <w:pStyle w:val="BodyText"/>
        <w:spacing w:line="357" w:lineRule="auto"/>
        <w:ind w:left="140" w:right="138" w:firstLine="242"/>
        <w:jc w:val="left"/>
      </w:pPr>
      <w:r>
        <w:rPr>
          <w:rFonts w:ascii="宋体" w:hAnsi="宋体" w:cs="宋体" w:eastAsia="宋体" w:hint="default"/>
          <w:spacing w:val="-2"/>
        </w:rPr>
        <w:t>3</w:t>
      </w:r>
      <w:r>
        <w:rPr>
          <w:spacing w:val="-2"/>
        </w:rPr>
        <w:t>、报告期内在中国证监会指定信息披露报纸上公开披露过的所有公司文件的正本及</w:t>
      </w:r>
      <w:r>
        <w:rPr/>
        <w:t> 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2"/>
        <w:spacing w:line="240" w:lineRule="auto"/>
        <w:ind w:right="143"/>
        <w:jc w:val="right"/>
        <w:rPr>
          <w:b w:val="0"/>
          <w:bCs w:val="0"/>
        </w:rPr>
      </w:pPr>
      <w:r>
        <w:rPr/>
        <w:t>上海海隆软件股份有限公司</w:t>
      </w:r>
      <w:r>
        <w:rPr>
          <w:b w:val="0"/>
          <w:bCs w:val="0"/>
        </w:rPr>
      </w:r>
    </w:p>
    <w:p>
      <w:pPr>
        <w:spacing w:line="240" w:lineRule="auto" w:before="9"/>
        <w:rPr>
          <w:rFonts w:ascii="宋体" w:hAnsi="宋体" w:cs="宋体" w:eastAsia="宋体" w:hint="default"/>
          <w:b/>
          <w:bCs/>
          <w:sz w:val="19"/>
          <w:szCs w:val="19"/>
        </w:rPr>
      </w:pPr>
    </w:p>
    <w:p>
      <w:pPr>
        <w:pStyle w:val="Heading2"/>
        <w:spacing w:line="408" w:lineRule="auto"/>
        <w:ind w:left="7247" w:right="142" w:firstLine="991"/>
        <w:jc w:val="right"/>
        <w:rPr>
          <w:b w:val="0"/>
          <w:bCs w:val="0"/>
        </w:rPr>
      </w:pPr>
      <w:r>
        <w:rPr>
          <w:w w:val="95"/>
        </w:rPr>
        <w:t>董事会</w:t>
      </w:r>
      <w:r>
        <w:rPr>
          <w:w w:val="99"/>
        </w:rPr>
        <w:t> </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16</w:t>
      </w:r>
      <w:r>
        <w:rPr/>
        <w:t>日</w:t>
      </w:r>
      <w:r>
        <w:rPr>
          <w:b w:val="0"/>
          <w:bCs w:val="0"/>
        </w:rPr>
      </w:r>
    </w:p>
    <w:sectPr>
      <w:pgSz w:w="11910" w:h="16840"/>
      <w:pgMar w:header="876" w:footer="980" w:top="1100" w:bottom="1160" w:left="14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69995pt;margin-top:771.613892pt;width:13.15pt;height:11pt;mso-position-horizontal-relative:page;mso-position-vertical-relative:page;z-index:-796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730011pt;margin-top:781.933899pt;width:17.7pt;height:11pt;mso-position-horizontal-relative:page;mso-position-vertical-relative:page;z-index:-79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35.333923pt;width:17.7pt;height:11pt;mso-position-horizontal-relative:page;mso-position-vertical-relative:page;z-index:-79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1.25pt;margin-top:781.933899pt;width:17.7pt;height:11pt;mso-position-horizontal-relative:page;mso-position-vertical-relative:page;z-index:-79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970001pt;margin-top:781.933899pt;width:19.7pt;height:11pt;mso-position-horizontal-relative:page;mso-position-vertical-relative:page;z-index:-796168" type="#_x0000_t202" filled="false" stroked="false">
          <v:textbox inset="0,0,0,0">
            <w:txbxContent>
              <w:p>
                <w:pPr>
                  <w:spacing w:line="204" w:lineRule="exact" w:before="0"/>
                  <w:ind w:left="8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730011pt;margin-top:781.933899pt;width:17.7pt;height:11pt;mso-position-horizontal-relative:page;mso-position-vertical-relative:page;z-index:-79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35.333923pt;width:17.7pt;height:11pt;mso-position-horizontal-relative:page;mso-position-vertical-relative:page;z-index:-796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135</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6.269989pt;margin-top:781.933899pt;width:17.7pt;height:11pt;mso-position-horizontal-relative:page;mso-position-vertical-relative:page;z-index:-79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769989pt;margin-top:781.933899pt;width:17.7pt;height:11pt;mso-position-horizontal-relative:page;mso-position-vertical-relative:page;z-index:-795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69995pt;margin-top:771.613892pt;width:13.15pt;height:11pt;mso-position-horizontal-relative:page;mso-position-vertical-relative:page;z-index:-796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5.013916pt;width:13.15pt;height:11pt;mso-position-horizontal-relative:page;mso-position-vertical-relative:page;z-index:-79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10004pt;margin-top:771.613892pt;width:13.85pt;height:11pt;mso-position-horizontal-relative:page;mso-position-vertical-relative:page;z-index:-796744" type="#_x0000_t202" filled="false" stroked="false">
          <v:textbox inset="0,0,0,0">
            <w:txbxContent>
              <w:p>
                <w:pPr>
                  <w:spacing w:line="204" w:lineRule="exact" w:before="0"/>
                  <w:ind w:left="54"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796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01001pt;margin-top:535.333923pt;width:13.15pt;height:11pt;mso-position-horizontal-relative:page;mso-position-vertical-relative:page;z-index:-796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7.8pt;height:11pt;mso-position-horizontal-relative:page;mso-position-vertical-relative:page;z-index:-796480" type="#_x0000_t202" filled="false" stroked="false">
          <v:textbox inset="0,0,0,0">
            <w:txbxContent>
              <w:p>
                <w:pPr>
                  <w:spacing w:line="204" w:lineRule="exact" w:before="0"/>
                  <w:ind w:left="133"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1.010010pt;margin-top:781.933899pt;width:13.15pt;height:11pt;mso-position-horizontal-relative:page;mso-position-vertical-relative:page;z-index:-796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730011pt;margin-top:781.933899pt;width:15.7pt;height:11pt;mso-position-horizontal-relative:page;mso-position-vertical-relative:page;z-index:-796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300003pt;margin-top:43.799984pt;width:38.4pt;height:7.8pt;mso-position-horizontal-relative:page;mso-position-vertical-relative:page;z-index:-797080" type="#_x0000_t75" stroked="false">
          <v:imagedata r:id="rId1" o:title=""/>
        </v:shape>
      </w:pict>
    </w:r>
    <w:r>
      <w:rPr/>
      <w:pict>
        <v:group style="position:absolute;margin-left:70.584pt;margin-top:55.439983pt;width:456.55pt;height:.1pt;mso-position-horizontal-relative:page;mso-position-vertical-relative:page;z-index:-797056" coordorigin="1412,1109" coordsize="9131,2">
          <v:shape style="position:absolute;left:1412;top:1109;width:9131;height:2" coordorigin="1412,1109" coordsize="9131,0" path="m1412,1109l10543,1109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20.699997pt;margin-top:42.865608pt;width:110.45pt;height:11pt;mso-position-horizontal-relative:page;mso-position-vertical-relative:page;z-index:-7970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49.820007pt;margin-top:42.865608pt;width:67.55pt;height:11pt;mso-position-horizontal-relative:page;mso-position-vertical-relative:page;z-index:-797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9"/>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87506pt;width:206.05pt;height:45.25pt;mso-position-horizontal-relative:page;mso-position-vertical-relative:page;z-index:-796120"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240" w:lineRule="auto" w:before="0"/>
                  <w:ind w:left="20" w:right="1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t>年度财务报表附注 </w:t>
                </w:r>
                <w:r>
                  <w:rPr>
                    <w:rFonts w:ascii="宋体" w:hAnsi="宋体" w:cs="宋体" w:eastAsia="宋体" w:hint="default"/>
                  </w:rPr>
                  <w:t>(</w:t>
                </w:r>
                <w:r>
                  <w:rPr/>
                  <w:t>除特别注明外，金额单位为人民币元</w:t>
                </w:r>
                <w:r>
                  <w:rPr>
                    <w:rFonts w:ascii="宋体" w:hAnsi="宋体" w:cs="宋体" w:eastAsia="宋体" w:hint="default"/>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87483pt;width:206.05pt;height:45.2pt;mso-position-horizontal-relative:page;mso-position-vertical-relative:page;z-index:-796072"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240" w:lineRule="auto" w:before="0"/>
                  <w:ind w:left="20" w:right="1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1"/>
                  </w:rPr>
                  <w:t> </w:t>
                </w:r>
                <w:r>
                  <w:rPr/>
                  <w:t>年度财务报表附注 </w:t>
                </w:r>
                <w:r>
                  <w:rPr>
                    <w:rFonts w:ascii="宋体" w:hAnsi="宋体" w:cs="宋体" w:eastAsia="宋体" w:hint="default"/>
                  </w:rPr>
                  <w:t>(</w:t>
                </w:r>
                <w:r>
                  <w:rPr/>
                  <w:t>除特别注明外，金额单位为人民币元</w:t>
                </w:r>
                <w:r>
                  <w:rPr>
                    <w:rFonts w:ascii="宋体" w:hAnsi="宋体" w:cs="宋体" w:eastAsia="宋体" w:hint="default"/>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pt;margin-top:43.799984pt;width:38.4pt;height:7.8pt;mso-position-horizontal-relative:page;mso-position-vertical-relative:page;z-index:-796024" type="#_x0000_t75" stroked="false">
          <v:imagedata r:id="rId1" o:title=""/>
        </v:shape>
      </w:pict>
    </w:r>
    <w:r>
      <w:rPr/>
      <w:pict>
        <v:group style="position:absolute;margin-left:76.584pt;margin-top:55.439983pt;width:449.95pt;height:.1pt;mso-position-horizontal-relative:page;mso-position-vertical-relative:page;z-index:-796000" coordorigin="1532,1109" coordsize="8999,2">
          <v:shape style="position:absolute;left:1532;top:1109;width:8999;height:2" coordorigin="1532,1109" coordsize="8999,0" path="m1532,1109l10531,1109e" filled="false" stroked="true" strokeweight=".48pt" strokecolor="#000000">
            <v:path arrowok="t"/>
          </v:shape>
          <w10:wrap type="none"/>
        </v:group>
      </w:pict>
    </w:r>
    <w:r>
      <w:rPr/>
      <w:pict>
        <v:shape style="position:absolute;margin-left:119.980003pt;margin-top:42.865608pt;width:110.35pt;height:11pt;mso-position-horizontal-relative:page;mso-position-vertical-relative:page;z-index:-795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30.950012pt;margin-top:42.865608pt;width:67.7pt;height:11pt;mso-position-horizontal-relative:page;mso-position-vertical-relative:page;z-index:-795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349998pt;margin-top:43.800007pt;width:38.4pt;height:7.8pt;mso-position-horizontal-relative:page;mso-position-vertical-relative:page;z-index:-796936" type="#_x0000_t75" stroked="false">
          <v:imagedata r:id="rId1" o:title=""/>
        </v:shape>
      </w:pict>
    </w:r>
    <w:r>
      <w:rPr/>
      <w:pict>
        <v:shape style="position:absolute;margin-left:115.779999pt;margin-top:42.865631pt;width:110.45pt;height:11pt;mso-position-horizontal-relative:page;mso-position-vertical-relative:page;z-index:-796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697.02002pt;margin-top:42.865631pt;width:67.55pt;height:11pt;mso-position-horizontal-relative:page;mso-position-vertical-relative:page;z-index:-796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9"/>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050003pt;margin-top:43.799984pt;width:38.4pt;height:7.8pt;mso-position-horizontal-relative:page;mso-position-vertical-relative:page;z-index:-796840" type="#_x0000_t75" stroked="false">
          <v:imagedata r:id="rId1" o:title=""/>
        </v:shape>
      </w:pict>
    </w:r>
    <w:r>
      <w:rPr/>
      <w:pict>
        <v:group style="position:absolute;margin-left:69.264pt;margin-top:55.559982pt;width:458.75pt;height:.1pt;mso-position-horizontal-relative:page;mso-position-vertical-relative:page;z-index:-796816" coordorigin="1385,1111" coordsize="9175,2">
          <v:shape style="position:absolute;left:1385;top:1111;width:9175;height:2" coordorigin="1385,1111" coordsize="9175,0" path="m1385,1111l10559,1111e" filled="false" stroked="true" strokeweight=".72pt" strokecolor="#000000">
            <v:path arrowok="t"/>
          </v:shape>
          <w10:wrap type="none"/>
        </v:group>
      </w:pict>
    </w:r>
    <w:r>
      <w:rPr/>
      <w:pict>
        <v:shape style="position:absolute;margin-left:120.459999pt;margin-top:42.865608pt;width:110.45pt;height:11pt;mso-position-horizontal-relative:page;mso-position-vertical-relative:page;z-index:-796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49.579987pt;margin-top:42.865608pt;width:67.55pt;height:11pt;mso-position-horizontal-relative:page;mso-position-vertical-relative:page;z-index:-796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9"/>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849998pt;margin-top:43.799984pt;width:38.4pt;height:7.8pt;mso-position-horizontal-relative:page;mso-position-vertical-relative:page;z-index:-796720" type="#_x0000_t75" stroked="false">
          <v:imagedata r:id="rId1" o:title=""/>
        </v:shape>
      </w:pict>
    </w:r>
    <w:r>
      <w:rPr/>
      <w:pict>
        <v:group style="position:absolute;margin-left:86.424004pt;margin-top:65.999985pt;width:420.45pt;height:.1pt;mso-position-horizontal-relative:page;mso-position-vertical-relative:page;z-index:-796696" coordorigin="1728,1320" coordsize="8409,2">
          <v:shape style="position:absolute;left:1728;top:1320;width:8409;height:2" coordorigin="1728,1320" coordsize="8409,0" path="m1728,1320l10137,1320e" filled="false" stroked="true" strokeweight=".72pt" strokecolor="#000000">
            <v:path arrowok="t"/>
          </v:shape>
          <w10:wrap type="none"/>
        </v:group>
      </w:pict>
    </w:r>
    <w:r>
      <w:rPr/>
      <w:pict>
        <v:shape style="position:absolute;margin-left:134.259995pt;margin-top:42.865608pt;width:110.45pt;height:11pt;mso-position-horizontal-relative:page;mso-position-vertical-relative:page;z-index:-796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31.790009pt;margin-top:42.865608pt;width:67.7pt;height:11pt;mso-position-horizontal-relative:page;mso-position-vertical-relative:page;z-index:-796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56.5pt;margin-top:43.800007pt;width:38.4pt;height:7.8pt;mso-position-horizontal-relative:page;mso-position-vertical-relative:page;z-index:-796600" type="#_x0000_t75" stroked="false">
          <v:imagedata r:id="rId1" o:title=""/>
        </v:shape>
      </w:pict>
    </w:r>
    <w:r>
      <w:rPr/>
      <w:pict>
        <v:group style="position:absolute;margin-left:53.040001pt;margin-top:55.560009pt;width:706.9pt;height:.1pt;mso-position-horizontal-relative:page;mso-position-vertical-relative:page;z-index:-796576" coordorigin="1061,1111" coordsize="14138,2">
          <v:shape style="position:absolute;left:1061;top:1111;width:14138;height:2" coordorigin="1061,1111" coordsize="14138,0" path="m1061,1111l15199,1111e" filled="false" stroked="true" strokeweight=".72pt" strokecolor="#000000">
            <v:path arrowok="t"/>
          </v:shape>
          <w10:wrap type="none"/>
        </v:group>
      </w:pict>
    </w:r>
    <w:r>
      <w:rPr/>
      <w:pict>
        <v:shape style="position:absolute;margin-left:82.639999pt;margin-top:42.865631pt;width:110.45pt;height:11pt;mso-position-horizontal-relative:page;mso-position-vertical-relative:page;z-index:-796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618.869995pt;margin-top:42.865631pt;width:67.55pt;height:11pt;mso-position-horizontal-relative:page;mso-position-vertical-relative:page;z-index:-796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00002pt;margin-top:43.800007pt;width:38.4pt;height:7.8pt;mso-position-horizontal-relative:page;mso-position-vertical-relative:page;z-index:-796456" type="#_x0000_t75" stroked="false">
          <v:imagedata r:id="rId1" o:title=""/>
        </v:shape>
      </w:pict>
    </w:r>
    <w:r>
      <w:rPr/>
      <w:pict>
        <v:group style="position:absolute;margin-left:68.400002pt;margin-top:55.560009pt;width:703.1pt;height:.1pt;mso-position-horizontal-relative:page;mso-position-vertical-relative:page;z-index:-796432" coordorigin="1368,1111" coordsize="14062,2">
          <v:shape style="position:absolute;left:1368;top:1111;width:14062;height:2" coordorigin="1368,1111" coordsize="14062,0" path="m1368,1111l15429,1111e" filled="false" stroked="true" strokeweight=".72pt" strokecolor="#000000">
            <v:path arrowok="t"/>
          </v:shape>
          <w10:wrap type="none"/>
        </v:group>
      </w:pict>
    </w:r>
    <w:r>
      <w:rPr/>
      <w:pict>
        <v:shape style="position:absolute;margin-left:109.300003pt;margin-top:42.865631pt;width:110.45pt;height:11pt;mso-position-horizontal-relative:page;mso-position-vertical-relative:page;z-index:-796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645.51001pt;margin-top:42.865631pt;width:67.55pt;height:11pt;mso-position-horizontal-relative:page;mso-position-vertical-relative:page;z-index:-796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43.287483pt;width:206.05pt;height:45.2pt;mso-position-horizontal-relative:page;mso-position-vertical-relative:page;z-index:-796360"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240" w:lineRule="auto" w:before="0"/>
                  <w:ind w:left="20" w:right="1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1"/>
                  </w:rPr>
                  <w:t> </w:t>
                </w:r>
                <w:r>
                  <w:rPr/>
                  <w:t>年度财务报表附注 </w:t>
                </w:r>
                <w:r>
                  <w:rPr>
                    <w:rFonts w:ascii="宋体" w:hAnsi="宋体" w:cs="宋体" w:eastAsia="宋体" w:hint="default"/>
                  </w:rPr>
                  <w:t>(</w:t>
                </w:r>
                <w:r>
                  <w:rPr/>
                  <w:t>除特别注明外，金额单位为人民币元</w:t>
                </w:r>
                <w:r>
                  <w:rPr>
                    <w:rFonts w:ascii="宋体" w:hAnsi="宋体" w:cs="宋体" w:eastAsia="宋体" w:hint="default"/>
                  </w:rPr>
                  <w: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87506pt;width:206.05pt;height:45.25pt;mso-position-horizontal-relative:page;mso-position-vertical-relative:page;z-index:-796264"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240" w:lineRule="auto" w:before="0"/>
                  <w:ind w:left="20" w:right="1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t>年度财务报表附注 </w:t>
                </w:r>
                <w:r>
                  <w:rPr>
                    <w:rFonts w:ascii="宋体" w:hAnsi="宋体" w:cs="宋体" w:eastAsia="宋体" w:hint="default"/>
                  </w:rPr>
                  <w:t>(</w:t>
                </w:r>
                <w:r>
                  <w:rPr/>
                  <w:t>除特别注明外，金额单位为人民币元</w:t>
                </w:r>
                <w:r>
                  <w:rPr>
                    <w:rFonts w:ascii="宋体" w:hAnsi="宋体" w:cs="宋体" w:eastAsia="宋体" w:hint="default"/>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43.287483pt;width:206.05pt;height:45.2pt;mso-position-horizontal-relative:page;mso-position-vertical-relative:page;z-index:-796216"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240" w:lineRule="auto" w:before="0"/>
                  <w:ind w:left="20" w:right="1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1"/>
                  </w:rPr>
                  <w:t> </w:t>
                </w:r>
                <w:r>
                  <w:rPr/>
                  <w:t>年度财务报表附注 </w:t>
                </w:r>
                <w:r>
                  <w:rPr>
                    <w:rFonts w:ascii="宋体" w:hAnsi="宋体" w:cs="宋体" w:eastAsia="宋体" w:hint="default"/>
                  </w:rPr>
                  <w:t>(</w:t>
                </w:r>
                <w:r>
                  <w:rPr/>
                  <w:t>除特别注明外，金额单位为人民币元</w:t>
                </w:r>
                <w:r>
                  <w:rPr>
                    <w:rFonts w:ascii="宋体" w:hAnsi="宋体" w:cs="宋体" w:eastAsia="宋体" w:hint="default"/>
                  </w:rPr>
                  <w:t>)</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9"/>
      <w:ind w:left="183"/>
    </w:pPr>
    <w:rPr>
      <w:rFonts w:ascii="宋体" w:hAnsi="宋体" w:eastAsia="宋体"/>
      <w:b/>
      <w:bCs/>
      <w:sz w:val="24"/>
      <w:szCs w:val="24"/>
    </w:rPr>
  </w:style>
  <w:style w:styleId="BodyText" w:type="paragraph">
    <w:name w:val="Body Text"/>
    <w:basedOn w:val="Normal"/>
    <w:uiPriority w:val="1"/>
    <w:qFormat/>
    <w:pPr>
      <w:spacing w:before="36"/>
      <w:ind w:left="183"/>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spacing w:before="26"/>
      <w:ind w:left="183"/>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hyron.com/" TargetMode="External"/><Relationship Id="rId9" Type="http://schemas.openxmlformats.org/officeDocument/2006/relationships/hyperlink" Target="mailto:zhengquan@hyron.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image" Target="media/image1.pn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0.xml"/><Relationship Id="rId37" Type="http://schemas.openxmlformats.org/officeDocument/2006/relationships/footer" Target="footer15.xml"/><Relationship Id="rId38" Type="http://schemas.openxmlformats.org/officeDocument/2006/relationships/header" Target="header11.xml"/><Relationship Id="rId39" Type="http://schemas.openxmlformats.org/officeDocument/2006/relationships/footer" Target="footer16.xml"/><Relationship Id="rId40" Type="http://schemas.openxmlformats.org/officeDocument/2006/relationships/header" Target="header12.xml"/><Relationship Id="rId41" Type="http://schemas.openxmlformats.org/officeDocument/2006/relationships/footer" Target="footer17.xml"/><Relationship Id="rId42" Type="http://schemas.openxmlformats.org/officeDocument/2006/relationships/header" Target="header13.xml"/><Relationship Id="rId43" Type="http://schemas.openxmlformats.org/officeDocument/2006/relationships/footer" Target="footer1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HYRON</dc:creator>
  <dcterms:created xsi:type="dcterms:W3CDTF">2020-05-03T13:54:48Z</dcterms:created>
  <dcterms:modified xsi:type="dcterms:W3CDTF">2020-05-03T13:54:48Z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Microsoft® Office Word 2007</vt:lpwstr>
  </property>
  <property fmtid="{D5CDD505-2E9C-101B-9397-08002B2CF9AE}" pid="4" name="LastSaved">
    <vt:filetime>2020-05-03T00:00:00Z</vt:filetime>
  </property>
</Properties>
</file>