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0.xml" ContentType="application/vnd.openxmlformats-officedocument.wordprocessingml.header+xml"/>
  <Override PartName="/word/footer34.xml" ContentType="application/vnd.openxmlformats-officedocument.wordprocessingml.footer+xml"/>
  <Override PartName="/word/header2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8.899994pt;margin-top:37.199982pt;width:38.399994pt;height:7.800003pt;mso-position-horizontal-relative:page;mso-position-vertical-relative:page;z-index:0"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52" w:lineRule="auto" w:before="118"/>
        <w:ind w:left="810" w:right="1780" w:firstLine="1039"/>
        <w:jc w:val="left"/>
        <w:rPr>
          <w:rFonts w:ascii="宋体" w:hAnsi="宋体" w:cs="宋体" w:eastAsia="宋体" w:hint="default"/>
          <w:sz w:val="52"/>
          <w:szCs w:val="52"/>
        </w:rPr>
      </w:pPr>
      <w:r>
        <w:rPr/>
        <w:pict>
          <v:group style="position:absolute;margin-left:55.200001pt;margin-top:-50.272823pt;width:480.35pt;height:.1pt;mso-position-horizontal-relative:page;mso-position-vertical-relative:paragraph;z-index:1048" coordorigin="1104,-1005" coordsize="9607,2">
            <v:shape style="position:absolute;left:1104;top:-1005;width:9607;height:2" coordorigin="1104,-1005" coordsize="9607,0" path="m1104,-1005l10711,-1005e" filled="false" stroked="true" strokeweight=".72pt" strokecolor="#000000">
              <v:path arrowok="t"/>
            </v:shape>
            <w10:wrap type="none"/>
          </v:group>
        </w:pict>
      </w:r>
      <w:r>
        <w:rPr>
          <w:rFonts w:ascii="宋体" w:hAnsi="宋体" w:cs="宋体" w:eastAsia="宋体" w:hint="default"/>
          <w:sz w:val="52"/>
          <w:szCs w:val="52"/>
        </w:rPr>
        <w:t>上海海隆软件股份有限公司</w:t>
      </w:r>
      <w:r>
        <w:rPr>
          <w:rFonts w:ascii="宋体" w:hAnsi="宋体" w:cs="宋体" w:eastAsia="宋体" w:hint="default"/>
          <w:w w:val="100"/>
          <w:sz w:val="52"/>
          <w:szCs w:val="52"/>
        </w:rPr>
        <w:t> </w:t>
      </w:r>
      <w:r>
        <w:rPr>
          <w:rFonts w:ascii="宋体" w:hAnsi="宋体" w:cs="宋体" w:eastAsia="宋体" w:hint="default"/>
          <w:sz w:val="52"/>
          <w:szCs w:val="52"/>
        </w:rPr>
        <w:t>SHANGHAI HYRON SOFTWARE</w:t>
      </w:r>
      <w:r>
        <w:rPr>
          <w:rFonts w:ascii="宋体" w:hAnsi="宋体" w:cs="宋体" w:eastAsia="宋体" w:hint="default"/>
          <w:spacing w:val="-4"/>
          <w:sz w:val="52"/>
          <w:szCs w:val="52"/>
        </w:rPr>
        <w:t> </w:t>
      </w:r>
      <w:r>
        <w:rPr>
          <w:rFonts w:ascii="宋体" w:hAnsi="宋体" w:cs="宋体" w:eastAsia="宋体" w:hint="default"/>
          <w:sz w:val="52"/>
          <w:szCs w:val="52"/>
        </w:rPr>
        <w:t>Co.,LTD.</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1212" w:lineRule="exact"/>
        <w:ind w:left="2174"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3548532" cy="770096"/>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3548532" cy="770096"/>
                    </a:xfrm>
                    <a:prstGeom prst="rect">
                      <a:avLst/>
                    </a:prstGeom>
                  </pic:spPr>
                </pic:pic>
              </a:graphicData>
            </a:graphic>
          </wp:inline>
        </w:drawing>
      </w:r>
      <w:r>
        <w:rPr>
          <w:rFonts w:ascii="宋体" w:hAnsi="宋体" w:cs="宋体" w:eastAsia="宋体" w:hint="default"/>
          <w:position w:val="-23"/>
          <w:sz w:val="20"/>
          <w:szCs w:val="20"/>
        </w:rPr>
      </w:r>
    </w:p>
    <w:p>
      <w:pPr>
        <w:spacing w:line="638" w:lineRule="exact" w:before="0"/>
        <w:ind w:left="2612" w:right="3593" w:firstLine="0"/>
        <w:jc w:val="center"/>
        <w:rPr>
          <w:rFonts w:ascii="宋体" w:hAnsi="宋体" w:cs="宋体" w:eastAsia="宋体" w:hint="default"/>
          <w:sz w:val="52"/>
          <w:szCs w:val="52"/>
        </w:rPr>
      </w:pPr>
      <w:r>
        <w:rPr>
          <w:rFonts w:ascii="宋体" w:hAnsi="宋体" w:cs="宋体" w:eastAsia="宋体" w:hint="default"/>
          <w:sz w:val="52"/>
          <w:szCs w:val="52"/>
        </w:rPr>
        <w:t>股票代码：</w:t>
      </w:r>
      <w:r>
        <w:rPr>
          <w:rFonts w:ascii="宋体" w:hAnsi="宋体" w:cs="宋体" w:eastAsia="宋体" w:hint="default"/>
          <w:sz w:val="52"/>
          <w:szCs w:val="52"/>
        </w:rPr>
        <w:t>002195</w:t>
      </w:r>
    </w:p>
    <w:p>
      <w:pPr>
        <w:spacing w:line="240" w:lineRule="auto" w:before="0"/>
        <w:rPr>
          <w:rFonts w:ascii="宋体" w:hAnsi="宋体" w:cs="宋体" w:eastAsia="宋体" w:hint="default"/>
          <w:sz w:val="52"/>
          <w:szCs w:val="52"/>
        </w:rPr>
      </w:pPr>
    </w:p>
    <w:p>
      <w:pPr>
        <w:spacing w:line="240" w:lineRule="auto" w:before="11"/>
        <w:rPr>
          <w:rFonts w:ascii="宋体" w:hAnsi="宋体" w:cs="宋体" w:eastAsia="宋体" w:hint="default"/>
          <w:sz w:val="59"/>
          <w:szCs w:val="59"/>
        </w:rPr>
      </w:pPr>
    </w:p>
    <w:p>
      <w:pPr>
        <w:spacing w:before="0"/>
        <w:ind w:left="2612" w:right="3593" w:firstLine="0"/>
        <w:jc w:val="center"/>
        <w:rPr>
          <w:rFonts w:ascii="宋体" w:hAnsi="宋体" w:cs="宋体" w:eastAsia="宋体" w:hint="default"/>
          <w:sz w:val="52"/>
          <w:szCs w:val="52"/>
        </w:rPr>
      </w:pPr>
      <w:r>
        <w:rPr>
          <w:rFonts w:ascii="宋体" w:hAnsi="宋体" w:cs="宋体" w:eastAsia="宋体" w:hint="default"/>
          <w:sz w:val="52"/>
          <w:szCs w:val="52"/>
        </w:rPr>
        <w:t>二○一二年年度报告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11"/>
        <w:rPr>
          <w:rFonts w:ascii="宋体" w:hAnsi="宋体" w:cs="宋体" w:eastAsia="宋体" w:hint="default"/>
          <w:sz w:val="64"/>
          <w:szCs w:val="64"/>
        </w:rPr>
      </w:pPr>
    </w:p>
    <w:p>
      <w:pPr>
        <w:spacing w:before="0"/>
        <w:ind w:left="2610" w:right="3593" w:firstLine="0"/>
        <w:jc w:val="center"/>
        <w:rPr>
          <w:rFonts w:ascii="宋体" w:hAnsi="宋体" w:cs="宋体" w:eastAsia="宋体" w:hint="default"/>
          <w:sz w:val="32"/>
          <w:szCs w:val="32"/>
        </w:rPr>
      </w:pPr>
      <w:r>
        <w:rPr>
          <w:rFonts w:ascii="宋体" w:hAnsi="宋体" w:cs="宋体" w:eastAsia="宋体" w:hint="default"/>
          <w:sz w:val="32"/>
          <w:szCs w:val="32"/>
        </w:rPr>
        <w:t>二</w:t>
      </w:r>
      <w:r>
        <w:rPr>
          <w:rFonts w:ascii="Arial" w:hAnsi="Arial" w:cs="Arial" w:eastAsia="Arial" w:hint="default"/>
          <w:sz w:val="32"/>
          <w:szCs w:val="32"/>
        </w:rPr>
        <w:t>Ο</w:t>
      </w:r>
      <w:r>
        <w:rPr>
          <w:rFonts w:ascii="Arial" w:hAnsi="Arial" w:cs="Arial" w:eastAsia="Arial" w:hint="default"/>
          <w:spacing w:val="-23"/>
          <w:sz w:val="32"/>
          <w:szCs w:val="32"/>
        </w:rPr>
        <w:t> </w:t>
      </w:r>
      <w:r>
        <w:rPr>
          <w:rFonts w:ascii="宋体" w:hAnsi="宋体" w:cs="宋体" w:eastAsia="宋体" w:hint="default"/>
          <w:sz w:val="32"/>
          <w:szCs w:val="32"/>
        </w:rPr>
        <w:t>一三年四月</w:t>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1.1pt;height:.75pt;mso-position-horizontal-relative:char;mso-position-vertical-relative:line" coordorigin="0,0" coordsize="9622,15">
            <v:group style="position:absolute;left:7;top:7;width:9607;height:2" coordorigin="7,7" coordsize="9607,2">
              <v:shape style="position:absolute;left:7;top:7;width:9607;height:2" coordorigin="7,7" coordsize="9607,0" path="m7,7l961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3" w:right="1780"/>
        <w:jc w:val="left"/>
        <w:rPr>
          <w:b w:val="0"/>
          <w:bCs w:val="0"/>
        </w:rPr>
      </w:pPr>
      <w:r>
        <w:rPr/>
        <w:pict>
          <v:shape style="position:absolute;margin-left:58.899994pt;margin-top:-50.93251pt;width:38.399994pt;height:7.800003pt;mso-position-horizontal-relative:page;mso-position-vertical-relative:paragraph;z-index:1096" type="#_x0000_t75" stroked="false">
            <v:imagedata r:id="rId7" o:title=""/>
          </v:shape>
        </w:pict>
      </w: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公司负责人包叔平、主管会计工作负责人包叔平及会计机构负责人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董樑声明：保证年度报告中财务报告的真实、准确、完整。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1780"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1"/>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408" w:lineRule="auto" w:before="0"/>
        <w:ind w:left="152" w:right="982" w:firstLine="562"/>
        <w:jc w:val="left"/>
        <w:rPr>
          <w:rFonts w:ascii="宋体" w:hAnsi="宋体" w:cs="宋体" w:eastAsia="宋体" w:hint="default"/>
          <w:sz w:val="28"/>
          <w:szCs w:val="28"/>
        </w:rPr>
      </w:pP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footerReference w:type="default" r:id="rId9"/>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1.1pt;height:.75pt;mso-position-horizontal-relative:char;mso-position-vertical-relative:line" coordorigin="0,0" coordsize="9622,15">
            <v:group style="position:absolute;left:7;top:7;width:9607;height:2" coordorigin="7,7" coordsize="9607,2">
              <v:shape style="position:absolute;left:7;top:7;width:9607;height:2" coordorigin="7,7" coordsize="9607,0" path="m7,7l961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12" w:right="3590" w:firstLine="0"/>
        <w:jc w:val="center"/>
        <w:rPr>
          <w:rFonts w:ascii="宋体" w:hAnsi="宋体" w:cs="宋体" w:eastAsia="宋体" w:hint="default"/>
          <w:sz w:val="36"/>
          <w:szCs w:val="36"/>
        </w:rPr>
      </w:pPr>
      <w:r>
        <w:rPr/>
        <w:pict>
          <v:shape style="position:absolute;margin-left:58.899994pt;margin-top:-94.871262pt;width:38.399994pt;height:7.800003pt;mso-position-horizontal-relative:page;mso-position-vertical-relative:paragraph;z-index:1144" type="#_x0000_t75" stroked="false">
            <v:imagedata r:id="rId7" o:title=""/>
          </v:shape>
        </w:pict>
      </w: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TOC_250010">
            <w:r>
              <w:rPr/>
              <w:t>第一节 重要提示、目录和释义</w:t>
            </w:r>
            <w:r>
              <w:rPr>
                <w:rFonts w:ascii="宋体" w:hAnsi="宋体" w:cs="宋体" w:eastAsia="宋体" w:hint="default"/>
              </w:rPr>
              <w:tab/>
              <w:t>2</w:t>
            </w:r>
          </w:hyperlink>
        </w:p>
        <w:p>
          <w:pPr>
            <w:pStyle w:val="TOC1"/>
            <w:tabs>
              <w:tab w:pos="9783" w:val="right" w:leader="dot"/>
            </w:tabs>
            <w:spacing w:line="240" w:lineRule="auto"/>
            <w:ind w:right="0"/>
            <w:jc w:val="left"/>
            <w:rPr>
              <w:rFonts w:ascii="宋体" w:hAnsi="宋体" w:cs="宋体" w:eastAsia="宋体" w:hint="default"/>
            </w:rPr>
          </w:pPr>
          <w:hyperlink w:history="true" w:anchor="_TOC_250009">
            <w:r>
              <w:rPr/>
              <w:t>第二节 公司简介</w:t>
            </w:r>
            <w:r>
              <w:rPr>
                <w:rFonts w:ascii="宋体" w:hAnsi="宋体" w:cs="宋体" w:eastAsia="宋体" w:hint="default"/>
              </w:rPr>
              <w:tab/>
              <w:t>6</w:t>
            </w:r>
          </w:hyperlink>
        </w:p>
        <w:p>
          <w:pPr>
            <w:pStyle w:val="TOC1"/>
            <w:tabs>
              <w:tab w:pos="9783" w:val="right" w:leader="dot"/>
            </w:tabs>
            <w:spacing w:line="240" w:lineRule="auto"/>
            <w:ind w:right="0"/>
            <w:jc w:val="left"/>
            <w:rPr>
              <w:rFonts w:ascii="宋体" w:hAnsi="宋体" w:cs="宋体" w:eastAsia="宋体" w:hint="default"/>
            </w:rPr>
          </w:pPr>
          <w:hyperlink w:history="true" w:anchor="_TOC_250008">
            <w:r>
              <w:rPr/>
              <w:t>第三节 会计数据和财务指标摘要</w:t>
            </w:r>
            <w:r>
              <w:rPr>
                <w:rFonts w:ascii="宋体" w:hAnsi="宋体" w:cs="宋体" w:eastAsia="宋体" w:hint="default"/>
              </w:rPr>
              <w:tab/>
              <w:t>8</w:t>
            </w:r>
          </w:hyperlink>
        </w:p>
        <w:p>
          <w:pPr>
            <w:pStyle w:val="TOC1"/>
            <w:tabs>
              <w:tab w:pos="9783" w:val="right" w:leader="dot"/>
            </w:tabs>
            <w:spacing w:line="240" w:lineRule="auto"/>
            <w:ind w:right="0"/>
            <w:jc w:val="left"/>
            <w:rPr>
              <w:rFonts w:ascii="宋体" w:hAnsi="宋体" w:cs="宋体" w:eastAsia="宋体" w:hint="default"/>
            </w:rPr>
          </w:pPr>
          <w:hyperlink w:history="true" w:anchor="_TOC_250007">
            <w:r>
              <w:rPr/>
              <w:t>第四节 董事会报告</w:t>
            </w:r>
            <w:r>
              <w:rPr>
                <w:rFonts w:ascii="宋体" w:hAnsi="宋体" w:cs="宋体" w:eastAsia="宋体" w:hint="default"/>
              </w:rPr>
              <w:tab/>
              <w:t>9</w:t>
            </w:r>
          </w:hyperlink>
        </w:p>
        <w:p>
          <w:pPr>
            <w:pStyle w:val="TOC1"/>
            <w:tabs>
              <w:tab w:pos="9783" w:val="right" w:leader="dot"/>
            </w:tabs>
            <w:spacing w:line="240" w:lineRule="auto"/>
            <w:ind w:right="0"/>
            <w:jc w:val="left"/>
            <w:rPr>
              <w:rFonts w:ascii="宋体" w:hAnsi="宋体" w:cs="宋体" w:eastAsia="宋体" w:hint="default"/>
            </w:rPr>
          </w:pPr>
          <w:hyperlink w:history="true" w:anchor="_TOC_250006">
            <w:r>
              <w:rPr/>
              <w:t>第五节 重要事项</w:t>
            </w:r>
            <w:r>
              <w:rPr>
                <w:rFonts w:ascii="宋体" w:hAnsi="宋体" w:cs="宋体" w:eastAsia="宋体" w:hint="default"/>
              </w:rPr>
              <w:tab/>
              <w:t>29</w:t>
            </w:r>
          </w:hyperlink>
        </w:p>
        <w:p>
          <w:pPr>
            <w:pStyle w:val="TOC1"/>
            <w:tabs>
              <w:tab w:pos="9783" w:val="right" w:leader="dot"/>
            </w:tabs>
            <w:spacing w:line="240" w:lineRule="auto"/>
            <w:ind w:right="0"/>
            <w:jc w:val="left"/>
            <w:rPr>
              <w:rFonts w:ascii="宋体" w:hAnsi="宋体" w:cs="宋体" w:eastAsia="宋体" w:hint="default"/>
            </w:rPr>
          </w:pPr>
          <w:hyperlink w:history="true" w:anchor="_TOC_250005">
            <w:r>
              <w:rPr/>
              <w:t>第六节 股份变动及股东情况</w:t>
            </w:r>
            <w:r>
              <w:rPr>
                <w:rFonts w:ascii="宋体" w:hAnsi="宋体" w:cs="宋体" w:eastAsia="宋体" w:hint="default"/>
              </w:rPr>
              <w:tab/>
              <w:t>37</w:t>
            </w:r>
          </w:hyperlink>
        </w:p>
        <w:p>
          <w:pPr>
            <w:pStyle w:val="TOC1"/>
            <w:tabs>
              <w:tab w:pos="9783" w:val="right" w:leader="dot"/>
            </w:tabs>
            <w:spacing w:line="240" w:lineRule="auto"/>
            <w:ind w:right="0"/>
            <w:jc w:val="left"/>
            <w:rPr>
              <w:rFonts w:ascii="宋体" w:hAnsi="宋体" w:cs="宋体" w:eastAsia="宋体" w:hint="default"/>
            </w:rPr>
          </w:pPr>
          <w:hyperlink w:history="true" w:anchor="_TOC_250004">
            <w:r>
              <w:rPr/>
              <w:t>第七节 董事、监事、高级管理人员和员工情况</w:t>
            </w:r>
            <w:r>
              <w:rPr>
                <w:rFonts w:ascii="宋体" w:hAnsi="宋体" w:cs="宋体" w:eastAsia="宋体" w:hint="default"/>
              </w:rPr>
              <w:tab/>
              <w:t>42</w:t>
            </w:r>
          </w:hyperlink>
        </w:p>
        <w:p>
          <w:pPr>
            <w:pStyle w:val="TOC1"/>
            <w:tabs>
              <w:tab w:pos="9783" w:val="right" w:leader="dot"/>
            </w:tabs>
            <w:spacing w:line="240" w:lineRule="auto"/>
            <w:ind w:right="0"/>
            <w:jc w:val="left"/>
            <w:rPr>
              <w:rFonts w:ascii="宋体" w:hAnsi="宋体" w:cs="宋体" w:eastAsia="宋体" w:hint="default"/>
            </w:rPr>
          </w:pPr>
          <w:hyperlink w:history="true" w:anchor="_TOC_250003">
            <w:r>
              <w:rPr/>
              <w:t>第八节 公司治理</w:t>
            </w:r>
            <w:r>
              <w:rPr>
                <w:rFonts w:ascii="宋体" w:hAnsi="宋体" w:cs="宋体" w:eastAsia="宋体" w:hint="default"/>
              </w:rPr>
              <w:tab/>
              <w:t>49</w:t>
            </w:r>
          </w:hyperlink>
        </w:p>
        <w:p>
          <w:pPr>
            <w:pStyle w:val="TOC1"/>
            <w:tabs>
              <w:tab w:pos="9783" w:val="right" w:leader="dot"/>
            </w:tabs>
            <w:spacing w:line="240" w:lineRule="auto"/>
            <w:ind w:right="0"/>
            <w:jc w:val="left"/>
            <w:rPr>
              <w:rFonts w:ascii="宋体" w:hAnsi="宋体" w:cs="宋体" w:eastAsia="宋体" w:hint="default"/>
            </w:rPr>
          </w:pPr>
          <w:hyperlink w:history="true" w:anchor="_TOC_250002">
            <w:r>
              <w:rPr/>
              <w:t>第九节 内部控制</w:t>
            </w:r>
            <w:r>
              <w:rPr>
                <w:rFonts w:ascii="宋体" w:hAnsi="宋体" w:cs="宋体" w:eastAsia="宋体" w:hint="default"/>
              </w:rPr>
              <w:tab/>
              <w:t>56</w:t>
            </w:r>
          </w:hyperlink>
        </w:p>
        <w:p>
          <w:pPr>
            <w:pStyle w:val="TOC1"/>
            <w:tabs>
              <w:tab w:pos="9783" w:val="right" w:leader="dot"/>
            </w:tabs>
            <w:spacing w:line="240" w:lineRule="auto"/>
            <w:ind w:right="0"/>
            <w:jc w:val="left"/>
            <w:rPr>
              <w:rFonts w:ascii="宋体" w:hAnsi="宋体" w:cs="宋体" w:eastAsia="宋体" w:hint="default"/>
            </w:rPr>
          </w:pPr>
          <w:hyperlink w:history="true" w:anchor="_TOC_250001">
            <w:r>
              <w:rPr/>
              <w:t>第十节 财务报告</w:t>
            </w:r>
            <w:r>
              <w:rPr>
                <w:rFonts w:ascii="宋体" w:hAnsi="宋体" w:cs="宋体" w:eastAsia="宋体" w:hint="default"/>
              </w:rPr>
              <w:tab/>
              <w:t>60</w:t>
            </w:r>
          </w:hyperlink>
        </w:p>
        <w:p>
          <w:pPr>
            <w:pStyle w:val="TOC1"/>
            <w:tabs>
              <w:tab w:pos="9783" w:val="right" w:leader="dot"/>
            </w:tabs>
            <w:spacing w:line="240" w:lineRule="auto"/>
            <w:ind w:right="0"/>
            <w:jc w:val="left"/>
            <w:rPr>
              <w:rFonts w:ascii="宋体" w:hAnsi="宋体" w:cs="宋体" w:eastAsia="宋体" w:hint="default"/>
            </w:rPr>
          </w:pPr>
          <w:hyperlink w:history="true" w:anchor="_TOC_250000">
            <w:r>
              <w:rPr/>
              <w:t>第十一节 备查文件目录</w:t>
            </w:r>
            <w:r>
              <w:rPr>
                <w:rFonts w:ascii="宋体" w:hAnsi="宋体" w:cs="宋体" w:eastAsia="宋体" w:hint="default"/>
              </w:rPr>
              <w:tab/>
              <w:t>124</w:t>
            </w:r>
          </w:hyperlink>
        </w:p>
        <w:p>
          <w:pPr/>
          <w:r>
            <w:fldChar w:fldCharType="end"/>
          </w:r>
        </w:p>
      </w:sdtContent>
    </w:sdt>
    <w:p>
      <w:pPr>
        <w:spacing w:after="0"/>
        <w:sectPr>
          <w:pgSz w:w="11910" w:h="16840"/>
          <w:pgMar w:header="745" w:footer="1340" w:top="1060" w:bottom="1540" w:left="980" w:right="0"/>
        </w:sect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87"/>
        <w:ind w:left="2612" w:right="359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海隆软件、本公司、本企业、公司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上海华钟、华钟公司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上海华钟计算机软件开发有限公司，系公司控股子公司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海隆宜通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上海海隆宜通信息技术有限公司，系公司控股子公司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江苏海隆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江苏海隆软件技术有限公司，系公司全资子公司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日本海隆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日本海隆株式会社，系公司全资子公司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中国证券监督管理委员会上海监管局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《上海海隆软件股份有限公司章程》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众华沪银、审计机构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上海艾云创投、艾云创投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上海艾云慧信创业投资有限公司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line="422" w:lineRule="auto" w:before="0"/>
        <w:ind w:left="714" w:right="1133" w:firstLine="3293"/>
        <w:jc w:val="left"/>
        <w:rPr>
          <w:rFonts w:ascii="宋体" w:hAnsi="宋体" w:cs="宋体" w:eastAsia="宋体" w:hint="default"/>
          <w:sz w:val="28"/>
          <w:szCs w:val="28"/>
        </w:rPr>
      </w:pPr>
      <w:r>
        <w:rPr>
          <w:rFonts w:ascii="宋体" w:hAnsi="宋体" w:cs="宋体" w:eastAsia="宋体" w:hint="default"/>
          <w:b/>
          <w:bCs/>
          <w:spacing w:val="2"/>
          <w:sz w:val="32"/>
          <w:szCs w:val="32"/>
        </w:rPr>
        <w:t>重大风险提示</w:t>
      </w:r>
      <w:r>
        <w:rPr>
          <w:rFonts w:ascii="宋体" w:hAnsi="宋体" w:cs="宋体" w:eastAsia="宋体" w:hint="default"/>
          <w:b/>
          <w:bCs/>
          <w:spacing w:val="2"/>
          <w:w w:val="99"/>
          <w:sz w:val="32"/>
          <w:szCs w:val="32"/>
        </w:rPr>
        <w:t> </w:t>
      </w:r>
      <w:r>
        <w:rPr>
          <w:rFonts w:ascii="宋体" w:hAnsi="宋体" w:cs="宋体" w:eastAsia="宋体" w:hint="default"/>
          <w:b/>
          <w:bCs/>
          <w:sz w:val="28"/>
          <w:szCs w:val="28"/>
        </w:rPr>
        <w:t>公司目前不存在影响公司正常经营的重大风险。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公司经营中存在的风险因素主要有汇率波动风险、市场开拓风险和人才竞</w:t>
      </w:r>
      <w:r>
        <w:rPr>
          <w:rFonts w:ascii="宋体" w:hAnsi="宋体" w:cs="宋体" w:eastAsia="宋体" w:hint="default"/>
          <w:spacing w:val="2"/>
          <w:sz w:val="28"/>
          <w:szCs w:val="28"/>
        </w:rPr>
      </w:r>
    </w:p>
    <w:p>
      <w:pPr>
        <w:spacing w:line="386" w:lineRule="auto" w:before="44"/>
        <w:ind w:left="152" w:right="1123" w:firstLine="0"/>
        <w:jc w:val="left"/>
        <w:rPr>
          <w:rFonts w:ascii="宋体" w:hAnsi="宋体" w:cs="宋体" w:eastAsia="宋体" w:hint="default"/>
          <w:sz w:val="28"/>
          <w:szCs w:val="28"/>
        </w:rPr>
      </w:pPr>
      <w:r>
        <w:rPr>
          <w:rFonts w:ascii="宋体" w:hAnsi="宋体" w:cs="宋体" w:eastAsia="宋体" w:hint="default"/>
          <w:b/>
          <w:bCs/>
          <w:spacing w:val="-10"/>
          <w:w w:val="99"/>
          <w:sz w:val="28"/>
          <w:szCs w:val="28"/>
        </w:rPr>
        <w:t>争风险等。有关风险因素分析及应对策略已在本报告第四节《董事会报告》的</w:t>
      </w:r>
      <w:r>
        <w:rPr>
          <w:rFonts w:ascii="Times New Roman" w:hAnsi="Times New Roman" w:cs="Times New Roman" w:eastAsia="Times New Roman" w:hint="default"/>
          <w:b/>
          <w:bCs/>
          <w:spacing w:val="-10"/>
          <w:w w:val="99"/>
          <w:sz w:val="28"/>
          <w:szCs w:val="28"/>
        </w:rPr>
        <w:t>“</w:t>
      </w:r>
      <w:r>
        <w:rPr>
          <w:rFonts w:ascii="宋体" w:hAnsi="宋体" w:cs="宋体" w:eastAsia="宋体" w:hint="default"/>
          <w:b/>
          <w:bCs/>
          <w:spacing w:val="-10"/>
          <w:w w:val="99"/>
          <w:sz w:val="28"/>
          <w:szCs w:val="28"/>
        </w:rPr>
        <w:t>公</w:t>
      </w:r>
      <w:r>
        <w:rPr>
          <w:rFonts w:ascii="宋体" w:hAnsi="宋体" w:cs="宋体" w:eastAsia="宋体" w:hint="default"/>
          <w:b/>
          <w:bCs/>
          <w:spacing w:val="-113"/>
          <w:w w:val="99"/>
          <w:sz w:val="28"/>
          <w:szCs w:val="28"/>
        </w:rPr>
        <w:t> </w:t>
      </w:r>
      <w:r>
        <w:rPr>
          <w:rFonts w:ascii="宋体" w:hAnsi="宋体" w:cs="宋体" w:eastAsia="宋体" w:hint="default"/>
          <w:b/>
          <w:bCs/>
          <w:sz w:val="28"/>
          <w:szCs w:val="28"/>
        </w:rPr>
        <w:t>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中详细阐述，请关注。</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3588"/>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78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海隆软件</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002195</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海隆软件</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SHANGHAI HYRON </w:t>
            </w:r>
            <w:r>
              <w:rPr>
                <w:rFonts w:ascii="Times New Roman"/>
                <w:spacing w:val="-3"/>
                <w:sz w:val="18"/>
              </w:rPr>
              <w:t>SOFTWARE Co.,LTD</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HYRON</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包叔平</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z w:val="18"/>
                <w:szCs w:val="18"/>
              </w:rPr>
              <w:t>号普天信息产业园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楼</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http://www.hyron.com/</w:t>
              </w:r>
            </w:hyperlink>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zhengquan </w:t>
            </w:r>
            <w:r>
              <w:rPr>
                <w:rFonts w:ascii="Times New Roman"/>
                <w:spacing w:val="-11"/>
                <w:sz w:val="18"/>
              </w:rPr>
              <w:t>AT </w:t>
            </w:r>
            <w:r>
              <w:rPr>
                <w:rFonts w:ascii="Times New Roman"/>
                <w:sz w:val="18"/>
              </w:rPr>
              <w:t>hyron DOT</w:t>
            </w:r>
            <w:r>
              <w:rPr>
                <w:rFonts w:ascii="Times New Roman"/>
                <w:spacing w:val="-9"/>
                <w:sz w:val="18"/>
              </w:rPr>
              <w:t> </w:t>
            </w:r>
            <w:r>
              <w:rPr>
                <w:rFonts w:ascii="Times New Roman"/>
                <w:sz w:val="18"/>
              </w:rPr>
              <w:t>com</w:t>
            </w:r>
          </w:p>
        </w:tc>
      </w:tr>
    </w:tbl>
    <w:p>
      <w:pPr>
        <w:spacing w:line="240" w:lineRule="auto" w:before="1"/>
        <w:rPr>
          <w:rFonts w:ascii="宋体" w:hAnsi="宋体" w:cs="宋体" w:eastAsia="宋体" w:hint="default"/>
          <w:b/>
          <w:bCs/>
          <w:sz w:val="18"/>
          <w:szCs w:val="18"/>
        </w:rPr>
      </w:pPr>
    </w:p>
    <w:p>
      <w:pPr>
        <w:pStyle w:val="Heading2"/>
        <w:spacing w:line="240" w:lineRule="auto"/>
        <w:ind w:right="178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高冬冬</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6391"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号普天信息产业园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6391"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021-64689626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6391"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021-64689489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91"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zhengquan </w:t>
            </w:r>
            <w:r>
              <w:rPr>
                <w:rFonts w:ascii="Times New Roman"/>
                <w:spacing w:val="-11"/>
                <w:sz w:val="18"/>
              </w:rPr>
              <w:t>AT </w:t>
            </w:r>
            <w:r>
              <w:rPr>
                <w:rFonts w:ascii="Times New Roman"/>
                <w:sz w:val="18"/>
              </w:rPr>
              <w:t>hyron DOT</w:t>
            </w:r>
            <w:r>
              <w:rPr>
                <w:rFonts w:ascii="Times New Roman"/>
                <w:spacing w:val="-9"/>
                <w:sz w:val="18"/>
              </w:rPr>
              <w:t> </w:t>
            </w:r>
            <w:r>
              <w:rPr>
                <w:rFonts w:ascii="Times New Roman"/>
                <w:sz w:val="18"/>
              </w:rPr>
              <w:t>com</w:t>
            </w:r>
          </w:p>
        </w:tc>
      </w:tr>
    </w:tbl>
    <w:p>
      <w:pPr>
        <w:spacing w:line="240" w:lineRule="auto" w:before="1"/>
        <w:rPr>
          <w:rFonts w:ascii="宋体" w:hAnsi="宋体" w:cs="宋体" w:eastAsia="宋体" w:hint="default"/>
          <w:b/>
          <w:bCs/>
          <w:sz w:val="18"/>
          <w:szCs w:val="18"/>
        </w:rPr>
      </w:pPr>
    </w:p>
    <w:p>
      <w:pPr>
        <w:pStyle w:val="Heading2"/>
        <w:spacing w:line="240" w:lineRule="auto"/>
        <w:ind w:right="178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ind w:right="178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0"/>
        <w:ind w:left="0" w:right="1136" w:firstLine="0"/>
        <w:jc w:val="right"/>
        <w:rPr>
          <w:rFonts w:ascii="宋体" w:hAnsi="宋体" w:cs="宋体" w:eastAsia="宋体" w:hint="default"/>
          <w:sz w:val="18"/>
          <w:szCs w:val="18"/>
        </w:rPr>
      </w:pPr>
      <w:r>
        <w:rPr/>
        <w:pict>
          <v:shape style="position:absolute;margin-left:57pt;margin-top:-98.928291pt;width:478.55pt;height:178.9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0"/>
                    <w:gridCol w:w="1702"/>
                    <w:gridCol w:w="1985"/>
                    <w:gridCol w:w="1558"/>
                    <w:gridCol w:w="1419"/>
                    <w:gridCol w:w="1202"/>
                  </w:tblGrid>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03" w:right="50"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58"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股份有限公首次注册</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310000000003153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310104607203699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60720369-9</w:t>
                        </w:r>
                      </w:p>
                    </w:tc>
                  </w:tr>
                  <w:tr>
                    <w:trPr>
                      <w:trHeight w:val="401"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上海市工商行政管理局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310000000003153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310104607203699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60720369-9</w:t>
                        </w:r>
                      </w:p>
                    </w:tc>
                  </w:tr>
                  <w:tr>
                    <w:trPr>
                      <w:trHeight w:val="403" w:hRule="exact"/>
                    </w:trPr>
                    <w:tc>
                      <w:tcPr>
                        <w:tcW w:w="3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164"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629" w:hRule="exact"/>
                    </w:trPr>
                    <w:tc>
                      <w:tcPr>
                        <w:tcW w:w="33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164" w:type="dxa"/>
                        <w:gridSpan w:val="4"/>
                        <w:vMerge w:val="restart"/>
                        <w:tcBorders>
                          <w:top w:val="single" w:sz="4" w:space="0" w:color="000000"/>
                          <w:left w:val="single" w:sz="10" w:space="0" w:color="D2D2D2"/>
                          <w:right w:val="single" w:sz="4" w:space="0" w:color="000000"/>
                        </w:tcBorders>
                      </w:tcPr>
                      <w:p>
                        <w:pPr>
                          <w:pStyle w:val="TableParagraph"/>
                          <w:spacing w:line="312" w:lineRule="auto" w:before="49"/>
                          <w:ind w:left="16" w:right="20"/>
                          <w:jc w:val="left"/>
                          <w:rPr>
                            <w:rFonts w:ascii="宋体" w:hAnsi="宋体" w:cs="宋体" w:eastAsia="宋体" w:hint="default"/>
                            <w:sz w:val="18"/>
                            <w:szCs w:val="18"/>
                          </w:rPr>
                        </w:pPr>
                        <w:r>
                          <w:rPr>
                            <w:rFonts w:ascii="宋体" w:hAnsi="宋体" w:cs="宋体" w:eastAsia="宋体" w:hint="default"/>
                            <w:spacing w:val="-4"/>
                            <w:sz w:val="18"/>
                            <w:szCs w:val="18"/>
                          </w:rPr>
                          <w:t>无控股股东，公司实际控制人为包叔平先生，中国国籍，</w:t>
                        </w:r>
                        <w:r>
                          <w:rPr>
                            <w:rFonts w:ascii="Times New Roman" w:hAnsi="Times New Roman" w:cs="Times New Roman" w:eastAsia="Times New Roman" w:hint="default"/>
                            <w:spacing w:val="-4"/>
                            <w:sz w:val="18"/>
                            <w:szCs w:val="18"/>
                          </w:rPr>
                          <w:t>1955 </w:t>
                        </w:r>
                        <w:r>
                          <w:rPr>
                            <w:rFonts w:ascii="宋体" w:hAnsi="宋体" w:cs="宋体" w:eastAsia="宋体" w:hint="default"/>
                            <w:spacing w:val="-6"/>
                            <w:sz w:val="18"/>
                            <w:szCs w:val="18"/>
                          </w:rPr>
                          <w:t>年生，博士学历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现任本公司董事长、总经理，日本海隆株式会社董事长兼总经理，上海华钟计</w:t>
                        </w:r>
                        <w:r>
                          <w:rPr>
                            <w:rFonts w:ascii="宋体" w:hAnsi="宋体" w:cs="宋体" w:eastAsia="宋体" w:hint="default"/>
                            <w:sz w:val="18"/>
                            <w:szCs w:val="18"/>
                          </w:rPr>
                          <w:t> 算机软件开发有限公司董事，江苏海隆软件技术有限公司董事长、上海海隆宜 通信息技术有限公司董事长，上海艾云慧信创业投资有限公司副董事长。截至 报告期末，合计持有公司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29.46%</w:t>
                        </w:r>
                        <w:r>
                          <w:rPr>
                            <w:rFonts w:ascii="宋体" w:hAnsi="宋体" w:cs="宋体" w:eastAsia="宋体" w:hint="default"/>
                            <w:sz w:val="18"/>
                            <w:szCs w:val="18"/>
                          </w:rPr>
                          <w:t>的投票权。</w:t>
                        </w:r>
                      </w:p>
                    </w:tc>
                  </w:tr>
                  <w:tr>
                    <w:trPr>
                      <w:trHeight w:val="391" w:hRule="exact"/>
                    </w:trPr>
                    <w:tc>
                      <w:tcPr>
                        <w:tcW w:w="339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164" w:type="dxa"/>
                        <w:gridSpan w:val="4"/>
                        <w:vMerge/>
                        <w:tcBorders>
                          <w:left w:val="single" w:sz="10" w:space="0" w:color="D2D2D2"/>
                          <w:right w:val="single" w:sz="4" w:space="0" w:color="000000"/>
                        </w:tcBorders>
                      </w:tcPr>
                      <w:p>
                        <w:pPr/>
                      </w:p>
                    </w:tc>
                  </w:tr>
                  <w:tr>
                    <w:trPr>
                      <w:trHeight w:val="629" w:hRule="exact"/>
                    </w:trPr>
                    <w:tc>
                      <w:tcPr>
                        <w:tcW w:w="33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164" w:type="dxa"/>
                        <w:gridSpan w:val="4"/>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ind w:right="178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78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 </w:t>
            </w:r>
            <w:r>
              <w:rPr>
                <w:rFonts w:ascii="宋体" w:hAnsi="宋体" w:cs="宋体" w:eastAsia="宋体" w:hint="default"/>
                <w:sz w:val="18"/>
                <w:szCs w:val="18"/>
              </w:rPr>
              <w:t>号海洋大厦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戎凯宇、杨明</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240" w:lineRule="auto"/>
        <w:ind w:left="2642" w:right="1780"/>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8"/>
        <w:rPr>
          <w:rFonts w:ascii="宋体" w:hAnsi="宋体" w:cs="宋体" w:eastAsia="宋体" w:hint="default"/>
          <w:b/>
          <w:bCs/>
          <w:sz w:val="31"/>
          <w:szCs w:val="31"/>
        </w:rPr>
      </w:pPr>
    </w:p>
    <w:p>
      <w:pPr>
        <w:pStyle w:val="Heading2"/>
        <w:spacing w:line="240" w:lineRule="auto" w:before="0"/>
        <w:ind w:right="1780"/>
        <w:jc w:val="left"/>
        <w:rPr>
          <w:b w:val="0"/>
          <w:bCs w:val="0"/>
        </w:rPr>
      </w:pPr>
      <w:r>
        <w:rPr/>
        <w:t>一、主要会计数据和财务指标</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12"/>
          <w:footerReference w:type="default" r:id="rId13"/>
          <w:pgSz w:w="11910" w:h="16840"/>
          <w:pgMar w:header="876" w:footer="0" w:top="1060" w:bottom="0" w:left="980" w:right="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公司未因会计政策变更及会计差错更正等追溯调整或重述以前年度会计数据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7091" w:space="1830"/>
            <w:col w:w="2009"/>
          </w:cols>
        </w:sectPr>
      </w:pPr>
    </w:p>
    <w:p>
      <w:pPr>
        <w:spacing w:line="240" w:lineRule="auto" w:before="2"/>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633592" coordorigin="9206,15298" coordsize="2700,1540">
            <v:shape style="position:absolute;left:9206;top:15298;width:2700;height:1540" type="#_x0000_t75" stroked="false">
              <v:imagedata r:id="rId14" o:title=""/>
            </v:shape>
            <v:shape style="position:absolute;left:10682;top:15659;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60"/>
        <w:gridCol w:w="1692"/>
        <w:gridCol w:w="1496"/>
        <w:gridCol w:w="1849"/>
        <w:gridCol w:w="1562"/>
      </w:tblGrid>
      <w:tr>
        <w:trPr>
          <w:trHeight w:val="40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410,324,918.22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390,699,391.77</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294,250,120.89</w:t>
            </w:r>
          </w:p>
        </w:tc>
      </w:tr>
      <w:tr>
        <w:trPr>
          <w:trHeight w:val="40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66,331,138.42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64,970,176.54</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45,202,806.42</w:t>
            </w:r>
          </w:p>
        </w:tc>
      </w:tr>
      <w:tr>
        <w:trPr>
          <w:trHeight w:val="71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57,061,815.53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59,349,124.77</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37,418,074.50</w:t>
            </w:r>
          </w:p>
        </w:tc>
      </w:tr>
      <w:tr>
        <w:trPr>
          <w:trHeight w:val="40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65,747,915.19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81,178,243.88</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42,890,745.78</w:t>
            </w:r>
          </w:p>
        </w:tc>
      </w:tr>
      <w:tr>
        <w:trPr>
          <w:trHeight w:val="401"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0.5821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0.5805</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0.403849</w:t>
            </w:r>
          </w:p>
        </w:tc>
      </w:tr>
      <w:tr>
        <w:trPr>
          <w:trHeight w:val="40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0.5821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0.5805</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0.403849</w:t>
            </w:r>
          </w:p>
        </w:tc>
      </w:tr>
      <w:tr>
        <w:trPr>
          <w:trHeight w:val="401"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19.46%</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15.81%</w:t>
            </w:r>
          </w:p>
        </w:tc>
      </w:tr>
      <w:tr>
        <w:trPr>
          <w:trHeight w:val="161" w:hRule="exact"/>
        </w:trPr>
        <w:tc>
          <w:tcPr>
            <w:tcW w:w="2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960" w:type="dxa"/>
            <w:tcBorders>
              <w:top w:val="nil" w:sz="6" w:space="0" w:color="auto"/>
              <w:left w:val="single" w:sz="4" w:space="0" w:color="000000"/>
              <w:bottom w:val="nil" w:sz="6" w:space="0" w:color="auto"/>
              <w:right w:val="single" w:sz="4" w:space="0" w:color="000000"/>
            </w:tcBorders>
            <w:shd w:val="clear" w:color="auto" w:fill="D2D2D2"/>
          </w:tcPr>
          <w:p>
            <w:pPr/>
          </w:p>
        </w:tc>
        <w:tc>
          <w:tcPr>
            <w:tcW w:w="16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849" w:type="dxa"/>
            <w:vMerge/>
            <w:tcBorders>
              <w:left w:val="single" w:sz="4" w:space="0" w:color="000000"/>
              <w:right w:val="single" w:sz="4" w:space="0" w:color="000000"/>
            </w:tcBorders>
            <w:shd w:val="clear" w:color="auto" w:fill="D2D2D2"/>
          </w:tcPr>
          <w:p>
            <w:pPr/>
          </w:p>
        </w:tc>
        <w:tc>
          <w:tcPr>
            <w:tcW w:w="15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5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485,817,372.34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424,018,387.73</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358,889,318.01</w:t>
            </w:r>
          </w:p>
        </w:tc>
      </w:tr>
      <w:tr>
        <w:trPr>
          <w:trHeight w:val="716"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归属于上市公司股东的净资产（归属 </w:t>
            </w:r>
            <w:r>
              <w:rPr>
                <w:rFonts w:ascii="宋体" w:hAnsi="宋体" w:cs="宋体" w:eastAsia="宋体" w:hint="default"/>
                <w:spacing w:val="-6"/>
                <w:sz w:val="18"/>
                <w:szCs w:val="18"/>
              </w:rPr>
              <w:t>于上市公司股东的所有者权益）（元）</w:t>
            </w:r>
          </w:p>
        </w:tc>
        <w:tc>
          <w:tcPr>
            <w:tcW w:w="1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441,849,685.58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367,214,329.07</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20.32%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305,786,338.42</w:t>
            </w:r>
          </w:p>
        </w:tc>
      </w:tr>
    </w:tbl>
    <w:p>
      <w:pPr>
        <w:spacing w:line="240" w:lineRule="auto" w:before="1"/>
        <w:rPr>
          <w:rFonts w:ascii="宋体" w:hAnsi="宋体" w:cs="宋体" w:eastAsia="宋体" w:hint="default"/>
          <w:sz w:val="18"/>
          <w:szCs w:val="18"/>
        </w:rPr>
      </w:pPr>
    </w:p>
    <w:p>
      <w:pPr>
        <w:spacing w:line="499" w:lineRule="auto" w:before="26"/>
        <w:ind w:left="152" w:right="6313" w:firstLine="0"/>
        <w:jc w:val="left"/>
        <w:rPr>
          <w:rFonts w:ascii="宋体" w:hAnsi="宋体" w:cs="宋体" w:eastAsia="宋体" w:hint="default"/>
          <w:sz w:val="24"/>
          <w:szCs w:val="24"/>
        </w:rPr>
      </w:pPr>
      <w:r>
        <w:rPr>
          <w:rFonts w:ascii="宋体" w:hAnsi="宋体" w:cs="宋体" w:eastAsia="宋体" w:hint="default"/>
          <w:b/>
          <w:bCs/>
          <w:sz w:val="24"/>
          <w:szCs w:val="24"/>
        </w:rPr>
        <w:t>二、境内外会计准则下会计数据差异</w:t>
      </w:r>
      <w:r>
        <w:rPr>
          <w:rFonts w:ascii="宋体" w:hAnsi="宋体" w:cs="宋体" w:eastAsia="宋体" w:hint="default"/>
          <w:b/>
          <w:bCs/>
          <w:w w:val="99"/>
          <w:sz w:val="24"/>
          <w:szCs w:val="24"/>
        </w:rPr>
        <w:t> </w:t>
      </w:r>
      <w:r>
        <w:rPr>
          <w:rFonts w:ascii="宋体" w:hAnsi="宋体" w:cs="宋体" w:eastAsia="宋体" w:hint="default"/>
          <w:spacing w:val="-2"/>
          <w:sz w:val="21"/>
          <w:szCs w:val="21"/>
        </w:rPr>
        <w:t>公司不存在境内外会计准则下会计数据差异</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4"/>
          <w:szCs w:val="24"/>
        </w:rPr>
        <w:t>三、非经常性损益项目及金额</w:t>
      </w:r>
      <w:r>
        <w:rPr>
          <w:rFonts w:ascii="宋体" w:hAnsi="宋体" w:cs="宋体" w:eastAsia="宋体" w:hint="default"/>
          <w:sz w:val="24"/>
          <w:szCs w:val="24"/>
        </w:rPr>
      </w:r>
    </w:p>
    <w:p>
      <w:pPr>
        <w:spacing w:before="8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-107,558.80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-89,129.66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-47,352.73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10,794,300.00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6,941,321.00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9,386,179.00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获得较多政府补贴所 致</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88,503.21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98,765.26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-225,871.85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1,154,936.31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1,105,690.95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996,242.37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350,985.21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224,213.88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331,980.13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9,269,322.89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5,621,051.77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7,784,731.92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780"/>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780"/>
        <w:jc w:val="left"/>
        <w:rPr>
          <w:b w:val="0"/>
          <w:bCs w:val="0"/>
        </w:rPr>
      </w:pPr>
      <w:r>
        <w:rPr/>
        <w:t>一、概述</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69" w:firstLine="480"/>
        <w:jc w:val="both"/>
      </w:pPr>
      <w:r>
        <w:rPr>
          <w:rFonts w:ascii="宋体" w:hAnsi="宋体" w:cs="宋体" w:eastAsia="宋体" w:hint="default"/>
        </w:rPr>
        <w:t>2012</w:t>
      </w:r>
      <w:r>
        <w:rPr/>
        <w:t>年，公司按照董事会确定的年度发展目标和战略规划，积极拓展市场，进一步提升 管理理念，深化管理体系改革，构建科学、持续的管理体制和平台。加强经营管理、推动内 部协同、持续加大研发力度、进一步规范精细化服务、创新服务模式，全面提升了公司核心 竞争力，通过公司经营管理层和全体员工的共同努力，在外部条件不利的情况下，基本完成 了年度各项工作任务，实现了经营业绩的平稳发展。</w:t>
      </w:r>
    </w:p>
    <w:p>
      <w:pPr>
        <w:spacing w:line="240" w:lineRule="auto" w:before="11"/>
        <w:rPr>
          <w:rFonts w:ascii="宋体" w:hAnsi="宋体" w:cs="宋体" w:eastAsia="宋体" w:hint="default"/>
          <w:sz w:val="19"/>
          <w:szCs w:val="19"/>
        </w:rPr>
      </w:pPr>
    </w:p>
    <w:p>
      <w:pPr>
        <w:pStyle w:val="Heading2"/>
        <w:spacing w:line="470" w:lineRule="auto" w:before="0"/>
        <w:ind w:right="8826"/>
        <w:jc w:val="left"/>
        <w:rPr>
          <w:b w:val="0"/>
          <w:bCs w:val="0"/>
        </w:rPr>
      </w:pPr>
      <w:r>
        <w:rPr/>
        <w:t>二、主营业务分析</w:t>
      </w:r>
      <w:r>
        <w:rPr>
          <w:w w:val="99"/>
        </w:rPr>
        <w:t> </w:t>
      </w:r>
      <w:r>
        <w:rPr>
          <w:rFonts w:ascii="宋体" w:hAnsi="宋体" w:cs="宋体" w:eastAsia="宋体" w:hint="default"/>
        </w:rPr>
        <w:t>1</w:t>
      </w:r>
      <w:r>
        <w:rPr/>
        <w:t>、概述</w:t>
      </w:r>
      <w:r>
        <w:rPr>
          <w:b w:val="0"/>
          <w:bCs w:val="0"/>
        </w:rPr>
      </w:r>
    </w:p>
    <w:p>
      <w:pPr>
        <w:pStyle w:val="BodyText"/>
        <w:spacing w:line="357" w:lineRule="auto" w:before="144"/>
        <w:ind w:right="1124" w:firstLine="482"/>
        <w:jc w:val="both"/>
      </w:pPr>
      <w:r>
        <w:rPr/>
        <w:t>公司主营业务为面向海外的软件外包服务。报告期内，公司主营业务构成未发生重大变 化。</w:t>
      </w:r>
      <w:r>
        <w:rPr>
          <w:rFonts w:ascii="宋体" w:hAnsi="宋体" w:cs="宋体" w:eastAsia="宋体" w:hint="default"/>
        </w:rPr>
        <w:t>2012</w:t>
      </w:r>
      <w:r>
        <w:rPr/>
        <w:t>年，公司整体经营依旧保持长期稳健持续发展的态势，财务状况健康平稳。尽管受</w:t>
      </w:r>
      <w:r>
        <w:rPr>
          <w:spacing w:val="-91"/>
        </w:rPr>
        <w:t> </w:t>
      </w:r>
      <w:r>
        <w:rPr>
          <w:spacing w:val="-91"/>
        </w:rPr>
      </w:r>
      <w:r>
        <w:rPr>
          <w:spacing w:val="3"/>
        </w:rPr>
        <w:t>到外部大环境的不良影响，报告期内，公司实现营业收入</w:t>
      </w:r>
      <w:r>
        <w:rPr>
          <w:rFonts w:ascii="宋体" w:hAnsi="宋体" w:cs="宋体" w:eastAsia="宋体" w:hint="default"/>
          <w:spacing w:val="3"/>
        </w:rPr>
        <w:t>41,032.49</w:t>
      </w:r>
      <w:r>
        <w:rPr>
          <w:spacing w:val="3"/>
        </w:rPr>
        <w:t>万元，较上年同比增长</w:t>
      </w:r>
      <w:r>
        <w:rPr>
          <w:spacing w:val="-113"/>
        </w:rPr>
        <w:t> </w:t>
      </w:r>
      <w:r>
        <w:rPr>
          <w:rFonts w:ascii="宋体" w:hAnsi="宋体" w:cs="宋体" w:eastAsia="宋体" w:hint="default"/>
        </w:rPr>
        <w:t>5.02%</w:t>
      </w:r>
      <w:r>
        <w:rPr/>
        <w:t>；利润总额</w:t>
      </w:r>
      <w:r>
        <w:rPr>
          <w:rFonts w:ascii="宋体" w:hAnsi="宋体" w:cs="宋体" w:eastAsia="宋体" w:hint="default"/>
        </w:rPr>
        <w:t>7,536.29</w:t>
      </w:r>
      <w:r>
        <w:rPr/>
        <w:t>万元，较上年同比减少</w:t>
      </w:r>
      <w:r>
        <w:rPr>
          <w:rFonts w:ascii="宋体" w:hAnsi="宋体" w:cs="宋体" w:eastAsia="宋体" w:hint="default"/>
        </w:rPr>
        <w:t>4.83%</w:t>
      </w:r>
      <w:r>
        <w:rPr/>
        <w:t>；实现归属于上市公司股东的净利润</w:t>
      </w:r>
    </w:p>
    <w:p>
      <w:pPr>
        <w:spacing w:line="357" w:lineRule="auto" w:before="36"/>
        <w:ind w:left="633" w:right="1123" w:hanging="481"/>
        <w:jc w:val="left"/>
        <w:rPr>
          <w:rFonts w:ascii="宋体" w:hAnsi="宋体" w:cs="宋体" w:eastAsia="宋体" w:hint="default"/>
          <w:sz w:val="24"/>
          <w:szCs w:val="24"/>
        </w:rPr>
      </w:pPr>
      <w:r>
        <w:rPr>
          <w:rFonts w:ascii="宋体" w:hAnsi="宋体" w:cs="宋体" w:eastAsia="宋体" w:hint="default"/>
          <w:sz w:val="24"/>
          <w:szCs w:val="24"/>
        </w:rPr>
        <w:t>6,633.11</w:t>
      </w:r>
      <w:r>
        <w:rPr>
          <w:rFonts w:ascii="宋体" w:hAnsi="宋体" w:cs="宋体" w:eastAsia="宋体" w:hint="default"/>
          <w:sz w:val="24"/>
          <w:szCs w:val="24"/>
        </w:rPr>
        <w:t>万元，较上年同比增长</w:t>
      </w:r>
      <w:r>
        <w:rPr>
          <w:rFonts w:ascii="宋体" w:hAnsi="宋体" w:cs="宋体" w:eastAsia="宋体" w:hint="default"/>
          <w:sz w:val="24"/>
          <w:szCs w:val="24"/>
        </w:rPr>
        <w:t>2.09%</w:t>
      </w:r>
      <w:r>
        <w:rPr>
          <w:rFonts w:ascii="宋体" w:hAnsi="宋体" w:cs="宋体" w:eastAsia="宋体" w:hint="default"/>
          <w:sz w:val="24"/>
          <w:szCs w:val="24"/>
        </w:rPr>
        <w:t>。 </w:t>
      </w:r>
      <w:r>
        <w:rPr>
          <w:rFonts w:ascii="宋体" w:hAnsi="宋体" w:cs="宋体" w:eastAsia="宋体" w:hint="default"/>
          <w:b/>
          <w:bCs/>
          <w:sz w:val="24"/>
          <w:szCs w:val="24"/>
        </w:rPr>
        <w:t>回顾总结前期披露的发展战略和经营计划在报告期内的进展情况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报告期内，公司认真、严格地执行了上一年度披露的发展战略和经营计划，总体经营状</w:t>
      </w:r>
    </w:p>
    <w:p>
      <w:pPr>
        <w:pStyle w:val="BodyText"/>
        <w:spacing w:line="240" w:lineRule="auto"/>
        <w:ind w:right="1780"/>
        <w:jc w:val="left"/>
      </w:pPr>
      <w:r>
        <w:rPr/>
        <w:t>况如下：</w:t>
      </w:r>
    </w:p>
    <w:p>
      <w:pPr>
        <w:pStyle w:val="BodyText"/>
        <w:spacing w:line="357" w:lineRule="auto" w:before="154"/>
        <w:ind w:left="633" w:right="1123"/>
        <w:jc w:val="left"/>
      </w:pPr>
      <w:r>
        <w:rPr/>
        <w:t>（</w:t>
      </w:r>
      <w:r>
        <w:rPr>
          <w:rFonts w:ascii="宋体" w:hAnsi="宋体" w:cs="宋体" w:eastAsia="宋体" w:hint="default"/>
        </w:rPr>
        <w:t>1</w:t>
      </w:r>
      <w:r>
        <w:rPr/>
        <w:t>）客户关系稳定，主营业务继续保持增长 广阔的海外市场既能保障未来公司外包业务的稳定增长，同时能为拓展国内客户带来品</w:t>
      </w:r>
    </w:p>
    <w:p>
      <w:pPr>
        <w:pStyle w:val="BodyText"/>
        <w:spacing w:line="357" w:lineRule="auto"/>
        <w:ind w:left="633" w:right="1123" w:hanging="481"/>
        <w:jc w:val="left"/>
      </w:pPr>
      <w:r>
        <w:rPr/>
        <w:t>牌优势和国际一流的技术、管理水平的优势。 报告期内，面对海外主营业务市场，公司一如既往地集中已有的优质资源，对有潜力客</w:t>
      </w:r>
    </w:p>
    <w:p>
      <w:pPr>
        <w:pStyle w:val="BodyText"/>
        <w:spacing w:line="357" w:lineRule="auto"/>
        <w:ind w:right="1134"/>
        <w:jc w:val="both"/>
      </w:pPr>
      <w:r>
        <w:rPr/>
        <w:t>户深耕细作，不断提高服务质量，从而全面提升占据高端业务的深度和广度；公司重点巩固</w:t>
      </w:r>
      <w:r>
        <w:rPr>
          <w:spacing w:val="-87"/>
        </w:rPr>
        <w:t> </w:t>
      </w:r>
      <w:r>
        <w:rPr>
          <w:spacing w:val="-87"/>
        </w:rPr>
      </w:r>
      <w:r>
        <w:rPr/>
        <w:t>老客户，扩大合作范围，与客户建立多元合作模式，通过自身不断的努力，赢取了客户的高</w:t>
      </w:r>
      <w:r>
        <w:rPr>
          <w:spacing w:val="-91"/>
        </w:rPr>
        <w:t> </w:t>
      </w:r>
      <w:r>
        <w:rPr>
          <w:spacing w:val="-91"/>
        </w:rPr>
      </w:r>
      <w:r>
        <w:rPr/>
        <w:t>度信任。公司加大了开拓新客户的力度，积极发掘新行业客户的需求，使公司客户行业分布</w:t>
      </w:r>
      <w:r>
        <w:rPr>
          <w:spacing w:val="-91"/>
        </w:rPr>
        <w:t> </w:t>
      </w:r>
      <w:r>
        <w:rPr>
          <w:spacing w:val="-91"/>
        </w:rPr>
      </w:r>
      <w:r>
        <w:rPr/>
        <w:t>更加丰富、更加均衡合理，公司客户群有着良好的结构分布，横跨证券、银行、保险、制造</w:t>
      </w:r>
      <w:r>
        <w:rPr>
          <w:spacing w:val="-91"/>
        </w:rPr>
        <w:t> </w:t>
      </w:r>
      <w:r>
        <w:rPr>
          <w:spacing w:val="-91"/>
        </w:rPr>
      </w:r>
      <w:r>
        <w:rPr/>
        <w:t>业（嵌入式软件）、</w:t>
      </w:r>
      <w:r>
        <w:rPr>
          <w:rFonts w:ascii="宋体" w:hAnsi="宋体" w:cs="宋体" w:eastAsia="宋体" w:hint="default"/>
        </w:rPr>
        <w:t>3G</w:t>
      </w:r>
      <w:r>
        <w:rPr/>
        <w:t>手机内容服务和电子商务等多个行业，且均是各行业中的一流企业。</w:t>
      </w:r>
    </w:p>
    <w:p>
      <w:pPr>
        <w:spacing w:after="0" w:line="357" w:lineRule="auto"/>
        <w:jc w:val="both"/>
        <w:sectPr>
          <w:footerReference w:type="default" r:id="rId15"/>
          <w:pgSz w:w="11910" w:h="16840"/>
          <w:pgMar w:footer="1340" w:header="876" w:top="1060" w:bottom="1540" w:left="980" w:right="0"/>
          <w:pgNumType w:start="9"/>
        </w:sectPr>
      </w:pPr>
    </w:p>
    <w:p>
      <w:pPr>
        <w:spacing w:line="240" w:lineRule="auto" w:before="6"/>
        <w:rPr>
          <w:rFonts w:ascii="宋体" w:hAnsi="宋体" w:cs="宋体" w:eastAsia="宋体" w:hint="default"/>
          <w:sz w:val="29"/>
          <w:szCs w:val="29"/>
        </w:rPr>
      </w:pPr>
    </w:p>
    <w:p>
      <w:pPr>
        <w:pStyle w:val="BodyText"/>
        <w:spacing w:line="357" w:lineRule="auto" w:before="26"/>
        <w:ind w:right="1138" w:firstLine="480"/>
        <w:jc w:val="both"/>
      </w:pPr>
      <w:r>
        <w:rPr/>
        <w:t>公司与客户均有着长期良好的合作关系，与客户之间保持着积极的定期互访交流，做深 客户关系，使双方合作得到进一步的巩固及提升。</w:t>
      </w:r>
    </w:p>
    <w:p>
      <w:pPr>
        <w:pStyle w:val="BodyText"/>
        <w:spacing w:line="357" w:lineRule="auto"/>
        <w:ind w:right="1134" w:firstLine="480"/>
        <w:jc w:val="both"/>
      </w:pPr>
      <w:r>
        <w:rPr/>
        <w:t>报告期内，公司金融业务持续发展扩大，客户数量得到稳定增加，金融业务收入较上年 有所增长，除长期稳定发展的证券银行业务外还拓展了信贷、保险等业务，使得业务领域分</w:t>
      </w:r>
      <w:r>
        <w:rPr>
          <w:spacing w:val="-88"/>
        </w:rPr>
        <w:t> </w:t>
      </w:r>
      <w:r>
        <w:rPr>
          <w:spacing w:val="-88"/>
        </w:rPr>
      </w:r>
      <w:r>
        <w:rPr/>
        <w:t>布更趋均衡。同时，在制造业、移动互联网、流通等其他业务领域，与客户的长期战略合作</w:t>
      </w:r>
      <w:r>
        <w:rPr>
          <w:spacing w:val="-86"/>
        </w:rPr>
        <w:t> </w:t>
      </w:r>
      <w:r>
        <w:rPr>
          <w:spacing w:val="-86"/>
        </w:rPr>
      </w:r>
      <w:r>
        <w:rPr/>
        <w:t>关系，显现出应有的效果，带来了良好的业务增长。良好的客户关系，为公司未来长期的稳</w:t>
      </w:r>
      <w:r>
        <w:rPr>
          <w:spacing w:val="-87"/>
        </w:rPr>
        <w:t> </w:t>
      </w:r>
      <w:r>
        <w:rPr>
          <w:spacing w:val="-87"/>
        </w:rPr>
      </w:r>
      <w:r>
        <w:rPr/>
        <w:t>健发展打下了坚实的基础。</w:t>
      </w:r>
    </w:p>
    <w:p>
      <w:pPr>
        <w:pStyle w:val="BodyText"/>
        <w:spacing w:line="357" w:lineRule="auto"/>
        <w:ind w:right="1140" w:firstLine="480"/>
        <w:jc w:val="both"/>
      </w:pPr>
      <w:r>
        <w:rPr/>
        <w:t>综上，报告期内，尽管公司所处大环境存在不利因素，在经营管理层及全体员工的共同 努力之下，年度营业收入较</w:t>
      </w:r>
      <w:r>
        <w:rPr>
          <w:rFonts w:ascii="宋体" w:hAnsi="宋体" w:cs="宋体" w:eastAsia="宋体" w:hint="default"/>
        </w:rPr>
        <w:t>2011</w:t>
      </w:r>
      <w:r>
        <w:rPr/>
        <w:t>年度有一定幅度的上升，取得了良好的经营业绩。</w:t>
      </w:r>
    </w:p>
    <w:p>
      <w:pPr>
        <w:pStyle w:val="BodyText"/>
        <w:spacing w:line="357" w:lineRule="auto"/>
        <w:ind w:left="633" w:right="1123"/>
        <w:jc w:val="left"/>
      </w:pPr>
      <w:r>
        <w:rPr/>
        <w:t>（</w:t>
      </w:r>
      <w:r>
        <w:rPr>
          <w:rFonts w:ascii="宋体" w:hAnsi="宋体" w:cs="宋体" w:eastAsia="宋体" w:hint="default"/>
        </w:rPr>
        <w:t>2</w:t>
      </w:r>
      <w:r>
        <w:rPr/>
        <w:t>）深化品牌建设和企业文化建设，强化集团管理，推动内部协同 报告期内，公司获得“2012年度上海市明星软件企业（经营型、出口型）”称号，进一</w:t>
      </w:r>
    </w:p>
    <w:p>
      <w:pPr>
        <w:pStyle w:val="BodyText"/>
        <w:spacing w:line="357" w:lineRule="auto"/>
        <w:ind w:right="1126"/>
        <w:jc w:val="both"/>
      </w:pPr>
      <w:r>
        <w:rPr/>
        <w:t>步提高了公司在软件行业的知名度。积极推动公司以及下属子公司企业文化建设和内部控制</w:t>
      </w:r>
      <w:r>
        <w:rPr>
          <w:spacing w:val="-88"/>
        </w:rPr>
        <w:t> </w:t>
      </w:r>
      <w:r>
        <w:rPr>
          <w:spacing w:val="-88"/>
        </w:rPr>
      </w:r>
      <w:r>
        <w:rPr/>
        <w:t>体系建设工作，各子公司梳理完善了内部制度；同时强化集团市场营销工作，统筹开展集团</w:t>
      </w:r>
      <w:r>
        <w:rPr>
          <w:spacing w:val="-88"/>
        </w:rPr>
        <w:t> </w:t>
      </w:r>
      <w:r>
        <w:rPr>
          <w:spacing w:val="-88"/>
        </w:rPr>
      </w:r>
      <w:r>
        <w:rPr>
          <w:spacing w:val="6"/>
        </w:rPr>
        <w:t>整体营销活动，加强公司与各子公司业务协同能力，获得客户的一致认可。公司被认定为</w:t>
      </w:r>
      <w:r>
        <w:rPr>
          <w:spacing w:val="-84"/>
        </w:rPr>
        <w:t> </w:t>
      </w:r>
      <w:r>
        <w:rPr>
          <w:spacing w:val="-84"/>
        </w:rPr>
      </w:r>
      <w:r>
        <w:rPr>
          <w:spacing w:val="2"/>
        </w:rPr>
        <w:t>“2011</w:t>
      </w:r>
      <w:r>
        <w:rPr>
          <w:rFonts w:ascii="宋体" w:hAnsi="宋体" w:cs="宋体" w:eastAsia="宋体" w:hint="default"/>
          <w:spacing w:val="2"/>
        </w:rPr>
        <w:t>-2012</w:t>
      </w:r>
      <w:r>
        <w:rPr>
          <w:spacing w:val="2"/>
        </w:rPr>
        <w:t>年度国家规划布局内重点软件企业”，公司自</w:t>
      </w:r>
      <w:r>
        <w:rPr>
          <w:rFonts w:ascii="宋体" w:hAnsi="宋体" w:cs="宋体" w:eastAsia="宋体" w:hint="default"/>
          <w:spacing w:val="2"/>
        </w:rPr>
        <w:t>2002</w:t>
      </w:r>
      <w:r>
        <w:rPr>
          <w:spacing w:val="2"/>
        </w:rPr>
        <w:t>年起至</w:t>
      </w:r>
      <w:r>
        <w:rPr>
          <w:rFonts w:ascii="宋体" w:hAnsi="宋体" w:cs="宋体" w:eastAsia="宋体" w:hint="default"/>
          <w:spacing w:val="2"/>
        </w:rPr>
        <w:t>2012</w:t>
      </w:r>
      <w:r>
        <w:rPr>
          <w:spacing w:val="2"/>
        </w:rPr>
        <w:t>年，均被认定为</w:t>
      </w:r>
      <w:r>
        <w:rPr>
          <w:spacing w:val="-77"/>
        </w:rPr>
        <w:t> </w:t>
      </w:r>
      <w:r>
        <w:rPr/>
        <w:t>“国家规划布局内重点软件企业”。从国家开始授予此称号至今，公司是少数连续</w:t>
      </w:r>
      <w:r>
        <w:rPr>
          <w:rFonts w:ascii="宋体" w:hAnsi="宋体" w:cs="宋体" w:eastAsia="宋体" w:hint="default"/>
        </w:rPr>
        <w:t>10</w:t>
      </w:r>
      <w:r>
        <w:rPr/>
        <w:t>次、计</w:t>
      </w:r>
      <w:r>
        <w:rPr>
          <w:spacing w:val="-88"/>
        </w:rPr>
        <w:t> </w:t>
      </w:r>
      <w:r>
        <w:rPr>
          <w:spacing w:val="-88"/>
        </w:rPr>
      </w:r>
      <w:r>
        <w:rPr>
          <w:rFonts w:ascii="宋体" w:hAnsi="宋体" w:cs="宋体" w:eastAsia="宋体" w:hint="default"/>
        </w:rPr>
        <w:t>11</w:t>
      </w:r>
      <w:r>
        <w:rPr/>
        <w:t>个年度均获得此称号的企业之一。这是对公司的肯定，同时也是公司未来发展的责任和动</w:t>
      </w:r>
      <w:r>
        <w:rPr>
          <w:spacing w:val="-91"/>
        </w:rPr>
        <w:t> </w:t>
      </w:r>
      <w:r>
        <w:rPr>
          <w:spacing w:val="-91"/>
        </w:rPr>
      </w:r>
      <w:r>
        <w:rPr/>
        <w:t>力。</w:t>
      </w:r>
    </w:p>
    <w:p>
      <w:pPr>
        <w:pStyle w:val="BodyText"/>
        <w:spacing w:line="357" w:lineRule="auto"/>
        <w:ind w:left="633" w:right="1123"/>
        <w:jc w:val="left"/>
      </w:pPr>
      <w:r>
        <w:rPr/>
        <w:t>（</w:t>
      </w:r>
      <w:r>
        <w:rPr>
          <w:rFonts w:ascii="宋体" w:hAnsi="宋体" w:cs="宋体" w:eastAsia="宋体" w:hint="default"/>
        </w:rPr>
        <w:t>3</w:t>
      </w:r>
      <w:r>
        <w:rPr/>
        <w:t>）研发与创新 作为高新技术企业及国家重点软件企业，公司始终密切关注</w:t>
      </w:r>
      <w:r>
        <w:rPr>
          <w:rFonts w:ascii="宋体" w:hAnsi="宋体" w:cs="宋体" w:eastAsia="宋体" w:hint="default"/>
        </w:rPr>
        <w:t>IT</w:t>
      </w:r>
      <w:r>
        <w:rPr/>
        <w:t>技术的发展、国内外软件</w:t>
      </w:r>
    </w:p>
    <w:p>
      <w:pPr>
        <w:pStyle w:val="BodyText"/>
        <w:spacing w:line="357" w:lineRule="auto"/>
        <w:ind w:right="1130"/>
        <w:jc w:val="both"/>
      </w:pPr>
      <w:r>
        <w:rPr/>
        <w:t>开发和服务市场的趋势，把技术创新、优化产品结构、提升服务质量作为重中之重，大力实</w:t>
      </w:r>
      <w:r>
        <w:rPr>
          <w:spacing w:val="-91"/>
        </w:rPr>
        <w:t> </w:t>
      </w:r>
      <w:r>
        <w:rPr>
          <w:spacing w:val="-91"/>
        </w:rPr>
      </w:r>
      <w:r>
        <w:rPr/>
        <w:t>施科技创新，努力提高管理水平，充实技术力量，使企业获得长足、可持续的发展。报告期</w:t>
      </w:r>
      <w:r>
        <w:rPr>
          <w:spacing w:val="-91"/>
        </w:rPr>
        <w:t> </w:t>
      </w:r>
      <w:r>
        <w:rPr>
          <w:spacing w:val="-91"/>
        </w:rPr>
      </w:r>
      <w:r>
        <w:rPr>
          <w:spacing w:val="-2"/>
        </w:rPr>
        <w:t>内，公司共获得</w:t>
      </w:r>
      <w:r>
        <w:rPr>
          <w:rFonts w:ascii="宋体" w:hAnsi="宋体" w:cs="宋体" w:eastAsia="宋体" w:hint="default"/>
          <w:spacing w:val="-2"/>
        </w:rPr>
        <w:t>7</w:t>
      </w:r>
      <w:r>
        <w:rPr>
          <w:spacing w:val="-2"/>
        </w:rPr>
        <w:t>项计算机软件著作权登记证书。公司在面向客户的软件服务外包基础上，不</w:t>
      </w:r>
      <w:r>
        <w:rPr/>
        <w:t> 断扩大对科技研发的投入，加大自主知识产权产品的研发力度，持续提高公司的技术和产品</w:t>
      </w:r>
      <w:r>
        <w:rPr>
          <w:spacing w:val="-91"/>
        </w:rPr>
        <w:t> </w:t>
      </w:r>
      <w:r>
        <w:rPr>
          <w:spacing w:val="-91"/>
        </w:rPr>
      </w:r>
      <w:r>
        <w:rPr/>
        <w:t>开发能力，为公司不断提升高端业务规模、发展具有高附加值的产品构件服务打好基础。</w:t>
      </w:r>
    </w:p>
    <w:p>
      <w:pPr>
        <w:pStyle w:val="BodyText"/>
        <w:spacing w:line="357" w:lineRule="auto"/>
        <w:ind w:left="618" w:right="1123"/>
        <w:jc w:val="left"/>
      </w:pPr>
      <w:r>
        <w:rPr/>
        <w:t>（</w:t>
      </w:r>
      <w:r>
        <w:rPr>
          <w:rFonts w:ascii="宋体" w:hAnsi="宋体" w:cs="宋体" w:eastAsia="宋体" w:hint="default"/>
        </w:rPr>
        <w:t>4</w:t>
      </w:r>
      <w:r>
        <w:rPr/>
        <w:t>）人才资源 </w:t>
      </w:r>
      <w:r>
        <w:rPr>
          <w:rFonts w:ascii="宋体" w:hAnsi="宋体" w:cs="宋体" w:eastAsia="宋体" w:hint="default"/>
        </w:rPr>
        <w:t>2012</w:t>
      </w:r>
      <w:r>
        <w:rPr/>
        <w:t>年，公司继续重视内部人才的培养和外部人才的引进，配合合理有效的激励机制，</w:t>
      </w:r>
    </w:p>
    <w:p>
      <w:pPr>
        <w:pStyle w:val="BodyText"/>
        <w:spacing w:line="357" w:lineRule="auto"/>
        <w:ind w:right="1136"/>
        <w:jc w:val="both"/>
      </w:pPr>
      <w:r>
        <w:rPr/>
        <w:t>搭建了适合人才成长和发展的环境和平台。</w:t>
      </w:r>
      <w:r>
        <w:rPr>
          <w:rFonts w:ascii="宋体" w:hAnsi="宋体" w:cs="宋体" w:eastAsia="宋体" w:hint="default"/>
        </w:rPr>
        <w:t>2012</w:t>
      </w:r>
      <w:r>
        <w:rPr/>
        <w:t>年，公司实施了股权激励计划，覆盖了公司</w:t>
      </w:r>
      <w:r>
        <w:rPr>
          <w:spacing w:val="-89"/>
        </w:rPr>
        <w:t> </w:t>
      </w:r>
      <w:r>
        <w:rPr>
          <w:spacing w:val="-89"/>
        </w:rPr>
      </w:r>
      <w:r>
        <w:rPr/>
        <w:t>核心部门及核心人员，为稳定核心经营管理技术人才发挥了良好的作用。同时公司适时调整</w:t>
      </w:r>
    </w:p>
    <w:p>
      <w:pPr>
        <w:spacing w:after="0" w:line="357" w:lineRule="auto"/>
        <w:jc w:val="both"/>
        <w:sectPr>
          <w:pgSz w:w="11910" w:h="16840"/>
          <w:pgMar w:header="876"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6"/>
        <w:jc w:val="both"/>
      </w:pPr>
      <w:r>
        <w:rPr/>
        <w:t>人员招聘政策，以适应不断变化的人力资源市场，在人力成本持续攀升的情况下，做好应届</w:t>
      </w:r>
      <w:r>
        <w:rPr>
          <w:spacing w:val="-91"/>
        </w:rPr>
        <w:t> </w:t>
      </w:r>
      <w:r>
        <w:rPr>
          <w:spacing w:val="-91"/>
        </w:rPr>
      </w:r>
      <w:r>
        <w:rPr/>
        <w:t>大学生的招聘工作。公司不断完善职工的培训体制，调整人才结构，通过新入职员工脱产培</w:t>
      </w:r>
      <w:r>
        <w:rPr>
          <w:spacing w:val="-91"/>
        </w:rPr>
        <w:t> </w:t>
      </w:r>
      <w:r>
        <w:rPr>
          <w:spacing w:val="-91"/>
        </w:rPr>
      </w:r>
      <w:r>
        <w:rPr/>
        <w:t>训和在职员工的职业生涯持续培训等多种形式，培养高端复合型人才和专业岗位人才，充实</w:t>
      </w:r>
      <w:r>
        <w:rPr>
          <w:spacing w:val="-89"/>
        </w:rPr>
        <w:t> </w:t>
      </w:r>
      <w:r>
        <w:rPr>
          <w:spacing w:val="-89"/>
        </w:rPr>
      </w:r>
      <w:r>
        <w:rPr/>
        <w:t>公司研发、生产、营销及管理部门，促使内部员工良性竞争和主动进步以适应公司不断发展</w:t>
      </w:r>
      <w:r>
        <w:rPr>
          <w:spacing w:val="-91"/>
        </w:rPr>
        <w:t> </w:t>
      </w:r>
      <w:r>
        <w:rPr>
          <w:spacing w:val="-91"/>
        </w:rPr>
      </w:r>
      <w:r>
        <w:rPr/>
        <w:t>和提高的技能要求，为公司实施业务发展计划提供符合要求的人才储备。</w:t>
      </w:r>
    </w:p>
    <w:p>
      <w:pPr>
        <w:pStyle w:val="BodyText"/>
        <w:spacing w:line="357" w:lineRule="auto"/>
        <w:ind w:left="633" w:right="1115" w:hanging="15"/>
        <w:jc w:val="left"/>
      </w:pPr>
      <w:r>
        <w:rPr/>
        <w:t>（</w:t>
      </w:r>
      <w:r>
        <w:rPr>
          <w:rFonts w:ascii="宋体" w:hAnsi="宋体" w:cs="宋体" w:eastAsia="宋体" w:hint="default"/>
        </w:rPr>
        <w:t>5</w:t>
      </w:r>
      <w:r>
        <w:rPr/>
        <w:t>）对外投资 </w:t>
      </w:r>
      <w:r>
        <w:rPr>
          <w:spacing w:val="-2"/>
        </w:rPr>
        <w:t>公司以自有资金</w:t>
      </w:r>
      <w:r>
        <w:rPr>
          <w:rFonts w:ascii="宋体" w:hAnsi="宋体" w:cs="宋体" w:eastAsia="宋体" w:hint="default"/>
          <w:spacing w:val="-2"/>
        </w:rPr>
        <w:t>2,000</w:t>
      </w:r>
      <w:r>
        <w:rPr>
          <w:spacing w:val="-2"/>
        </w:rPr>
        <w:t>万元参与投资设立上海艾云慧信创业投资有限公司，通过投资艾云</w:t>
      </w:r>
    </w:p>
    <w:p>
      <w:pPr>
        <w:pStyle w:val="BodyText"/>
        <w:spacing w:line="528" w:lineRule="auto"/>
        <w:ind w:right="1171"/>
        <w:jc w:val="both"/>
        <w:rPr>
          <w:rFonts w:ascii="宋体" w:hAnsi="宋体" w:cs="宋体" w:eastAsia="宋体" w:hint="default"/>
        </w:rPr>
      </w:pPr>
      <w:r>
        <w:rPr/>
        <w:t>慧信创投，增加公司在信息技术服务领域内扩展业务的机会，符合公司中长期的发展战略。 </w:t>
      </w:r>
      <w:r>
        <w:rPr>
          <w:rFonts w:ascii="宋体" w:hAnsi="宋体" w:cs="宋体" w:eastAsia="宋体" w:hint="default"/>
          <w:b/>
          <w:bCs/>
        </w:rPr>
        <w:t>2</w:t>
      </w:r>
      <w:r>
        <w:rPr>
          <w:rFonts w:ascii="宋体" w:hAnsi="宋体" w:cs="宋体" w:eastAsia="宋体" w:hint="default"/>
          <w:b/>
          <w:bCs/>
        </w:rPr>
        <w:t>、收入</w:t>
      </w:r>
      <w:r>
        <w:rPr>
          <w:rFonts w:ascii="宋体" w:hAnsi="宋体" w:cs="宋体" w:eastAsia="宋体" w:hint="default"/>
        </w:rPr>
      </w:r>
    </w:p>
    <w:p>
      <w:pPr>
        <w:pStyle w:val="BodyText"/>
        <w:spacing w:line="357" w:lineRule="auto" w:before="89"/>
        <w:ind w:right="1133" w:firstLine="480"/>
        <w:jc w:val="both"/>
      </w:pPr>
      <w:r>
        <w:rPr>
          <w:rFonts w:ascii="宋体" w:hAnsi="宋体" w:cs="宋体" w:eastAsia="宋体" w:hint="default"/>
        </w:rPr>
        <w:t>2012</w:t>
      </w:r>
      <w:r>
        <w:rPr/>
        <w:t>年，公司实现营业收入</w:t>
      </w:r>
      <w:r>
        <w:rPr>
          <w:rFonts w:ascii="宋体" w:hAnsi="宋体" w:cs="宋体" w:eastAsia="宋体" w:hint="default"/>
        </w:rPr>
        <w:t>41,032.49</w:t>
      </w:r>
      <w:r>
        <w:rPr/>
        <w:t>万元，较去年同期增长</w:t>
      </w:r>
      <w:r>
        <w:rPr>
          <w:rFonts w:ascii="宋体" w:hAnsi="宋体" w:cs="宋体" w:eastAsia="宋体" w:hint="default"/>
        </w:rPr>
        <w:t>5.02%</w:t>
      </w:r>
      <w:r>
        <w:rPr/>
        <w:t>，其中：主营业务收 </w:t>
      </w:r>
      <w:r>
        <w:rPr>
          <w:spacing w:val="-6"/>
        </w:rPr>
        <w:t>入</w:t>
      </w:r>
      <w:r>
        <w:rPr>
          <w:rFonts w:ascii="宋体" w:hAnsi="宋体" w:cs="宋体" w:eastAsia="宋体" w:hint="default"/>
          <w:spacing w:val="-6"/>
        </w:rPr>
        <w:t>40,985.14</w:t>
      </w:r>
      <w:r>
        <w:rPr>
          <w:spacing w:val="-6"/>
        </w:rPr>
        <w:t>万元，占年度营业收入比例为</w:t>
      </w:r>
      <w:r>
        <w:rPr>
          <w:rFonts w:ascii="宋体" w:hAnsi="宋体" w:cs="宋体" w:eastAsia="宋体" w:hint="default"/>
          <w:spacing w:val="-6"/>
        </w:rPr>
        <w:t>99.88%</w:t>
      </w:r>
      <w:r>
        <w:rPr>
          <w:spacing w:val="-6"/>
        </w:rPr>
        <w:t>，较去年同期增长</w:t>
      </w:r>
      <w:r>
        <w:rPr>
          <w:rFonts w:ascii="宋体" w:hAnsi="宋体" w:cs="宋体" w:eastAsia="宋体" w:hint="default"/>
          <w:spacing w:val="-6"/>
        </w:rPr>
        <w:t>5.02%</w:t>
      </w:r>
      <w:r>
        <w:rPr>
          <w:spacing w:val="-6"/>
        </w:rPr>
        <w:t>；其他业务收入</w:t>
      </w:r>
      <w:r>
        <w:rPr>
          <w:rFonts w:ascii="宋体" w:hAnsi="宋体" w:cs="宋体" w:eastAsia="宋体" w:hint="default"/>
          <w:spacing w:val="-6"/>
        </w:rPr>
        <w:t>47.35</w:t>
      </w:r>
      <w:r>
        <w:rPr>
          <w:rFonts w:ascii="宋体" w:hAnsi="宋体" w:cs="宋体" w:eastAsia="宋体" w:hint="default"/>
        </w:rPr>
        <w:t> </w:t>
      </w:r>
      <w:r>
        <w:rPr/>
        <w:t>万元，占年度营业收入比例为</w:t>
      </w:r>
      <w:r>
        <w:rPr>
          <w:rFonts w:ascii="宋体" w:hAnsi="宋体" w:cs="宋体" w:eastAsia="宋体" w:hint="default"/>
        </w:rPr>
        <w:t>0.12%</w:t>
      </w:r>
      <w:r>
        <w:rPr/>
        <w:t>，较去年同期增长</w:t>
      </w:r>
      <w:r>
        <w:rPr>
          <w:rFonts w:ascii="宋体" w:hAnsi="宋体" w:cs="宋体" w:eastAsia="宋体" w:hint="default"/>
        </w:rPr>
        <w:t>8.90%</w:t>
      </w:r>
      <w:r>
        <w:rPr/>
        <w:t>。报告期内，主营业务收入、其 他业务收入与营业收入的整体占比未发生明显的变化。</w:t>
      </w:r>
    </w:p>
    <w:p>
      <w:pPr>
        <w:pStyle w:val="BodyText"/>
        <w:spacing w:line="312" w:lineRule="exact" w:before="0"/>
        <w:ind w:right="0"/>
        <w:jc w:val="both"/>
      </w:pPr>
      <w:r>
        <w:rPr/>
        <w:t>公司实物销售收入大于劳务收入</w:t>
      </w:r>
    </w:p>
    <w:p>
      <w:pPr>
        <w:spacing w:before="8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409,851,443.22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390,264,616.77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生产额</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409,851,443.22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390,264,616.77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sz w:val="24"/>
          <w:szCs w:val="24"/>
        </w:rPr>
      </w:pPr>
    </w:p>
    <w:p>
      <w:pPr>
        <w:pStyle w:val="BodyText"/>
        <w:spacing w:line="240" w:lineRule="auto" w:before="26"/>
        <w:ind w:right="1780"/>
        <w:jc w:val="left"/>
      </w:pPr>
      <w:r>
        <w:rPr/>
        <w:t>公司主要销售客户情况</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253,209,353.53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61.71%</w:t>
            </w:r>
          </w:p>
        </w:tc>
      </w:tr>
    </w:tbl>
    <w:p>
      <w:pPr>
        <w:spacing w:line="240" w:lineRule="auto" w:before="12"/>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89,407,218.03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55,374,194.57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42,345,434.39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37,447,994.55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28,634,512.00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253,209,353.53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61.71%</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780"/>
        <w:jc w:val="left"/>
        <w:rPr>
          <w:b w:val="0"/>
          <w:bCs w:val="0"/>
        </w:rPr>
      </w:pPr>
      <w:r>
        <w:rPr>
          <w:rFonts w:ascii="宋体" w:hAnsi="宋体" w:cs="宋体" w:eastAsia="宋体" w:hint="default"/>
        </w:rPr>
        <w:t>3</w:t>
      </w:r>
      <w:r>
        <w:rPr/>
        <w:t>、成本</w:t>
      </w:r>
      <w:r>
        <w:rPr>
          <w:b w:val="0"/>
          <w:bCs w:val="0"/>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6" w:footer="1340" w:top="1060" w:bottom="1540" w:left="980" w:right="0"/>
        </w:sectPr>
      </w:pPr>
    </w:p>
    <w:p>
      <w:pPr>
        <w:pStyle w:val="BodyText"/>
        <w:spacing w:line="240" w:lineRule="auto" w:before="26"/>
        <w:ind w:right="-20"/>
        <w:jc w:val="left"/>
      </w:pPr>
      <w:r>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1113" w:space="780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金融信息服务业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金融信息服务业 软件及系统集成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136,565,371.16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126,101,063.17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制造业软件（含 嵌入式及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36,127,798.86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33,431,544.56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移动电话及移动 互联网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移动电话及移动 互联网软件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32,523,379.74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23,816,759.00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36.56%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流通业及系统集 成业务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流通业软件及系 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28,563,686.92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20,497,184.33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电子商务及相关 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10,746,680.89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12,793,283.57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pStyle w:val="BodyText"/>
        <w:spacing w:line="240" w:lineRule="auto" w:before="0"/>
        <w:ind w:right="-20"/>
        <w:jc w:val="left"/>
      </w:pPr>
      <w:r>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1113" w:space="780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204,114,128.74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187,738,705.84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40,412,788.83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28,901,128.79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39.83%</w:t>
            </w:r>
          </w:p>
        </w:tc>
      </w:tr>
    </w:tbl>
    <w:p>
      <w:pPr>
        <w:spacing w:line="240" w:lineRule="auto" w:before="12"/>
        <w:rPr>
          <w:rFonts w:ascii="宋体" w:hAnsi="宋体" w:cs="宋体" w:eastAsia="宋体" w:hint="default"/>
          <w:sz w:val="21"/>
          <w:szCs w:val="21"/>
        </w:rPr>
      </w:pPr>
    </w:p>
    <w:p>
      <w:pPr>
        <w:pStyle w:val="BodyText"/>
        <w:spacing w:line="240" w:lineRule="auto" w:before="26"/>
        <w:ind w:right="1780"/>
        <w:jc w:val="left"/>
      </w:pPr>
      <w:r>
        <w:rPr/>
        <w:t>公司主要供应商情况</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29,376,374.16</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58.49%</w:t>
            </w:r>
          </w:p>
        </w:tc>
      </w:tr>
    </w:tbl>
    <w:p>
      <w:pPr>
        <w:pStyle w:val="BodyText"/>
        <w:spacing w:line="240" w:lineRule="auto" w:before="0"/>
        <w:ind w:right="1780"/>
        <w:jc w:val="left"/>
      </w:pPr>
      <w:r>
        <w:rPr/>
        <w:pict>
          <v:shape style="position:absolute;margin-left:263.570007pt;margin-top:-20.064373pt;width:270.2pt;height:19.6pt;mso-position-horizontal-relative:page;mso-position-vertical-relative:paragraph;z-index:-6335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064373pt;width:262.75pt;height:19.6pt;mso-position-horizontal-relative:page;mso-position-vertical-relative:paragraph;z-index:-633544"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公司前</w:t>
      </w:r>
      <w:r>
        <w:rPr>
          <w:spacing w:val="-60"/>
        </w:rPr>
        <w:t> </w:t>
      </w:r>
      <w:r>
        <w:rPr>
          <w:rFonts w:ascii="宋体" w:hAnsi="宋体" w:cs="宋体" w:eastAsia="宋体" w:hint="default"/>
        </w:rPr>
        <w:t>5</w:t>
      </w:r>
      <w:r>
        <w:rPr>
          <w:rFonts w:ascii="宋体" w:hAnsi="宋体" w:cs="宋体" w:eastAsia="宋体" w:hint="default"/>
          <w:spacing w:val="-61"/>
        </w:rPr>
        <w:t> </w:t>
      </w:r>
      <w:r>
        <w:rPr/>
        <w:t>名供应商</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9,576,000.00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9,191,818.30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4,867,882.86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3,535,822.00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2,204,851.00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29,376,374.16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32"/>
        <w:gridCol w:w="2689"/>
        <w:gridCol w:w="2412"/>
        <w:gridCol w:w="2408"/>
      </w:tblGrid>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增减幅度（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16,092,993.61</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17,048,357.14</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-5.60%</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90,399,834.68</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85,356,898.67</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5.91%</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-5,741,585.90</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-1,348,692.68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-325.71%</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7,435,783.90</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13,094,823.17</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-43.22%</w:t>
            </w:r>
          </w:p>
        </w:tc>
      </w:tr>
    </w:tbl>
    <w:p>
      <w:pPr>
        <w:spacing w:line="408" w:lineRule="auto" w:before="64"/>
        <w:ind w:left="152" w:right="1131" w:firstLine="0"/>
        <w:jc w:val="left"/>
        <w:rPr>
          <w:rFonts w:ascii="宋体" w:hAnsi="宋体" w:cs="宋体" w:eastAsia="宋体" w:hint="default"/>
          <w:sz w:val="21"/>
          <w:szCs w:val="21"/>
        </w:rPr>
      </w:pPr>
      <w:r>
        <w:rPr>
          <w:rFonts w:ascii="宋体" w:hAnsi="宋体" w:cs="宋体" w:eastAsia="宋体" w:hint="default"/>
          <w:sz w:val="21"/>
          <w:szCs w:val="21"/>
        </w:rPr>
        <w:t>财务费用较去年减少</w:t>
      </w:r>
      <w:r>
        <w:rPr>
          <w:rFonts w:ascii="宋体" w:hAnsi="宋体" w:cs="宋体" w:eastAsia="宋体" w:hint="default"/>
          <w:sz w:val="21"/>
          <w:szCs w:val="21"/>
        </w:rPr>
        <w:t>325.71%</w:t>
      </w:r>
      <w:r>
        <w:rPr>
          <w:rFonts w:ascii="宋体" w:hAnsi="宋体" w:cs="宋体" w:eastAsia="宋体" w:hint="default"/>
          <w:sz w:val="21"/>
          <w:szCs w:val="21"/>
        </w:rPr>
        <w:t>，主要系公司汇兑收益增加所致。</w:t>
      </w:r>
      <w:r>
        <w:rPr>
          <w:rFonts w:ascii="宋体" w:hAnsi="宋体" w:cs="宋体" w:eastAsia="宋体" w:hint="default"/>
          <w:w w:val="100"/>
          <w:sz w:val="21"/>
          <w:szCs w:val="21"/>
        </w:rPr>
        <w:t> </w:t>
      </w:r>
      <w:r>
        <w:rPr>
          <w:rFonts w:ascii="宋体" w:hAnsi="宋体" w:cs="宋体" w:eastAsia="宋体" w:hint="default"/>
          <w:sz w:val="21"/>
          <w:szCs w:val="21"/>
        </w:rPr>
        <w:t>所得税较去年减少</w:t>
      </w:r>
      <w:r>
        <w:rPr>
          <w:rFonts w:ascii="宋体" w:hAnsi="宋体" w:cs="宋体" w:eastAsia="宋体" w:hint="default"/>
          <w:sz w:val="21"/>
          <w:szCs w:val="21"/>
        </w:rPr>
        <w:t>43.22%</w:t>
      </w:r>
      <w:r>
        <w:rPr>
          <w:rFonts w:ascii="宋体" w:hAnsi="宋体" w:cs="宋体" w:eastAsia="宋体" w:hint="default"/>
          <w:sz w:val="21"/>
          <w:szCs w:val="21"/>
        </w:rPr>
        <w:t>，主要系母公司被认定为</w:t>
      </w:r>
      <w:r>
        <w:rPr>
          <w:rFonts w:ascii="宋体" w:hAnsi="宋体" w:cs="宋体" w:eastAsia="宋体" w:hint="default"/>
          <w:sz w:val="21"/>
          <w:szCs w:val="21"/>
        </w:rPr>
        <w:t>2011-2012</w:t>
      </w:r>
      <w:r>
        <w:rPr>
          <w:rFonts w:ascii="宋体" w:hAnsi="宋体" w:cs="宋体" w:eastAsia="宋体" w:hint="default"/>
          <w:sz w:val="21"/>
          <w:szCs w:val="21"/>
        </w:rPr>
        <w:t>年度国家规划布局内重点软件企业称号，企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业所得税由上年的</w:t>
      </w:r>
      <w:r>
        <w:rPr>
          <w:rFonts w:ascii="宋体" w:hAnsi="宋体" w:cs="宋体" w:eastAsia="宋体" w:hint="default"/>
          <w:sz w:val="21"/>
          <w:szCs w:val="21"/>
        </w:rPr>
        <w:t>15%</w:t>
      </w:r>
      <w:r>
        <w:rPr>
          <w:rFonts w:ascii="宋体" w:hAnsi="宋体" w:cs="宋体" w:eastAsia="宋体" w:hint="default"/>
          <w:sz w:val="21"/>
          <w:szCs w:val="21"/>
        </w:rPr>
        <w:t>下降到本年</w:t>
      </w:r>
      <w:r>
        <w:rPr>
          <w:rFonts w:ascii="宋体" w:hAnsi="宋体" w:cs="宋体" w:eastAsia="宋体" w:hint="default"/>
          <w:sz w:val="21"/>
          <w:szCs w:val="21"/>
        </w:rPr>
        <w:t>10%</w:t>
      </w:r>
      <w:r>
        <w:rPr>
          <w:rFonts w:ascii="宋体" w:hAnsi="宋体" w:cs="宋体" w:eastAsia="宋体" w:hint="default"/>
          <w:sz w:val="21"/>
          <w:szCs w:val="21"/>
        </w:rPr>
        <w:t>所致。</w:t>
      </w:r>
    </w:p>
    <w:p>
      <w:pPr>
        <w:spacing w:line="240" w:lineRule="auto" w:before="8"/>
        <w:rPr>
          <w:rFonts w:ascii="宋体" w:hAnsi="宋体" w:cs="宋体" w:eastAsia="宋体" w:hint="default"/>
          <w:sz w:val="18"/>
          <w:szCs w:val="18"/>
        </w:rPr>
      </w:pPr>
    </w:p>
    <w:p>
      <w:pPr>
        <w:pStyle w:val="Heading2"/>
        <w:spacing w:line="240" w:lineRule="auto" w:before="0"/>
        <w:ind w:right="1780"/>
        <w:jc w:val="left"/>
        <w:rPr>
          <w:b w:val="0"/>
          <w:bCs w:val="0"/>
        </w:rPr>
      </w:pPr>
      <w:r>
        <w:rPr>
          <w:rFonts w:ascii="宋体" w:hAnsi="宋体" w:cs="宋体" w:eastAsia="宋体" w:hint="default"/>
        </w:rPr>
        <w:t>5</w:t>
      </w:r>
      <w:r>
        <w:rPr/>
        <w:t>、研发支出</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29" w:firstLine="480"/>
        <w:jc w:val="both"/>
      </w:pPr>
      <w:r>
        <w:rPr/>
        <w:t>公司立足高科技产品的研发、生产及服务外包，始终紧跟科技发展前沿，以创新作为公 </w:t>
      </w:r>
      <w:r>
        <w:rPr>
          <w:spacing w:val="-2"/>
        </w:rPr>
        <w:t>司发展的强大动力。报告期内，公司共获得</w:t>
      </w:r>
      <w:r>
        <w:rPr>
          <w:rFonts w:ascii="宋体" w:hAnsi="宋体" w:cs="宋体" w:eastAsia="宋体" w:hint="default"/>
          <w:spacing w:val="-2"/>
        </w:rPr>
        <w:t>7</w:t>
      </w:r>
      <w:r>
        <w:rPr>
          <w:spacing w:val="-2"/>
        </w:rPr>
        <w:t>项计算机软件著作权登记证书。公司非常重视将</w:t>
      </w:r>
      <w:r>
        <w:rPr>
          <w:spacing w:val="-118"/>
        </w:rPr>
        <w:t> </w:t>
      </w:r>
      <w:r>
        <w:rPr>
          <w:spacing w:val="-118"/>
        </w:rPr>
      </w:r>
      <w:r>
        <w:rPr/>
        <w:t>研发成果转化为生产力，并向国内外客户提供高技术服务。目前已应用的领域包括：证券银 行保险业务系统、轨道交通站务系统、移动电话的内容服务软件、连锁大型超市系统、安保 监视系统等。</w:t>
      </w:r>
    </w:p>
    <w:tbl>
      <w:tblPr>
        <w:tblW w:w="0" w:type="auto"/>
        <w:jc w:val="left"/>
        <w:tblInd w:w="136" w:type="dxa"/>
        <w:tblLayout w:type="fixed"/>
        <w:tblCellMar>
          <w:top w:w="0" w:type="dxa"/>
          <w:left w:w="0" w:type="dxa"/>
          <w:bottom w:w="0" w:type="dxa"/>
          <w:right w:w="0" w:type="dxa"/>
        </w:tblCellMar>
        <w:tblLook w:val="01E0"/>
      </w:tblPr>
      <w:tblGrid>
        <w:gridCol w:w="956"/>
        <w:gridCol w:w="1582"/>
        <w:gridCol w:w="2122"/>
        <w:gridCol w:w="1556"/>
        <w:gridCol w:w="1841"/>
        <w:gridCol w:w="1800"/>
      </w:tblGrid>
      <w:tr>
        <w:trPr>
          <w:trHeight w:val="740"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研发支出（元）</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4" w:right="94"/>
              <w:jc w:val="left"/>
              <w:rPr>
                <w:rFonts w:ascii="宋体" w:hAnsi="宋体" w:cs="宋体" w:eastAsia="宋体" w:hint="default"/>
                <w:sz w:val="18"/>
                <w:szCs w:val="18"/>
              </w:rPr>
            </w:pPr>
            <w:r>
              <w:rPr>
                <w:rFonts w:ascii="宋体" w:hAnsi="宋体" w:cs="宋体" w:eastAsia="宋体" w:hint="default"/>
                <w:sz w:val="18"/>
                <w:szCs w:val="18"/>
              </w:rPr>
              <w:t>研发支出占营业收 入的比例</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审计净资产（元）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2" w:right="161"/>
              <w:jc w:val="left"/>
              <w:rPr>
                <w:rFonts w:ascii="宋体" w:hAnsi="宋体" w:cs="宋体" w:eastAsia="宋体" w:hint="default"/>
                <w:sz w:val="18"/>
                <w:szCs w:val="18"/>
              </w:rPr>
            </w:pPr>
            <w:r>
              <w:rPr>
                <w:rFonts w:ascii="宋体" w:hAnsi="宋体" w:cs="宋体" w:eastAsia="宋体" w:hint="default"/>
                <w:sz w:val="18"/>
                <w:szCs w:val="18"/>
              </w:rPr>
              <w:t>研发支出占审计净资 产的比例</w:t>
            </w:r>
          </w:p>
        </w:tc>
      </w:tr>
      <w:tr>
        <w:trPr>
          <w:trHeight w:val="427"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20,242,678.46</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0" w:right="0"/>
              <w:jc w:val="left"/>
              <w:rPr>
                <w:rFonts w:ascii="Times New Roman" w:hAnsi="Times New Roman" w:cs="Times New Roman" w:eastAsia="Times New Roman" w:hint="default"/>
                <w:sz w:val="18"/>
                <w:szCs w:val="18"/>
              </w:rPr>
            </w:pPr>
            <w:r>
              <w:rPr>
                <w:rFonts w:ascii="Times New Roman"/>
                <w:sz w:val="18"/>
              </w:rPr>
              <w:t>410,324,918.22</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4.93%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458,974,504.36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4.41%</w:t>
            </w:r>
          </w:p>
        </w:tc>
      </w:tr>
      <w:tr>
        <w:trPr>
          <w:trHeight w:val="427"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z w:val="18"/>
              </w:rPr>
              <w:t>17,534,504.40</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90" w:right="0"/>
              <w:jc w:val="left"/>
              <w:rPr>
                <w:rFonts w:ascii="Times New Roman" w:hAnsi="Times New Roman" w:cs="Times New Roman" w:eastAsia="Times New Roman" w:hint="default"/>
                <w:sz w:val="18"/>
                <w:szCs w:val="18"/>
              </w:rPr>
            </w:pPr>
            <w:r>
              <w:rPr>
                <w:rFonts w:ascii="Times New Roman"/>
                <w:sz w:val="18"/>
              </w:rPr>
              <w:t>390,699,391.77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4.49%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383,269,655.23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4.57%</w:t>
            </w:r>
          </w:p>
        </w:tc>
      </w:tr>
    </w:tbl>
    <w:p>
      <w:pPr>
        <w:spacing w:line="240" w:lineRule="auto" w:before="11"/>
        <w:rPr>
          <w:rFonts w:ascii="宋体" w:hAnsi="宋体" w:cs="宋体" w:eastAsia="宋体" w:hint="default"/>
          <w:sz w:val="17"/>
          <w:szCs w:val="17"/>
        </w:rPr>
      </w:pPr>
    </w:p>
    <w:p>
      <w:pPr>
        <w:pStyle w:val="Heading2"/>
        <w:spacing w:line="240" w:lineRule="auto"/>
        <w:ind w:right="1780"/>
        <w:jc w:val="left"/>
        <w:rPr>
          <w:b w:val="0"/>
          <w:bCs w:val="0"/>
        </w:rPr>
      </w:pPr>
      <w:r>
        <w:rPr>
          <w:rFonts w:ascii="宋体" w:hAnsi="宋体" w:cs="宋体" w:eastAsia="宋体" w:hint="default"/>
        </w:rPr>
        <w:t>6</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443,580,963.46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413,194,132.39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377,833,048.27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332,015,888.51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13.8%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65,747,915.19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81,178,243.88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79,767.62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-39.37%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23,438,270.93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117,816,554.91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-80.11%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-23,389,910.93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-117,736,787.29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-80.13%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31,317,320.00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18,110,300.00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72.93%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36,384,424.04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25,652,486.72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41.84%</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-5,067,104.04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-7,542,186.72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-32.82%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37,401,212.89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-48,456,851.55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177.18%</w:t>
            </w:r>
          </w:p>
        </w:tc>
      </w:tr>
    </w:tbl>
    <w:p>
      <w:pPr>
        <w:spacing w:line="408" w:lineRule="auto" w:before="64"/>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经营活动产生的现金流量净额减少</w:t>
      </w:r>
      <w:r>
        <w:rPr>
          <w:rFonts w:ascii="宋体" w:hAnsi="宋体" w:cs="宋体" w:eastAsia="宋体" w:hint="default"/>
          <w:spacing w:val="-2"/>
          <w:sz w:val="21"/>
          <w:szCs w:val="21"/>
        </w:rPr>
        <w:t>19.01%</w:t>
      </w:r>
      <w:r>
        <w:rPr>
          <w:rFonts w:ascii="宋体" w:hAnsi="宋体" w:cs="宋体" w:eastAsia="宋体" w:hint="default"/>
          <w:spacing w:val="-2"/>
          <w:sz w:val="21"/>
          <w:szCs w:val="21"/>
        </w:rPr>
        <w:t>，主要系经营活动现金流出量增加</w:t>
      </w:r>
      <w:r>
        <w:rPr>
          <w:rFonts w:ascii="宋体" w:hAnsi="宋体" w:cs="宋体" w:eastAsia="宋体" w:hint="default"/>
          <w:spacing w:val="-2"/>
          <w:sz w:val="21"/>
          <w:szCs w:val="21"/>
        </w:rPr>
        <w:t>13.80%</w:t>
      </w:r>
      <w:r>
        <w:rPr>
          <w:rFonts w:ascii="宋体" w:hAnsi="宋体" w:cs="宋体" w:eastAsia="宋体" w:hint="default"/>
          <w:spacing w:val="-2"/>
          <w:sz w:val="21"/>
          <w:szCs w:val="21"/>
        </w:rPr>
        <w:t>（购买商品、接受</w:t>
      </w:r>
      <w:r>
        <w:rPr>
          <w:rFonts w:ascii="宋体" w:hAnsi="宋体" w:cs="宋体" w:eastAsia="宋体" w:hint="default"/>
          <w:w w:val="100"/>
          <w:sz w:val="21"/>
          <w:szCs w:val="21"/>
        </w:rPr>
        <w:t> </w:t>
      </w:r>
      <w:r>
        <w:rPr>
          <w:rFonts w:ascii="宋体" w:hAnsi="宋体" w:cs="宋体" w:eastAsia="宋体" w:hint="default"/>
          <w:sz w:val="21"/>
          <w:szCs w:val="21"/>
        </w:rPr>
        <w:t>劳务支付的现金增加）所致。</w:t>
      </w:r>
    </w:p>
    <w:p>
      <w:pPr>
        <w:spacing w:line="408" w:lineRule="auto" w:before="46"/>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投资活动产生的现金流出量减少</w:t>
      </w:r>
      <w:r>
        <w:rPr>
          <w:rFonts w:ascii="宋体" w:hAnsi="宋体" w:cs="宋体" w:eastAsia="宋体" w:hint="default"/>
          <w:spacing w:val="-2"/>
          <w:sz w:val="21"/>
          <w:szCs w:val="21"/>
        </w:rPr>
        <w:t>80.11%</w:t>
      </w:r>
      <w:r>
        <w:rPr>
          <w:rFonts w:ascii="宋体" w:hAnsi="宋体" w:cs="宋体" w:eastAsia="宋体" w:hint="default"/>
          <w:spacing w:val="-2"/>
          <w:sz w:val="21"/>
          <w:szCs w:val="21"/>
        </w:rPr>
        <w:t>，投资活动产生的现金流量净额减少</w:t>
      </w:r>
      <w:r>
        <w:rPr>
          <w:rFonts w:ascii="宋体" w:hAnsi="宋体" w:cs="宋体" w:eastAsia="宋体" w:hint="default"/>
          <w:spacing w:val="-2"/>
          <w:sz w:val="21"/>
          <w:szCs w:val="21"/>
        </w:rPr>
        <w:t>80.13%</w:t>
      </w:r>
      <w:r>
        <w:rPr>
          <w:rFonts w:ascii="宋体" w:hAnsi="宋体" w:cs="宋体" w:eastAsia="宋体" w:hint="default"/>
          <w:spacing w:val="-2"/>
          <w:sz w:val="21"/>
          <w:szCs w:val="21"/>
        </w:rPr>
        <w:t>主要公司在</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度购买办公场所，支付的现金额较大所致。</w:t>
      </w:r>
    </w:p>
    <w:p>
      <w:pPr>
        <w:spacing w:line="408" w:lineRule="auto" w:before="46"/>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筹资活动现金流入量较上年度增长</w:t>
      </w:r>
      <w:r>
        <w:rPr>
          <w:rFonts w:ascii="宋体" w:hAnsi="宋体" w:cs="宋体" w:eastAsia="宋体" w:hint="default"/>
          <w:spacing w:val="-2"/>
          <w:sz w:val="21"/>
          <w:szCs w:val="21"/>
        </w:rPr>
        <w:t>72.93%</w:t>
      </w:r>
      <w:r>
        <w:rPr>
          <w:rFonts w:ascii="宋体" w:hAnsi="宋体" w:cs="宋体" w:eastAsia="宋体" w:hint="default"/>
          <w:spacing w:val="-2"/>
          <w:sz w:val="21"/>
          <w:szCs w:val="21"/>
        </w:rPr>
        <w:t>，主要系本年度公司实施《限制性股票激励计划》，定向增</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z w:val="21"/>
          <w:szCs w:val="21"/>
        </w:rPr>
        <w:t>203</w:t>
      </w:r>
      <w:r>
        <w:rPr>
          <w:rFonts w:ascii="宋体" w:hAnsi="宋体" w:cs="宋体" w:eastAsia="宋体" w:hint="default"/>
          <w:sz w:val="21"/>
          <w:szCs w:val="21"/>
        </w:rPr>
        <w:t>万股限制性股票，收到认购款项所致。</w:t>
      </w:r>
    </w:p>
    <w:p>
      <w:pPr>
        <w:spacing w:before="46"/>
        <w:ind w:left="573" w:right="1780" w:firstLine="0"/>
        <w:jc w:val="left"/>
        <w:rPr>
          <w:rFonts w:ascii="宋体" w:hAnsi="宋体" w:cs="宋体" w:eastAsia="宋体" w:hint="default"/>
          <w:sz w:val="21"/>
          <w:szCs w:val="21"/>
        </w:rPr>
      </w:pPr>
      <w:r>
        <w:rPr>
          <w:rFonts w:ascii="宋体" w:hAnsi="宋体" w:cs="宋体" w:eastAsia="宋体" w:hint="default"/>
          <w:sz w:val="21"/>
          <w:szCs w:val="21"/>
        </w:rPr>
        <w:t>筹资活动现金流出量较年度增长</w:t>
      </w:r>
      <w:r>
        <w:rPr>
          <w:rFonts w:ascii="宋体" w:hAnsi="宋体" w:cs="宋体" w:eastAsia="宋体" w:hint="default"/>
          <w:sz w:val="21"/>
          <w:szCs w:val="21"/>
        </w:rPr>
        <w:t>41.84%</w:t>
      </w:r>
      <w:r>
        <w:rPr>
          <w:rFonts w:ascii="宋体" w:hAnsi="宋体" w:cs="宋体" w:eastAsia="宋体" w:hint="default"/>
          <w:sz w:val="21"/>
          <w:szCs w:val="21"/>
        </w:rPr>
        <w:t>，主要系各子公司偿还借款较上年度增加所致。</w:t>
      </w:r>
    </w:p>
    <w:p>
      <w:pPr>
        <w:spacing w:line="240" w:lineRule="auto" w:before="11"/>
        <w:rPr>
          <w:rFonts w:ascii="宋体" w:hAnsi="宋体" w:cs="宋体" w:eastAsia="宋体" w:hint="default"/>
          <w:sz w:val="29"/>
          <w:szCs w:val="29"/>
        </w:rPr>
      </w:pPr>
    </w:p>
    <w:p>
      <w:pPr>
        <w:pStyle w:val="Heading2"/>
        <w:spacing w:line="240" w:lineRule="auto" w:before="0"/>
        <w:ind w:right="178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pict>
          <v:shape style="position:absolute;margin-left:83.163002pt;margin-top:98.797356pt;width:108.9pt;height:22.15pt;mso-position-horizontal-relative:page;mso-position-vertical-relative:paragraph;z-index:-6335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（嵌入式，</w:t>
                  </w:r>
                </w:p>
              </w:txbxContent>
            </v:textbox>
            <w10:wrap type="none"/>
          </v:shape>
        </w:pict>
      </w:r>
      <w:r>
        <w:rPr/>
        <w:pict>
          <v:group style="position:absolute;margin-left:125.300003pt;margin-top:93.571732pt;width:67.850pt;height:28pt;mso-position-horizontal-relative:page;mso-position-vertical-relative:paragraph;z-index:-633496" coordorigin="2506,1871" coordsize="1357,560">
            <v:group style="position:absolute;left:2506;top:1871;width:1357;height:156" coordorigin="2506,1871" coordsize="1357,156">
              <v:shape style="position:absolute;left:2506;top:1871;width:1357;height:156" coordorigin="2506,1871" coordsize="1357,156" path="m2506,2027l3862,2027,3862,1871,2506,1871,2506,2027xe" filled="true" fillcolor="#ffffff" stroked="false">
                <v:path arrowok="t"/>
                <v:fill type="solid"/>
              </v:shape>
            </v:group>
            <v:group style="position:absolute;left:2518;top:2027;width:2;height:392" coordorigin="2518,2027" coordsize="2,392">
              <v:shape style="position:absolute;left:2518;top:2027;width:2;height:392" coordorigin="2518,2027" coordsize="0,392" path="m2518,2027l2518,2419e" filled="false" stroked="true" strokeweight="1.2pt" strokecolor="#ffffff">
                <v:path arrowok="t"/>
              </v:shape>
            </v:group>
            <v:group style="position:absolute;left:2530;top:2027;width:1311;height:392" coordorigin="2530,2027" coordsize="1311,392">
              <v:shape style="position:absolute;left:2530;top:2027;width:1311;height:392" coordorigin="2530,2027" coordsize="1311,392" path="m2530,2419l3841,2419,3841,2027,2530,2027,2530,2419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83"/>
        <w:gridCol w:w="1183"/>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金融信息服务业</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235,177,708.18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136,565,371.16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等）</w:t>
            </w:r>
          </w:p>
        </w:tc>
        <w:tc>
          <w:tcPr>
            <w:tcW w:w="183" w:type="dxa"/>
            <w:tcBorders>
              <w:top w:val="single" w:sz="4" w:space="0" w:color="000000"/>
              <w:left w:val="single" w:sz="4" w:space="0" w:color="000000"/>
              <w:bottom w:val="single" w:sz="4" w:space="0" w:color="000000"/>
              <w:right w:val="nil" w:sz="6" w:space="0" w:color="auto"/>
            </w:tcBorders>
          </w:tcPr>
          <w:p>
            <w:pPr/>
          </w:p>
        </w:tc>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58,675,485.38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36,127,798.86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移动电话及移动 互联网相关业务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52,772,278.48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32,523,379.74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流通业及系统集 成业务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46,767,796.97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28,563,686.92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电子商务及其他</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16,458,174.21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10,746,680.89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-10.21%</w:t>
            </w:r>
          </w:p>
        </w:tc>
      </w:tr>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358,309,267.18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204,114,128.74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51,542,176.04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40,412,788.83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317,501,743.60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176,094,022.63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16,564,894.06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9,571,473.07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75,784,805.56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58,861,421.87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78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、主要资产项目变动情况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900"/>
        <w:gridCol w:w="1193"/>
        <w:gridCol w:w="1064"/>
        <w:gridCol w:w="799"/>
        <w:gridCol w:w="291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3" w:right="-3"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285,128,009.01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247,726,796.12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58.42%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36,236,068.06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30,849,856.34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4,359,809.29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1,362,966.71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122,241,027.83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123,119,088.45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、主要负债项目变动情况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3"/>
        <w:gridCol w:w="1064"/>
        <w:gridCol w:w="799"/>
        <w:gridCol w:w="291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3,944,646.00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14,866,180.00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6,142,772.76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969,036.67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4,062,407.22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11,595,569.18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1"/>
        <w:rPr>
          <w:rFonts w:ascii="宋体" w:hAnsi="宋体" w:cs="宋体" w:eastAsia="宋体" w:hint="default"/>
          <w:sz w:val="18"/>
          <w:szCs w:val="18"/>
        </w:rPr>
      </w:pPr>
    </w:p>
    <w:p>
      <w:pPr>
        <w:pStyle w:val="Heading2"/>
        <w:spacing w:line="240" w:lineRule="auto"/>
        <w:ind w:right="1780"/>
        <w:jc w:val="left"/>
        <w:rPr>
          <w:b w:val="0"/>
          <w:bCs w:val="0"/>
        </w:rPr>
      </w:pPr>
      <w:r>
        <w:rPr/>
        <w:t>五、核心竞争力分析</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23" w:firstLine="480"/>
        <w:jc w:val="left"/>
      </w:pPr>
      <w:r>
        <w:rPr/>
        <w:t>公司一直坚持高端业务战略方针，通过在海外软件外包业务领域的多年积累，公司拥有 较强的市场先发优势和品牌、管理优势。</w:t>
      </w:r>
    </w:p>
    <w:p>
      <w:pPr>
        <w:pStyle w:val="BodyText"/>
        <w:spacing w:line="357" w:lineRule="auto"/>
        <w:ind w:right="1132" w:firstLine="480"/>
        <w:jc w:val="both"/>
      </w:pPr>
      <w:r>
        <w:rPr>
          <w:rFonts w:ascii="宋体" w:hAnsi="宋体" w:cs="宋体" w:eastAsia="宋体" w:hint="default"/>
          <w:spacing w:val="-3"/>
        </w:rPr>
        <w:t>1</w:t>
      </w:r>
      <w:r>
        <w:rPr>
          <w:spacing w:val="-3"/>
        </w:rPr>
        <w:t>、良好的业务模式：公司在长期的经营过程中，积极嵌入客户各类业务系统的设计、运</w:t>
      </w:r>
      <w:r>
        <w:rPr/>
        <w:t> 营维护等高端业务流程，与客户建立共同研发中心、与客户签订长期业务合作基本合同等方</w:t>
      </w:r>
      <w:r>
        <w:rPr>
          <w:spacing w:val="-91"/>
        </w:rPr>
        <w:t> </w:t>
      </w:r>
      <w:r>
        <w:rPr>
          <w:spacing w:val="-91"/>
        </w:rPr>
      </w:r>
      <w:r>
        <w:rPr/>
        <w:t>式积累出一套兼顾成长性和稳定性的业务合作模式，形成了一批长期稳定合作关系的客户，</w:t>
      </w:r>
      <w:r>
        <w:rPr>
          <w:spacing w:val="-89"/>
        </w:rPr>
        <w:t> </w:t>
      </w:r>
      <w:r>
        <w:rPr>
          <w:spacing w:val="-89"/>
        </w:rPr>
      </w:r>
      <w:r>
        <w:rPr/>
        <w:t>为公司的稳定经营和持续发展打下了坚实的基础。</w:t>
      </w:r>
    </w:p>
    <w:p>
      <w:pPr>
        <w:pStyle w:val="BodyText"/>
        <w:spacing w:line="357" w:lineRule="auto"/>
        <w:ind w:right="1034" w:firstLine="480"/>
        <w:jc w:val="left"/>
      </w:pPr>
      <w:r>
        <w:rPr>
          <w:rFonts w:ascii="宋体" w:hAnsi="宋体" w:cs="宋体" w:eastAsia="宋体" w:hint="default"/>
        </w:rPr>
        <w:t>2</w:t>
      </w:r>
      <w:r>
        <w:rPr/>
        <w:t>、优秀的管理团队和人才：公司核心管理团队均具有丰富的国外生活、国际交流经验、 业内资深且长期稳定在公司服务。公司拥有的优秀开发管理人才，大多具有长期的</w:t>
      </w:r>
      <w:r>
        <w:rPr>
          <w:rFonts w:ascii="宋体" w:hAnsi="宋体" w:cs="宋体" w:eastAsia="宋体" w:hint="default"/>
        </w:rPr>
        <w:t>IT</w:t>
      </w:r>
      <w:r>
        <w:rPr/>
        <w:t>从业、</w:t>
      </w:r>
      <w:r>
        <w:rPr>
          <w:spacing w:val="-86"/>
        </w:rPr>
        <w:t> </w:t>
      </w:r>
      <w:r>
        <w:rPr>
          <w:spacing w:val="-86"/>
        </w:rPr>
      </w:r>
      <w:r>
        <w:rPr/>
        <w:t>研发和服务外包经历，对行业发展趋势具有敏锐的洞察力和把握能力。同时，公司注重员工</w:t>
      </w:r>
    </w:p>
    <w:p>
      <w:pPr>
        <w:pStyle w:val="BodyText"/>
        <w:spacing w:line="240" w:lineRule="auto"/>
        <w:ind w:right="1780"/>
        <w:jc w:val="left"/>
      </w:pPr>
      <w:r>
        <w:rPr/>
        <w:t>专业技能的培养，引导团队发挥协作精神，形成一套完整的人才队伍建设体系。</w:t>
      </w:r>
    </w:p>
    <w:p>
      <w:pPr>
        <w:spacing w:after="0" w:line="240" w:lineRule="auto"/>
        <w:jc w:val="left"/>
        <w:sectPr>
          <w:pgSz w:w="11910" w:h="16840"/>
          <w:pgMar w:header="876"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3" w:firstLine="480"/>
        <w:jc w:val="both"/>
      </w:pPr>
      <w:r>
        <w:rPr>
          <w:rFonts w:ascii="宋体" w:hAnsi="宋体" w:cs="宋体" w:eastAsia="宋体" w:hint="default"/>
          <w:spacing w:val="-3"/>
        </w:rPr>
        <w:t>3</w:t>
      </w:r>
      <w:r>
        <w:rPr>
          <w:spacing w:val="-3"/>
        </w:rPr>
        <w:t>、运营管理：软件外包的竞争集中体现在运营管理能力上，包含质量管理、运营成本控</w:t>
      </w:r>
      <w:r>
        <w:rPr/>
        <w:t> 制、交付能力与交付速度，以及运营的柔性管理等方面。公司始终秉承质量第一、客户至上</w:t>
      </w:r>
      <w:r>
        <w:rPr>
          <w:spacing w:val="-90"/>
        </w:rPr>
        <w:t> </w:t>
      </w:r>
      <w:r>
        <w:rPr>
          <w:spacing w:val="-90"/>
        </w:rPr>
      </w:r>
      <w:r>
        <w:rPr/>
        <w:t>的方针，以质量管理作为核心，严格要求产品及服务质量，获得客户的一致认可及好评。</w:t>
      </w:r>
    </w:p>
    <w:p>
      <w:pPr>
        <w:pStyle w:val="BodyText"/>
        <w:spacing w:line="357" w:lineRule="auto"/>
        <w:ind w:right="1130" w:firstLine="480"/>
        <w:jc w:val="both"/>
      </w:pPr>
      <w:r>
        <w:rPr>
          <w:rFonts w:ascii="宋体" w:hAnsi="宋体" w:cs="宋体" w:eastAsia="宋体" w:hint="default"/>
          <w:spacing w:val="-3"/>
        </w:rPr>
        <w:t>4</w:t>
      </w:r>
      <w:r>
        <w:rPr>
          <w:spacing w:val="-3"/>
        </w:rPr>
        <w:t>、国际水平的经验积累：公司常年面向海外发达国家提供软件开发服务，长期稳定保持</w:t>
      </w:r>
      <w:r>
        <w:rPr/>
        <w:t> 国际通行的开发水平，积累了国际一流的开发管理经验。</w:t>
      </w:r>
    </w:p>
    <w:p>
      <w:pPr>
        <w:pStyle w:val="BodyText"/>
        <w:spacing w:line="357" w:lineRule="auto"/>
        <w:ind w:right="1051" w:firstLine="480"/>
        <w:jc w:val="both"/>
      </w:pPr>
      <w:r>
        <w:rPr>
          <w:rFonts w:ascii="宋体" w:hAnsi="宋体" w:cs="宋体" w:eastAsia="宋体" w:hint="default"/>
        </w:rPr>
        <w:t>5</w:t>
      </w:r>
      <w:r>
        <w:rPr/>
        <w:t>、加大研发投入：通过加大对公司科技研发的不断投入，公司扩大了高端业务的规模、 为提供更高附加值的产品、产品构件服务打好基础，以利长期持续提升公司整体价值。</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before="0"/>
        <w:ind w:right="178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46"/>
        <w:gridCol w:w="2835"/>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20,000,000.00</w:t>
            </w:r>
            <w:r>
              <w:rPr>
                <w:rFonts w:ascii="宋体" w:hAnsi="宋体" w:cs="宋体" w:eastAsia="宋体" w:hint="default"/>
                <w:sz w:val="18"/>
                <w:szCs w:val="18"/>
              </w:rPr>
              <w:t>（第一期已投入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8,000,000.00</w:t>
            </w:r>
            <w:r>
              <w:rPr>
                <w:rFonts w:ascii="宋体" w:hAnsi="宋体" w:cs="宋体" w:eastAsia="宋体" w:hint="default"/>
                <w:sz w:val="18"/>
                <w:szCs w:val="18"/>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715"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上海艾云慧信创业投资有限公司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创业投资、创业投资管理、创业投 资咨询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w:t>
            </w:r>
          </w:p>
        </w:tc>
      </w:tr>
    </w:tbl>
    <w:p>
      <w:pPr>
        <w:spacing w:line="240" w:lineRule="auto" w:before="3"/>
        <w:rPr>
          <w:rFonts w:ascii="宋体" w:hAnsi="宋体" w:cs="宋体" w:eastAsia="宋体" w:hint="default"/>
          <w:b/>
          <w:bCs/>
          <w:sz w:val="19"/>
          <w:szCs w:val="19"/>
        </w:rPr>
      </w:pPr>
    </w:p>
    <w:p>
      <w:pPr>
        <w:spacing w:line="506" w:lineRule="auto" w:before="36"/>
        <w:ind w:left="152" w:right="63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公司未持有金融企业股权的情况。</w:t>
      </w:r>
    </w:p>
    <w:p>
      <w:pPr>
        <w:spacing w:line="520" w:lineRule="auto" w:before="104"/>
        <w:ind w:left="152" w:right="63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b/>
          <w:bCs/>
          <w:spacing w:val="-104"/>
          <w:sz w:val="21"/>
          <w:szCs w:val="21"/>
        </w:rPr>
        <w:t> </w:t>
      </w:r>
      <w:r>
        <w:rPr>
          <w:rFonts w:ascii="宋体" w:hAnsi="宋体" w:cs="宋体" w:eastAsia="宋体" w:hint="default"/>
          <w:sz w:val="21"/>
          <w:szCs w:val="21"/>
        </w:rPr>
        <w:t>公司报告期内未进行证券投资。</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、委托理财、衍生品投资和委托贷款情况</w:t>
      </w:r>
      <w:r>
        <w:rPr>
          <w:rFonts w:ascii="宋体" w:hAnsi="宋体" w:cs="宋体" w:eastAsia="宋体" w:hint="default"/>
          <w:spacing w:val="-1"/>
          <w:sz w:val="21"/>
          <w:szCs w:val="21"/>
        </w:rPr>
      </w:r>
    </w:p>
    <w:p>
      <w:pPr>
        <w:spacing w:line="506" w:lineRule="auto" w:before="49"/>
        <w:ind w:left="152" w:right="63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公司报告期内未进行委托理财。</w:t>
      </w:r>
    </w:p>
    <w:p>
      <w:pPr>
        <w:spacing w:before="104"/>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sz w:val="21"/>
          <w:szCs w:val="21"/>
        </w:rPr>
        <w:t>公司报告期内未投资衍生品，不存在报告期末衍生品投资持仓情况。</w:t>
      </w:r>
    </w:p>
    <w:p>
      <w:pPr>
        <w:spacing w:after="0"/>
        <w:jc w:val="left"/>
        <w:rPr>
          <w:rFonts w:ascii="宋体" w:hAnsi="宋体" w:cs="宋体" w:eastAsia="宋体" w:hint="default"/>
          <w:sz w:val="21"/>
          <w:szCs w:val="21"/>
        </w:rPr>
        <w:sectPr>
          <w:footerReference w:type="default" r:id="rId16"/>
          <w:pgSz w:w="11910" w:h="16840"/>
          <w:pgMar w:footer="1251" w:header="876" w:top="1060" w:bottom="1440" w:left="980" w:right="0"/>
          <w:pgNumType w:start="16"/>
        </w:sectPr>
      </w:pPr>
    </w:p>
    <w:p>
      <w:pPr>
        <w:spacing w:line="240" w:lineRule="auto" w:before="10"/>
        <w:rPr>
          <w:rFonts w:ascii="宋体" w:hAnsi="宋体" w:cs="宋体" w:eastAsia="宋体" w:hint="default"/>
          <w:sz w:val="24"/>
          <w:szCs w:val="24"/>
        </w:rPr>
      </w:pPr>
    </w:p>
    <w:p>
      <w:pPr>
        <w:spacing w:line="520" w:lineRule="auto" w:before="36"/>
        <w:ind w:left="152" w:right="63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公司报告期内无委托贷款情况</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before="51"/>
        <w:ind w:left="152" w:right="1780" w:firstLine="0"/>
        <w:jc w:val="left"/>
        <w:rPr>
          <w:rFonts w:ascii="宋体" w:hAnsi="宋体" w:cs="宋体" w:eastAsia="宋体" w:hint="default"/>
          <w:sz w:val="21"/>
          <w:szCs w:val="21"/>
        </w:rPr>
      </w:pPr>
      <w:r>
        <w:rPr>
          <w:rFonts w:ascii="宋体" w:hAnsi="宋体" w:cs="宋体" w:eastAsia="宋体" w:hint="default"/>
          <w:sz w:val="21"/>
          <w:szCs w:val="21"/>
        </w:rPr>
        <w:t>公司募集资金已于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年度全部使用完毕。</w:t>
      </w:r>
    </w:p>
    <w:p>
      <w:pPr>
        <w:spacing w:after="0"/>
        <w:jc w:val="left"/>
        <w:rPr>
          <w:rFonts w:ascii="宋体" w:hAnsi="宋体" w:cs="宋体" w:eastAsia="宋体" w:hint="default"/>
          <w:sz w:val="21"/>
          <w:szCs w:val="21"/>
        </w:rPr>
        <w:sectPr>
          <w:pgSz w:w="11910" w:h="16840"/>
          <w:pgMar w:header="876" w:footer="1251" w:top="1060" w:bottom="1440" w:left="980" w:right="0"/>
        </w:sectPr>
      </w:pPr>
    </w:p>
    <w:p>
      <w:pPr>
        <w:spacing w:line="240" w:lineRule="auto" w:before="11"/>
        <w:rPr>
          <w:rFonts w:ascii="宋体" w:hAnsi="宋体" w:cs="宋体" w:eastAsia="宋体" w:hint="default"/>
          <w:sz w:val="6"/>
          <w:szCs w:val="6"/>
        </w:rPr>
      </w:pPr>
    </w:p>
    <w:p>
      <w:pPr>
        <w:spacing w:line="157" w:lineRule="exact"/>
        <w:ind w:left="4506" w:right="-48" w:firstLine="0"/>
        <w:rPr>
          <w:rFonts w:ascii="宋体" w:hAnsi="宋体" w:cs="宋体" w:eastAsia="宋体" w:hint="default"/>
          <w:sz w:val="15"/>
          <w:szCs w:val="15"/>
        </w:rPr>
      </w:pPr>
      <w:r>
        <w:rPr>
          <w:rFonts w:ascii="宋体" w:hAnsi="宋体" w:cs="宋体" w:eastAsia="宋体" w:hint="default"/>
          <w:position w:val="-2"/>
          <w:sz w:val="15"/>
          <w:szCs w:val="15"/>
        </w:rPr>
        <w:drawing>
          <wp:inline distT="0" distB="0" distL="0" distR="0">
            <wp:extent cx="492368" cy="10001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92368" cy="100012"/>
                    </a:xfrm>
                    <a:prstGeom prst="rect">
                      <a:avLst/>
                    </a:prstGeom>
                  </pic:spPr>
                </pic:pic>
              </a:graphicData>
            </a:graphic>
          </wp:inline>
        </w:drawing>
      </w:r>
      <w:r>
        <w:rPr>
          <w:rFonts w:ascii="宋体" w:hAnsi="宋体" w:cs="宋体" w:eastAsia="宋体" w:hint="default"/>
          <w:position w:val="-2"/>
          <w:sz w:val="15"/>
          <w:szCs w:val="15"/>
        </w:rPr>
      </w:r>
    </w:p>
    <w:p>
      <w:pPr>
        <w:spacing w:before="87"/>
        <w:ind w:left="140" w:right="0" w:firstLine="0"/>
        <w:jc w:val="left"/>
        <w:rPr>
          <w:rFonts w:ascii="宋体" w:hAnsi="宋体" w:cs="宋体" w:eastAsia="宋体" w:hint="default"/>
          <w:sz w:val="21"/>
          <w:szCs w:val="21"/>
        </w:rPr>
      </w:pPr>
      <w:r>
        <w:rPr/>
        <w:pict>
          <v:group style="position:absolute;margin-left:70.559998pt;margin-top:3.873691pt;width:696.35pt;height:.1pt;mso-position-horizontal-relative:page;mso-position-vertical-relative:paragraph;z-index:1384" coordorigin="1411,77" coordsize="13927,2">
            <v:shape style="position:absolute;left:1411;top:77;width:13927;height:2" coordorigin="1411,77" coordsize="13927,0" path="m1411,77l15338,77e" filled="false" stroked="true" strokeweight=".72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before="3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17"/>
          <w:footerReference w:type="default" r:id="rId18"/>
          <w:pgSz w:w="16840" w:h="11910" w:orient="landscape"/>
          <w:pgMar w:header="0" w:footer="0" w:top="780" w:bottom="0" w:left="1300" w:right="0"/>
          <w:cols w:num="2" w:equalWidth="0">
            <w:col w:w="5274" w:space="4905"/>
            <w:col w:w="5361"/>
          </w:cols>
        </w:sectPr>
      </w:pPr>
    </w:p>
    <w:p>
      <w:pPr>
        <w:spacing w:line="240" w:lineRule="auto" w:before="4"/>
        <w:rPr>
          <w:rFonts w:ascii="宋体" w:hAnsi="宋体" w:cs="宋体" w:eastAsia="宋体" w:hint="default"/>
          <w:sz w:val="8"/>
          <w:szCs w:val="8"/>
        </w:rPr>
      </w:pPr>
      <w:r>
        <w:rPr/>
        <w:pict>
          <v:shape style="position:absolute;margin-left:327.731018pt;margin-top:208.130005pt;width:111.55pt;height:19.6pt;mso-position-horizontal-relative:page;mso-position-vertical-relative:page;z-index:-6334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技术服务、</w:t>
                  </w:r>
                </w:p>
              </w:txbxContent>
            </v:textbox>
            <w10:wrap type="none"/>
          </v:shape>
        </w:pict>
      </w:r>
      <w:r>
        <w:rPr/>
        <w:pict>
          <v:shape style="position:absolute;margin-left:336.740021pt;margin-top:294.645996pt;width:103.6pt;height:31.25pt;mso-position-horizontal-relative:page;mso-position-vertical-relative:page;z-index:-63344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进出口、</w:t>
                  </w:r>
                </w:p>
              </w:txbxContent>
            </v:textbox>
            <w10:wrap type="none"/>
          </v:shape>
        </w:pict>
      </w:r>
      <w:r>
        <w:rPr/>
        <w:pict>
          <v:group style="position:absolute;margin-left:370.01001pt;margin-top:207.590012pt;width:69.25pt;height:20.65pt;mso-position-horizontal-relative:page;mso-position-vertical-relative:page;z-index:-633400" coordorigin="7400,4152" coordsize="1385,413">
            <v:group style="position:absolute;left:7411;top:4163;width:2;height:392" coordorigin="7411,4163" coordsize="2,392">
              <v:shape style="position:absolute;left:7411;top:4163;width:2;height:392" coordorigin="7411,4163" coordsize="0,392" path="m7411,4163l7411,4554e" filled="false" stroked="true" strokeweight="1.08pt" strokecolor="#ffffff">
                <v:path arrowok="t"/>
              </v:shape>
            </v:group>
            <v:group style="position:absolute;left:7422;top:4163;width:1364;height:392" coordorigin="7422,4163" coordsize="1364,392">
              <v:shape style="position:absolute;left:7422;top:4163;width:1364;height:392" coordorigin="7422,4163" coordsize="1364,392" path="m7422,4554l8785,4554,8785,4163,7422,4163,7422,4554xe" filled="true" fillcolor="#ffffff" stroked="false">
                <v:path arrowok="t"/>
                <v:fill type="solid"/>
              </v:shape>
            </v:group>
            <w10:wrap type="none"/>
          </v:group>
        </w:pict>
      </w:r>
      <w:r>
        <w:rPr/>
        <w:pict>
          <v:group style="position:absolute;margin-left:370.01001pt;margin-top:294.645996pt;width:70.350pt;height:31.25pt;mso-position-horizontal-relative:page;mso-position-vertical-relative:page;z-index:-633376" coordorigin="7400,5893" coordsize="1407,625">
            <v:shape style="position:absolute;left:7400;top:5893;width:1407;height:625" coordorigin="7400,5893" coordsize="1407,625" path="m7400,6517l8807,6517,8807,5893,7400,5893,7400,6517xe" filled="true" fillcolor="#ffffff" stroked="false">
              <v:path arrowok="t"/>
              <v:fill type="solid"/>
            </v:shape>
            <w10:wrap type="none"/>
          </v:group>
        </w:pict>
      </w:r>
      <w:r>
        <w:rPr/>
        <w:pict>
          <v:group style="position:absolute;margin-left:706.919983pt;margin-top:518.320007pt;width:135pt;height:77pt;mso-position-horizontal-relative:page;mso-position-vertical-relative:page;z-index:1480" coordorigin="14138,10366" coordsize="2700,1540">
            <v:shape style="position:absolute;left:14138;top:10366;width:2700;height:1540" type="#_x0000_t75" stroked="false">
              <v:imagedata r:id="rId14"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10:wrap type="none"/>
          </v:group>
        </w:pict>
      </w:r>
    </w:p>
    <w:tbl>
      <w:tblPr>
        <w:tblW w:w="0" w:type="auto"/>
        <w:jc w:val="left"/>
        <w:tblInd w:w="135" w:type="dxa"/>
        <w:tblLayout w:type="fixed"/>
        <w:tblCellMar>
          <w:top w:w="0" w:type="dxa"/>
          <w:left w:w="0" w:type="dxa"/>
          <w:bottom w:w="0" w:type="dxa"/>
          <w:right w:w="0" w:type="dxa"/>
        </w:tblCellMar>
        <w:tblLook w:val="01E0"/>
      </w:tblPr>
      <w:tblGrid>
        <w:gridCol w:w="946"/>
        <w:gridCol w:w="1075"/>
        <w:gridCol w:w="943"/>
        <w:gridCol w:w="2991"/>
        <w:gridCol w:w="1416"/>
        <w:gridCol w:w="1277"/>
        <w:gridCol w:w="1277"/>
        <w:gridCol w:w="1417"/>
        <w:gridCol w:w="1418"/>
        <w:gridCol w:w="1277"/>
      </w:tblGrid>
      <w:tr>
        <w:trPr>
          <w:trHeight w:val="401"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9"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0"/>
              <w:jc w:val="left"/>
              <w:rPr>
                <w:rFonts w:ascii="宋体" w:hAnsi="宋体" w:cs="宋体" w:eastAsia="宋体" w:hint="default"/>
                <w:sz w:val="18"/>
                <w:szCs w:val="18"/>
              </w:rPr>
            </w:pPr>
            <w:r>
              <w:rPr>
                <w:rFonts w:ascii="宋体" w:hAnsi="宋体" w:cs="宋体" w:eastAsia="宋体" w:hint="default"/>
                <w:sz w:val="18"/>
                <w:szCs w:val="18"/>
              </w:rPr>
              <w:t>日本海隆 株式会社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7"/>
              <w:jc w:val="both"/>
              <w:rPr>
                <w:rFonts w:ascii="宋体" w:hAnsi="宋体" w:cs="宋体" w:eastAsia="宋体" w:hint="default"/>
                <w:sz w:val="18"/>
                <w:szCs w:val="18"/>
              </w:rPr>
            </w:pPr>
            <w:r>
              <w:rPr>
                <w:rFonts w:ascii="宋体" w:hAnsi="宋体" w:cs="宋体" w:eastAsia="宋体" w:hint="default"/>
                <w:sz w:val="18"/>
                <w:szCs w:val="18"/>
              </w:rPr>
              <w:t>计算机系统的分析、设计业务；计算 机软件的开发机销售相关业务；计算 机软件开发技术人员的派遣业务；计 算机系统相关的咨询业务。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日元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39,669,055.05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10,100,140.78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196,444,059.36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2,183,249.72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1,296,150.19</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江苏海隆 软件技术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计算机软硬件系统及其相关系统的集 </w:t>
            </w:r>
            <w:r>
              <w:rPr>
                <w:rFonts w:ascii="宋体" w:hAnsi="宋体" w:cs="宋体" w:eastAsia="宋体" w:hint="default"/>
                <w:spacing w:val="-3"/>
                <w:sz w:val="18"/>
                <w:szCs w:val="18"/>
              </w:rPr>
              <w:t>成、技术开发、技术咨询、</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20,341,255.82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18,545,166.47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37,356,374.49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3,207,693.58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3,869,394.59</w:t>
            </w:r>
          </w:p>
        </w:tc>
      </w:tr>
      <w:tr>
        <w:trPr>
          <w:trHeight w:val="165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上海海隆 宜通通信 信息技术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移动电话内容服务软件、计算机信息 技术软件的设计、开发、制作、销售 自产产品；移动电话内容服务软件、 计算机信息技术软件的批发、 佣金代理（拍卖除外）等。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3,008,757.61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2,742,135.26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7,020,254.22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-1,008,085.43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-1,008,085.43</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上海华钟 计算机软 件开发有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控股子公司</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77"/>
              <w:jc w:val="both"/>
              <w:rPr>
                <w:rFonts w:ascii="宋体" w:hAnsi="宋体" w:cs="宋体" w:eastAsia="宋体" w:hint="default"/>
                <w:sz w:val="18"/>
                <w:szCs w:val="18"/>
              </w:rPr>
            </w:pPr>
            <w:r>
              <w:rPr>
                <w:rFonts w:ascii="宋体" w:hAnsi="宋体" w:cs="宋体" w:eastAsia="宋体" w:hint="default"/>
                <w:sz w:val="18"/>
                <w:szCs w:val="18"/>
              </w:rPr>
              <w:t>研制、生产计算机软件、硬件和应用 系统，销售自产产品，提供相关技术 咨询、技术服务。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39,380,936.36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32,430,321.01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114,684,790.23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4,674,792.16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4,182,969.52</w:t>
            </w:r>
          </w:p>
        </w:tc>
      </w:tr>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上海艾云 慧信创业 投资有限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77"/>
              <w:jc w:val="left"/>
              <w:rPr>
                <w:rFonts w:ascii="宋体" w:hAnsi="宋体" w:cs="宋体" w:eastAsia="宋体" w:hint="default"/>
                <w:sz w:val="18"/>
                <w:szCs w:val="18"/>
              </w:rPr>
            </w:pPr>
            <w:r>
              <w:rPr>
                <w:rFonts w:ascii="宋体" w:hAnsi="宋体" w:cs="宋体" w:eastAsia="宋体" w:hint="default"/>
                <w:sz w:val="18"/>
                <w:szCs w:val="18"/>
              </w:rPr>
              <w:t>创业投资、创业投资管理、创业投资 咨询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98,814,037.41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98,814,037.41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-2,225,962.59</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5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4" w:lineRule="auto" w:before="187"/>
        <w:ind w:left="152" w:right="6313"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报告期内，公司无非募集资金投资的重大项目。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4"/>
          <w:szCs w:val="24"/>
        </w:rPr>
        <w:t>七、公司控制的特殊目的主体情况</w:t>
      </w:r>
      <w:r>
        <w:rPr>
          <w:rFonts w:ascii="宋体" w:hAnsi="宋体" w:cs="宋体" w:eastAsia="宋体" w:hint="default"/>
          <w:b/>
          <w:bCs/>
          <w:w w:val="99"/>
          <w:sz w:val="24"/>
          <w:szCs w:val="24"/>
        </w:rPr>
        <w:t> </w:t>
      </w:r>
      <w:r>
        <w:rPr>
          <w:rFonts w:ascii="宋体" w:hAnsi="宋体" w:cs="宋体" w:eastAsia="宋体" w:hint="default"/>
          <w:sz w:val="21"/>
          <w:szCs w:val="21"/>
        </w:rPr>
        <w:t>公司不存在公司控制的特殊目的主体。</w:t>
      </w:r>
      <w:r>
        <w:rPr>
          <w:rFonts w:ascii="宋体" w:hAnsi="宋体" w:cs="宋体" w:eastAsia="宋体" w:hint="default"/>
          <w:w w:val="100"/>
          <w:sz w:val="21"/>
          <w:szCs w:val="21"/>
        </w:rPr>
        <w:t> </w:t>
      </w:r>
      <w:r>
        <w:rPr>
          <w:rFonts w:ascii="宋体" w:hAnsi="宋体" w:cs="宋体" w:eastAsia="宋体" w:hint="default"/>
          <w:b/>
          <w:bCs/>
          <w:sz w:val="24"/>
          <w:szCs w:val="24"/>
        </w:rPr>
        <w:t>八、公司未来发展的展望</w:t>
      </w:r>
      <w:r>
        <w:rPr>
          <w:rFonts w:ascii="宋体" w:hAnsi="宋体" w:cs="宋体" w:eastAsia="宋体" w:hint="default"/>
          <w:sz w:val="24"/>
          <w:szCs w:val="24"/>
        </w:rPr>
      </w:r>
    </w:p>
    <w:p>
      <w:pPr>
        <w:spacing w:line="357" w:lineRule="auto" w:before="113"/>
        <w:ind w:left="633" w:right="1123" w:hanging="128"/>
        <w:jc w:val="left"/>
        <w:rPr>
          <w:rFonts w:ascii="宋体" w:hAnsi="宋体" w:cs="宋体" w:eastAsia="宋体" w:hint="default"/>
          <w:sz w:val="24"/>
          <w:szCs w:val="24"/>
        </w:rPr>
      </w:pPr>
      <w:r>
        <w:rPr>
          <w:rFonts w:ascii="宋体" w:hAnsi="宋体" w:cs="宋体" w:eastAsia="宋体" w:hint="default"/>
          <w:b/>
          <w:bCs/>
          <w:sz w:val="24"/>
          <w:szCs w:val="24"/>
        </w:rPr>
        <w:t>（一）行业格局和发展趋势</w:t>
      </w:r>
      <w:r>
        <w:rPr>
          <w:rFonts w:ascii="宋体" w:hAnsi="宋体" w:cs="宋体" w:eastAsia="宋体" w:hint="default"/>
          <w:b/>
          <w:bCs/>
          <w:w w:val="99"/>
          <w:sz w:val="24"/>
          <w:szCs w:val="24"/>
        </w:rPr>
        <w:t> </w:t>
      </w:r>
      <w:r>
        <w:rPr>
          <w:rFonts w:ascii="宋体" w:hAnsi="宋体" w:cs="宋体" w:eastAsia="宋体" w:hint="default"/>
          <w:sz w:val="24"/>
          <w:szCs w:val="24"/>
        </w:rPr>
        <w:t>经济全球化是当今世界的基本特征。世界资本走向中国，中国资本走向世界。作为我国</w:t>
      </w:r>
    </w:p>
    <w:p>
      <w:pPr>
        <w:pStyle w:val="BodyText"/>
        <w:spacing w:line="357" w:lineRule="auto"/>
        <w:ind w:right="1139"/>
        <w:jc w:val="both"/>
      </w:pPr>
      <w:r>
        <w:rPr/>
        <w:t>目前和今后利用外资、扩大服务贸易的一种重要方式，服务外包不仅对我国获得资金和技术</w:t>
      </w:r>
      <w:r>
        <w:rPr>
          <w:spacing w:val="-91"/>
        </w:rPr>
        <w:t> </w:t>
      </w:r>
      <w:r>
        <w:rPr>
          <w:spacing w:val="-91"/>
        </w:rPr>
      </w:r>
      <w:r>
        <w:rPr/>
        <w:t>提供了良好机会，而且对我国发展服务业、优化产业结构，改善贸易结构，促进经济快速发</w:t>
      </w:r>
      <w:r>
        <w:rPr>
          <w:spacing w:val="-91"/>
        </w:rPr>
        <w:t> </w:t>
      </w:r>
      <w:r>
        <w:rPr>
          <w:spacing w:val="-91"/>
        </w:rPr>
      </w:r>
      <w:r>
        <w:rPr/>
        <w:t>展、增强我国经济实力、综合国力和国际竞争力等提供了一个历史性的机遇。受国际金融危</w:t>
      </w:r>
      <w:r>
        <w:rPr>
          <w:spacing w:val="-91"/>
        </w:rPr>
        <w:t> </w:t>
      </w:r>
      <w:r>
        <w:rPr>
          <w:spacing w:val="-91"/>
        </w:rPr>
      </w:r>
      <w:r>
        <w:rPr/>
        <w:t>机后期大调整的影响，以服务外包，高科技，高附加值的高端制造，低碳经济及研发环节转</w:t>
      </w:r>
      <w:r>
        <w:rPr>
          <w:spacing w:val="-91"/>
        </w:rPr>
        <w:t> </w:t>
      </w:r>
      <w:r>
        <w:rPr>
          <w:spacing w:val="-91"/>
        </w:rPr>
      </w:r>
      <w:r>
        <w:rPr/>
        <w:t>移为主要特征的新一轮全球产业结构调整方兴未艾，服务外包将具有新的特点，呈现出新的</w:t>
      </w:r>
      <w:r>
        <w:rPr>
          <w:spacing w:val="-91"/>
        </w:rPr>
        <w:t> </w:t>
      </w:r>
      <w:r>
        <w:rPr>
          <w:spacing w:val="-91"/>
        </w:rPr>
      </w:r>
      <w:r>
        <w:rPr/>
        <w:t>趋势。</w:t>
      </w:r>
    </w:p>
    <w:p>
      <w:pPr>
        <w:pStyle w:val="BodyText"/>
        <w:spacing w:line="357" w:lineRule="auto"/>
        <w:ind w:right="1134" w:firstLine="480"/>
        <w:jc w:val="both"/>
      </w:pPr>
      <w:r>
        <w:rPr/>
        <w:t>服务外包成为全球产业转移的新兴方式，是因为发展中国家具有成本低廉，同时又掌握 现代科技、具有熟练技能的人力资源，能够按照发达国家外包商的要求提供与发达国家人力</w:t>
      </w:r>
      <w:r>
        <w:rPr>
          <w:spacing w:val="-91"/>
        </w:rPr>
        <w:t> </w:t>
      </w:r>
      <w:r>
        <w:rPr>
          <w:spacing w:val="-91"/>
        </w:rPr>
      </w:r>
      <w:r>
        <w:rPr/>
        <w:t>资源同质同量的服务。纵观全球，软件外包行业市场潜力巨大，首先，随着主要发达国家的</w:t>
      </w:r>
      <w:r>
        <w:rPr>
          <w:spacing w:val="-91"/>
        </w:rPr>
        <w:t> </w:t>
      </w:r>
      <w:r>
        <w:rPr>
          <w:spacing w:val="-91"/>
        </w:rPr>
      </w:r>
      <w:r>
        <w:rPr/>
        <w:t>本国适龄劳动力数量持续下滑和人力成本上升，各行业面临的竞争和利润压力与日俱增，离</w:t>
      </w:r>
      <w:r>
        <w:rPr>
          <w:spacing w:val="-91"/>
        </w:rPr>
        <w:t> </w:t>
      </w:r>
      <w:r>
        <w:rPr>
          <w:spacing w:val="-91"/>
        </w:rPr>
      </w:r>
      <w:r>
        <w:rPr/>
        <w:t>岸外包服务已经成为跨国企业全球布局、应对竞争并提升国际竞争力的重要手段。其次，随</w:t>
      </w:r>
      <w:r>
        <w:rPr>
          <w:spacing w:val="-91"/>
        </w:rPr>
        <w:t> </w:t>
      </w:r>
      <w:r>
        <w:rPr>
          <w:spacing w:val="-91"/>
        </w:rPr>
      </w:r>
      <w:r>
        <w:rPr/>
        <w:t>着这些国家信息化进程的加快、客户管理外包能力的不断提高以及企业对业务优化和创新的</w:t>
      </w:r>
      <w:r>
        <w:rPr>
          <w:spacing w:val="-87"/>
        </w:rPr>
        <w:t> </w:t>
      </w:r>
      <w:r>
        <w:rPr>
          <w:spacing w:val="-87"/>
        </w:rPr>
      </w:r>
      <w:r>
        <w:rPr/>
        <w:t>迫切需求，均会推动向发展中国家的发包规模长期不断上升的趋势。</w:t>
      </w:r>
    </w:p>
    <w:p>
      <w:pPr>
        <w:pStyle w:val="BodyText"/>
        <w:spacing w:line="357" w:lineRule="auto"/>
        <w:ind w:right="1138" w:firstLine="480"/>
        <w:jc w:val="both"/>
      </w:pPr>
      <w:r>
        <w:rPr/>
        <w:t>中国不仅拥有大量高性价比理工科</w:t>
      </w:r>
      <w:r>
        <w:rPr>
          <w:rFonts w:ascii="宋体" w:hAnsi="宋体" w:cs="宋体" w:eastAsia="宋体" w:hint="default"/>
        </w:rPr>
        <w:t>IT</w:t>
      </w:r>
      <w:r>
        <w:rPr/>
        <w:t>专门人才，而且软件服务外包具有成熟度较高、交 付能力强等优势，未来将会有更宽阔的市场机遇。因此公司所处的面向发达国家的软件服务</w:t>
      </w:r>
      <w:r>
        <w:rPr>
          <w:spacing w:val="-91"/>
        </w:rPr>
        <w:t> </w:t>
      </w:r>
      <w:r>
        <w:rPr>
          <w:spacing w:val="-91"/>
        </w:rPr>
      </w:r>
      <w:r>
        <w:rPr/>
        <w:t>外包行业有着长期看好的发展前景。</w:t>
      </w:r>
    </w:p>
    <w:p>
      <w:pPr>
        <w:pStyle w:val="BodyText"/>
        <w:spacing w:line="357" w:lineRule="auto"/>
        <w:ind w:right="982" w:firstLine="480"/>
        <w:jc w:val="left"/>
      </w:pPr>
      <w:r>
        <w:rPr>
          <w:spacing w:val="-3"/>
        </w:rPr>
        <w:t>随着全球产业的继续转移，未来国际软件服务外包业务向中国倾斜的态势将进一步加快。</w:t>
      </w:r>
      <w:r>
        <w:rPr/>
        <w:t> 我国软件服务外包行业的高速发展，政府对行业的高度重视，国务院及有关部门先后颁布了</w:t>
      </w:r>
      <w:r>
        <w:rPr>
          <w:spacing w:val="-91"/>
        </w:rPr>
        <w:t> </w:t>
      </w:r>
      <w:r>
        <w:rPr>
          <w:spacing w:val="-91"/>
        </w:rPr>
      </w:r>
      <w:r>
        <w:rPr/>
        <w:t>一系列优惠政策，特别是制定了《软件和信息技术服务业“十二五”发展规划》，为公司大</w:t>
      </w:r>
    </w:p>
    <w:p>
      <w:pPr>
        <w:pStyle w:val="BodyText"/>
        <w:spacing w:line="240" w:lineRule="auto"/>
        <w:ind w:right="1780"/>
        <w:jc w:val="left"/>
      </w:pPr>
      <w:r>
        <w:rPr/>
        <w:t>力发展</w:t>
      </w:r>
      <w:r>
        <w:rPr>
          <w:rFonts w:ascii="宋体" w:hAnsi="宋体" w:cs="宋体" w:eastAsia="宋体" w:hint="default"/>
        </w:rPr>
        <w:t>IT</w:t>
      </w:r>
      <w:r>
        <w:rPr/>
        <w:t>服务外包业务创造了良好的政策环境。</w:t>
      </w:r>
    </w:p>
    <w:p>
      <w:pPr>
        <w:spacing w:after="0" w:line="240" w:lineRule="auto"/>
        <w:jc w:val="left"/>
        <w:sectPr>
          <w:footerReference w:type="default" r:id="rId19"/>
          <w:pgSz w:w="11910" w:h="16840"/>
          <w:pgMar w:footer="1319" w:header="0" w:top="1060" w:bottom="1500" w:left="980" w:right="0"/>
          <w:pgNumType w:start="19"/>
        </w:sectPr>
      </w:pPr>
    </w:p>
    <w:p>
      <w:pPr>
        <w:spacing w:line="240" w:lineRule="auto" w:before="6"/>
        <w:rPr>
          <w:rFonts w:ascii="宋体" w:hAnsi="宋体" w:cs="宋体" w:eastAsia="宋体" w:hint="default"/>
          <w:sz w:val="29"/>
          <w:szCs w:val="29"/>
        </w:rPr>
      </w:pPr>
    </w:p>
    <w:p>
      <w:pPr>
        <w:spacing w:line="357" w:lineRule="auto" w:before="26"/>
        <w:ind w:left="633" w:right="1123" w:hanging="128"/>
        <w:jc w:val="left"/>
        <w:rPr>
          <w:rFonts w:ascii="宋体" w:hAnsi="宋体" w:cs="宋体" w:eastAsia="宋体" w:hint="default"/>
          <w:sz w:val="24"/>
          <w:szCs w:val="24"/>
        </w:rPr>
      </w:pPr>
      <w:r>
        <w:rPr>
          <w:rFonts w:ascii="宋体" w:hAnsi="宋体" w:cs="宋体" w:eastAsia="宋体" w:hint="default"/>
          <w:b/>
          <w:bCs/>
          <w:sz w:val="24"/>
          <w:szCs w:val="24"/>
        </w:rPr>
        <w:t>（二）行业比较分析</w:t>
      </w:r>
      <w:r>
        <w:rPr>
          <w:rFonts w:ascii="宋体" w:hAnsi="宋体" w:cs="宋体" w:eastAsia="宋体" w:hint="default"/>
          <w:b/>
          <w:bCs/>
          <w:w w:val="99"/>
          <w:sz w:val="24"/>
          <w:szCs w:val="24"/>
        </w:rPr>
        <w:t> </w:t>
      </w:r>
      <w:r>
        <w:rPr>
          <w:rFonts w:ascii="宋体" w:hAnsi="宋体" w:cs="宋体" w:eastAsia="宋体" w:hint="default"/>
          <w:sz w:val="24"/>
          <w:szCs w:val="24"/>
        </w:rPr>
        <w:t>在软件服务外包行业有着广阔发展前景的同时，还存在着激烈的市场竞争。软件服务外</w:t>
      </w:r>
    </w:p>
    <w:p>
      <w:pPr>
        <w:pStyle w:val="BodyText"/>
        <w:spacing w:line="357" w:lineRule="auto"/>
        <w:ind w:right="982"/>
        <w:jc w:val="left"/>
      </w:pPr>
      <w:r>
        <w:rPr/>
        <w:t>包的对象行业千姿百态，先进发达国家对信息技术、软件业务系统的功能、质量等有着高水</w:t>
      </w:r>
      <w:r>
        <w:rPr>
          <w:spacing w:val="-91"/>
        </w:rPr>
        <w:t> </w:t>
      </w:r>
      <w:r>
        <w:rPr>
          <w:spacing w:val="-91"/>
        </w:rPr>
      </w:r>
      <w:r>
        <w:rPr/>
        <w:t>平的要求。公司面对海外主要业务市场，长年持续提供高水平的外包服务，在金融业、制造</w:t>
      </w:r>
      <w:r>
        <w:rPr>
          <w:spacing w:val="-91"/>
        </w:rPr>
        <w:t> </w:t>
      </w:r>
      <w:r>
        <w:rPr>
          <w:spacing w:val="-91"/>
        </w:rPr>
      </w:r>
      <w:r>
        <w:rPr>
          <w:spacing w:val="-3"/>
        </w:rPr>
        <w:t>业、物流、公共事业、零售业、移动互联网等特定行业，有着领先国内同行的人才培养机制、</w:t>
      </w:r>
      <w:r>
        <w:rPr>
          <w:spacing w:val="-80"/>
        </w:rPr>
        <w:t> </w:t>
      </w:r>
      <w:r>
        <w:rPr>
          <w:spacing w:val="-80"/>
        </w:rPr>
      </w:r>
      <w:r>
        <w:rPr/>
        <w:t>技术水平、开发管理水平、质量控制水平、专业领域业务能力，高度满足不同行业客户的企</w:t>
      </w:r>
      <w:r>
        <w:rPr>
          <w:spacing w:val="-91"/>
        </w:rPr>
        <w:t> </w:t>
      </w:r>
      <w:r>
        <w:rPr>
          <w:spacing w:val="-91"/>
        </w:rPr>
      </w:r>
      <w:r>
        <w:rPr/>
        <w:t>业战略、产品要求，密切嵌入客户的高端业务，使公司得以保持长期稳健发展。</w:t>
      </w:r>
    </w:p>
    <w:p>
      <w:pPr>
        <w:pStyle w:val="BodyText"/>
        <w:spacing w:line="357" w:lineRule="auto"/>
        <w:ind w:right="1137" w:firstLine="480"/>
        <w:jc w:val="both"/>
      </w:pPr>
      <w:r>
        <w:rPr/>
        <w:t>公司时刻保持着清醒的头脑，不间断地关注市场需求，探索更加高效合理的经营模式， 加大人力资源的投入，不断增强核心业务能力，使得公司能够持续提高市场竞争力，避免低</w:t>
      </w:r>
      <w:r>
        <w:rPr>
          <w:spacing w:val="-91"/>
        </w:rPr>
        <w:t> </w:t>
      </w:r>
      <w:r>
        <w:rPr>
          <w:spacing w:val="-91"/>
        </w:rPr>
      </w:r>
      <w:r>
        <w:rPr/>
        <w:t>层次的恶性竞争，确保行业综合领先优势、保持良好的企业信誉、更加广度和深度的占据高</w:t>
      </w:r>
      <w:r>
        <w:rPr>
          <w:spacing w:val="-91"/>
        </w:rPr>
        <w:t> </w:t>
      </w:r>
      <w:r>
        <w:rPr>
          <w:spacing w:val="-91"/>
        </w:rPr>
      </w:r>
      <w:r>
        <w:rPr/>
        <w:t>端市场，稳定扩大市场份额。</w:t>
      </w:r>
    </w:p>
    <w:p>
      <w:pPr>
        <w:spacing w:line="357" w:lineRule="auto" w:before="36"/>
        <w:ind w:left="633" w:right="1123" w:firstLine="0"/>
        <w:jc w:val="left"/>
        <w:rPr>
          <w:rFonts w:ascii="宋体" w:hAnsi="宋体" w:cs="宋体" w:eastAsia="宋体" w:hint="default"/>
          <w:sz w:val="24"/>
          <w:szCs w:val="24"/>
        </w:rPr>
      </w:pPr>
      <w:r>
        <w:rPr>
          <w:rFonts w:ascii="宋体" w:hAnsi="宋体" w:cs="宋体" w:eastAsia="宋体" w:hint="default"/>
          <w:b/>
          <w:bCs/>
          <w:sz w:val="24"/>
          <w:szCs w:val="24"/>
        </w:rPr>
        <w:t>（三）公司发展战略</w:t>
      </w:r>
      <w:r>
        <w:rPr>
          <w:rFonts w:ascii="宋体" w:hAnsi="宋体" w:cs="宋体" w:eastAsia="宋体" w:hint="default"/>
          <w:b/>
          <w:bCs/>
          <w:w w:val="99"/>
          <w:sz w:val="24"/>
          <w:szCs w:val="24"/>
        </w:rPr>
        <w:t> </w:t>
      </w:r>
      <w:r>
        <w:rPr>
          <w:rFonts w:ascii="宋体" w:hAnsi="宋体" w:cs="宋体" w:eastAsia="宋体" w:hint="default"/>
          <w:sz w:val="24"/>
          <w:szCs w:val="24"/>
        </w:rPr>
        <w:t>公司将抓住软件服务外包发展趋势，扩大生产能力，不断提高技术水平、开发管理、质</w:t>
      </w:r>
    </w:p>
    <w:p>
      <w:pPr>
        <w:pStyle w:val="BodyText"/>
        <w:spacing w:line="357" w:lineRule="auto"/>
        <w:ind w:right="1131"/>
        <w:jc w:val="both"/>
      </w:pPr>
      <w:r>
        <w:rPr>
          <w:spacing w:val="-5"/>
        </w:rPr>
        <w:t>量管理能力，保证高规格的交付质量。未来几年，公司将围绕打造“国际化综合</w:t>
      </w:r>
      <w:r>
        <w:rPr>
          <w:rFonts w:ascii="宋体" w:hAnsi="宋体" w:cs="宋体" w:eastAsia="宋体" w:hint="default"/>
          <w:spacing w:val="-5"/>
        </w:rPr>
        <w:t>IT</w:t>
      </w:r>
      <w:r>
        <w:rPr>
          <w:spacing w:val="-5"/>
        </w:rPr>
        <w:t>服务企业”</w:t>
      </w:r>
      <w:r>
        <w:rPr>
          <w:spacing w:val="-114"/>
        </w:rPr>
        <w:t> </w:t>
      </w:r>
      <w:r>
        <w:rPr/>
        <w:t>的目标开展工作，不断提高市场响应速度，加大对客户上游价值链的嵌入深度和广度，通过</w:t>
      </w:r>
      <w:r>
        <w:rPr>
          <w:spacing w:val="-91"/>
        </w:rPr>
        <w:t> </w:t>
      </w:r>
      <w:r>
        <w:rPr>
          <w:spacing w:val="-91"/>
        </w:rPr>
      </w:r>
      <w:r>
        <w:rPr/>
        <w:t>积极开拓市场、探索新的业务模式、引进和培养各类人才等措施，实现服务形式多元化，进</w:t>
      </w:r>
      <w:r>
        <w:rPr>
          <w:spacing w:val="-89"/>
        </w:rPr>
        <w:t> </w:t>
      </w:r>
      <w:r>
        <w:rPr>
          <w:spacing w:val="-89"/>
        </w:rPr>
      </w:r>
      <w:r>
        <w:rPr/>
        <w:t>一步做大做强国内外市场，提高公司的综合竞争能力。</w:t>
      </w:r>
    </w:p>
    <w:p>
      <w:pPr>
        <w:spacing w:line="357" w:lineRule="auto" w:before="36"/>
        <w:ind w:left="633" w:right="1123" w:firstLine="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z w:val="24"/>
          <w:szCs w:val="24"/>
        </w:rPr>
        <w:t>2013</w:t>
      </w:r>
      <w:r>
        <w:rPr>
          <w:rFonts w:ascii="宋体" w:hAnsi="宋体" w:cs="宋体" w:eastAsia="宋体" w:hint="default"/>
          <w:b/>
          <w:bCs/>
          <w:sz w:val="24"/>
          <w:szCs w:val="24"/>
        </w:rPr>
        <w:t>年公司经营计划和经营目标</w:t>
      </w:r>
      <w:r>
        <w:rPr>
          <w:rFonts w:ascii="宋体" w:hAnsi="宋体" w:cs="宋体" w:eastAsia="宋体" w:hint="default"/>
          <w:b/>
          <w:bCs/>
          <w:w w:val="99"/>
          <w:sz w:val="24"/>
          <w:szCs w:val="24"/>
        </w:rPr>
        <w:t> </w:t>
      </w:r>
      <w:r>
        <w:rPr>
          <w:rFonts w:ascii="宋体" w:hAnsi="宋体" w:cs="宋体" w:eastAsia="宋体" w:hint="default"/>
          <w:sz w:val="24"/>
          <w:szCs w:val="24"/>
        </w:rPr>
        <w:t>公司将力争在</w:t>
      </w:r>
      <w:r>
        <w:rPr>
          <w:rFonts w:ascii="宋体" w:hAnsi="宋体" w:cs="宋体" w:eastAsia="宋体" w:hint="default"/>
          <w:sz w:val="24"/>
          <w:szCs w:val="24"/>
        </w:rPr>
        <w:t>2012</w:t>
      </w:r>
      <w:r>
        <w:rPr>
          <w:rFonts w:ascii="宋体" w:hAnsi="宋体" w:cs="宋体" w:eastAsia="宋体" w:hint="default"/>
          <w:sz w:val="24"/>
          <w:szCs w:val="24"/>
        </w:rPr>
        <w:t>年的基础上继续扩大业务，确保公司稳健增长。预计新的一年公司在</w:t>
      </w:r>
    </w:p>
    <w:p>
      <w:pPr>
        <w:pStyle w:val="BodyText"/>
        <w:spacing w:line="357" w:lineRule="auto"/>
        <w:ind w:right="1123"/>
        <w:jc w:val="left"/>
      </w:pPr>
      <w:r>
        <w:rPr/>
        <w:t>金融行业的业务规模将有较大增长。同时，在制造业、移动电话、流通、电子商务等其他行</w:t>
      </w:r>
      <w:r>
        <w:rPr>
          <w:spacing w:val="-91"/>
        </w:rPr>
        <w:t> </w:t>
      </w:r>
      <w:r>
        <w:rPr>
          <w:spacing w:val="-91"/>
        </w:rPr>
      </w:r>
      <w:r>
        <w:rPr/>
        <w:t>业也将继续挖掘客户潜力，并且努力开拓新的客户，争取业务规模的持续扩张。</w:t>
      </w:r>
    </w:p>
    <w:p>
      <w:pPr>
        <w:pStyle w:val="BodyText"/>
        <w:spacing w:line="357" w:lineRule="auto"/>
        <w:ind w:right="996" w:firstLine="480"/>
        <w:jc w:val="left"/>
      </w:pPr>
      <w:r>
        <w:rPr/>
        <w:t>公司将借助国家支持软件和信息技术服务业发展的机遇，继续加大科研投入，使企业的 科技创新水平不断提高，企业的核心竞争力不断加强；加强品牌管理，不断提升海隆品牌声</w:t>
      </w:r>
      <w:r>
        <w:rPr>
          <w:spacing w:val="-86"/>
        </w:rPr>
        <w:t> </w:t>
      </w:r>
      <w:r>
        <w:rPr>
          <w:spacing w:val="-86"/>
        </w:rPr>
      </w:r>
      <w:r>
        <w:rPr>
          <w:spacing w:val="-2"/>
        </w:rPr>
        <w:t>誉，继续完善客户服务体系建设；完善营销体系，提高客户服务质量，提升渠道的竞争能力；</w:t>
      </w:r>
      <w:r>
        <w:rPr/>
        <w:t> 在积极维护主要客户、稳定原有市场的基础上，继续加强国内外市场的调研、开发与管理，</w:t>
      </w:r>
      <w:r>
        <w:rPr>
          <w:spacing w:val="-91"/>
        </w:rPr>
        <w:t> </w:t>
      </w:r>
      <w:r>
        <w:rPr>
          <w:spacing w:val="-91"/>
        </w:rPr>
      </w:r>
      <w:r>
        <w:rPr>
          <w:spacing w:val="-2"/>
        </w:rPr>
        <w:t>积极挖掘潜在市场，增加市场份额；继续优化内部管理，降低生产经营成本，提高运行效率。</w:t>
      </w:r>
    </w:p>
    <w:p>
      <w:pPr>
        <w:pStyle w:val="BodyText"/>
        <w:spacing w:line="357" w:lineRule="auto"/>
        <w:ind w:left="633" w:right="1123"/>
        <w:jc w:val="left"/>
      </w:pPr>
      <w:r>
        <w:rPr/>
        <w:t>为确保公司</w:t>
      </w:r>
      <w:r>
        <w:rPr>
          <w:rFonts w:ascii="宋体" w:hAnsi="宋体" w:cs="宋体" w:eastAsia="宋体" w:hint="default"/>
        </w:rPr>
        <w:t>2013</w:t>
      </w:r>
      <w:r>
        <w:rPr/>
        <w:t>年度营收的稳健增长</w:t>
      </w:r>
      <w:r>
        <w:rPr>
          <w:rFonts w:ascii="宋体" w:hAnsi="宋体" w:cs="宋体" w:eastAsia="宋体" w:hint="default"/>
        </w:rPr>
        <w:t>,</w:t>
      </w:r>
      <w:r>
        <w:rPr/>
        <w:t>为此</w:t>
      </w:r>
      <w:r>
        <w:rPr>
          <w:rFonts w:ascii="宋体" w:hAnsi="宋体" w:cs="宋体" w:eastAsia="宋体" w:hint="default"/>
        </w:rPr>
        <w:t>2013</w:t>
      </w:r>
      <w:r>
        <w:rPr/>
        <w:t>年公司将着重做好如下工作： </w:t>
      </w:r>
      <w:r>
        <w:rPr>
          <w:rFonts w:ascii="宋体" w:hAnsi="宋体" w:cs="宋体" w:eastAsia="宋体" w:hint="default"/>
        </w:rPr>
        <w:t>1</w:t>
      </w:r>
      <w:r>
        <w:rPr/>
        <w:t>、加强营销，扩大市场份额 面对公司常年的海外主营业务市场，公司仍将一如既往地集中已有的优势资源，积极营</w:t>
      </w:r>
    </w:p>
    <w:p>
      <w:pPr>
        <w:spacing w:after="0" w:line="357" w:lineRule="auto"/>
        <w:jc w:val="left"/>
        <w:sectPr>
          <w:pgSz w:w="11910" w:h="16840"/>
          <w:pgMar w:header="0" w:footer="1319" w:top="1060" w:bottom="150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996"/>
        <w:jc w:val="left"/>
      </w:pPr>
      <w:r>
        <w:rPr>
          <w:spacing w:val="-2"/>
        </w:rPr>
        <w:t>销，对有潜力客户深耕细作，不断提高服务质量，继续全面提升占据高端业务的深度和广度；</w:t>
      </w:r>
      <w:r>
        <w:rPr>
          <w:spacing w:val="-118"/>
        </w:rPr>
        <w:t> </w:t>
      </w:r>
      <w:r>
        <w:rPr>
          <w:spacing w:val="-118"/>
        </w:rPr>
      </w:r>
      <w:r>
        <w:rPr/>
        <w:t>在稳定和深化与现有大客户的战略合作伙伴关系的基础上，加大开拓新客户的力度，积极发</w:t>
      </w:r>
      <w:r>
        <w:rPr>
          <w:spacing w:val="-91"/>
        </w:rPr>
        <w:t> </w:t>
      </w:r>
      <w:r>
        <w:rPr>
          <w:spacing w:val="-91"/>
        </w:rPr>
      </w:r>
      <w:r>
        <w:rPr/>
        <w:t>掘新行业的客户需求，扩大公司在软件外包行业的市场份额，使得公司客户行业分布更加丰</w:t>
      </w:r>
      <w:r>
        <w:rPr>
          <w:spacing w:val="-91"/>
        </w:rPr>
        <w:t> </w:t>
      </w:r>
      <w:r>
        <w:rPr>
          <w:spacing w:val="-91"/>
        </w:rPr>
      </w:r>
      <w:r>
        <w:rPr/>
        <w:t>富、更加均衡合理，促进各行业业务规模的发展。</w:t>
      </w:r>
    </w:p>
    <w:p>
      <w:pPr>
        <w:pStyle w:val="BodyText"/>
        <w:spacing w:line="357" w:lineRule="auto"/>
        <w:ind w:right="1123" w:firstLine="480"/>
        <w:jc w:val="left"/>
      </w:pPr>
      <w:r>
        <w:rPr/>
        <w:t>继续探索国内市场新的业务模式，以市场多元化、</w:t>
      </w:r>
      <w:r>
        <w:rPr>
          <w:rFonts w:ascii="宋体" w:hAnsi="宋体" w:cs="宋体" w:eastAsia="宋体" w:hint="default"/>
        </w:rPr>
        <w:t>IT</w:t>
      </w:r>
      <w:r>
        <w:rPr/>
        <w:t>服务模式的多样化为公司长期快速 发展做好布局。</w:t>
      </w:r>
    </w:p>
    <w:p>
      <w:pPr>
        <w:pStyle w:val="BodyText"/>
        <w:spacing w:line="357" w:lineRule="auto"/>
        <w:ind w:left="633" w:right="1123"/>
        <w:jc w:val="left"/>
      </w:pPr>
      <w:r>
        <w:rPr>
          <w:rFonts w:ascii="宋体" w:hAnsi="宋体" w:cs="宋体" w:eastAsia="宋体" w:hint="default"/>
        </w:rPr>
        <w:t>2</w:t>
      </w:r>
      <w:r>
        <w:rPr/>
        <w:t>、继续着力建设高素质的人才队伍 要继续保持公司的创新能力和竞争实力，人才是关键。一方面，公司将不断引进专业技</w:t>
      </w:r>
    </w:p>
    <w:p>
      <w:pPr>
        <w:pStyle w:val="BodyText"/>
        <w:spacing w:line="357" w:lineRule="auto" w:before="37"/>
        <w:ind w:right="1138"/>
        <w:jc w:val="both"/>
      </w:pPr>
      <w:r>
        <w:rPr/>
        <w:t>术人才和经营管理人才，充实公司开发、营销及管理等部门，促进内部员工良性竞争和主动</w:t>
      </w:r>
      <w:r>
        <w:rPr>
          <w:spacing w:val="-91"/>
        </w:rPr>
        <w:t> </w:t>
      </w:r>
      <w:r>
        <w:rPr>
          <w:spacing w:val="-91"/>
        </w:rPr>
      </w:r>
      <w:r>
        <w:rPr/>
        <w:t>进步，以适应公司不断发展和提高的技能要求，为公司实施业务发展计划提供必要的人才储</w:t>
      </w:r>
      <w:r>
        <w:rPr>
          <w:spacing w:val="-91"/>
        </w:rPr>
        <w:t> </w:t>
      </w:r>
      <w:r>
        <w:rPr>
          <w:spacing w:val="-91"/>
        </w:rPr>
      </w:r>
      <w:r>
        <w:rPr/>
        <w:t>备。另一方面，公司仍将加大投入致力于应届毕业生招聘和培训，并不断调整人才结构，通</w:t>
      </w:r>
      <w:r>
        <w:rPr>
          <w:spacing w:val="-91"/>
        </w:rPr>
        <w:t> </w:t>
      </w:r>
      <w:r>
        <w:rPr>
          <w:spacing w:val="-91"/>
        </w:rPr>
      </w:r>
      <w:r>
        <w:rPr/>
        <w:t>过多种培训形式培养复合型人才和专业岗位人才，不断提高员工综合素质和专业技能，从而</w:t>
      </w:r>
      <w:r>
        <w:rPr>
          <w:spacing w:val="-91"/>
        </w:rPr>
        <w:t> </w:t>
      </w:r>
      <w:r>
        <w:rPr>
          <w:spacing w:val="-91"/>
        </w:rPr>
      </w:r>
      <w:r>
        <w:rPr/>
        <w:t>满足不同部门对人才的不同要求。同时，公司将继续积极探索和不断完善对各类人才有持久</w:t>
      </w:r>
      <w:r>
        <w:rPr>
          <w:spacing w:val="-91"/>
        </w:rPr>
        <w:t> </w:t>
      </w:r>
      <w:r>
        <w:rPr>
          <w:spacing w:val="-91"/>
        </w:rPr>
      </w:r>
      <w:r>
        <w:rPr/>
        <w:t>吸引力的绩效评价体系和相应的激励机制，实现人力资源的可持续发展，从而建立一支高素</w:t>
      </w:r>
      <w:r>
        <w:rPr>
          <w:spacing w:val="-91"/>
        </w:rPr>
        <w:t> </w:t>
      </w:r>
      <w:r>
        <w:rPr>
          <w:spacing w:val="-91"/>
        </w:rPr>
      </w:r>
      <w:r>
        <w:rPr/>
        <w:t>质的人才队伍，实现公司竞争实力的不断增强。</w:t>
      </w:r>
    </w:p>
    <w:p>
      <w:pPr>
        <w:pStyle w:val="BodyText"/>
        <w:spacing w:line="357" w:lineRule="auto"/>
        <w:ind w:left="633" w:right="1123"/>
        <w:jc w:val="left"/>
      </w:pPr>
      <w:r>
        <w:rPr>
          <w:rFonts w:ascii="宋体" w:hAnsi="宋体" w:cs="宋体" w:eastAsia="宋体" w:hint="default"/>
        </w:rPr>
        <w:t>3</w:t>
      </w:r>
      <w:r>
        <w:rPr/>
        <w:t>、继续保持并提高软件质量管理水平 公司作为</w:t>
      </w:r>
      <w:r>
        <w:rPr>
          <w:rFonts w:ascii="宋体" w:hAnsi="宋体" w:cs="宋体" w:eastAsia="宋体" w:hint="default"/>
        </w:rPr>
        <w:t>IT</w:t>
      </w:r>
      <w:r>
        <w:rPr/>
        <w:t>服务业，不断提高软件开发的质量管理水平是一个长期的课题。符合国际市</w:t>
      </w:r>
    </w:p>
    <w:p>
      <w:pPr>
        <w:pStyle w:val="BodyText"/>
        <w:spacing w:line="357" w:lineRule="auto"/>
        <w:ind w:right="1130"/>
        <w:jc w:val="both"/>
      </w:pPr>
      <w:r>
        <w:rPr/>
        <w:t>场质量要求的软件系统需要国际水准的开发质量管理能力。生产过程中持续的改善活动使得</w:t>
      </w:r>
      <w:r>
        <w:rPr>
          <w:spacing w:val="-91"/>
        </w:rPr>
        <w:t> </w:t>
      </w:r>
      <w:r>
        <w:rPr>
          <w:spacing w:val="-91"/>
        </w:rPr>
      </w:r>
      <w:r>
        <w:rPr/>
        <w:t>公司的软件开发质量管理水平不断地提高，高质量的软件服务得到了客户的认可，形成了一</w:t>
      </w:r>
      <w:r>
        <w:rPr>
          <w:spacing w:val="-91"/>
        </w:rPr>
        <w:t> </w:t>
      </w:r>
      <w:r>
        <w:rPr>
          <w:spacing w:val="-91"/>
        </w:rPr>
      </w:r>
      <w:r>
        <w:rPr>
          <w:spacing w:val="-2"/>
        </w:rPr>
        <w:t>批稳定的客户群。在取得</w:t>
      </w:r>
      <w:r>
        <w:rPr>
          <w:rFonts w:ascii="宋体" w:hAnsi="宋体" w:cs="宋体" w:eastAsia="宋体" w:hint="default"/>
          <w:spacing w:val="-2"/>
        </w:rPr>
        <w:t>CMMI4</w:t>
      </w:r>
      <w:r>
        <w:rPr>
          <w:spacing w:val="-2"/>
        </w:rPr>
        <w:t>的认证基础上，公司将继续投入相应的人力、物力，不断完善</w:t>
      </w:r>
      <w:r>
        <w:rPr>
          <w:spacing w:val="-116"/>
        </w:rPr>
        <w:t> </w:t>
      </w:r>
      <w:r>
        <w:rPr>
          <w:spacing w:val="-116"/>
        </w:rPr>
      </w:r>
      <w:r>
        <w:rPr/>
        <w:t>健全开发质量的管理制度，提高推进软件开发管理水平的力度，以期尽快达到国际软件成熟</w:t>
      </w:r>
      <w:r>
        <w:rPr>
          <w:spacing w:val="-91"/>
        </w:rPr>
        <w:t> </w:t>
      </w:r>
      <w:r>
        <w:rPr>
          <w:spacing w:val="-91"/>
        </w:rPr>
      </w:r>
      <w:r>
        <w:rPr/>
        <w:t>度模型集成最高等级</w:t>
      </w:r>
      <w:r>
        <w:rPr>
          <w:rFonts w:ascii="宋体" w:hAnsi="宋体" w:cs="宋体" w:eastAsia="宋体" w:hint="default"/>
        </w:rPr>
        <w:t>CMMI5</w:t>
      </w:r>
      <w:r>
        <w:rPr/>
        <w:t>的标准。</w:t>
      </w:r>
    </w:p>
    <w:p>
      <w:pPr>
        <w:pStyle w:val="BodyText"/>
        <w:spacing w:line="357" w:lineRule="auto"/>
        <w:ind w:left="633" w:right="1123"/>
        <w:jc w:val="left"/>
      </w:pPr>
      <w:r>
        <w:rPr>
          <w:rFonts w:ascii="宋体" w:hAnsi="宋体" w:cs="宋体" w:eastAsia="宋体" w:hint="default"/>
        </w:rPr>
        <w:t>4</w:t>
      </w:r>
      <w:r>
        <w:rPr/>
        <w:t>、提升产品及服务质量，加强企业品牌建设 公司始终坚持以客户为本，强化对研发、服务等工作的质量要求，设立有效的监督和奖</w:t>
      </w:r>
    </w:p>
    <w:p>
      <w:pPr>
        <w:pStyle w:val="BodyText"/>
        <w:spacing w:line="357" w:lineRule="auto"/>
        <w:ind w:right="996"/>
        <w:jc w:val="left"/>
      </w:pPr>
      <w:r>
        <w:rPr/>
        <w:t>惩机制，用高质量的服务赢得客户和市场的认可。积极承担企业责任，适当增加公司品牌形</w:t>
      </w:r>
      <w:r>
        <w:rPr>
          <w:spacing w:val="-91"/>
        </w:rPr>
        <w:t> </w:t>
      </w:r>
      <w:r>
        <w:rPr>
          <w:spacing w:val="-91"/>
        </w:rPr>
      </w:r>
      <w:r>
        <w:rPr>
          <w:spacing w:val="-2"/>
        </w:rPr>
        <w:t>象的宣传，在市场认可的基础上，树立起良好的品牌声誉。增加公司的知名度和品牌影响力，</w:t>
      </w:r>
      <w:r>
        <w:rPr/>
        <w:t> 并为公司带来相应的经济价值。</w:t>
      </w:r>
    </w:p>
    <w:p>
      <w:pPr>
        <w:pStyle w:val="BodyText"/>
        <w:spacing w:line="357" w:lineRule="auto"/>
        <w:ind w:left="633" w:right="982"/>
        <w:jc w:val="left"/>
      </w:pPr>
      <w:r>
        <w:rPr>
          <w:rFonts w:ascii="宋体" w:hAnsi="宋体" w:cs="宋体" w:eastAsia="宋体" w:hint="default"/>
        </w:rPr>
        <w:t>5</w:t>
      </w:r>
      <w:r>
        <w:rPr/>
        <w:t>、继续加大对国内业务的开拓，促进企业均衡发展 </w:t>
      </w:r>
      <w:r>
        <w:rPr>
          <w:spacing w:val="-3"/>
        </w:rPr>
        <w:t>公司长年经营面向海外发达国家的软件外包开发业务，积累了大量国际一流水平的技术、</w:t>
      </w:r>
    </w:p>
    <w:p>
      <w:pPr>
        <w:spacing w:after="0" w:line="357" w:lineRule="auto"/>
        <w:jc w:val="left"/>
        <w:sectPr>
          <w:pgSz w:w="11910" w:h="16840"/>
          <w:pgMar w:header="0" w:footer="1319" w:top="1060" w:bottom="150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9"/>
        <w:jc w:val="both"/>
      </w:pPr>
      <w:r>
        <w:rPr/>
        <w:t>业务领域知识和高水平的开发管理经验。面对国内市场，公司将继续努力开发受众广泛及经</w:t>
      </w:r>
      <w:r>
        <w:rPr>
          <w:spacing w:val="-91"/>
        </w:rPr>
        <w:t> </w:t>
      </w:r>
      <w:r>
        <w:rPr>
          <w:spacing w:val="-91"/>
        </w:rPr>
      </w:r>
      <w:r>
        <w:rPr/>
        <w:t>济实力雄厚的行业，充分依托国内经济高速发展的大环境，发展高附加值的业务模式。</w:t>
      </w:r>
    </w:p>
    <w:p>
      <w:pPr>
        <w:pStyle w:val="BodyText"/>
        <w:spacing w:line="357" w:lineRule="auto"/>
        <w:ind w:left="633" w:right="982"/>
        <w:jc w:val="left"/>
      </w:pPr>
      <w:r>
        <w:rPr>
          <w:rFonts w:ascii="宋体" w:hAnsi="宋体" w:cs="宋体" w:eastAsia="宋体" w:hint="default"/>
        </w:rPr>
        <w:t>6</w:t>
      </w:r>
      <w:r>
        <w:rPr/>
        <w:t>、成本控制 </w:t>
      </w:r>
      <w:r>
        <w:rPr>
          <w:spacing w:val="-3"/>
        </w:rPr>
        <w:t>近年来，国内通胀压力不断增加，人力成本、管理成本等不断上升，使得综合成本上升。</w:t>
      </w:r>
    </w:p>
    <w:p>
      <w:pPr>
        <w:pStyle w:val="BodyText"/>
        <w:spacing w:line="357" w:lineRule="auto"/>
        <w:ind w:right="1138"/>
        <w:jc w:val="both"/>
      </w:pPr>
      <w:r>
        <w:rPr/>
        <w:t>面对不断攀升的成本压力，</w:t>
      </w:r>
      <w:r>
        <w:rPr>
          <w:rFonts w:ascii="宋体" w:hAnsi="宋体" w:cs="宋体" w:eastAsia="宋体" w:hint="default"/>
        </w:rPr>
        <w:t>2013</w:t>
      </w:r>
      <w:r>
        <w:rPr/>
        <w:t>年，公司将继续加强对成本、费用的控制，提高工作效率，</w:t>
      </w:r>
      <w:r>
        <w:rPr>
          <w:spacing w:val="-90"/>
        </w:rPr>
        <w:t> </w:t>
      </w:r>
      <w:r>
        <w:rPr>
          <w:spacing w:val="-90"/>
        </w:rPr>
      </w:r>
      <w:r>
        <w:rPr/>
        <w:t>提升经济效益。</w:t>
      </w:r>
    </w:p>
    <w:p>
      <w:pPr>
        <w:pStyle w:val="BodyText"/>
        <w:spacing w:line="357" w:lineRule="auto"/>
        <w:ind w:left="633" w:right="1123"/>
        <w:jc w:val="left"/>
      </w:pPr>
      <w:r>
        <w:rPr>
          <w:rFonts w:ascii="宋体" w:hAnsi="宋体" w:cs="宋体" w:eastAsia="宋体" w:hint="default"/>
        </w:rPr>
        <w:t>7</w:t>
      </w:r>
      <w:r>
        <w:rPr/>
        <w:t>、收购兼并 公司将继续根据整体发展战略以及未来发展方向，积极采用收购兼并等方式整合行业内</w:t>
      </w:r>
    </w:p>
    <w:p>
      <w:pPr>
        <w:pStyle w:val="BodyText"/>
        <w:spacing w:line="240" w:lineRule="auto" w:before="37"/>
        <w:ind w:right="0"/>
        <w:jc w:val="both"/>
      </w:pPr>
      <w:r>
        <w:rPr/>
        <w:t>优质资源，提升公司竞争地位。</w:t>
      </w:r>
    </w:p>
    <w:p>
      <w:pPr>
        <w:spacing w:line="357" w:lineRule="auto" w:before="154"/>
        <w:ind w:left="633" w:right="6673" w:firstLine="0"/>
        <w:jc w:val="left"/>
        <w:rPr>
          <w:rFonts w:ascii="宋体" w:hAnsi="宋体" w:cs="宋体" w:eastAsia="宋体" w:hint="default"/>
          <w:sz w:val="24"/>
          <w:szCs w:val="24"/>
        </w:rPr>
      </w:pPr>
      <w:r>
        <w:rPr>
          <w:rFonts w:ascii="宋体" w:hAnsi="宋体" w:cs="宋体" w:eastAsia="宋体" w:hint="default"/>
          <w:b/>
          <w:bCs/>
          <w:sz w:val="24"/>
          <w:szCs w:val="24"/>
        </w:rPr>
        <w:t>（五）可能面临的风险因素</w:t>
      </w:r>
      <w:r>
        <w:rPr>
          <w:rFonts w:ascii="宋体" w:hAnsi="宋体" w:cs="宋体" w:eastAsia="宋体" w:hint="default"/>
          <w:b/>
          <w:bCs/>
          <w:w w:val="99"/>
          <w:sz w:val="24"/>
          <w:szCs w:val="24"/>
        </w:rPr>
        <w:t> </w:t>
      </w:r>
      <w:r>
        <w:rPr>
          <w:rFonts w:ascii="宋体" w:hAnsi="宋体" w:cs="宋体" w:eastAsia="宋体" w:hint="default"/>
          <w:sz w:val="24"/>
          <w:szCs w:val="24"/>
        </w:rPr>
        <w:t>公司的经营目前存在以下风险因素 </w:t>
      </w:r>
      <w:r>
        <w:rPr>
          <w:rFonts w:ascii="宋体" w:hAnsi="宋体" w:cs="宋体" w:eastAsia="宋体" w:hint="default"/>
          <w:sz w:val="24"/>
          <w:szCs w:val="24"/>
        </w:rPr>
        <w:t>1</w:t>
      </w:r>
      <w:r>
        <w:rPr>
          <w:rFonts w:ascii="宋体" w:hAnsi="宋体" w:cs="宋体" w:eastAsia="宋体" w:hint="default"/>
          <w:sz w:val="24"/>
          <w:szCs w:val="24"/>
        </w:rPr>
        <w:t>、汇率波动的风险</w:t>
      </w:r>
    </w:p>
    <w:p>
      <w:pPr>
        <w:pStyle w:val="BodyText"/>
        <w:spacing w:line="357" w:lineRule="auto"/>
        <w:ind w:right="1131" w:firstLine="480"/>
        <w:jc w:val="both"/>
      </w:pPr>
      <w:r>
        <w:rPr/>
        <w:t>公司主营业务为面向海外的软件外包服务，业务结算币种中日元、美元所占比例很高， </w:t>
      </w:r>
      <w:r>
        <w:rPr>
          <w:spacing w:val="-2"/>
        </w:rPr>
        <w:t>出口收入已占总收入的</w:t>
      </w:r>
      <w:r>
        <w:rPr>
          <w:rFonts w:ascii="宋体" w:hAnsi="宋体" w:cs="宋体" w:eastAsia="宋体" w:hint="default"/>
          <w:spacing w:val="-2"/>
        </w:rPr>
        <w:t>80%</w:t>
      </w:r>
      <w:r>
        <w:rPr>
          <w:spacing w:val="-2"/>
        </w:rPr>
        <w:t>以上，因而，长期的人民币升值趋势及日元汇率波动将是压迫经营</w:t>
      </w:r>
      <w:r>
        <w:rPr>
          <w:spacing w:val="-118"/>
        </w:rPr>
        <w:t> </w:t>
      </w:r>
      <w:r>
        <w:rPr>
          <w:spacing w:val="-118"/>
        </w:rPr>
      </w:r>
      <w:r>
        <w:rPr/>
        <w:t>业绩的重要因素。</w:t>
      </w:r>
    </w:p>
    <w:p>
      <w:pPr>
        <w:pStyle w:val="BodyText"/>
        <w:spacing w:line="357" w:lineRule="auto"/>
        <w:ind w:right="1128" w:firstLine="480"/>
        <w:jc w:val="both"/>
      </w:pPr>
      <w:r>
        <w:rPr/>
        <w:t>公司海外软件外包客户大部分来源于日本，与客户主要采用日元结算。从报告期内的第 </w:t>
      </w:r>
      <w:r>
        <w:rPr>
          <w:spacing w:val="-2"/>
        </w:rPr>
        <w:t>四季度开始，外汇市场风云突变，日元兑人民币的汇率（中间价）从</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月初的</w:t>
      </w:r>
      <w:r>
        <w:rPr>
          <w:rFonts w:ascii="宋体" w:hAnsi="宋体" w:cs="宋体" w:eastAsia="宋体" w:hint="default"/>
          <w:spacing w:val="-2"/>
        </w:rPr>
        <w:t>100</w:t>
      </w:r>
      <w:r>
        <w:rPr>
          <w:spacing w:val="-2"/>
        </w:rPr>
        <w:t>日元</w:t>
      </w:r>
      <w:r>
        <w:rPr>
          <w:spacing w:val="-110"/>
        </w:rPr>
        <w:t> </w:t>
      </w:r>
      <w:r>
        <w:rPr/>
        <w:t>兑换</w:t>
      </w:r>
      <w:r>
        <w:rPr>
          <w:rFonts w:ascii="宋体" w:hAnsi="宋体" w:cs="宋体" w:eastAsia="宋体" w:hint="default"/>
        </w:rPr>
        <w:t>8.16</w:t>
      </w:r>
      <w:r>
        <w:rPr/>
        <w:t>元人民币左右持续下跌至</w:t>
      </w:r>
      <w:r>
        <w:rPr>
          <w:rFonts w:ascii="宋体" w:hAnsi="宋体" w:cs="宋体" w:eastAsia="宋体" w:hint="default"/>
        </w:rPr>
        <w:t>2012</w:t>
      </w:r>
      <w:r>
        <w:rPr/>
        <w:t>年底的</w:t>
      </w:r>
      <w:r>
        <w:rPr>
          <w:rFonts w:ascii="宋体" w:hAnsi="宋体" w:cs="宋体" w:eastAsia="宋体" w:hint="default"/>
        </w:rPr>
        <w:t>100</w:t>
      </w:r>
      <w:r>
        <w:rPr/>
        <w:t>日元兑换</w:t>
      </w:r>
      <w:r>
        <w:rPr>
          <w:rFonts w:ascii="宋体" w:hAnsi="宋体" w:cs="宋体" w:eastAsia="宋体" w:hint="default"/>
        </w:rPr>
        <w:t>7.30</w:t>
      </w:r>
      <w:r>
        <w:rPr/>
        <w:t>元，其间贬值幅度超过</w:t>
      </w:r>
      <w:r>
        <w:rPr>
          <w:rFonts w:ascii="宋体" w:hAnsi="宋体" w:cs="宋体" w:eastAsia="宋体" w:hint="default"/>
        </w:rPr>
        <w:t>10%</w:t>
      </w:r>
      <w:r>
        <w:rPr/>
        <w:t>。</w:t>
      </w:r>
      <w:r>
        <w:rPr>
          <w:spacing w:val="-87"/>
        </w:rPr>
        <w:t> </w:t>
      </w:r>
      <w:r>
        <w:rPr/>
        <w:t>虽然公司通过远期结汇等金融手段来锁定部分未来外汇收入的结算汇率，但日元贬值还是对</w:t>
      </w:r>
      <w:r>
        <w:rPr>
          <w:spacing w:val="-91"/>
        </w:rPr>
        <w:t> </w:t>
      </w:r>
      <w:r>
        <w:rPr>
          <w:spacing w:val="-91"/>
        </w:rPr>
      </w:r>
      <w:r>
        <w:rPr/>
        <w:t>公司营收及净利润产生一定的影响。</w:t>
      </w:r>
    </w:p>
    <w:p>
      <w:pPr>
        <w:pStyle w:val="BodyText"/>
        <w:spacing w:line="240" w:lineRule="auto"/>
        <w:ind w:left="633" w:right="1123"/>
        <w:jc w:val="left"/>
      </w:pPr>
      <w:r>
        <w:rPr/>
        <w:t>进入</w:t>
      </w:r>
      <w:r>
        <w:rPr>
          <w:rFonts w:ascii="宋体" w:hAnsi="宋体" w:cs="宋体" w:eastAsia="宋体" w:hint="default"/>
        </w:rPr>
        <w:t>2013</w:t>
      </w:r>
      <w:r>
        <w:rPr/>
        <w:t>年后，日元汇率继续下跌，</w:t>
      </w:r>
      <w:r>
        <w:rPr>
          <w:rFonts w:ascii="宋体" w:hAnsi="宋体" w:cs="宋体" w:eastAsia="宋体" w:hint="default"/>
        </w:rPr>
        <w:t>2013</w:t>
      </w:r>
      <w:r>
        <w:rPr/>
        <w:t>年</w:t>
      </w:r>
      <w:r>
        <w:rPr>
          <w:rFonts w:ascii="宋体" w:hAnsi="宋体" w:cs="宋体" w:eastAsia="宋体" w:hint="default"/>
        </w:rPr>
        <w:t>3</w:t>
      </w:r>
      <w:r>
        <w:rPr/>
        <w:t>月中旬</w:t>
      </w:r>
      <w:r>
        <w:rPr>
          <w:rFonts w:ascii="宋体" w:hAnsi="宋体" w:cs="宋体" w:eastAsia="宋体" w:hint="default"/>
        </w:rPr>
        <w:t>100</w:t>
      </w:r>
      <w:r>
        <w:rPr/>
        <w:t>日元只能兑换人民币</w:t>
      </w:r>
      <w:r>
        <w:rPr>
          <w:rFonts w:ascii="宋体" w:hAnsi="宋体" w:cs="宋体" w:eastAsia="宋体" w:hint="default"/>
        </w:rPr>
        <w:t>6.48</w:t>
      </w:r>
      <w:r>
        <w:rPr/>
        <w:t>元左右</w:t>
      </w:r>
    </w:p>
    <w:p>
      <w:pPr>
        <w:pStyle w:val="BodyText"/>
        <w:spacing w:line="357" w:lineRule="auto" w:before="154"/>
        <w:ind w:right="1129"/>
        <w:jc w:val="both"/>
      </w:pPr>
      <w:r>
        <w:rPr/>
        <w:t>（汇率走势见图</w:t>
      </w:r>
      <w:r>
        <w:rPr>
          <w:rFonts w:ascii="宋体" w:hAnsi="宋体" w:cs="宋体" w:eastAsia="宋体" w:hint="default"/>
        </w:rPr>
        <w:t>1</w:t>
      </w:r>
      <w:r>
        <w:rPr/>
        <w:t>），与</w:t>
      </w:r>
      <w:r>
        <w:rPr>
          <w:rFonts w:ascii="宋体" w:hAnsi="宋体" w:cs="宋体" w:eastAsia="宋体" w:hint="default"/>
        </w:rPr>
        <w:t>2012</w:t>
      </w:r>
      <w:r>
        <w:rPr/>
        <w:t>年</w:t>
      </w:r>
      <w:r>
        <w:rPr>
          <w:rFonts w:ascii="宋体" w:hAnsi="宋体" w:cs="宋体" w:eastAsia="宋体" w:hint="default"/>
        </w:rPr>
        <w:t>10</w:t>
      </w:r>
      <w:r>
        <w:rPr/>
        <w:t>月初相比下滑幅度超过</w:t>
      </w:r>
      <w:r>
        <w:rPr>
          <w:rFonts w:ascii="宋体" w:hAnsi="宋体" w:cs="宋体" w:eastAsia="宋体" w:hint="default"/>
        </w:rPr>
        <w:t>20%</w:t>
      </w:r>
      <w:r>
        <w:rPr/>
        <w:t>。</w:t>
      </w:r>
      <w:r>
        <w:rPr>
          <w:spacing w:val="-76"/>
        </w:rPr>
        <w:t> </w:t>
      </w:r>
      <w:r>
        <w:rPr/>
        <w:t>截至目前，日元汇率下跌期间</w:t>
      </w:r>
      <w:r>
        <w:rPr/>
        <w:t> 已超过了五个月，公司运用的远期结汇等金融工具已无法完全覆盖日元贬值带来的影响，且 日元贬值的幅度直接压缩公司净利润空间。如果日元汇率在未来一段时期内维持目前的低位 或继续走低，存在较大程度影响公司经营业绩和净利润指标的风险。</w:t>
      </w:r>
    </w:p>
    <w:p>
      <w:pPr>
        <w:spacing w:after="0" w:line="357" w:lineRule="auto"/>
        <w:jc w:val="both"/>
        <w:sectPr>
          <w:pgSz w:w="11910" w:h="16840"/>
          <w:pgMar w:header="0" w:footer="1319" w:top="1060" w:bottom="150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4857" w:lineRule="exact"/>
        <w:ind w:left="1043"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292289" cy="308457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0" cstate="print"/>
                    <a:stretch>
                      <a:fillRect/>
                    </a:stretch>
                  </pic:blipFill>
                  <pic:spPr>
                    <a:xfrm>
                      <a:off x="0" y="0"/>
                      <a:ext cx="5292289" cy="3084576"/>
                    </a:xfrm>
                    <a:prstGeom prst="rect">
                      <a:avLst/>
                    </a:prstGeom>
                  </pic:spPr>
                </pic:pic>
              </a:graphicData>
            </a:graphic>
          </wp:inline>
        </w:drawing>
      </w:r>
      <w:r>
        <w:rPr>
          <w:rFonts w:ascii="宋体" w:hAnsi="宋体" w:cs="宋体" w:eastAsia="宋体" w:hint="default"/>
          <w:position w:val="-96"/>
          <w:sz w:val="20"/>
          <w:szCs w:val="20"/>
        </w:rPr>
      </w:r>
    </w:p>
    <w:p>
      <w:pPr>
        <w:tabs>
          <w:tab w:pos="3650" w:val="left" w:leader="none"/>
        </w:tabs>
        <w:spacing w:before="77"/>
        <w:ind w:left="3163" w:right="1780" w:firstLine="0"/>
        <w:jc w:val="left"/>
        <w:rPr>
          <w:rFonts w:ascii="宋体" w:hAnsi="宋体" w:cs="宋体" w:eastAsia="宋体" w:hint="default"/>
          <w:sz w:val="18"/>
          <w:szCs w:val="18"/>
        </w:rPr>
      </w:pPr>
      <w:r>
        <w:rPr>
          <w:rFonts w:ascii="宋体" w:hAnsi="宋体" w:cs="宋体" w:eastAsia="宋体" w:hint="default"/>
          <w:sz w:val="18"/>
          <w:szCs w:val="18"/>
        </w:rPr>
        <w:t>图</w:t>
      </w:r>
      <w:r>
        <w:rPr>
          <w:rFonts w:ascii="Times New Roman" w:hAnsi="Times New Roman" w:cs="Times New Roman" w:eastAsia="Times New Roman" w:hint="default"/>
          <w:sz w:val="18"/>
          <w:szCs w:val="18"/>
        </w:rPr>
        <w:t>1</w:t>
        <w:tab/>
      </w:r>
      <w:r>
        <w:rPr>
          <w:rFonts w:ascii="宋体" w:hAnsi="宋体" w:cs="宋体" w:eastAsia="宋体" w:hint="default"/>
          <w:sz w:val="18"/>
          <w:szCs w:val="18"/>
        </w:rPr>
        <w:t>日元走势图</w:t>
      </w:r>
      <w:r>
        <w:rPr>
          <w:rFonts w:ascii="宋体" w:hAnsi="宋体" w:cs="宋体" w:eastAsia="宋体" w:hint="default"/>
          <w:spacing w:val="-18"/>
          <w:sz w:val="18"/>
          <w:szCs w:val="18"/>
        </w:rPr>
        <w:t> </w:t>
      </w:r>
      <w:r>
        <w:rPr>
          <w:rFonts w:ascii="宋体" w:hAnsi="宋体" w:cs="宋体" w:eastAsia="宋体" w:hint="default"/>
          <w:sz w:val="18"/>
          <w:szCs w:val="18"/>
        </w:rPr>
        <w:t>（资料来源：国家外汇管理局）</w:t>
      </w:r>
    </w:p>
    <w:p>
      <w:pPr>
        <w:pStyle w:val="BodyText"/>
        <w:spacing w:line="357" w:lineRule="auto" w:before="93"/>
        <w:ind w:left="633" w:right="1123"/>
        <w:jc w:val="left"/>
      </w:pPr>
      <w:r>
        <w:rPr/>
        <w:t>公司面对这样的不确定因素，将采取如下对策： </w:t>
      </w:r>
      <w:r>
        <w:rPr>
          <w:rFonts w:ascii="宋体" w:hAnsi="宋体" w:cs="宋体" w:eastAsia="宋体" w:hint="default"/>
          <w:spacing w:val="-3"/>
        </w:rPr>
        <w:t>1</w:t>
      </w:r>
      <w:r>
        <w:rPr>
          <w:spacing w:val="-3"/>
        </w:rPr>
        <w:t>）密切关注国际金融市场动态和外汇市场走势，找准时机，继续利用外汇市场的远期结</w:t>
      </w:r>
    </w:p>
    <w:p>
      <w:pPr>
        <w:pStyle w:val="BodyText"/>
        <w:spacing w:line="357" w:lineRule="auto"/>
        <w:ind w:left="633" w:right="1123" w:hanging="481"/>
        <w:jc w:val="left"/>
      </w:pPr>
      <w:r>
        <w:rPr/>
        <w:t>汇等方法，锁定一段时期汇率波动的风险； </w:t>
      </w:r>
      <w:r>
        <w:rPr>
          <w:rFonts w:ascii="宋体" w:hAnsi="宋体" w:cs="宋体" w:eastAsia="宋体" w:hint="default"/>
          <w:spacing w:val="-3"/>
        </w:rPr>
        <w:t>2</w:t>
      </w:r>
      <w:r>
        <w:rPr>
          <w:spacing w:val="-3"/>
        </w:rPr>
        <w:t>）持续提高服务质量，提升面对客户的话语权，在适当的时机启动价格谈判，一定程度</w:t>
      </w:r>
    </w:p>
    <w:p>
      <w:pPr>
        <w:pStyle w:val="BodyText"/>
        <w:spacing w:line="357" w:lineRule="auto"/>
        <w:ind w:left="633" w:right="1123" w:hanging="481"/>
        <w:jc w:val="left"/>
      </w:pPr>
      <w:r>
        <w:rPr/>
        <w:t>上弥补汇率变化所带来的风险； </w:t>
      </w:r>
      <w:r>
        <w:rPr>
          <w:rFonts w:ascii="宋体" w:hAnsi="宋体" w:cs="宋体" w:eastAsia="宋体" w:hint="default"/>
          <w:spacing w:val="-3"/>
        </w:rPr>
        <w:t>3</w:t>
      </w:r>
      <w:r>
        <w:rPr>
          <w:spacing w:val="-3"/>
        </w:rPr>
        <w:t>）与客户协商采用多币种结算方式，适当比例的业务采用人民币结算，以缓冲汇率波动</w:t>
      </w:r>
    </w:p>
    <w:p>
      <w:pPr>
        <w:pStyle w:val="BodyText"/>
        <w:spacing w:line="240" w:lineRule="auto"/>
        <w:ind w:right="1780"/>
        <w:jc w:val="left"/>
      </w:pPr>
      <w:r>
        <w:rPr/>
        <w:t>的影响；</w:t>
      </w:r>
    </w:p>
    <w:p>
      <w:pPr>
        <w:pStyle w:val="BodyText"/>
        <w:spacing w:line="240" w:lineRule="auto" w:before="154"/>
        <w:ind w:left="633" w:right="1123"/>
        <w:jc w:val="left"/>
      </w:pPr>
      <w:r>
        <w:rPr>
          <w:rFonts w:ascii="宋体" w:hAnsi="宋体" w:cs="宋体" w:eastAsia="宋体" w:hint="default"/>
        </w:rPr>
        <w:t>4</w:t>
      </w:r>
      <w:r>
        <w:rPr/>
        <w:t>）努力开拓国内市场，增加人民币收入，适当平衡外汇汇率波动引起的不确定性；</w:t>
      </w:r>
    </w:p>
    <w:p>
      <w:pPr>
        <w:pStyle w:val="BodyText"/>
        <w:spacing w:line="357" w:lineRule="auto" w:before="154"/>
        <w:ind w:right="1138" w:firstLine="480"/>
        <w:jc w:val="both"/>
      </w:pPr>
      <w:r>
        <w:rPr>
          <w:rFonts w:ascii="宋体" w:hAnsi="宋体" w:cs="宋体" w:eastAsia="宋体" w:hint="default"/>
        </w:rPr>
        <w:t>5</w:t>
      </w:r>
      <w:r>
        <w:rPr/>
        <w:t>）公司后方开发基地</w:t>
      </w:r>
      <w:r>
        <w:rPr>
          <w:rFonts w:ascii="宋体" w:hAnsi="宋体" w:cs="宋体" w:eastAsia="宋体" w:hint="default"/>
        </w:rPr>
        <w:t>-</w:t>
      </w:r>
      <w:r>
        <w:rPr/>
        <w:t>江苏海隆，经过两年多的运营，取得了良好的经营业绩，有效地 缓解了人力成本上升趋势。从公司经营层面看，后方开发基地项目阶段性成果一定程度上减</w:t>
      </w:r>
      <w:r>
        <w:rPr>
          <w:spacing w:val="-91"/>
        </w:rPr>
        <w:t> </w:t>
      </w:r>
      <w:r>
        <w:rPr>
          <w:spacing w:val="-91"/>
        </w:rPr>
      </w:r>
      <w:r>
        <w:rPr/>
        <w:t>少了汇率波动对公司经营带来的影响。公司将继续以此为基础，认真总结经验，逐步扩大已</w:t>
      </w:r>
      <w:r>
        <w:rPr>
          <w:spacing w:val="-91"/>
        </w:rPr>
        <w:t> </w:t>
      </w:r>
      <w:r>
        <w:rPr>
          <w:spacing w:val="-91"/>
        </w:rPr>
      </w:r>
      <w:r>
        <w:rPr/>
        <w:t>有成果，期望取得更好的成效。</w:t>
      </w:r>
    </w:p>
    <w:p>
      <w:pPr>
        <w:pStyle w:val="BodyText"/>
        <w:spacing w:line="357" w:lineRule="auto" w:before="37"/>
        <w:ind w:left="633" w:right="1123"/>
        <w:jc w:val="left"/>
      </w:pPr>
      <w:r>
        <w:rPr>
          <w:rFonts w:ascii="宋体" w:hAnsi="宋体" w:cs="宋体" w:eastAsia="宋体" w:hint="default"/>
        </w:rPr>
        <w:t>2</w:t>
      </w:r>
      <w:r>
        <w:rPr/>
        <w:t>、市场开拓的风险 公司在提高海外市场竞争力的同时，将继续积极开拓国内市场，此举是公司努力打造成</w:t>
      </w:r>
    </w:p>
    <w:p>
      <w:pPr>
        <w:pStyle w:val="BodyText"/>
        <w:spacing w:line="357" w:lineRule="auto"/>
        <w:ind w:right="1123"/>
        <w:jc w:val="left"/>
      </w:pPr>
      <w:r>
        <w:rPr/>
        <w:t>为国际化综合一流水平的</w:t>
      </w:r>
      <w:r>
        <w:rPr>
          <w:rFonts w:ascii="宋体" w:hAnsi="宋体" w:cs="宋体" w:eastAsia="宋体" w:hint="default"/>
        </w:rPr>
        <w:t>IT</w:t>
      </w:r>
      <w:r>
        <w:rPr/>
        <w:t>服务企业的重要一步。但随着目前全球经济低迷等多重不利因素</w:t>
      </w:r>
      <w:r>
        <w:rPr>
          <w:spacing w:val="-90"/>
        </w:rPr>
        <w:t> </w:t>
      </w:r>
      <w:r>
        <w:rPr>
          <w:spacing w:val="-90"/>
        </w:rPr>
      </w:r>
      <w:r>
        <w:rPr/>
        <w:t>影响，复苏的步伐放缓以及国内市场的成熟度等情形使得市场开拓存在一定的不确定因素。</w:t>
      </w:r>
    </w:p>
    <w:p>
      <w:pPr>
        <w:pStyle w:val="BodyText"/>
        <w:spacing w:line="357" w:lineRule="auto"/>
        <w:ind w:left="633" w:right="1123"/>
        <w:jc w:val="left"/>
      </w:pPr>
      <w:r>
        <w:rPr>
          <w:rFonts w:ascii="宋体" w:hAnsi="宋体" w:cs="宋体" w:eastAsia="宋体" w:hint="default"/>
        </w:rPr>
        <w:t>3</w:t>
      </w:r>
      <w:r>
        <w:rPr/>
        <w:t>、人才竞争的风险 人才资源是公司生存和发展的关键，是公司维持和提高核心竞争力的基石。国内对行业</w:t>
      </w:r>
    </w:p>
    <w:p>
      <w:pPr>
        <w:spacing w:after="0" w:line="357" w:lineRule="auto"/>
        <w:jc w:val="left"/>
        <w:sectPr>
          <w:pgSz w:w="11910" w:h="16840"/>
          <w:pgMar w:header="0" w:footer="1319" w:top="1060" w:bottom="150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996"/>
        <w:jc w:val="left"/>
      </w:pPr>
      <w:r>
        <w:rPr>
          <w:spacing w:val="-2"/>
        </w:rPr>
        <w:t>专家型专业人才、高端人才以及有丰富经验的项目管理人才的需求日益增强，争夺日趋激烈，</w:t>
      </w:r>
      <w:r>
        <w:rPr/>
        <w:t> 特别是同类企业、外资企业和大型国有企业的人才竞争，对公司的人力资源扩张形成威胁。</w:t>
      </w:r>
      <w:r>
        <w:rPr>
          <w:spacing w:val="-88"/>
        </w:rPr>
        <w:t> </w:t>
      </w:r>
      <w:r>
        <w:rPr>
          <w:spacing w:val="-88"/>
        </w:rPr>
      </w:r>
      <w:r>
        <w:rPr/>
        <w:t>公司面临人才引进、稳定和发展的风险。</w:t>
      </w:r>
    </w:p>
    <w:p>
      <w:pPr>
        <w:pStyle w:val="BodyText"/>
        <w:spacing w:line="357" w:lineRule="auto"/>
        <w:ind w:right="1135" w:firstLine="480"/>
        <w:jc w:val="both"/>
      </w:pPr>
      <w:r>
        <w:rPr/>
        <w:t>公司将继续重视内部人才的培养和外部人才的引进，配合合理有效的激励机制和福利体 系，搭建适合人才成长和发展的环境和平台，稳定核心经营管理技术人才。公司适时调整人</w:t>
      </w:r>
      <w:r>
        <w:rPr>
          <w:spacing w:val="-91"/>
        </w:rPr>
        <w:t> </w:t>
      </w:r>
      <w:r>
        <w:rPr>
          <w:spacing w:val="-91"/>
        </w:rPr>
      </w:r>
      <w:r>
        <w:rPr/>
        <w:t>员招聘政策，以适应不断变化的人力资源市场，做好大学生的招聘工作。不断完善职工的培</w:t>
      </w:r>
      <w:r>
        <w:rPr>
          <w:spacing w:val="-91"/>
        </w:rPr>
        <w:t> </w:t>
      </w:r>
      <w:r>
        <w:rPr>
          <w:spacing w:val="-91"/>
        </w:rPr>
      </w:r>
      <w:r>
        <w:rPr/>
        <w:t>训体制，调整人才结构，通过新入职员工脱产培训和在职员工的职业生涯持续培训等多种形</w:t>
      </w:r>
      <w:r>
        <w:rPr>
          <w:spacing w:val="-91"/>
        </w:rPr>
        <w:t> </w:t>
      </w:r>
      <w:r>
        <w:rPr>
          <w:spacing w:val="-91"/>
        </w:rPr>
      </w:r>
      <w:r>
        <w:rPr/>
        <w:t>式，培养高端复合型人才和专业岗位人才，充实公司研发、生产、营销及管理部门，提升员</w:t>
      </w:r>
      <w:r>
        <w:rPr>
          <w:spacing w:val="-91"/>
        </w:rPr>
        <w:t> </w:t>
      </w:r>
      <w:r>
        <w:rPr>
          <w:spacing w:val="-91"/>
        </w:rPr>
      </w:r>
      <w:r>
        <w:rPr/>
        <w:t>工凝聚力，促使内部员工良性竞争和主动进步以适应公司业务拓展、快速发展和层次提升的</w:t>
      </w:r>
      <w:r>
        <w:rPr>
          <w:spacing w:val="-88"/>
        </w:rPr>
        <w:t> </w:t>
      </w:r>
      <w:r>
        <w:rPr>
          <w:spacing w:val="-88"/>
        </w:rPr>
      </w:r>
      <w:r>
        <w:rPr/>
        <w:t>需要。</w:t>
      </w:r>
    </w:p>
    <w:p>
      <w:pPr>
        <w:spacing w:line="240" w:lineRule="auto" w:before="11"/>
        <w:rPr>
          <w:rFonts w:ascii="宋体" w:hAnsi="宋体" w:cs="宋体" w:eastAsia="宋体" w:hint="default"/>
          <w:sz w:val="19"/>
          <w:szCs w:val="19"/>
        </w:rPr>
      </w:pPr>
    </w:p>
    <w:p>
      <w:pPr>
        <w:spacing w:line="465" w:lineRule="auto" w:before="0"/>
        <w:ind w:left="152" w:right="2080" w:firstLine="0"/>
        <w:jc w:val="left"/>
        <w:rPr>
          <w:rFonts w:ascii="宋体" w:hAnsi="宋体" w:cs="宋体" w:eastAsia="宋体" w:hint="default"/>
          <w:sz w:val="24"/>
          <w:szCs w:val="24"/>
        </w:rPr>
      </w:pPr>
      <w:r>
        <w:rPr>
          <w:rFonts w:ascii="宋体" w:hAnsi="宋体" w:cs="宋体" w:eastAsia="宋体" w:hint="default"/>
          <w:b/>
          <w:bCs/>
          <w:sz w:val="24"/>
          <w:szCs w:val="24"/>
        </w:rPr>
        <w:t>九、董事会对会计师事务所本报告期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b/>
          <w:bCs/>
          <w:w w:val="99"/>
          <w:sz w:val="24"/>
          <w:szCs w:val="24"/>
        </w:rPr>
        <w:t> </w:t>
      </w:r>
      <w:r>
        <w:rPr>
          <w:rFonts w:ascii="宋体" w:hAnsi="宋体" w:cs="宋体" w:eastAsia="宋体" w:hint="default"/>
          <w:sz w:val="24"/>
          <w:szCs w:val="24"/>
        </w:rPr>
        <w:t>上海众华沪银会计师事务所有限公司为本公司出具了标准无保留意见审计报告。 </w:t>
      </w:r>
      <w:r>
        <w:rPr>
          <w:rFonts w:ascii="宋体" w:hAnsi="宋体" w:cs="宋体" w:eastAsia="宋体" w:hint="default"/>
          <w:b/>
          <w:bCs/>
          <w:sz w:val="24"/>
          <w:szCs w:val="24"/>
        </w:rPr>
        <w:t>十、与上年度财务报告相比，会计政策、会计估计和核算方法发生变化的情况说明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与上年度财务报告相比，会计政策、会计估计和核算方法未发生重大变化。 </w:t>
      </w:r>
      <w:r>
        <w:rPr>
          <w:rFonts w:ascii="宋体" w:hAnsi="宋体" w:cs="宋体" w:eastAsia="宋体" w:hint="default"/>
          <w:b/>
          <w:bCs/>
          <w:sz w:val="24"/>
          <w:szCs w:val="24"/>
        </w:rPr>
        <w:t>十一、报告期内发生重大会计差错更正需追溯重述的情况说明</w:t>
      </w:r>
      <w:r>
        <w:rPr>
          <w:rFonts w:ascii="宋体" w:hAnsi="宋体" w:cs="宋体" w:eastAsia="宋体" w:hint="default"/>
          <w:b/>
          <w:bCs/>
          <w:w w:val="99"/>
          <w:sz w:val="24"/>
          <w:szCs w:val="24"/>
        </w:rPr>
        <w:t> </w:t>
      </w:r>
      <w:r>
        <w:rPr>
          <w:rFonts w:ascii="宋体" w:hAnsi="宋体" w:cs="宋体" w:eastAsia="宋体" w:hint="default"/>
          <w:sz w:val="24"/>
          <w:szCs w:val="24"/>
        </w:rPr>
        <w:t>报告期内未发生重大会计差错更正需追溯重述。 </w:t>
      </w:r>
      <w:r>
        <w:rPr>
          <w:rFonts w:ascii="宋体" w:hAnsi="宋体" w:cs="宋体" w:eastAsia="宋体" w:hint="default"/>
          <w:b/>
          <w:bCs/>
          <w:sz w:val="24"/>
          <w:szCs w:val="24"/>
        </w:rPr>
        <w:t>十二、与上年度财务报告相比，合并报表范围发生变化的情况说明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与上年度财务报告相比，合并报表范围未发生变化。 </w:t>
      </w:r>
      <w:r>
        <w:rPr>
          <w:rFonts w:ascii="宋体" w:hAnsi="宋体" w:cs="宋体" w:eastAsia="宋体" w:hint="default"/>
          <w:b/>
          <w:bCs/>
          <w:sz w:val="24"/>
          <w:szCs w:val="24"/>
        </w:rPr>
        <w:t>十三、公司利润分配及分红派息情况</w:t>
      </w:r>
      <w:r>
        <w:rPr>
          <w:rFonts w:ascii="宋体" w:hAnsi="宋体" w:cs="宋体" w:eastAsia="宋体" w:hint="default"/>
          <w:sz w:val="24"/>
          <w:szCs w:val="24"/>
        </w:rPr>
      </w:r>
    </w:p>
    <w:p>
      <w:pPr>
        <w:pStyle w:val="BodyText"/>
        <w:spacing w:line="357" w:lineRule="auto" w:before="151"/>
        <w:ind w:left="633" w:right="982"/>
        <w:jc w:val="left"/>
      </w:pPr>
      <w:r>
        <w:rPr/>
        <w:t>报告期内利润分配政策特别是现金分红政策的制定、执行或调整情况 </w:t>
      </w:r>
      <w:r>
        <w:rPr>
          <w:rFonts w:ascii="宋体" w:hAnsi="宋体" w:cs="宋体" w:eastAsia="宋体" w:hint="default"/>
          <w:spacing w:val="-11"/>
        </w:rPr>
        <w:t>1</w:t>
      </w:r>
      <w:r>
        <w:rPr>
          <w:spacing w:val="-11"/>
        </w:rPr>
        <w:t>、根据中国证监会《关于进一步落实上市公司现金分红有关事项的通知》（证监发【</w:t>
      </w:r>
      <w:r>
        <w:rPr>
          <w:rFonts w:ascii="宋体" w:hAnsi="宋体" w:cs="宋体" w:eastAsia="宋体" w:hint="default"/>
          <w:spacing w:val="-11"/>
        </w:rPr>
        <w:t>2012</w:t>
      </w:r>
      <w:r>
        <w:rPr>
          <w:spacing w:val="-11"/>
        </w:rPr>
        <w:t>】</w:t>
      </w:r>
    </w:p>
    <w:p>
      <w:pPr>
        <w:pStyle w:val="BodyText"/>
        <w:spacing w:line="357" w:lineRule="auto"/>
        <w:ind w:right="1129"/>
        <w:jc w:val="both"/>
      </w:pPr>
      <w:r>
        <w:rPr>
          <w:rFonts w:ascii="宋体" w:hAnsi="宋体" w:cs="宋体" w:eastAsia="宋体" w:hint="default"/>
        </w:rPr>
        <w:t>37</w:t>
      </w:r>
      <w:r>
        <w:rPr/>
        <w:t>号）、中国证监会上海监管局《关于进一步做好上海辖区上市公司现金分红有关工作的通 </w:t>
      </w:r>
      <w:r>
        <w:rPr>
          <w:spacing w:val="-2"/>
        </w:rPr>
        <w:t>知》（沪证监公司字【</w:t>
      </w:r>
      <w:r>
        <w:rPr>
          <w:rFonts w:ascii="宋体" w:hAnsi="宋体" w:cs="宋体" w:eastAsia="宋体" w:hint="default"/>
          <w:spacing w:val="-2"/>
        </w:rPr>
        <w:t>2012</w:t>
      </w:r>
      <w:r>
        <w:rPr>
          <w:spacing w:val="-2"/>
        </w:rPr>
        <w:t>】</w:t>
      </w:r>
      <w:r>
        <w:rPr>
          <w:rFonts w:ascii="宋体" w:hAnsi="宋体" w:cs="宋体" w:eastAsia="宋体" w:hint="default"/>
          <w:spacing w:val="-2"/>
        </w:rPr>
        <w:t>145</w:t>
      </w:r>
      <w:r>
        <w:rPr>
          <w:spacing w:val="-2"/>
        </w:rPr>
        <w:t>号）的相关规定，公司对《公司章程》中关于利润分配政策</w:t>
      </w:r>
      <w:r>
        <w:rPr>
          <w:spacing w:val="-114"/>
        </w:rPr>
        <w:t> </w:t>
      </w:r>
      <w:r>
        <w:rPr>
          <w:spacing w:val="-114"/>
        </w:rPr>
      </w:r>
      <w:r>
        <w:rPr/>
        <w:t>的部分条款作出修订，对现金分红政策进行了进一步的细化，并制定了《未来三年（</w:t>
      </w:r>
      <w:r>
        <w:rPr>
          <w:rFonts w:ascii="宋体" w:hAnsi="宋体" w:cs="宋体" w:eastAsia="宋体" w:hint="default"/>
        </w:rPr>
        <w:t>2012</w:t>
      </w:r>
      <w:r>
        <w:rPr/>
        <w:t>年</w:t>
      </w:r>
    </w:p>
    <w:p>
      <w:pPr>
        <w:pStyle w:val="BodyText"/>
        <w:spacing w:line="357" w:lineRule="auto"/>
        <w:ind w:right="1012"/>
        <w:jc w:val="left"/>
      </w:pPr>
      <w:r>
        <w:rPr>
          <w:rFonts w:ascii="宋体" w:hAnsi="宋体" w:cs="宋体" w:eastAsia="宋体" w:hint="default"/>
          <w:spacing w:val="-8"/>
        </w:rPr>
        <w:t>-2014</w:t>
      </w:r>
      <w:r>
        <w:rPr>
          <w:spacing w:val="-8"/>
        </w:rPr>
        <w:t>年）股东回报规划》和《利润分配管理制度》。《公司章程》的修订及《未来三年（</w:t>
      </w:r>
      <w:r>
        <w:rPr>
          <w:rFonts w:ascii="宋体" w:hAnsi="宋体" w:cs="宋体" w:eastAsia="宋体" w:hint="default"/>
          <w:spacing w:val="-8"/>
        </w:rPr>
        <w:t>2012</w:t>
      </w:r>
      <w:r>
        <w:rPr>
          <w:rFonts w:ascii="宋体" w:hAnsi="宋体" w:cs="宋体" w:eastAsia="宋体" w:hint="default"/>
          <w:spacing w:val="-76"/>
        </w:rPr>
        <w:t> </w:t>
      </w:r>
      <w:r>
        <w:rPr>
          <w:spacing w:val="-5"/>
        </w:rPr>
        <w:t>年</w:t>
      </w:r>
      <w:r>
        <w:rPr>
          <w:rFonts w:ascii="宋体" w:hAnsi="宋体" w:cs="宋体" w:eastAsia="宋体" w:hint="default"/>
          <w:spacing w:val="-5"/>
        </w:rPr>
        <w:t>-2014</w:t>
      </w:r>
      <w:r>
        <w:rPr>
          <w:spacing w:val="-5"/>
        </w:rPr>
        <w:t>年）股东回报规划》和《利润分配管理制度》已提交公司第四届董事会第十七次会议、</w:t>
      </w:r>
    </w:p>
    <w:p>
      <w:pPr>
        <w:spacing w:after="0" w:line="357" w:lineRule="auto"/>
        <w:jc w:val="left"/>
        <w:sectPr>
          <w:pgSz w:w="11910" w:h="16840"/>
          <w:pgMar w:header="0" w:footer="1319" w:top="1060" w:bottom="1500" w:left="980" w:right="0"/>
        </w:sectPr>
      </w:pPr>
    </w:p>
    <w:p>
      <w:pPr>
        <w:spacing w:line="240" w:lineRule="auto" w:before="6"/>
        <w:rPr>
          <w:rFonts w:ascii="宋体" w:hAnsi="宋体" w:cs="宋体" w:eastAsia="宋体" w:hint="default"/>
          <w:sz w:val="29"/>
          <w:szCs w:val="29"/>
        </w:rPr>
      </w:pPr>
    </w:p>
    <w:p>
      <w:pPr>
        <w:pStyle w:val="BodyText"/>
        <w:spacing w:line="240" w:lineRule="auto" w:before="26"/>
        <w:ind w:right="1780"/>
        <w:jc w:val="left"/>
      </w:pPr>
      <w:r>
        <w:rPr>
          <w:rFonts w:ascii="宋体" w:hAnsi="宋体" w:cs="宋体" w:eastAsia="宋体" w:hint="default"/>
        </w:rPr>
        <w:t>2012</w:t>
      </w:r>
      <w:r>
        <w:rPr/>
        <w:t>年第二次临时股东大会审议通过。决策程序透明，符合相关要求的规定。</w:t>
      </w:r>
    </w:p>
    <w:p>
      <w:pPr>
        <w:pStyle w:val="BodyText"/>
        <w:spacing w:line="357" w:lineRule="auto" w:before="154"/>
        <w:ind w:right="996" w:firstLine="480"/>
        <w:jc w:val="left"/>
      </w:pPr>
      <w:r>
        <w:rPr>
          <w:rFonts w:ascii="宋体" w:hAnsi="宋体" w:cs="宋体" w:eastAsia="宋体" w:hint="default"/>
          <w:spacing w:val="-6"/>
        </w:rPr>
        <w:t>2</w:t>
      </w:r>
      <w:r>
        <w:rPr>
          <w:spacing w:val="-6"/>
        </w:rPr>
        <w:t>、现行《公司章程》第一百五十五条明确规定了利润分配政策的原则、利润分配的形式、</w:t>
      </w:r>
      <w:r>
        <w:rPr/>
        <w:t> 现金分配的条件、现金分配的比例及时间、股票股利分配的条件、利润分配的决策程序和机</w:t>
      </w:r>
      <w:r>
        <w:rPr>
          <w:spacing w:val="-91"/>
        </w:rPr>
        <w:t> </w:t>
      </w:r>
      <w:r>
        <w:rPr>
          <w:spacing w:val="-91"/>
        </w:rPr>
      </w:r>
      <w:r>
        <w:rPr>
          <w:spacing w:val="-2"/>
        </w:rPr>
        <w:t>制、利润分配政策的调整原则等，公司一直严格按照《公司章程》的规定实施利润分配政策，</w:t>
      </w:r>
      <w:r>
        <w:rPr/>
        <w:t> 强化回报股东意识，满足股东的合理投资回报和公司长远发展的要求。</w:t>
      </w:r>
    </w:p>
    <w:p>
      <w:pPr>
        <w:pStyle w:val="BodyText"/>
        <w:spacing w:line="312" w:lineRule="exact" w:before="0"/>
        <w:ind w:left="633" w:right="1780"/>
        <w:jc w:val="left"/>
      </w:pPr>
      <w:r>
        <w:rPr/>
        <w:t>本年度利润分配及资本公积金转增股本预案</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113,960,000.00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11,396,000.00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185,325,375.18</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262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经上海众华沪银会计师事务所有限公司出具的沪众会字（</w:t>
            </w:r>
            <w:r>
              <w:rPr>
                <w:rFonts w:ascii="宋体" w:hAnsi="宋体" w:cs="宋体" w:eastAsia="宋体" w:hint="default"/>
                <w:sz w:val="21"/>
                <w:szCs w:val="21"/>
              </w:rPr>
              <w:t>2013</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0080</w:t>
            </w:r>
            <w:r>
              <w:rPr>
                <w:rFonts w:ascii="宋体" w:hAnsi="宋体" w:cs="宋体" w:eastAsia="宋体" w:hint="default"/>
                <w:spacing w:val="-52"/>
                <w:sz w:val="21"/>
                <w:szCs w:val="21"/>
              </w:rPr>
              <w:t> </w:t>
            </w:r>
            <w:r>
              <w:rPr>
                <w:rFonts w:ascii="宋体" w:hAnsi="宋体" w:cs="宋体" w:eastAsia="宋体" w:hint="default"/>
                <w:spacing w:val="-4"/>
                <w:sz w:val="21"/>
                <w:szCs w:val="21"/>
              </w:rPr>
              <w:t>号《审计报告》确认，</w:t>
            </w:r>
            <w:r>
              <w:rPr>
                <w:rFonts w:ascii="宋体" w:hAnsi="宋体" w:cs="宋体" w:eastAsia="宋体" w:hint="default"/>
                <w:spacing w:val="-4"/>
                <w:sz w:val="21"/>
                <w:szCs w:val="21"/>
              </w:rPr>
              <w:t>2012</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年度母公司实现税后净利</w:t>
            </w:r>
            <w:r>
              <w:rPr>
                <w:rFonts w:ascii="宋体" w:hAnsi="宋体" w:cs="宋体" w:eastAsia="宋体" w:hint="default"/>
                <w:spacing w:val="-56"/>
                <w:sz w:val="21"/>
                <w:szCs w:val="21"/>
              </w:rPr>
              <w:t> </w:t>
            </w:r>
            <w:r>
              <w:rPr>
                <w:rFonts w:ascii="宋体" w:hAnsi="宋体" w:cs="宋体" w:eastAsia="宋体" w:hint="default"/>
                <w:sz w:val="21"/>
                <w:szCs w:val="21"/>
              </w:rPr>
              <w:t>60,134,741.17</w:t>
            </w:r>
            <w:r>
              <w:rPr>
                <w:rFonts w:ascii="宋体" w:hAnsi="宋体" w:cs="宋体" w:eastAsia="宋体" w:hint="default"/>
                <w:spacing w:val="-56"/>
                <w:sz w:val="21"/>
                <w:szCs w:val="21"/>
              </w:rPr>
              <w:t> </w:t>
            </w:r>
            <w:r>
              <w:rPr>
                <w:rFonts w:ascii="宋体" w:hAnsi="宋体" w:cs="宋体" w:eastAsia="宋体" w:hint="default"/>
                <w:sz w:val="21"/>
                <w:szCs w:val="21"/>
              </w:rPr>
              <w:t>元，加上年初未分配利润</w:t>
            </w:r>
            <w:r>
              <w:rPr>
                <w:rFonts w:ascii="宋体" w:hAnsi="宋体" w:cs="宋体" w:eastAsia="宋体" w:hint="default"/>
                <w:spacing w:val="-54"/>
                <w:sz w:val="21"/>
                <w:szCs w:val="21"/>
              </w:rPr>
              <w:t> </w:t>
            </w:r>
            <w:r>
              <w:rPr>
                <w:rFonts w:ascii="宋体" w:hAnsi="宋体" w:cs="宋体" w:eastAsia="宋体" w:hint="default"/>
                <w:sz w:val="21"/>
                <w:szCs w:val="21"/>
              </w:rPr>
              <w:t>142,600,108.13</w:t>
            </w:r>
            <w:r>
              <w:rPr>
                <w:rFonts w:ascii="宋体" w:hAnsi="宋体" w:cs="宋体" w:eastAsia="宋体" w:hint="default"/>
                <w:spacing w:val="-53"/>
                <w:sz w:val="21"/>
                <w:szCs w:val="21"/>
              </w:rPr>
              <w:t> </w:t>
            </w:r>
            <w:r>
              <w:rPr>
                <w:rFonts w:ascii="宋体" w:hAnsi="宋体" w:cs="宋体" w:eastAsia="宋体" w:hint="default"/>
                <w:sz w:val="21"/>
                <w:szCs w:val="21"/>
              </w:rPr>
              <w:t>元，减去</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pStyle w:val="TableParagraph"/>
              <w:spacing w:line="240" w:lineRule="auto" w:before="37"/>
              <w:ind w:left="24" w:right="-20"/>
              <w:jc w:val="left"/>
              <w:rPr>
                <w:rFonts w:ascii="宋体" w:hAnsi="宋体" w:cs="宋体" w:eastAsia="宋体" w:hint="default"/>
                <w:sz w:val="21"/>
                <w:szCs w:val="21"/>
              </w:rPr>
            </w:pPr>
            <w:r>
              <w:rPr>
                <w:rFonts w:ascii="宋体" w:hAnsi="宋体" w:cs="宋体" w:eastAsia="宋体" w:hint="default"/>
                <w:sz w:val="21"/>
                <w:szCs w:val="21"/>
              </w:rPr>
              <w:t>利润分配（每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元现金）</w:t>
            </w:r>
            <w:r>
              <w:rPr>
                <w:rFonts w:ascii="宋体" w:hAnsi="宋体" w:cs="宋体" w:eastAsia="宋体" w:hint="default"/>
                <w:sz w:val="21"/>
                <w:szCs w:val="21"/>
              </w:rPr>
              <w:t>11,396,000.00</w:t>
            </w:r>
            <w:r>
              <w:rPr>
                <w:rFonts w:ascii="宋体" w:hAnsi="宋体" w:cs="宋体" w:eastAsia="宋体" w:hint="default"/>
                <w:spacing w:val="-54"/>
                <w:sz w:val="21"/>
                <w:szCs w:val="21"/>
              </w:rPr>
              <w:t> </w:t>
            </w:r>
            <w:r>
              <w:rPr>
                <w:rFonts w:ascii="宋体" w:hAnsi="宋体" w:cs="宋体" w:eastAsia="宋体" w:hint="default"/>
                <w:sz w:val="21"/>
                <w:szCs w:val="21"/>
              </w:rPr>
              <w:t>元，提取净利润</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的法定盈余公积</w:t>
            </w:r>
            <w:r>
              <w:rPr>
                <w:rFonts w:ascii="宋体" w:hAnsi="宋体" w:cs="宋体" w:eastAsia="宋体" w:hint="default"/>
                <w:spacing w:val="-53"/>
                <w:sz w:val="21"/>
                <w:szCs w:val="21"/>
              </w:rPr>
              <w:t> </w:t>
            </w:r>
            <w:r>
              <w:rPr>
                <w:rFonts w:ascii="宋体" w:hAnsi="宋体" w:cs="宋体" w:eastAsia="宋体" w:hint="default"/>
                <w:sz w:val="21"/>
                <w:szCs w:val="21"/>
              </w:rPr>
              <w:t>6,013,474.12</w:t>
            </w:r>
            <w:r>
              <w:rPr>
                <w:rFonts w:ascii="宋体" w:hAnsi="宋体" w:cs="宋体" w:eastAsia="宋体" w:hint="default"/>
                <w:spacing w:val="-5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年末可供股东分配的利润为</w:t>
            </w:r>
            <w:r>
              <w:rPr>
                <w:rFonts w:ascii="宋体" w:hAnsi="宋体" w:cs="宋体" w:eastAsia="宋体" w:hint="default"/>
                <w:spacing w:val="-55"/>
                <w:sz w:val="21"/>
                <w:szCs w:val="21"/>
              </w:rPr>
              <w:t> </w:t>
            </w:r>
            <w:r>
              <w:rPr>
                <w:rFonts w:ascii="宋体" w:hAnsi="宋体" w:cs="宋体" w:eastAsia="宋体" w:hint="default"/>
                <w:sz w:val="21"/>
                <w:szCs w:val="21"/>
              </w:rPr>
              <w:t>185,325,375.18</w:t>
            </w:r>
            <w:r>
              <w:rPr>
                <w:rFonts w:ascii="宋体" w:hAnsi="宋体" w:cs="宋体" w:eastAsia="宋体" w:hint="default"/>
                <w:spacing w:val="-57"/>
                <w:sz w:val="21"/>
                <w:szCs w:val="21"/>
              </w:rPr>
              <w:t> </w:t>
            </w:r>
            <w:r>
              <w:rPr>
                <w:rFonts w:ascii="宋体" w:hAnsi="宋体" w:cs="宋体" w:eastAsia="宋体" w:hint="default"/>
                <w:sz w:val="21"/>
                <w:szCs w:val="21"/>
              </w:rPr>
              <w:t>元。年末母公司所有者权益为</w:t>
            </w:r>
            <w:r>
              <w:rPr>
                <w:rFonts w:ascii="宋体" w:hAnsi="宋体" w:cs="宋体" w:eastAsia="宋体" w:hint="default"/>
                <w:spacing w:val="-55"/>
                <w:sz w:val="21"/>
                <w:szCs w:val="21"/>
              </w:rPr>
              <w:t> </w:t>
            </w:r>
            <w:r>
              <w:rPr>
                <w:rFonts w:ascii="宋体" w:hAnsi="宋体" w:cs="宋体" w:eastAsia="宋体" w:hint="default"/>
                <w:sz w:val="21"/>
                <w:szCs w:val="21"/>
              </w:rPr>
              <w:t>413,927,323.24</w:t>
            </w:r>
            <w:r>
              <w:rPr>
                <w:rFonts w:ascii="宋体" w:hAnsi="宋体" w:cs="宋体" w:eastAsia="宋体" w:hint="default"/>
                <w:spacing w:val="-57"/>
                <w:sz w:val="21"/>
                <w:szCs w:val="21"/>
              </w:rPr>
              <w:t> </w:t>
            </w:r>
            <w:r>
              <w:rPr>
                <w:rFonts w:ascii="宋体" w:hAnsi="宋体" w:cs="宋体" w:eastAsia="宋体" w:hint="default"/>
                <w:sz w:val="21"/>
                <w:szCs w:val="21"/>
              </w:rPr>
              <w:t>元，资本公</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积为</w:t>
            </w:r>
            <w:r>
              <w:rPr>
                <w:rFonts w:ascii="宋体" w:hAnsi="宋体" w:cs="宋体" w:eastAsia="宋体" w:hint="default"/>
                <w:spacing w:val="-51"/>
                <w:sz w:val="21"/>
                <w:szCs w:val="21"/>
              </w:rPr>
              <w:t> </w:t>
            </w:r>
            <w:r>
              <w:rPr>
                <w:rFonts w:ascii="宋体" w:hAnsi="宋体" w:cs="宋体" w:eastAsia="宋体" w:hint="default"/>
                <w:sz w:val="21"/>
                <w:szCs w:val="21"/>
              </w:rPr>
              <w:t>84,734,713.46</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3" w:lineRule="auto" w:before="75"/>
              <w:ind w:left="24" w:right="83" w:firstLine="420"/>
              <w:jc w:val="both"/>
              <w:rPr>
                <w:rFonts w:ascii="宋体" w:hAnsi="宋体" w:cs="宋体" w:eastAsia="宋体" w:hint="default"/>
                <w:sz w:val="21"/>
                <w:szCs w:val="21"/>
              </w:rPr>
            </w:pPr>
            <w:r>
              <w:rPr>
                <w:rFonts w:ascii="宋体" w:hAnsi="宋体" w:cs="宋体" w:eastAsia="宋体" w:hint="default"/>
                <w:sz w:val="21"/>
                <w:szCs w:val="21"/>
              </w:rPr>
              <w:t>董事会基于公司利润分配原则的一贯性，决定提议对</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年度利润的分配预案为以</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pacing w:val="-3"/>
                <w:sz w:val="21"/>
                <w:szCs w:val="21"/>
              </w:rPr>
              <w:t>年末公司</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股本总额</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113</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960,000</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股为基数，以未分配利润向全体股东每</w:t>
            </w:r>
            <w:r>
              <w:rPr>
                <w:rFonts w:ascii="宋体" w:hAnsi="宋体" w:cs="宋体" w:eastAsia="宋体" w:hint="default"/>
                <w:spacing w:val="-51"/>
                <w:w w:val="100"/>
                <w:sz w:val="21"/>
                <w:szCs w:val="21"/>
              </w:rPr>
              <w:t> </w:t>
            </w:r>
            <w:r>
              <w:rPr>
                <w:rFonts w:ascii="宋体" w:hAnsi="宋体" w:cs="宋体" w:eastAsia="宋体" w:hint="default"/>
                <w:w w:val="100"/>
                <w:sz w:val="21"/>
                <w:szCs w:val="21"/>
              </w:rPr>
              <w:t>10</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股派现金</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1.00</w:t>
            </w:r>
            <w:r>
              <w:rPr>
                <w:rFonts w:ascii="宋体" w:hAnsi="宋体" w:cs="宋体" w:eastAsia="宋体" w:hint="default"/>
                <w:spacing w:val="-52"/>
                <w:w w:val="100"/>
                <w:sz w:val="21"/>
                <w:szCs w:val="21"/>
              </w:rPr>
              <w:t> </w:t>
            </w:r>
            <w:r>
              <w:rPr>
                <w:rFonts w:ascii="宋体" w:hAnsi="宋体" w:cs="宋体" w:eastAsia="宋体" w:hint="default"/>
                <w:spacing w:val="-12"/>
                <w:w w:val="100"/>
                <w:sz w:val="21"/>
                <w:szCs w:val="21"/>
              </w:rPr>
              <w:t>元（含税），共分配利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pacing w:val="-54"/>
                <w:sz w:val="21"/>
                <w:szCs w:val="21"/>
              </w:rPr>
              <w:t> </w:t>
            </w:r>
            <w:r>
              <w:rPr>
                <w:rFonts w:ascii="宋体" w:hAnsi="宋体" w:cs="宋体" w:eastAsia="宋体" w:hint="default"/>
                <w:sz w:val="21"/>
                <w:szCs w:val="21"/>
              </w:rPr>
              <w:t>11,396,000.00</w:t>
            </w:r>
            <w:r>
              <w:rPr>
                <w:rFonts w:ascii="宋体" w:hAnsi="宋体" w:cs="宋体" w:eastAsia="宋体" w:hint="default"/>
                <w:spacing w:val="-55"/>
                <w:sz w:val="21"/>
                <w:szCs w:val="21"/>
              </w:rPr>
              <w:t> </w:t>
            </w:r>
            <w:r>
              <w:rPr>
                <w:rFonts w:ascii="宋体" w:hAnsi="宋体" w:cs="宋体" w:eastAsia="宋体" w:hint="default"/>
                <w:sz w:val="21"/>
                <w:szCs w:val="21"/>
              </w:rPr>
              <w:t>元，尚余未分配利润</w:t>
            </w:r>
            <w:r>
              <w:rPr>
                <w:rFonts w:ascii="宋体" w:hAnsi="宋体" w:cs="宋体" w:eastAsia="宋体" w:hint="default"/>
                <w:spacing w:val="-54"/>
                <w:sz w:val="21"/>
                <w:szCs w:val="21"/>
              </w:rPr>
              <w:t> </w:t>
            </w:r>
            <w:r>
              <w:rPr>
                <w:rFonts w:ascii="宋体" w:hAnsi="宋体" w:cs="宋体" w:eastAsia="宋体" w:hint="default"/>
                <w:sz w:val="21"/>
                <w:szCs w:val="21"/>
              </w:rPr>
              <w:t>173,929,375.18</w:t>
            </w:r>
            <w:r>
              <w:rPr>
                <w:rFonts w:ascii="宋体" w:hAnsi="宋体" w:cs="宋体" w:eastAsia="宋体" w:hint="default"/>
                <w:spacing w:val="-57"/>
                <w:sz w:val="21"/>
                <w:szCs w:val="21"/>
              </w:rPr>
              <w:t> </w:t>
            </w:r>
            <w:r>
              <w:rPr>
                <w:rFonts w:ascii="宋体" w:hAnsi="宋体" w:cs="宋体" w:eastAsia="宋体" w:hint="default"/>
                <w:sz w:val="21"/>
                <w:szCs w:val="21"/>
              </w:rPr>
              <w:t>元留待以后年度分配；不转股，不送股。</w:t>
            </w:r>
          </w:p>
        </w:tc>
      </w:tr>
    </w:tbl>
    <w:p>
      <w:pPr>
        <w:pStyle w:val="BodyText"/>
        <w:spacing w:line="357" w:lineRule="auto" w:before="39"/>
        <w:ind w:left="657" w:right="1129" w:hanging="505"/>
        <w:jc w:val="left"/>
      </w:pPr>
      <w:r>
        <w:rPr/>
        <w:t>公司近</w:t>
      </w:r>
      <w:r>
        <w:rPr>
          <w:spacing w:val="-60"/>
        </w:rPr>
        <w:t> </w:t>
      </w:r>
      <w:r>
        <w:rPr>
          <w:rFonts w:ascii="宋体" w:hAnsi="宋体" w:cs="宋体" w:eastAsia="宋体" w:hint="default"/>
        </w:rPr>
        <w:t>3</w:t>
      </w:r>
      <w:r>
        <w:rPr>
          <w:rFonts w:ascii="宋体" w:hAnsi="宋体" w:cs="宋体" w:eastAsia="宋体" w:hint="default"/>
          <w:spacing w:val="-61"/>
        </w:rPr>
        <w:t> </w:t>
      </w:r>
      <w:r>
        <w:rPr/>
        <w:t>年（含报告期）的利润分配方案及资本公积金转增股本方案情况 </w:t>
      </w:r>
      <w:r>
        <w:rPr>
          <w:rFonts w:ascii="宋体" w:hAnsi="宋体" w:cs="宋体" w:eastAsia="宋体" w:hint="default"/>
        </w:rPr>
        <w:t>2010</w:t>
      </w:r>
      <w:r>
        <w:rPr/>
        <w:t>年度利润分配方案为：以公司</w:t>
      </w:r>
      <w:r>
        <w:rPr>
          <w:rFonts w:ascii="宋体" w:hAnsi="宋体" w:cs="宋体" w:eastAsia="宋体" w:hint="default"/>
        </w:rPr>
        <w:t>2010</w:t>
      </w:r>
      <w:r>
        <w:rPr/>
        <w:t>年末的总股本</w:t>
      </w:r>
      <w:r>
        <w:rPr>
          <w:rFonts w:ascii="宋体" w:hAnsi="宋体" w:cs="宋体" w:eastAsia="宋体" w:hint="default"/>
        </w:rPr>
        <w:t>74,620,000</w:t>
      </w:r>
      <w:r>
        <w:rPr/>
        <w:t>股为基数，以资本公积</w:t>
      </w:r>
    </w:p>
    <w:p>
      <w:pPr>
        <w:pStyle w:val="BodyText"/>
        <w:spacing w:line="357" w:lineRule="auto"/>
        <w:ind w:right="1154"/>
        <w:jc w:val="left"/>
      </w:pPr>
      <w:r>
        <w:rPr/>
        <w:t>向全体股东每</w:t>
      </w:r>
      <w:r>
        <w:rPr>
          <w:rFonts w:ascii="宋体" w:hAnsi="宋体" w:cs="宋体" w:eastAsia="宋体" w:hint="default"/>
        </w:rPr>
        <w:t>10</w:t>
      </w:r>
      <w:r>
        <w:rPr/>
        <w:t>股转增</w:t>
      </w:r>
      <w:r>
        <w:rPr>
          <w:rFonts w:ascii="宋体" w:hAnsi="宋体" w:cs="宋体" w:eastAsia="宋体" w:hint="default"/>
        </w:rPr>
        <w:t>5</w:t>
      </w:r>
      <w:r>
        <w:rPr/>
        <w:t>股，共计转增股本</w:t>
      </w:r>
      <w:r>
        <w:rPr>
          <w:rFonts w:ascii="宋体" w:hAnsi="宋体" w:cs="宋体" w:eastAsia="宋体" w:hint="default"/>
        </w:rPr>
        <w:t>37,310,000</w:t>
      </w:r>
      <w:r>
        <w:rPr/>
        <w:t>股，尚余资本公积</w:t>
      </w:r>
      <w:r>
        <w:rPr>
          <w:rFonts w:ascii="宋体" w:hAnsi="宋体" w:cs="宋体" w:eastAsia="宋体" w:hint="default"/>
        </w:rPr>
        <w:t>62,196,213.46</w:t>
      </w:r>
      <w:r>
        <w:rPr/>
        <w:t>元； 以未分配利润向每</w:t>
      </w:r>
      <w:r>
        <w:rPr>
          <w:rFonts w:ascii="宋体" w:hAnsi="宋体" w:cs="宋体" w:eastAsia="宋体" w:hint="default"/>
        </w:rPr>
        <w:t>10</w:t>
      </w:r>
      <w:r>
        <w:rPr/>
        <w:t>股派现金</w:t>
      </w:r>
      <w:r>
        <w:rPr>
          <w:rFonts w:ascii="宋体" w:hAnsi="宋体" w:cs="宋体" w:eastAsia="宋体" w:hint="default"/>
        </w:rPr>
        <w:t>1</w:t>
      </w:r>
      <w:r>
        <w:rPr/>
        <w:t>元（含税），共分配利润</w:t>
      </w:r>
      <w:r>
        <w:rPr>
          <w:rFonts w:ascii="宋体" w:hAnsi="宋体" w:cs="宋体" w:eastAsia="宋体" w:hint="default"/>
        </w:rPr>
        <w:t>7,462,000</w:t>
      </w:r>
      <w:r>
        <w:rPr/>
        <w:t>元，尚余未分配利润 </w:t>
      </w:r>
      <w:r>
        <w:rPr>
          <w:rFonts w:ascii="宋体" w:hAnsi="宋体" w:cs="宋体" w:eastAsia="宋体" w:hint="default"/>
        </w:rPr>
        <w:t>91,387,618.67</w:t>
      </w:r>
      <w:r>
        <w:rPr/>
        <w:t>元留待以后年度分配。转增后公司总股本为</w:t>
      </w:r>
      <w:r>
        <w:rPr>
          <w:rFonts w:ascii="宋体" w:hAnsi="宋体" w:cs="宋体" w:eastAsia="宋体" w:hint="default"/>
        </w:rPr>
        <w:t>111,930,000</w:t>
      </w:r>
      <w:r>
        <w:rPr/>
        <w:t>股。</w:t>
      </w:r>
    </w:p>
    <w:p>
      <w:pPr>
        <w:pStyle w:val="BodyText"/>
        <w:spacing w:line="357" w:lineRule="auto"/>
        <w:ind w:right="1123" w:firstLine="504"/>
        <w:jc w:val="left"/>
      </w:pPr>
      <w:r>
        <w:rPr>
          <w:rFonts w:ascii="宋体" w:hAnsi="宋体" w:cs="宋体" w:eastAsia="宋体" w:hint="default"/>
          <w:spacing w:val="-3"/>
        </w:rPr>
        <w:t>2011</w:t>
      </w:r>
      <w:r>
        <w:rPr>
          <w:spacing w:val="-3"/>
        </w:rPr>
        <w:t>年度利润分配方案为：以公司最新股本总额</w:t>
      </w:r>
      <w:r>
        <w:rPr>
          <w:rFonts w:ascii="宋体" w:hAnsi="宋体" w:cs="宋体" w:eastAsia="宋体" w:hint="default"/>
          <w:spacing w:val="-3"/>
        </w:rPr>
        <w:t>113,960,000</w:t>
      </w:r>
      <w:r>
        <w:rPr>
          <w:spacing w:val="-3"/>
        </w:rPr>
        <w:t>股为基数，以未分配利润向</w:t>
      </w:r>
      <w:r>
        <w:rPr/>
        <w:t> 全体股东每</w:t>
      </w:r>
      <w:r>
        <w:rPr>
          <w:rFonts w:ascii="宋体" w:hAnsi="宋体" w:cs="宋体" w:eastAsia="宋体" w:hint="default"/>
        </w:rPr>
        <w:t>10</w:t>
      </w:r>
      <w:r>
        <w:rPr/>
        <w:t>股派现金</w:t>
      </w:r>
      <w:r>
        <w:rPr>
          <w:rFonts w:ascii="宋体" w:hAnsi="宋体" w:cs="宋体" w:eastAsia="宋体" w:hint="default"/>
        </w:rPr>
        <w:t>1</w:t>
      </w:r>
      <w:r>
        <w:rPr/>
        <w:t>元（含税），共分配利润</w:t>
      </w:r>
      <w:r>
        <w:rPr>
          <w:rFonts w:ascii="宋体" w:hAnsi="宋体" w:cs="宋体" w:eastAsia="宋体" w:hint="default"/>
        </w:rPr>
        <w:t>11,396,000</w:t>
      </w:r>
      <w:r>
        <w:rPr/>
        <w:t>元，尚余未分配利润 </w:t>
      </w:r>
      <w:r>
        <w:rPr>
          <w:rFonts w:ascii="宋体" w:hAnsi="宋体" w:cs="宋体" w:eastAsia="宋体" w:hint="default"/>
        </w:rPr>
        <w:t>131,204,108.13</w:t>
      </w:r>
      <w:r>
        <w:rPr/>
        <w:t>元留待以后年度分配。</w:t>
      </w:r>
    </w:p>
    <w:p>
      <w:pPr>
        <w:pStyle w:val="BodyText"/>
        <w:spacing w:line="357" w:lineRule="auto"/>
        <w:ind w:right="1129" w:firstLine="480"/>
        <w:jc w:val="both"/>
      </w:pPr>
      <w:r>
        <w:rPr>
          <w:rFonts w:ascii="宋体" w:hAnsi="宋体" w:cs="宋体" w:eastAsia="宋体" w:hint="default"/>
        </w:rPr>
        <w:t>2012</w:t>
      </w:r>
      <w:r>
        <w:rPr/>
        <w:t>年度利润分配方案为：以公司</w:t>
      </w:r>
      <w:r>
        <w:rPr>
          <w:rFonts w:ascii="宋体" w:hAnsi="宋体" w:cs="宋体" w:eastAsia="宋体" w:hint="default"/>
        </w:rPr>
        <w:t>2012</w:t>
      </w:r>
      <w:r>
        <w:rPr/>
        <w:t>年末股本总额</w:t>
      </w:r>
      <w:r>
        <w:rPr>
          <w:rFonts w:ascii="宋体" w:hAnsi="宋体" w:cs="宋体" w:eastAsia="宋体" w:hint="default"/>
        </w:rPr>
        <w:t>113</w:t>
      </w:r>
      <w:r>
        <w:rPr/>
        <w:t>，</w:t>
      </w:r>
      <w:r>
        <w:rPr>
          <w:rFonts w:ascii="宋体" w:hAnsi="宋体" w:cs="宋体" w:eastAsia="宋体" w:hint="default"/>
        </w:rPr>
        <w:t>960,000</w:t>
      </w:r>
      <w:r>
        <w:rPr/>
        <w:t>股为基数，以未分配 </w:t>
      </w:r>
      <w:r>
        <w:rPr>
          <w:spacing w:val="-2"/>
        </w:rPr>
        <w:t>利润向全体股东每</w:t>
      </w:r>
      <w:r>
        <w:rPr>
          <w:rFonts w:ascii="宋体" w:hAnsi="宋体" w:cs="宋体" w:eastAsia="宋体" w:hint="default"/>
          <w:spacing w:val="-2"/>
        </w:rPr>
        <w:t>10</w:t>
      </w:r>
      <w:r>
        <w:rPr>
          <w:spacing w:val="-2"/>
        </w:rPr>
        <w:t>股派现金</w:t>
      </w:r>
      <w:r>
        <w:rPr>
          <w:rFonts w:ascii="宋体" w:hAnsi="宋体" w:cs="宋体" w:eastAsia="宋体" w:hint="default"/>
          <w:spacing w:val="-2"/>
        </w:rPr>
        <w:t>1.00</w:t>
      </w:r>
      <w:r>
        <w:rPr>
          <w:spacing w:val="-2"/>
        </w:rPr>
        <w:t>元（含税），共分配利润</w:t>
      </w:r>
      <w:r>
        <w:rPr>
          <w:rFonts w:ascii="宋体" w:hAnsi="宋体" w:cs="宋体" w:eastAsia="宋体" w:hint="default"/>
          <w:spacing w:val="-2"/>
        </w:rPr>
        <w:t>11,396,000.00</w:t>
      </w:r>
      <w:r>
        <w:rPr>
          <w:spacing w:val="-2"/>
        </w:rPr>
        <w:t>元，尚余未分配利</w:t>
      </w:r>
      <w:r>
        <w:rPr>
          <w:spacing w:val="-102"/>
        </w:rPr>
        <w:t> </w:t>
      </w:r>
      <w:r>
        <w:rPr>
          <w:spacing w:val="-102"/>
        </w:rPr>
      </w:r>
      <w:r>
        <w:rPr/>
        <w:t>润</w:t>
      </w:r>
      <w:r>
        <w:rPr>
          <w:rFonts w:ascii="宋体" w:hAnsi="宋体" w:cs="宋体" w:eastAsia="宋体" w:hint="default"/>
        </w:rPr>
        <w:t>173,929,375.18</w:t>
      </w:r>
      <w:r>
        <w:rPr/>
        <w:t>元留待以后年度分配。</w:t>
      </w:r>
    </w:p>
    <w:p>
      <w:pPr>
        <w:pStyle w:val="BodyText"/>
        <w:spacing w:line="240" w:lineRule="auto"/>
        <w:ind w:left="618" w:right="1780"/>
        <w:jc w:val="left"/>
      </w:pPr>
      <w:r>
        <w:rPr>
          <w:rFonts w:ascii="宋体" w:hAnsi="宋体" w:cs="宋体" w:eastAsia="宋体" w:hint="default"/>
        </w:rPr>
        <w:t>2012</w:t>
      </w:r>
      <w:r>
        <w:rPr/>
        <w:t>年利润分配预案需提交</w:t>
      </w:r>
      <w:r>
        <w:rPr>
          <w:rFonts w:ascii="宋体" w:hAnsi="宋体" w:cs="宋体" w:eastAsia="宋体" w:hint="default"/>
        </w:rPr>
        <w:t>2012</w:t>
      </w:r>
      <w:r>
        <w:rPr/>
        <w:t>年度股东大会审议。</w:t>
      </w:r>
    </w:p>
    <w:p>
      <w:pPr>
        <w:spacing w:after="0" w:line="240" w:lineRule="auto"/>
        <w:jc w:val="left"/>
        <w:sectPr>
          <w:pgSz w:w="11910" w:h="16840"/>
          <w:pgMar w:header="0" w:footer="1319" w:top="106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319" w:top="1060" w:bottom="1500" w:left="980" w:right="0"/>
        </w:sectPr>
      </w:pPr>
    </w:p>
    <w:p>
      <w:pPr>
        <w:pStyle w:val="BodyText"/>
        <w:spacing w:line="240" w:lineRule="auto" w:before="26"/>
        <w:ind w:right="-20"/>
        <w:jc w:val="left"/>
      </w:pPr>
      <w:r>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33" w:space="588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66,331,138.42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17.18%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64,970,176.54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45,202,806.42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16.51%</w:t>
            </w:r>
          </w:p>
        </w:tc>
      </w:tr>
    </w:tbl>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r>
        <w:rPr/>
        <w:t>十四、社会责任情况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982" w:firstLine="480"/>
        <w:jc w:val="left"/>
      </w:pPr>
      <w:r>
        <w:rPr>
          <w:spacing w:val="-3"/>
        </w:rPr>
        <w:t>报告期内，公司根据自身实际情况，以促进社会和谐为己任，致力于履行企业社会责任，</w:t>
      </w:r>
      <w:r>
        <w:rPr/>
        <w:t> 不仅认真履行对股东、员工等方面应尽的责任和义务，更努力为社会公益事业做出力所能及</w:t>
      </w:r>
      <w:r>
        <w:rPr>
          <w:spacing w:val="-91"/>
        </w:rPr>
        <w:t> </w:t>
      </w:r>
      <w:r>
        <w:rPr>
          <w:spacing w:val="-91"/>
        </w:rPr>
      </w:r>
      <w:r>
        <w:rPr/>
        <w:t>的贡献，促进公司与社会、自然的协调、和谐发展。公司不断完善治理体系，提升社会责任</w:t>
      </w:r>
      <w:r>
        <w:rPr>
          <w:spacing w:val="-91"/>
        </w:rPr>
        <w:t> </w:t>
      </w:r>
      <w:r>
        <w:rPr>
          <w:spacing w:val="-91"/>
        </w:rPr>
      </w:r>
      <w:r>
        <w:rPr/>
        <w:t>管理体系的建设，继续支持社会公益，为和谐社会作出应有的贡献。</w:t>
      </w:r>
    </w:p>
    <w:p>
      <w:pPr>
        <w:pStyle w:val="BodyText"/>
        <w:spacing w:line="357" w:lineRule="auto"/>
        <w:ind w:left="633" w:right="6313"/>
        <w:jc w:val="left"/>
      </w:pPr>
      <w:r>
        <w:rPr/>
        <w:t>（一）不断完善内部制度，规范运作 </w:t>
      </w:r>
      <w:r>
        <w:rPr>
          <w:rFonts w:ascii="宋体" w:hAnsi="宋体" w:cs="宋体" w:eastAsia="宋体" w:hint="default"/>
        </w:rPr>
        <w:t>1</w:t>
      </w:r>
      <w:r>
        <w:rPr/>
        <w:t>、加强公司内控管理、完善公司制度</w:t>
      </w:r>
    </w:p>
    <w:p>
      <w:pPr>
        <w:pStyle w:val="BodyText"/>
        <w:spacing w:line="357" w:lineRule="auto"/>
        <w:ind w:right="1131" w:firstLine="480"/>
        <w:jc w:val="both"/>
      </w:pPr>
      <w:r>
        <w:rPr>
          <w:spacing w:val="-2"/>
        </w:rPr>
        <w:t>报告期内，公司着力于补充、完善内控制度，制定了《未来三年（</w:t>
      </w:r>
      <w:r>
        <w:rPr>
          <w:rFonts w:ascii="宋体" w:hAnsi="宋体" w:cs="宋体" w:eastAsia="宋体" w:hint="default"/>
          <w:spacing w:val="-2"/>
        </w:rPr>
        <w:t>2012</w:t>
      </w:r>
      <w:r>
        <w:rPr>
          <w:spacing w:val="-2"/>
        </w:rPr>
        <w:t>年</w:t>
      </w:r>
      <w:r>
        <w:rPr>
          <w:rFonts w:ascii="宋体" w:hAnsi="宋体" w:cs="宋体" w:eastAsia="宋体" w:hint="default"/>
          <w:spacing w:val="-2"/>
        </w:rPr>
        <w:t>-2014</w:t>
      </w:r>
      <w:r>
        <w:rPr>
          <w:spacing w:val="-2"/>
        </w:rPr>
        <w:t>年）股东</w:t>
      </w:r>
      <w:r>
        <w:rPr/>
        <w:t> 回报规划》，修订了《公司章程》，通过上述措施，完善、加强了公司内控管理，维护了股</w:t>
      </w:r>
      <w:r>
        <w:rPr>
          <w:spacing w:val="-87"/>
        </w:rPr>
        <w:t> </w:t>
      </w:r>
      <w:r>
        <w:rPr>
          <w:spacing w:val="-87"/>
        </w:rPr>
      </w:r>
      <w:r>
        <w:rPr/>
        <w:t>东的合法权益。</w:t>
      </w:r>
    </w:p>
    <w:p>
      <w:pPr>
        <w:pStyle w:val="BodyText"/>
        <w:spacing w:line="357" w:lineRule="auto"/>
        <w:ind w:left="633" w:right="1123"/>
        <w:jc w:val="left"/>
      </w:pPr>
      <w:r>
        <w:rPr>
          <w:rFonts w:ascii="宋体" w:hAnsi="宋体" w:cs="宋体" w:eastAsia="宋体" w:hint="default"/>
        </w:rPr>
        <w:t>2</w:t>
      </w:r>
      <w:r>
        <w:rPr/>
        <w:t>、维护股东权益，特别是维护中小股东权益 公司严格按照《上市公司股东大会规则》和《公司章程》的规定和要求，确保所有股东</w:t>
      </w:r>
    </w:p>
    <w:p>
      <w:pPr>
        <w:pStyle w:val="BodyText"/>
        <w:spacing w:line="357" w:lineRule="auto"/>
        <w:ind w:right="1131"/>
        <w:jc w:val="both"/>
      </w:pPr>
      <w:r>
        <w:rPr/>
        <w:t>特别是中小股东的正当权益。公司严格按照公司法和中国证监会有关规定召集、召开股东大</w:t>
      </w:r>
      <w:r>
        <w:rPr>
          <w:spacing w:val="-87"/>
        </w:rPr>
        <w:t> </w:t>
      </w:r>
      <w:r>
        <w:rPr>
          <w:spacing w:val="-87"/>
        </w:rPr>
      </w:r>
      <w:r>
        <w:rPr/>
        <w:t>会，并请律师出席见证。报告期内共召开</w:t>
      </w:r>
      <w:r>
        <w:rPr>
          <w:rFonts w:ascii="宋体" w:hAnsi="宋体" w:cs="宋体" w:eastAsia="宋体" w:hint="default"/>
        </w:rPr>
        <w:t>1</w:t>
      </w:r>
      <w:r>
        <w:rPr/>
        <w:t>次年度股东大会，</w:t>
      </w:r>
      <w:r>
        <w:rPr>
          <w:rFonts w:ascii="宋体" w:hAnsi="宋体" w:cs="宋体" w:eastAsia="宋体" w:hint="default"/>
        </w:rPr>
        <w:t>2</w:t>
      </w:r>
      <w:r>
        <w:rPr/>
        <w:t>次临时股东大会。参会方式除</w:t>
      </w:r>
      <w:r>
        <w:rPr>
          <w:spacing w:val="-85"/>
        </w:rPr>
        <w:t> </w:t>
      </w:r>
      <w:r>
        <w:rPr>
          <w:spacing w:val="-85"/>
        </w:rPr>
      </w:r>
      <w:r>
        <w:rPr/>
        <w:t>了现场参会外，公司在决策重大事项时，主动提供网络投票的方式以最大限度的维护中小投</w:t>
      </w:r>
      <w:r>
        <w:rPr>
          <w:spacing w:val="-91"/>
        </w:rPr>
        <w:t> </w:t>
      </w:r>
      <w:r>
        <w:rPr>
          <w:spacing w:val="-91"/>
        </w:rPr>
      </w:r>
      <w:r>
        <w:rPr/>
        <w:t>资者利益。公司董事会办公室负责股东参会、登记等事宜，为中小股东参加股东大会提供便</w:t>
      </w:r>
      <w:r>
        <w:rPr>
          <w:spacing w:val="-91"/>
        </w:rPr>
        <w:t> </w:t>
      </w:r>
      <w:r>
        <w:rPr>
          <w:spacing w:val="-91"/>
        </w:rPr>
      </w:r>
      <w:r>
        <w:rPr/>
        <w:t>利。</w:t>
      </w:r>
    </w:p>
    <w:p>
      <w:pPr>
        <w:pStyle w:val="BodyText"/>
        <w:spacing w:line="357" w:lineRule="auto"/>
        <w:ind w:left="633" w:right="1123"/>
        <w:jc w:val="left"/>
      </w:pPr>
      <w:r>
        <w:rPr>
          <w:rFonts w:ascii="宋体" w:hAnsi="宋体" w:cs="宋体" w:eastAsia="宋体" w:hint="default"/>
        </w:rPr>
        <w:t>3</w:t>
      </w:r>
      <w:r>
        <w:rPr/>
        <w:t>、关于信息披露与透明度 公司根据监管部门的规范进行投资者来访咨询的接待工作，指定《中国证券报》和巨潮</w:t>
      </w:r>
    </w:p>
    <w:p>
      <w:pPr>
        <w:pStyle w:val="BodyText"/>
        <w:spacing w:line="240" w:lineRule="auto"/>
        <w:ind w:right="982"/>
        <w:jc w:val="left"/>
      </w:pPr>
      <w:r>
        <w:rPr/>
        <w:t>资讯网（</w:t>
      </w:r>
      <w:hyperlink r:id="rId11">
        <w:r>
          <w:rPr>
            <w:rFonts w:ascii="宋体" w:hAnsi="宋体" w:cs="宋体" w:eastAsia="宋体" w:hint="default"/>
          </w:rPr>
          <w:t>www.cninfo.com.cn</w:t>
        </w:r>
      </w:hyperlink>
      <w:r>
        <w:rPr/>
        <w:t>）作为公司制定信息披露媒体。公司严格按照有关法律法规的要</w:t>
      </w:r>
    </w:p>
    <w:p>
      <w:pPr>
        <w:pStyle w:val="BodyText"/>
        <w:spacing w:line="460" w:lineRule="atLeast" w:before="8"/>
        <w:ind w:right="1123"/>
        <w:jc w:val="left"/>
      </w:pPr>
      <w:r>
        <w:rPr/>
        <w:t>求，真实、准确、完整、及时地披露有关信息。公司注重与投资者沟通交流，制定了《投资</w:t>
      </w:r>
      <w:r>
        <w:rPr>
          <w:spacing w:val="-91"/>
        </w:rPr>
        <w:t> </w:t>
      </w:r>
      <w:r>
        <w:rPr>
          <w:spacing w:val="-91"/>
        </w:rPr>
      </w:r>
      <w:r>
        <w:rPr/>
        <w:t>者关系管理制度》，高效地利用“投资者关系互动平台”、“互动易”等工具与投资者，尤</w:t>
      </w:r>
    </w:p>
    <w:p>
      <w:pPr>
        <w:spacing w:after="0" w:line="460" w:lineRule="atLeast"/>
        <w:jc w:val="left"/>
        <w:sectPr>
          <w:type w:val="continuous"/>
          <w:pgSz w:w="11910" w:h="16840"/>
          <w:pgMar w:top="1060" w:bottom="1540" w:left="980" w:right="0"/>
        </w:sectPr>
      </w:pPr>
    </w:p>
    <w:p>
      <w:pPr>
        <w:spacing w:line="240" w:lineRule="auto" w:before="6"/>
        <w:rPr>
          <w:rFonts w:ascii="宋体" w:hAnsi="宋体" w:cs="宋体" w:eastAsia="宋体" w:hint="default"/>
          <w:sz w:val="29"/>
          <w:szCs w:val="29"/>
        </w:rPr>
      </w:pPr>
    </w:p>
    <w:p>
      <w:pPr>
        <w:pStyle w:val="BodyText"/>
        <w:spacing w:line="240" w:lineRule="auto" w:before="26"/>
        <w:ind w:right="1123"/>
        <w:jc w:val="left"/>
      </w:pPr>
      <w:r>
        <w:rPr/>
        <w:t>其是中小投资者、普通投资者适时沟通，更为集中有效地做好投资者关系的管理工作。</w:t>
      </w:r>
    </w:p>
    <w:p>
      <w:pPr>
        <w:pStyle w:val="BodyText"/>
        <w:spacing w:line="357" w:lineRule="auto" w:before="154"/>
        <w:ind w:left="633" w:right="982"/>
        <w:jc w:val="left"/>
      </w:pPr>
      <w:r>
        <w:rPr/>
        <w:t>（二）积极提供就业岗位，努力保护员工权益 </w:t>
      </w:r>
      <w:r>
        <w:rPr>
          <w:spacing w:val="-3"/>
        </w:rPr>
        <w:t>公司始终坚持以人为本的核心价值观，注重在竞争中选拔人才、使用人才，关心、爱护、</w:t>
      </w:r>
    </w:p>
    <w:p>
      <w:pPr>
        <w:pStyle w:val="BodyText"/>
        <w:spacing w:line="357" w:lineRule="auto"/>
        <w:ind w:right="1123"/>
        <w:jc w:val="left"/>
      </w:pPr>
      <w:r>
        <w:rPr/>
        <w:t>信任人才。关心员工的工作、生活、健康、安全，切实保护员工的各项权益，提升企业凝聚</w:t>
      </w:r>
      <w:r>
        <w:rPr>
          <w:spacing w:val="-91"/>
        </w:rPr>
        <w:t> </w:t>
      </w:r>
      <w:r>
        <w:rPr>
          <w:spacing w:val="-91"/>
        </w:rPr>
      </w:r>
      <w:r>
        <w:rPr/>
        <w:t>力，实现员工与企业的共同成长。</w:t>
      </w:r>
    </w:p>
    <w:p>
      <w:pPr>
        <w:pStyle w:val="BodyText"/>
        <w:spacing w:line="357" w:lineRule="auto"/>
        <w:ind w:right="996" w:firstLine="480"/>
        <w:jc w:val="left"/>
      </w:pPr>
      <w:r>
        <w:rPr>
          <w:rFonts w:ascii="宋体" w:hAnsi="宋体" w:cs="宋体" w:eastAsia="宋体" w:hint="default"/>
          <w:spacing w:val="-3"/>
        </w:rPr>
        <w:t>1</w:t>
      </w:r>
      <w:r>
        <w:rPr>
          <w:spacing w:val="-3"/>
        </w:rPr>
        <w:t>、规范用工制度。公司实行劳动合同制，按照《中华人民共和国劳动合同法》和有关劳</w:t>
      </w:r>
      <w:r>
        <w:rPr/>
        <w:t> </w:t>
      </w:r>
      <w:r>
        <w:rPr>
          <w:spacing w:val="-2"/>
        </w:rPr>
        <w:t>动法律法规的规定，严格执行国家用工制度、劳动保护制度、社会保障制度和医疗保障制度，</w:t>
      </w:r>
      <w:r>
        <w:rPr/>
        <w:t> 按照国家及当地主管部门的规定、要求，为企业员工缴纳医疗保险金、养老保险金、失业保</w:t>
      </w:r>
      <w:r>
        <w:rPr>
          <w:spacing w:val="-91"/>
        </w:rPr>
        <w:t> </w:t>
      </w:r>
      <w:r>
        <w:rPr>
          <w:spacing w:val="-91"/>
        </w:rPr>
      </w:r>
      <w:r>
        <w:rPr/>
        <w:t>险金、工伤保险金、生育保险金和住房公积金。</w:t>
      </w:r>
    </w:p>
    <w:p>
      <w:pPr>
        <w:pStyle w:val="BodyText"/>
        <w:spacing w:line="357" w:lineRule="auto"/>
        <w:ind w:right="1130" w:firstLine="480"/>
        <w:jc w:val="both"/>
      </w:pPr>
      <w:r>
        <w:rPr>
          <w:rFonts w:ascii="宋体" w:hAnsi="宋体" w:cs="宋体" w:eastAsia="宋体" w:hint="default"/>
          <w:spacing w:val="-3"/>
        </w:rPr>
        <w:t>2</w:t>
      </w:r>
      <w:r>
        <w:rPr>
          <w:spacing w:val="-3"/>
        </w:rPr>
        <w:t>、关注员工的身心健康和个人成长。公司安排一年一次的体检，组织公司运动会和员工</w:t>
      </w:r>
      <w:r>
        <w:rPr/>
        <w:t> 旅游。支持工会等组织建设工作，维护员工合法权益，积极开展各类文体和培训活动，创造</w:t>
      </w:r>
      <w:r>
        <w:rPr>
          <w:spacing w:val="-89"/>
        </w:rPr>
        <w:t> </w:t>
      </w:r>
      <w:r>
        <w:rPr>
          <w:spacing w:val="-89"/>
        </w:rPr>
      </w:r>
      <w:r>
        <w:rPr/>
        <w:t>平等的发展机会。</w:t>
      </w:r>
    </w:p>
    <w:p>
      <w:pPr>
        <w:pStyle w:val="BodyText"/>
        <w:spacing w:line="357" w:lineRule="auto"/>
        <w:ind w:right="1123" w:firstLine="480"/>
        <w:jc w:val="left"/>
      </w:pPr>
      <w:r>
        <w:rPr>
          <w:rFonts w:ascii="宋体" w:hAnsi="宋体" w:cs="宋体" w:eastAsia="宋体" w:hint="default"/>
          <w:spacing w:val="-3"/>
        </w:rPr>
        <w:t>3</w:t>
      </w:r>
      <w:r>
        <w:rPr>
          <w:spacing w:val="-3"/>
        </w:rPr>
        <w:t>、积极参加所属社区的活动，关心社会弱势群体，为他们送温暖、献爱心。支持相关行</w:t>
      </w:r>
      <w:r>
        <w:rPr/>
        <w:t> 业协会的工作，献言献策。做到内外兼修，实现企业与社会共发展、人类与环境和谐发展。</w:t>
      </w:r>
    </w:p>
    <w:p>
      <w:pPr>
        <w:pStyle w:val="BodyText"/>
        <w:spacing w:line="357" w:lineRule="auto"/>
        <w:ind w:right="1123" w:firstLine="480"/>
        <w:jc w:val="left"/>
      </w:pPr>
      <w:r>
        <w:rPr/>
        <w:t>（三）公司致力于与客户建立良好的合作关系。为客户提供优质的服务，是公司可持续 发展战略的重要内容，以履行上市公司应有的社会责任。</w:t>
      </w:r>
    </w:p>
    <w:p>
      <w:pPr>
        <w:spacing w:line="240" w:lineRule="auto" w:before="11"/>
        <w:rPr>
          <w:rFonts w:ascii="宋体" w:hAnsi="宋体" w:cs="宋体" w:eastAsia="宋体" w:hint="default"/>
          <w:sz w:val="19"/>
          <w:szCs w:val="19"/>
        </w:rPr>
      </w:pPr>
    </w:p>
    <w:p>
      <w:pPr>
        <w:pStyle w:val="Heading2"/>
        <w:spacing w:line="240" w:lineRule="auto" w:before="0"/>
        <w:ind w:right="1780"/>
        <w:jc w:val="left"/>
        <w:rPr>
          <w:b w:val="0"/>
          <w:bCs w:val="0"/>
        </w:rPr>
      </w:pPr>
      <w:r>
        <w:rPr/>
        <w:t>十五、报告期内接待调研、沟通、采访等活动登记表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056"/>
        <w:gridCol w:w="994"/>
        <w:gridCol w:w="708"/>
        <w:gridCol w:w="3231"/>
        <w:gridCol w:w="2086"/>
      </w:tblGrid>
      <w:tr>
        <w:trPr>
          <w:trHeight w:val="71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平安资产管理有限公司 投资管理部</w:t>
            </w:r>
            <w:r>
              <w:rPr>
                <w:rFonts w:ascii="宋体" w:hAnsi="宋体" w:cs="宋体" w:eastAsia="宋体" w:hint="default"/>
                <w:spacing w:val="2"/>
                <w:sz w:val="18"/>
                <w:szCs w:val="18"/>
              </w:rPr>
              <w:t> </w:t>
            </w:r>
            <w:r>
              <w:rPr>
                <w:rFonts w:ascii="宋体" w:hAnsi="宋体" w:cs="宋体" w:eastAsia="宋体" w:hint="default"/>
                <w:sz w:val="18"/>
                <w:szCs w:val="18"/>
              </w:rPr>
              <w:t>行</w:t>
            </w:r>
            <w:r>
              <w:rPr>
                <w:rFonts w:ascii="宋体" w:hAnsi="宋体" w:cs="宋体" w:eastAsia="宋体" w:hint="default"/>
                <w:sz w:val="18"/>
                <w:szCs w:val="18"/>
              </w:rPr>
              <w:t> 业研究经理</w:t>
            </w:r>
            <w:r>
              <w:rPr>
                <w:rFonts w:ascii="宋体" w:hAnsi="宋体" w:cs="宋体" w:eastAsia="宋体" w:hint="default"/>
                <w:spacing w:val="1"/>
                <w:sz w:val="18"/>
                <w:szCs w:val="18"/>
              </w:rPr>
              <w:t> </w:t>
            </w:r>
            <w:r>
              <w:rPr>
                <w:rFonts w:ascii="宋体" w:hAnsi="宋体" w:cs="宋体" w:eastAsia="宋体" w:hint="default"/>
                <w:sz w:val="18"/>
                <w:szCs w:val="18"/>
              </w:rPr>
              <w:t>姜军等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海通证券股份有限公司</w:t>
            </w:r>
            <w:r>
              <w:rPr>
                <w:rFonts w:ascii="宋体" w:hAnsi="宋体" w:cs="宋体" w:eastAsia="宋体" w:hint="default"/>
                <w:spacing w:val="1"/>
                <w:sz w:val="18"/>
                <w:szCs w:val="18"/>
              </w:rPr>
              <w:t> </w:t>
            </w:r>
            <w:r>
              <w:rPr>
                <w:rFonts w:ascii="宋体" w:hAnsi="宋体" w:cs="宋体" w:eastAsia="宋体" w:hint="default"/>
                <w:sz w:val="18"/>
                <w:szCs w:val="18"/>
              </w:rPr>
              <w:t>计算机与通信行</w:t>
            </w:r>
            <w:r>
              <w:rPr>
                <w:rFonts w:ascii="宋体" w:hAnsi="宋体" w:cs="宋体" w:eastAsia="宋体" w:hint="default"/>
                <w:sz w:val="18"/>
                <w:szCs w:val="18"/>
              </w:rPr>
              <w:t> 业分析师</w:t>
            </w:r>
            <w:r>
              <w:rPr>
                <w:rFonts w:ascii="宋体" w:hAnsi="宋体" w:cs="宋体" w:eastAsia="宋体" w:hint="default"/>
                <w:spacing w:val="1"/>
                <w:sz w:val="18"/>
                <w:szCs w:val="18"/>
              </w:rPr>
              <w:t> </w:t>
            </w:r>
            <w:r>
              <w:rPr>
                <w:rFonts w:ascii="宋体" w:hAnsi="宋体" w:cs="宋体" w:eastAsia="宋体" w:hint="default"/>
                <w:sz w:val="18"/>
                <w:szCs w:val="18"/>
              </w:rPr>
              <w:t>蒋科等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日信证券有限责任公司 </w:t>
            </w:r>
            <w:r>
              <w:rPr>
                <w:rFonts w:ascii="Times New Roman" w:hAnsi="Times New Roman" w:cs="Times New Roman" w:eastAsia="Times New Roman" w:hint="default"/>
                <w:sz w:val="18"/>
                <w:szCs w:val="18"/>
              </w:rPr>
              <w:t>TMT </w:t>
            </w:r>
            <w:r>
              <w:rPr>
                <w:rFonts w:ascii="宋体" w:hAnsi="宋体" w:cs="宋体" w:eastAsia="宋体" w:hint="default"/>
                <w:sz w:val="18"/>
                <w:szCs w:val="18"/>
              </w:rPr>
              <w:t>行业</w:t>
            </w:r>
            <w:r>
              <w:rPr>
                <w:rFonts w:ascii="宋体" w:hAnsi="宋体" w:cs="宋体" w:eastAsia="宋体" w:hint="default"/>
                <w:spacing w:val="1"/>
                <w:sz w:val="18"/>
                <w:szCs w:val="18"/>
              </w:rPr>
              <w:t> </w:t>
            </w:r>
            <w:r>
              <w:rPr>
                <w:rFonts w:ascii="宋体" w:hAnsi="宋体" w:cs="宋体" w:eastAsia="宋体" w:hint="default"/>
                <w:sz w:val="18"/>
                <w:szCs w:val="18"/>
              </w:rPr>
              <w:t>研究</w:t>
            </w:r>
            <w:r>
              <w:rPr>
                <w:rFonts w:ascii="宋体" w:hAnsi="宋体" w:cs="宋体" w:eastAsia="宋体" w:hint="default"/>
                <w:sz w:val="18"/>
                <w:szCs w:val="18"/>
              </w:rPr>
              <w:t> 员</w:t>
            </w:r>
            <w:r>
              <w:rPr>
                <w:rFonts w:ascii="宋体" w:hAnsi="宋体" w:cs="宋体" w:eastAsia="宋体" w:hint="default"/>
                <w:spacing w:val="1"/>
                <w:sz w:val="18"/>
                <w:szCs w:val="18"/>
              </w:rPr>
              <w:t> </w:t>
            </w:r>
            <w:r>
              <w:rPr>
                <w:rFonts w:ascii="宋体" w:hAnsi="宋体" w:cs="宋体" w:eastAsia="宋体" w:hint="default"/>
                <w:sz w:val="18"/>
                <w:szCs w:val="18"/>
              </w:rPr>
              <w:t>王立等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第一创业证券有限公司</w:t>
            </w:r>
            <w:r>
              <w:rPr>
                <w:rFonts w:ascii="宋体" w:hAnsi="宋体" w:cs="宋体" w:eastAsia="宋体" w:hint="default"/>
                <w:spacing w:val="1"/>
                <w:sz w:val="18"/>
                <w:szCs w:val="18"/>
              </w:rPr>
              <w:t> </w:t>
            </w:r>
            <w:r>
              <w:rPr>
                <w:rFonts w:ascii="宋体" w:hAnsi="宋体" w:cs="宋体" w:eastAsia="宋体" w:hint="default"/>
                <w:sz w:val="18"/>
                <w:szCs w:val="18"/>
              </w:rPr>
              <w:t>计算机行业研究</w:t>
            </w:r>
            <w:r>
              <w:rPr>
                <w:rFonts w:ascii="宋体" w:hAnsi="宋体" w:cs="宋体" w:eastAsia="宋体" w:hint="default"/>
                <w:sz w:val="18"/>
                <w:szCs w:val="18"/>
              </w:rPr>
              <w:t> 员</w:t>
            </w:r>
            <w:r>
              <w:rPr>
                <w:rFonts w:ascii="宋体" w:hAnsi="宋体" w:cs="宋体" w:eastAsia="宋体" w:hint="default"/>
                <w:spacing w:val="1"/>
                <w:sz w:val="18"/>
                <w:szCs w:val="18"/>
              </w:rPr>
              <w:t> </w:t>
            </w:r>
            <w:r>
              <w:rPr>
                <w:rFonts w:ascii="宋体" w:hAnsi="宋体" w:cs="宋体" w:eastAsia="宋体" w:hint="default"/>
                <w:sz w:val="18"/>
                <w:szCs w:val="18"/>
              </w:rPr>
              <w:t>叶欣等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瑞银证券有限责任公司 资产管理部</w:t>
            </w:r>
            <w:r>
              <w:rPr>
                <w:rFonts w:ascii="宋体" w:hAnsi="宋体" w:cs="宋体" w:eastAsia="宋体" w:hint="default"/>
                <w:spacing w:val="2"/>
                <w:sz w:val="18"/>
                <w:szCs w:val="18"/>
              </w:rPr>
              <w:t> </w:t>
            </w:r>
            <w:r>
              <w:rPr>
                <w:rFonts w:ascii="宋体" w:hAnsi="宋体" w:cs="宋体" w:eastAsia="宋体" w:hint="default"/>
                <w:sz w:val="18"/>
                <w:szCs w:val="18"/>
              </w:rPr>
              <w:t>董</w:t>
            </w:r>
            <w:r>
              <w:rPr>
                <w:rFonts w:ascii="宋体" w:hAnsi="宋体" w:cs="宋体" w:eastAsia="宋体" w:hint="default"/>
                <w:sz w:val="18"/>
                <w:szCs w:val="18"/>
              </w:rPr>
              <w:t> 事 研究总监</w:t>
            </w:r>
            <w:r>
              <w:rPr>
                <w:rFonts w:ascii="宋体" w:hAnsi="宋体" w:cs="宋体" w:eastAsia="宋体" w:hint="default"/>
                <w:spacing w:val="2"/>
                <w:sz w:val="18"/>
                <w:szCs w:val="18"/>
              </w:rPr>
              <w:t> </w:t>
            </w:r>
            <w:r>
              <w:rPr>
                <w:rFonts w:ascii="宋体" w:hAnsi="宋体" w:cs="宋体" w:eastAsia="宋体" w:hint="default"/>
                <w:sz w:val="18"/>
                <w:szCs w:val="18"/>
              </w:rPr>
              <w:t>阮钢</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海通证券股份有限公司</w:t>
            </w:r>
            <w:r>
              <w:rPr>
                <w:rFonts w:ascii="宋体" w:hAnsi="宋体" w:cs="宋体" w:eastAsia="宋体" w:hint="default"/>
                <w:spacing w:val="1"/>
                <w:sz w:val="18"/>
                <w:szCs w:val="18"/>
              </w:rPr>
              <w:t> </w:t>
            </w:r>
            <w:r>
              <w:rPr>
                <w:rFonts w:ascii="宋体" w:hAnsi="宋体" w:cs="宋体" w:eastAsia="宋体" w:hint="default"/>
                <w:sz w:val="18"/>
                <w:szCs w:val="18"/>
              </w:rPr>
              <w:t>计算机与通信行</w:t>
            </w:r>
            <w:r>
              <w:rPr>
                <w:rFonts w:ascii="宋体" w:hAnsi="宋体" w:cs="宋体" w:eastAsia="宋体" w:hint="default"/>
                <w:sz w:val="18"/>
                <w:szCs w:val="18"/>
              </w:rPr>
              <w:t> 业分析师</w:t>
            </w:r>
            <w:r>
              <w:rPr>
                <w:rFonts w:ascii="宋体" w:hAnsi="宋体" w:cs="宋体" w:eastAsia="宋体" w:hint="default"/>
                <w:spacing w:val="1"/>
                <w:sz w:val="18"/>
                <w:szCs w:val="18"/>
              </w:rPr>
              <w:t> </w:t>
            </w:r>
            <w:r>
              <w:rPr>
                <w:rFonts w:ascii="宋体" w:hAnsi="宋体" w:cs="宋体" w:eastAsia="宋体" w:hint="default"/>
                <w:sz w:val="18"/>
                <w:szCs w:val="18"/>
              </w:rPr>
              <w:t>蒋科等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光大证券股份有限公司 研究所</w:t>
            </w:r>
            <w:r>
              <w:rPr>
                <w:rFonts w:ascii="宋体" w:hAnsi="宋体" w:cs="宋体" w:eastAsia="宋体" w:hint="default"/>
                <w:spacing w:val="2"/>
                <w:sz w:val="18"/>
                <w:szCs w:val="18"/>
              </w:rPr>
              <w:t> </w:t>
            </w:r>
            <w:r>
              <w:rPr>
                <w:rFonts w:ascii="宋体" w:hAnsi="宋体" w:cs="宋体" w:eastAsia="宋体" w:hint="default"/>
                <w:sz w:val="18"/>
                <w:szCs w:val="18"/>
              </w:rPr>
              <w:t>分析师</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bl>
    <w:p>
      <w:pPr>
        <w:spacing w:after="0" w:line="240" w:lineRule="auto"/>
        <w:jc w:val="left"/>
        <w:rPr>
          <w:rFonts w:ascii="宋体" w:hAnsi="宋体" w:cs="宋体" w:eastAsia="宋体" w:hint="default"/>
          <w:sz w:val="18"/>
          <w:szCs w:val="18"/>
        </w:rPr>
        <w:sectPr>
          <w:pgSz w:w="11910" w:h="16840"/>
          <w:pgMar w:header="0" w:footer="1319"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056"/>
        <w:gridCol w:w="994"/>
        <w:gridCol w:w="708"/>
        <w:gridCol w:w="3231"/>
        <w:gridCol w:w="2086"/>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符建 浦俊懿等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兴业证券股份有限公司 研究员 傅臻等</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3"/>
              <w:jc w:val="left"/>
              <w:rPr>
                <w:rFonts w:ascii="宋体" w:hAnsi="宋体" w:cs="宋体" w:eastAsia="宋体" w:hint="default"/>
                <w:sz w:val="18"/>
                <w:szCs w:val="18"/>
              </w:rPr>
            </w:pPr>
            <w:r>
              <w:rPr>
                <w:rFonts w:ascii="宋体" w:hAnsi="宋体" w:cs="宋体" w:eastAsia="宋体" w:hint="default"/>
                <w:sz w:val="18"/>
                <w:szCs w:val="18"/>
              </w:rPr>
              <w:t>招商证券股份有限公司</w:t>
            </w:r>
            <w:r>
              <w:rPr>
                <w:rFonts w:ascii="宋体" w:hAnsi="宋体" w:cs="宋体" w:eastAsia="宋体" w:hint="default"/>
                <w:spacing w:val="1"/>
                <w:sz w:val="18"/>
                <w:szCs w:val="18"/>
              </w:rPr>
              <w:t> </w:t>
            </w:r>
            <w:r>
              <w:rPr>
                <w:rFonts w:ascii="宋体" w:hAnsi="宋体" w:cs="宋体" w:eastAsia="宋体" w:hint="default"/>
                <w:sz w:val="18"/>
                <w:szCs w:val="18"/>
              </w:rPr>
              <w:t>研究发展中心</w:t>
            </w:r>
            <w:r>
              <w:rPr>
                <w:rFonts w:ascii="宋体" w:hAnsi="宋体" w:cs="宋体" w:eastAsia="宋体" w:hint="default"/>
                <w:sz w:val="18"/>
                <w:szCs w:val="18"/>
              </w:rPr>
              <w:t> 分析师 刘雪峰等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诺安基金管理有限公司 投资部</w:t>
            </w:r>
            <w:r>
              <w:rPr>
                <w:rFonts w:ascii="宋体" w:hAnsi="宋体" w:cs="宋体" w:eastAsia="宋体" w:hint="default"/>
                <w:spacing w:val="2"/>
                <w:sz w:val="18"/>
                <w:szCs w:val="18"/>
              </w:rPr>
              <w:t> </w:t>
            </w:r>
            <w:r>
              <w:rPr>
                <w:rFonts w:ascii="宋体" w:hAnsi="宋体" w:cs="宋体" w:eastAsia="宋体" w:hint="default"/>
                <w:sz w:val="18"/>
                <w:szCs w:val="18"/>
              </w:rPr>
              <w:t>基金经</w:t>
            </w:r>
            <w:r>
              <w:rPr>
                <w:rFonts w:ascii="宋体" w:hAnsi="宋体" w:cs="宋体" w:eastAsia="宋体" w:hint="default"/>
                <w:sz w:val="18"/>
                <w:szCs w:val="18"/>
              </w:rPr>
              <w:t> 理</w:t>
            </w:r>
            <w:r>
              <w:rPr>
                <w:rFonts w:ascii="宋体" w:hAnsi="宋体" w:cs="宋体" w:eastAsia="宋体" w:hint="default"/>
                <w:spacing w:val="1"/>
                <w:sz w:val="18"/>
                <w:szCs w:val="18"/>
              </w:rPr>
              <w:t> </w:t>
            </w:r>
            <w:r>
              <w:rPr>
                <w:rFonts w:ascii="宋体" w:hAnsi="宋体" w:cs="宋体" w:eastAsia="宋体" w:hint="default"/>
                <w:sz w:val="18"/>
                <w:szCs w:val="18"/>
              </w:rPr>
              <w:t>周心鹏</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中国银河证券股份有限公司 研究部</w:t>
            </w:r>
            <w:r>
              <w:rPr>
                <w:rFonts w:ascii="宋体" w:hAnsi="宋体" w:cs="宋体" w:eastAsia="宋体" w:hint="default"/>
                <w:spacing w:val="2"/>
                <w:sz w:val="18"/>
                <w:szCs w:val="18"/>
              </w:rPr>
              <w:t> </w:t>
            </w:r>
            <w:r>
              <w:rPr>
                <w:rFonts w:ascii="宋体" w:hAnsi="宋体" w:cs="宋体" w:eastAsia="宋体" w:hint="default"/>
                <w:sz w:val="18"/>
                <w:szCs w:val="18"/>
              </w:rPr>
              <w:t>总</w:t>
            </w:r>
            <w:r>
              <w:rPr>
                <w:rFonts w:ascii="宋体" w:hAnsi="宋体" w:cs="宋体" w:eastAsia="宋体" w:hint="default"/>
                <w:sz w:val="18"/>
                <w:szCs w:val="18"/>
              </w:rPr>
              <w:t> 监</w:t>
            </w:r>
            <w:r>
              <w:rPr>
                <w:rFonts w:ascii="Times New Roman" w:hAnsi="Times New Roman" w:cs="Times New Roman" w:eastAsia="Times New Roman" w:hint="default"/>
                <w:sz w:val="18"/>
                <w:szCs w:val="18"/>
              </w:rPr>
              <w:t>/IT </w:t>
            </w:r>
            <w:r>
              <w:rPr>
                <w:rFonts w:ascii="宋体" w:hAnsi="宋体" w:cs="宋体" w:eastAsia="宋体" w:hint="default"/>
                <w:sz w:val="18"/>
                <w:szCs w:val="18"/>
              </w:rPr>
              <w:t>行业分析师 王家炜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太平资产管理有限公司研究部高级行业 研究员 </w:t>
            </w:r>
            <w:r>
              <w:rPr>
                <w:rFonts w:ascii="宋体" w:hAnsi="宋体" w:cs="宋体" w:eastAsia="宋体" w:hint="default"/>
                <w:spacing w:val="2"/>
                <w:sz w:val="18"/>
                <w:szCs w:val="18"/>
              </w:rPr>
              <w:t> </w:t>
            </w:r>
            <w:r>
              <w:rPr>
                <w:rFonts w:ascii="宋体" w:hAnsi="宋体" w:cs="宋体" w:eastAsia="宋体" w:hint="default"/>
                <w:sz w:val="18"/>
                <w:szCs w:val="18"/>
              </w:rPr>
              <w:t>王智等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4"/>
                <w:sz w:val="18"/>
                <w:szCs w:val="18"/>
              </w:rPr>
              <w:t>华泰证券计算机行业研究员信宗；中信证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券计算机行业分析师阳嘉嘉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海通证券股份有限公司</w:t>
            </w:r>
            <w:r>
              <w:rPr>
                <w:rFonts w:ascii="宋体" w:hAnsi="宋体" w:cs="宋体" w:eastAsia="宋体" w:hint="default"/>
                <w:spacing w:val="1"/>
                <w:sz w:val="18"/>
                <w:szCs w:val="18"/>
              </w:rPr>
              <w:t> </w:t>
            </w:r>
            <w:r>
              <w:rPr>
                <w:rFonts w:ascii="宋体" w:hAnsi="宋体" w:cs="宋体" w:eastAsia="宋体" w:hint="default"/>
                <w:sz w:val="18"/>
                <w:szCs w:val="18"/>
              </w:rPr>
              <w:t>计算机与通信行</w:t>
            </w:r>
            <w:r>
              <w:rPr>
                <w:rFonts w:ascii="宋体" w:hAnsi="宋体" w:cs="宋体" w:eastAsia="宋体" w:hint="default"/>
                <w:sz w:val="18"/>
                <w:szCs w:val="18"/>
              </w:rPr>
              <w:t> 业分析师陈美风、蒋科等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广发证券：黄亚森、刘人杰等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鹏华基金：吴凡等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交银施罗德：曹文俊等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平安保险 蔡晟平安资产</w:t>
            </w:r>
            <w:r>
              <w:rPr>
                <w:rFonts w:ascii="宋体" w:hAnsi="宋体" w:cs="宋体" w:eastAsia="宋体" w:hint="default"/>
                <w:spacing w:val="2"/>
                <w:sz w:val="18"/>
                <w:szCs w:val="18"/>
              </w:rPr>
              <w:t> </w:t>
            </w:r>
            <w:r>
              <w:rPr>
                <w:rFonts w:ascii="宋体" w:hAnsi="宋体" w:cs="宋体" w:eastAsia="宋体" w:hint="default"/>
                <w:sz w:val="18"/>
                <w:szCs w:val="18"/>
              </w:rPr>
              <w:t>姜军</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长城证券：刘深</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国泰君安：郝彪</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海通证券：童胜等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海通证券 蒋科；富国基金</w:t>
            </w:r>
            <w:r>
              <w:rPr>
                <w:rFonts w:ascii="宋体" w:hAnsi="宋体" w:cs="宋体" w:eastAsia="宋体" w:hint="default"/>
                <w:spacing w:val="2"/>
                <w:sz w:val="18"/>
                <w:szCs w:val="18"/>
              </w:rPr>
              <w:t> </w:t>
            </w:r>
            <w:r>
              <w:rPr>
                <w:rFonts w:ascii="宋体" w:hAnsi="宋体" w:cs="宋体" w:eastAsia="宋体" w:hint="default"/>
                <w:spacing w:val="-3"/>
                <w:sz w:val="18"/>
                <w:szCs w:val="18"/>
              </w:rPr>
              <w:t>肖晶</w:t>
            </w:r>
            <w:r>
              <w:rPr>
                <w:rFonts w:ascii="宋体" w:hAnsi="宋体" w:cs="宋体" w:eastAsia="宋体" w:hint="default"/>
                <w:sz w:val="18"/>
                <w:szCs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申银万国：龚浩、刘洋等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公司经营状况等相关内容</w:t>
            </w:r>
          </w:p>
        </w:tc>
      </w:tr>
    </w:tbl>
    <w:p>
      <w:pPr>
        <w:spacing w:after="0" w:line="240" w:lineRule="auto"/>
        <w:jc w:val="left"/>
        <w:rPr>
          <w:rFonts w:ascii="宋体" w:hAnsi="宋体" w:cs="宋体" w:eastAsia="宋体" w:hint="default"/>
          <w:sz w:val="18"/>
          <w:szCs w:val="18"/>
        </w:rPr>
        <w:sectPr>
          <w:pgSz w:w="11910" w:h="16840"/>
          <w:pgMar w:header="0" w:footer="1319"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588"/>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line="465" w:lineRule="auto" w:before="26"/>
        <w:ind w:left="152" w:right="6674"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468" w:lineRule="auto" w:before="74"/>
        <w:ind w:left="152" w:right="2114" w:firstLine="0"/>
        <w:jc w:val="left"/>
        <w:rPr>
          <w:rFonts w:ascii="宋体" w:hAnsi="宋体" w:cs="宋体" w:eastAsia="宋体" w:hint="default"/>
          <w:sz w:val="24"/>
          <w:szCs w:val="24"/>
        </w:rPr>
      </w:pPr>
      <w:r>
        <w:rPr>
          <w:rFonts w:ascii="宋体" w:hAnsi="宋体" w:cs="宋体" w:eastAsia="宋体" w:hint="default"/>
          <w:b/>
          <w:bCs/>
          <w:sz w:val="24"/>
          <w:szCs w:val="24"/>
        </w:rPr>
        <w:t>二、上市公司发生控股股东及其关联方非经营性占用资金情况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公司无控股股东，报告期内公司未发生控股股东及其关联方非经营性占用资金情况 </w:t>
      </w: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spacing w:line="470" w:lineRule="auto" w:before="70"/>
        <w:ind w:left="152" w:right="6674" w:firstLine="0"/>
        <w:jc w:val="left"/>
        <w:rPr>
          <w:rFonts w:ascii="宋体" w:hAnsi="宋体" w:cs="宋体" w:eastAsia="宋体" w:hint="default"/>
          <w:sz w:val="24"/>
          <w:szCs w:val="24"/>
        </w:rPr>
      </w:pPr>
      <w:r>
        <w:rPr>
          <w:rFonts w:ascii="宋体" w:hAnsi="宋体" w:cs="宋体" w:eastAsia="宋体" w:hint="default"/>
          <w:sz w:val="24"/>
          <w:szCs w:val="24"/>
        </w:rPr>
        <w:t>报告期内，公司未发生破产重整事项。 </w:t>
      </w:r>
      <w:r>
        <w:rPr>
          <w:rFonts w:ascii="宋体" w:hAnsi="宋体" w:cs="宋体" w:eastAsia="宋体" w:hint="default"/>
          <w:b/>
          <w:bCs/>
          <w:sz w:val="24"/>
          <w:szCs w:val="24"/>
        </w:rPr>
        <w:t>四、资产交易事项</w:t>
      </w:r>
      <w:r>
        <w:rPr>
          <w:rFonts w:ascii="宋体" w:hAnsi="宋体" w:cs="宋体" w:eastAsia="宋体" w:hint="default"/>
          <w:sz w:val="24"/>
          <w:szCs w:val="24"/>
        </w:rPr>
      </w:r>
    </w:p>
    <w:p>
      <w:pPr>
        <w:spacing w:line="482" w:lineRule="auto" w:before="95"/>
        <w:ind w:left="152" w:right="6658"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b/>
          <w:bCs/>
          <w:spacing w:val="-103"/>
          <w:sz w:val="21"/>
          <w:szCs w:val="21"/>
        </w:rPr>
        <w:t> </w:t>
      </w:r>
      <w:r>
        <w:rPr>
          <w:rFonts w:ascii="宋体" w:hAnsi="宋体" w:cs="宋体" w:eastAsia="宋体" w:hint="default"/>
          <w:sz w:val="24"/>
          <w:szCs w:val="24"/>
        </w:rPr>
        <w:t>报告期内，公司未发生收购资产情况。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b/>
          <w:bCs/>
          <w:spacing w:val="-103"/>
          <w:sz w:val="21"/>
          <w:szCs w:val="21"/>
        </w:rPr>
        <w:t> </w:t>
      </w:r>
      <w:r>
        <w:rPr>
          <w:rFonts w:ascii="宋体" w:hAnsi="宋体" w:cs="宋体" w:eastAsia="宋体" w:hint="default"/>
          <w:sz w:val="24"/>
          <w:szCs w:val="24"/>
        </w:rPr>
        <w:t>报告期内，公司未发生出售资产情况。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b/>
          <w:bCs/>
          <w:spacing w:val="-103"/>
          <w:sz w:val="21"/>
          <w:szCs w:val="21"/>
        </w:rPr>
        <w:t> </w:t>
      </w:r>
      <w:r>
        <w:rPr>
          <w:rFonts w:ascii="宋体" w:hAnsi="宋体" w:cs="宋体" w:eastAsia="宋体" w:hint="default"/>
          <w:sz w:val="24"/>
          <w:szCs w:val="24"/>
        </w:rPr>
        <w:t>报告期内，公司未发生企业合并情况。 </w:t>
      </w:r>
      <w:r>
        <w:rPr>
          <w:rFonts w:ascii="宋体" w:hAnsi="宋体" w:cs="宋体" w:eastAsia="宋体" w:hint="default"/>
          <w:b/>
          <w:bCs/>
          <w:sz w:val="24"/>
          <w:szCs w:val="24"/>
        </w:rPr>
        <w:t>五、公司股权激励的实施情况及其影响</w:t>
      </w:r>
      <w:r>
        <w:rPr>
          <w:rFonts w:ascii="宋体" w:hAnsi="宋体" w:cs="宋体" w:eastAsia="宋体" w:hint="default"/>
          <w:sz w:val="24"/>
          <w:szCs w:val="24"/>
        </w:rPr>
      </w:r>
    </w:p>
    <w:p>
      <w:pPr>
        <w:spacing w:line="357" w:lineRule="auto" w:before="134"/>
        <w:ind w:left="645" w:right="1123" w:firstLine="0"/>
        <w:jc w:val="left"/>
        <w:rPr>
          <w:rFonts w:ascii="宋体" w:hAnsi="宋体" w:cs="宋体" w:eastAsia="宋体" w:hint="default"/>
          <w:sz w:val="24"/>
          <w:szCs w:val="24"/>
        </w:rPr>
      </w:pPr>
      <w:r>
        <w:rPr>
          <w:rFonts w:ascii="宋体" w:hAnsi="宋体" w:cs="宋体" w:eastAsia="宋体" w:hint="default"/>
          <w:b/>
          <w:bCs/>
          <w:sz w:val="24"/>
          <w:szCs w:val="24"/>
        </w:rPr>
        <w:t>（一）股权激励计划简述</w:t>
      </w:r>
      <w:r>
        <w:rPr>
          <w:rFonts w:ascii="宋体" w:hAnsi="宋体" w:cs="宋体" w:eastAsia="宋体" w:hint="default"/>
          <w:b/>
          <w:bCs/>
          <w:w w:val="99"/>
          <w:sz w:val="24"/>
          <w:szCs w:val="24"/>
        </w:rPr>
        <w:t> </w:t>
      </w:r>
      <w:r>
        <w:rPr>
          <w:rFonts w:ascii="宋体" w:hAnsi="宋体" w:cs="宋体" w:eastAsia="宋体" w:hint="default"/>
          <w:spacing w:val="-3"/>
          <w:sz w:val="24"/>
          <w:szCs w:val="24"/>
        </w:rPr>
        <w:t>2011</w:t>
      </w:r>
      <w:r>
        <w:rPr>
          <w:rFonts w:ascii="宋体" w:hAnsi="宋体" w:cs="宋体" w:eastAsia="宋体" w:hint="default"/>
          <w:spacing w:val="-3"/>
          <w:sz w:val="24"/>
          <w:szCs w:val="24"/>
        </w:rPr>
        <w:t>年</w:t>
      </w:r>
      <w:r>
        <w:rPr>
          <w:rFonts w:ascii="宋体" w:hAnsi="宋体" w:cs="宋体" w:eastAsia="宋体" w:hint="default"/>
          <w:spacing w:val="-3"/>
          <w:sz w:val="24"/>
          <w:szCs w:val="24"/>
        </w:rPr>
        <w:t>9</w:t>
      </w:r>
      <w:r>
        <w:rPr>
          <w:rFonts w:ascii="宋体" w:hAnsi="宋体" w:cs="宋体" w:eastAsia="宋体" w:hint="default"/>
          <w:spacing w:val="-3"/>
          <w:sz w:val="24"/>
          <w:szCs w:val="24"/>
        </w:rPr>
        <w:t>月</w:t>
      </w:r>
      <w:r>
        <w:rPr>
          <w:rFonts w:ascii="宋体" w:hAnsi="宋体" w:cs="宋体" w:eastAsia="宋体" w:hint="default"/>
          <w:spacing w:val="-3"/>
          <w:sz w:val="24"/>
          <w:szCs w:val="24"/>
        </w:rPr>
        <w:t>19</w:t>
      </w:r>
      <w:r>
        <w:rPr>
          <w:rFonts w:ascii="宋体" w:hAnsi="宋体" w:cs="宋体" w:eastAsia="宋体" w:hint="default"/>
          <w:spacing w:val="-3"/>
          <w:sz w:val="24"/>
          <w:szCs w:val="24"/>
        </w:rPr>
        <w:t>日，经公司第四届董事会提名·薪酬与考核委员会审议通过后，提交公司第</w:t>
      </w:r>
    </w:p>
    <w:p>
      <w:pPr>
        <w:pStyle w:val="BodyText"/>
        <w:spacing w:line="240" w:lineRule="auto" w:before="37"/>
        <w:ind w:left="164" w:right="0"/>
        <w:jc w:val="left"/>
      </w:pPr>
      <w:r>
        <w:rPr/>
        <w:t>四届董事会第九次会议及第四届监事会第七次会议审议并通</w:t>
      </w:r>
      <w:r>
        <w:rPr>
          <w:spacing w:val="-111"/>
        </w:rPr>
        <w:t>过</w:t>
      </w:r>
      <w:r>
        <w:rPr/>
        <w:t>《限制性股票激励计</w:t>
      </w:r>
      <w:r>
        <w:rPr>
          <w:spacing w:val="-111"/>
        </w:rPr>
        <w:t>划</w:t>
      </w:r>
      <w:r>
        <w:rPr/>
        <w:t>（草案</w:t>
      </w:r>
      <w:r>
        <w:rPr>
          <w:spacing w:val="-111"/>
        </w:rPr>
        <w:t>）</w:t>
      </w:r>
      <w:r>
        <w:rPr/>
        <w:t>》</w:t>
      </w:r>
    </w:p>
    <w:p>
      <w:pPr>
        <w:pStyle w:val="BodyText"/>
        <w:spacing w:line="357" w:lineRule="auto" w:before="154"/>
        <w:ind w:left="164" w:right="1262"/>
        <w:jc w:val="left"/>
      </w:pPr>
      <w:r>
        <w:rPr/>
        <w:t>（以下简称“激励计划”），监事会对激励对象名单发表了审核意见。上述内容于</w:t>
      </w:r>
      <w:r>
        <w:rPr>
          <w:rFonts w:ascii="宋体" w:hAnsi="宋体" w:cs="宋体" w:eastAsia="宋体" w:hint="default"/>
        </w:rPr>
        <w:t>2011</w:t>
      </w:r>
      <w:r>
        <w:rPr/>
        <w:t>年</w:t>
      </w:r>
      <w:r>
        <w:rPr>
          <w:rFonts w:ascii="宋体" w:hAnsi="宋体" w:cs="宋体" w:eastAsia="宋体" w:hint="default"/>
        </w:rPr>
        <w:t>9 </w:t>
      </w:r>
      <w:r>
        <w:rPr/>
        <w:t>月</w:t>
      </w:r>
      <w:r>
        <w:rPr>
          <w:rFonts w:ascii="宋体" w:hAnsi="宋体" w:cs="宋体" w:eastAsia="宋体" w:hint="default"/>
        </w:rPr>
        <w:t>21</w:t>
      </w:r>
      <w:r>
        <w:rPr/>
        <w:t>日披露在《中国证券报》及巨潮资讯网（公告号：</w:t>
      </w:r>
      <w:r>
        <w:rPr>
          <w:rFonts w:ascii="宋体" w:hAnsi="宋体" w:cs="宋体" w:eastAsia="宋体" w:hint="default"/>
        </w:rPr>
        <w:t>2011</w:t>
      </w:r>
      <w:r>
        <w:rPr/>
        <w:t>－</w:t>
      </w:r>
      <w:r>
        <w:rPr>
          <w:rFonts w:ascii="宋体" w:hAnsi="宋体" w:cs="宋体" w:eastAsia="宋体" w:hint="default"/>
        </w:rPr>
        <w:t>024</w:t>
      </w:r>
      <w:r>
        <w:rPr/>
        <w:t>）；</w:t>
      </w:r>
    </w:p>
    <w:p>
      <w:pPr>
        <w:pStyle w:val="BodyText"/>
        <w:spacing w:line="357" w:lineRule="auto"/>
        <w:ind w:left="200" w:right="1123" w:firstLine="480"/>
        <w:jc w:val="left"/>
      </w:pP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月初，收到深交所通知证监会备案无异议，并于</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9</w:t>
      </w:r>
      <w:r>
        <w:rPr>
          <w:spacing w:val="-1"/>
        </w:rPr>
        <w:t>日经</w:t>
      </w:r>
      <w:r>
        <w:rPr>
          <w:rFonts w:ascii="宋体" w:hAnsi="宋体" w:cs="宋体" w:eastAsia="宋体" w:hint="default"/>
          <w:spacing w:val="-1"/>
        </w:rPr>
        <w:t>2012</w:t>
      </w:r>
      <w:r>
        <w:rPr>
          <w:spacing w:val="-1"/>
        </w:rPr>
        <w:t>年度第一</w:t>
      </w:r>
      <w:r>
        <w:rPr/>
        <w:t> 次临时股东大会通过，股东大会决议披露于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10</w:t>
      </w:r>
      <w:r>
        <w:rPr/>
        <w:t>日的《中国证券报》及巨潮资讯网</w:t>
      </w:r>
    </w:p>
    <w:p>
      <w:pPr>
        <w:pStyle w:val="BodyText"/>
        <w:spacing w:line="240" w:lineRule="auto"/>
        <w:ind w:left="200" w:right="1780"/>
        <w:jc w:val="left"/>
      </w:pPr>
      <w:r>
        <w:rPr/>
        <w:t>（公告号：</w:t>
      </w:r>
      <w:r>
        <w:rPr>
          <w:rFonts w:ascii="宋体" w:hAnsi="宋体" w:cs="宋体" w:eastAsia="宋体" w:hint="default"/>
        </w:rPr>
        <w:t>2012-001</w:t>
      </w:r>
      <w:r>
        <w:rPr/>
        <w:t>）；</w:t>
      </w:r>
    </w:p>
    <w:p>
      <w:pPr>
        <w:spacing w:after="0" w:line="240" w:lineRule="auto"/>
        <w:jc w:val="left"/>
        <w:sectPr>
          <w:pgSz w:w="11910" w:h="16840"/>
          <w:pgMar w:header="0" w:footer="1319" w:top="1060" w:bottom="150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95" w:firstLine="456"/>
        <w:jc w:val="left"/>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日，授予条件成就后，公司第四届董事会第十四次会议及第四届监事会第九 次会议确定首期限制性股票的授予日为</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日、授予价格为每股</w:t>
      </w:r>
      <w:r>
        <w:rPr>
          <w:rFonts w:ascii="宋体" w:hAnsi="宋体" w:cs="宋体" w:eastAsia="宋体" w:hint="default"/>
        </w:rPr>
        <w:t>8.95</w:t>
      </w:r>
      <w:r>
        <w:rPr/>
        <w:t>元，共授予</w:t>
      </w:r>
      <w:r>
        <w:rPr>
          <w:rFonts w:ascii="宋体" w:hAnsi="宋体" w:cs="宋体" w:eastAsia="宋体" w:hint="default"/>
        </w:rPr>
        <w:t>203 </w:t>
      </w:r>
      <w:r>
        <w:rPr/>
        <w:t>万股。相关公告刊载于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11</w:t>
      </w:r>
      <w:r>
        <w:rPr/>
        <w:t>日《中国证券报》及巨潮资讯网（公告号：</w:t>
      </w:r>
      <w:r>
        <w:rPr>
          <w:rFonts w:ascii="宋体" w:hAnsi="宋体" w:cs="宋体" w:eastAsia="宋体" w:hint="default"/>
        </w:rPr>
        <w:t>2012-002</w:t>
      </w:r>
      <w:r>
        <w:rPr/>
        <w:t>、 </w:t>
      </w:r>
      <w:r>
        <w:rPr>
          <w:rFonts w:ascii="宋体" w:hAnsi="宋体" w:cs="宋体" w:eastAsia="宋体" w:hint="default"/>
        </w:rPr>
        <w:t>2012-003</w:t>
      </w:r>
      <w:r>
        <w:rPr/>
        <w:t>、</w:t>
      </w:r>
      <w:r>
        <w:rPr>
          <w:rFonts w:ascii="宋体" w:hAnsi="宋体" w:cs="宋体" w:eastAsia="宋体" w:hint="default"/>
        </w:rPr>
        <w:t>2012-004</w:t>
      </w:r>
      <w:r>
        <w:rPr/>
        <w:t>）；</w:t>
      </w:r>
    </w:p>
    <w:p>
      <w:pPr>
        <w:pStyle w:val="BodyText"/>
        <w:spacing w:line="357" w:lineRule="auto"/>
        <w:ind w:left="164" w:right="1128" w:firstLine="480"/>
        <w:jc w:val="both"/>
      </w:pP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日上述股权认购资金全部到位，</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日通过会计师事务所验资。</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rFonts w:ascii="宋体" w:hAnsi="宋体" w:cs="宋体" w:eastAsia="宋体" w:hint="default"/>
        </w:rPr>
        <w:t> </w:t>
      </w:r>
      <w:r>
        <w:rPr/>
        <w:t>日首期限制性股票授予股份完成股份登记，其上市日期为</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9</w:t>
      </w:r>
      <w:r>
        <w:rPr/>
        <w:t>日</w:t>
      </w:r>
      <w:r>
        <w:rPr>
          <w:rFonts w:ascii="宋体" w:hAnsi="宋体" w:cs="宋体" w:eastAsia="宋体" w:hint="default"/>
        </w:rPr>
        <w:t>(</w:t>
      </w:r>
      <w:r>
        <w:rPr/>
        <w:t>详见刊载于</w:t>
      </w:r>
      <w:r>
        <w:rPr>
          <w:rFonts w:ascii="宋体" w:hAnsi="宋体" w:cs="宋体" w:eastAsia="宋体" w:hint="default"/>
        </w:rPr>
        <w:t>2012</w:t>
      </w:r>
      <w:r>
        <w:rPr/>
        <w:t>年</w:t>
      </w:r>
      <w:r>
        <w:rPr>
          <w:rFonts w:ascii="宋体" w:hAnsi="宋体" w:cs="宋体" w:eastAsia="宋体" w:hint="default"/>
        </w:rPr>
        <w:t>2 </w:t>
      </w:r>
      <w:r>
        <w:rPr/>
        <w:t>月</w:t>
      </w:r>
      <w:r>
        <w:rPr>
          <w:rFonts w:ascii="宋体" w:hAnsi="宋体" w:cs="宋体" w:eastAsia="宋体" w:hint="default"/>
        </w:rPr>
        <w:t>8</w:t>
      </w:r>
      <w:r>
        <w:rPr/>
        <w:t>日《中国证券报》及巨潮资讯网公司的相关公告，公告号</w:t>
      </w:r>
      <w:r>
        <w:rPr>
          <w:rFonts w:ascii="宋体" w:hAnsi="宋体" w:cs="宋体" w:eastAsia="宋体" w:hint="default"/>
        </w:rPr>
        <w:t>:2012-006</w:t>
      </w:r>
      <w:r>
        <w:rPr/>
        <w:t>）。</w:t>
      </w:r>
    </w:p>
    <w:p>
      <w:pPr>
        <w:pStyle w:val="BodyText"/>
        <w:spacing w:line="357" w:lineRule="auto"/>
        <w:ind w:left="164" w:right="1011" w:firstLine="480"/>
        <w:jc w:val="left"/>
      </w:pPr>
      <w:r>
        <w:rPr>
          <w:rFonts w:ascii="宋体" w:hAnsi="宋体" w:cs="宋体" w:eastAsia="宋体" w:hint="default"/>
          <w:spacing w:val="-3"/>
        </w:rPr>
        <w:t>2013</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28</w:t>
      </w:r>
      <w:r>
        <w:rPr>
          <w:spacing w:val="-3"/>
        </w:rPr>
        <w:t>日，公司分别召开第四届董事会第二十次会议和第四届监事会第十四次会议</w:t>
      </w:r>
      <w:r>
        <w:rPr/>
        <w:t> </w:t>
      </w:r>
      <w:r>
        <w:rPr>
          <w:rFonts w:ascii="宋体" w:hAnsi="宋体" w:cs="宋体" w:eastAsia="宋体" w:hint="default"/>
          <w:spacing w:val="-5"/>
        </w:rPr>
        <w:t>(</w:t>
      </w:r>
      <w:r>
        <w:rPr>
          <w:spacing w:val="-5"/>
        </w:rPr>
        <w:t>详见刊载于</w:t>
      </w:r>
      <w:r>
        <w:rPr>
          <w:rFonts w:ascii="宋体" w:hAnsi="宋体" w:cs="宋体" w:eastAsia="宋体" w:hint="default"/>
          <w:spacing w:val="-5"/>
        </w:rPr>
        <w:t>2013</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29</w:t>
      </w:r>
      <w:r>
        <w:rPr>
          <w:spacing w:val="-5"/>
        </w:rPr>
        <w:t>日《中国证券报》及巨潮资讯网公司的相关公告，公告号</w:t>
      </w:r>
      <w:r>
        <w:rPr>
          <w:rFonts w:ascii="宋体" w:hAnsi="宋体" w:cs="宋体" w:eastAsia="宋体" w:hint="default"/>
          <w:spacing w:val="-5"/>
        </w:rPr>
        <w:t>:2013-001</w:t>
      </w:r>
      <w:r>
        <w:rPr>
          <w:spacing w:val="-5"/>
        </w:rPr>
        <w:t>、</w:t>
      </w:r>
      <w:r>
        <w:rPr>
          <w:spacing w:val="-84"/>
        </w:rPr>
        <w:t> </w:t>
      </w:r>
      <w:r>
        <w:rPr>
          <w:rFonts w:ascii="宋体" w:hAnsi="宋体" w:cs="宋体" w:eastAsia="宋体" w:hint="default"/>
        </w:rPr>
        <w:t>2013-002</w:t>
      </w:r>
      <w:r>
        <w:rPr/>
        <w:t>），审议并通过：</w:t>
      </w:r>
    </w:p>
    <w:p>
      <w:pPr>
        <w:pStyle w:val="BodyText"/>
        <w:spacing w:line="357" w:lineRule="auto"/>
        <w:ind w:right="1132" w:firstLine="456"/>
        <w:jc w:val="both"/>
      </w:pPr>
      <w:r>
        <w:rPr>
          <w:spacing w:val="-2"/>
        </w:rPr>
        <w:t>（</w:t>
      </w:r>
      <w:r>
        <w:rPr>
          <w:rFonts w:ascii="宋体" w:hAnsi="宋体" w:cs="宋体" w:eastAsia="宋体" w:hint="default"/>
          <w:spacing w:val="-2"/>
        </w:rPr>
        <w:t>1</w:t>
      </w:r>
      <w:r>
        <w:rPr>
          <w:spacing w:val="-2"/>
        </w:rPr>
        <w:t>）《关于回购注销部分已不符合激励条件的原激励对象已获授但尚未解锁的限制性股</w:t>
      </w:r>
      <w:r>
        <w:rPr/>
        <w:t> 票》。原激励对象方森离职，已不符合激励条件，公司将对激励对象方森的限制性股票之尚 未解锁部分全部进行回购注销。至此，公司于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日授予的首次限制性股票激励计划 的对象由</w:t>
      </w:r>
      <w:r>
        <w:rPr>
          <w:rFonts w:ascii="宋体" w:hAnsi="宋体" w:cs="宋体" w:eastAsia="宋体" w:hint="default"/>
        </w:rPr>
        <w:t>52</w:t>
      </w:r>
      <w:r>
        <w:rPr/>
        <w:t>名变更为</w:t>
      </w:r>
      <w:r>
        <w:rPr>
          <w:rFonts w:ascii="宋体" w:hAnsi="宋体" w:cs="宋体" w:eastAsia="宋体" w:hint="default"/>
        </w:rPr>
        <w:t>51</w:t>
      </w:r>
      <w:r>
        <w:rPr/>
        <w:t>名，共授予股份</w:t>
      </w:r>
      <w:r>
        <w:rPr>
          <w:rFonts w:ascii="宋体" w:hAnsi="宋体" w:cs="宋体" w:eastAsia="宋体" w:hint="default"/>
        </w:rPr>
        <w:t>2,000,000</w:t>
      </w:r>
      <w:r>
        <w:rPr/>
        <w:t>股；</w:t>
      </w:r>
    </w:p>
    <w:p>
      <w:pPr>
        <w:pStyle w:val="BodyText"/>
        <w:spacing w:line="357" w:lineRule="auto"/>
        <w:ind w:right="1034" w:firstLine="480"/>
        <w:jc w:val="left"/>
      </w:pPr>
      <w:r>
        <w:rPr/>
        <w:t>（</w:t>
      </w:r>
      <w:r>
        <w:rPr>
          <w:rFonts w:ascii="宋体" w:hAnsi="宋体" w:cs="宋体" w:eastAsia="宋体" w:hint="default"/>
        </w:rPr>
        <w:t>2</w:t>
      </w:r>
      <w:r>
        <w:rPr/>
        <w:t>）审议并通过《关于公司限制性股票激励计划第一个解锁期条件成就可解锁的议案》 同意按照激励计划的相关规定办理第一期限制性股票的解锁相关事宜。第一期限制性股票解</w:t>
      </w:r>
      <w:r>
        <w:rPr>
          <w:spacing w:val="-91"/>
        </w:rPr>
        <w:t> </w:t>
      </w:r>
      <w:r>
        <w:rPr>
          <w:spacing w:val="-91"/>
        </w:rPr>
      </w:r>
      <w:r>
        <w:rPr/>
        <w:t>锁数量为</w:t>
      </w:r>
      <w:r>
        <w:rPr>
          <w:rFonts w:ascii="宋体" w:hAnsi="宋体" w:cs="宋体" w:eastAsia="宋体" w:hint="default"/>
        </w:rPr>
        <w:t>600,000</w:t>
      </w:r>
      <w:r>
        <w:rPr/>
        <w:t>股，占公司当前股本总额的</w:t>
      </w:r>
      <w:r>
        <w:rPr>
          <w:rFonts w:ascii="宋体" w:hAnsi="宋体" w:cs="宋体" w:eastAsia="宋体" w:hint="default"/>
        </w:rPr>
        <w:t>0.53%</w:t>
      </w:r>
      <w:r>
        <w:rPr/>
        <w:t>。</w:t>
      </w:r>
    </w:p>
    <w:p>
      <w:pPr>
        <w:spacing w:line="357" w:lineRule="auto" w:before="36"/>
        <w:ind w:left="774" w:right="3268" w:hanging="12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b/>
          <w:bCs/>
          <w:sz w:val="24"/>
          <w:szCs w:val="24"/>
        </w:rPr>
        <w:t>关于满足股权激励计划设定的第一个解锁期解锁条件的说明</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、锁定期已满</w:t>
      </w:r>
    </w:p>
    <w:p>
      <w:pPr>
        <w:pStyle w:val="BodyText"/>
        <w:spacing w:line="357" w:lineRule="auto"/>
        <w:ind w:left="260" w:right="1061" w:firstLine="480"/>
        <w:jc w:val="both"/>
      </w:pPr>
      <w:r>
        <w:rPr>
          <w:spacing w:val="-8"/>
        </w:rPr>
        <w:t>根据公司《限制性股票激励计划》的相关规定，自激励对象获授相应限制性股票之日（授</w:t>
      </w:r>
      <w:r>
        <w:rPr/>
        <w:t> </w:t>
      </w:r>
      <w:r>
        <w:rPr>
          <w:spacing w:val="-2"/>
        </w:rPr>
        <w:t>予日，即</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日）起</w:t>
      </w:r>
      <w:r>
        <w:rPr>
          <w:rFonts w:ascii="宋体" w:hAnsi="宋体" w:cs="宋体" w:eastAsia="宋体" w:hint="default"/>
          <w:spacing w:val="-2"/>
        </w:rPr>
        <w:t>12</w:t>
      </w:r>
      <w:r>
        <w:rPr>
          <w:spacing w:val="-2"/>
        </w:rPr>
        <w:t>个月内为锁定期，自授予日满</w:t>
      </w:r>
      <w:r>
        <w:rPr>
          <w:rFonts w:ascii="宋体" w:hAnsi="宋体" w:cs="宋体" w:eastAsia="宋体" w:hint="default"/>
          <w:spacing w:val="-2"/>
        </w:rPr>
        <w:t>12</w:t>
      </w:r>
      <w:r>
        <w:rPr>
          <w:spacing w:val="-2"/>
        </w:rPr>
        <w:t>个月起至</w:t>
      </w:r>
      <w:r>
        <w:rPr>
          <w:rFonts w:ascii="宋体" w:hAnsi="宋体" w:cs="宋体" w:eastAsia="宋体" w:hint="default"/>
          <w:spacing w:val="-2"/>
        </w:rPr>
        <w:t>48</w:t>
      </w:r>
      <w:r>
        <w:rPr>
          <w:spacing w:val="-2"/>
        </w:rPr>
        <w:t>个月为解锁期。在</w:t>
      </w:r>
      <w:r>
        <w:rPr>
          <w:spacing w:val="-96"/>
        </w:rPr>
        <w:t> </w:t>
      </w:r>
      <w:r>
        <w:rPr>
          <w:spacing w:val="-96"/>
        </w:rPr>
      </w:r>
      <w:r>
        <w:rPr/>
        <w:t>解锁期内若达到本计划规定的限制性股票的解锁条件，激励对象可分别在授予日起</w:t>
      </w:r>
      <w:r>
        <w:rPr>
          <w:rFonts w:ascii="宋体" w:hAnsi="宋体" w:cs="宋体" w:eastAsia="宋体" w:hint="default"/>
        </w:rPr>
        <w:t>12</w:t>
      </w:r>
      <w:r>
        <w:rPr/>
        <w:t>个月、 </w:t>
      </w:r>
      <w:r>
        <w:rPr>
          <w:rFonts w:ascii="宋体" w:hAnsi="宋体" w:cs="宋体" w:eastAsia="宋体" w:hint="default"/>
          <w:spacing w:val="-4"/>
        </w:rPr>
        <w:t>24</w:t>
      </w:r>
      <w:r>
        <w:rPr>
          <w:spacing w:val="-4"/>
        </w:rPr>
        <w:t>个月、</w:t>
      </w:r>
      <w:r>
        <w:rPr>
          <w:rFonts w:ascii="宋体" w:hAnsi="宋体" w:cs="宋体" w:eastAsia="宋体" w:hint="default"/>
          <w:spacing w:val="-4"/>
        </w:rPr>
        <w:t>36</w:t>
      </w:r>
      <w:r>
        <w:rPr>
          <w:spacing w:val="-4"/>
        </w:rPr>
        <w:t>个月后分三期申请解锁所获授的限制性股票总量的</w:t>
      </w:r>
      <w:r>
        <w:rPr>
          <w:rFonts w:ascii="宋体" w:hAnsi="宋体" w:cs="宋体" w:eastAsia="宋体" w:hint="default"/>
          <w:spacing w:val="-4"/>
        </w:rPr>
        <w:t>30%</w:t>
      </w:r>
      <w:r>
        <w:rPr>
          <w:spacing w:val="-4"/>
        </w:rPr>
        <w:t>、</w:t>
      </w:r>
      <w:r>
        <w:rPr>
          <w:rFonts w:ascii="宋体" w:hAnsi="宋体" w:cs="宋体" w:eastAsia="宋体" w:hint="default"/>
          <w:spacing w:val="-4"/>
        </w:rPr>
        <w:t>30%</w:t>
      </w:r>
      <w:r>
        <w:rPr>
          <w:spacing w:val="-4"/>
        </w:rPr>
        <w:t>和</w:t>
      </w:r>
      <w:r>
        <w:rPr>
          <w:rFonts w:ascii="宋体" w:hAnsi="宋体" w:cs="宋体" w:eastAsia="宋体" w:hint="default"/>
          <w:spacing w:val="-4"/>
        </w:rPr>
        <w:t>40%</w:t>
      </w:r>
      <w:r>
        <w:rPr>
          <w:spacing w:val="-4"/>
        </w:rPr>
        <w:t>。由此，至</w:t>
      </w:r>
      <w:r>
        <w:rPr>
          <w:rFonts w:ascii="宋体" w:hAnsi="宋体" w:cs="宋体" w:eastAsia="宋体" w:hint="default"/>
          <w:spacing w:val="-4"/>
        </w:rPr>
        <w:t>2013</w:t>
      </w:r>
      <w:r>
        <w:rPr>
          <w:rFonts w:ascii="宋体" w:hAnsi="宋体" w:cs="宋体" w:eastAsia="宋体" w:hint="default"/>
          <w:spacing w:val="-116"/>
        </w:rPr>
        <w:t> </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9</w:t>
      </w:r>
      <w:r>
        <w:rPr>
          <w:spacing w:val="-3"/>
        </w:rPr>
        <w:t>日，公司授予激励对象的限制性股票锁定期已届满</w:t>
      </w:r>
      <w:r>
        <w:rPr>
          <w:rFonts w:ascii="宋体" w:hAnsi="宋体" w:cs="宋体" w:eastAsia="宋体" w:hint="default"/>
          <w:spacing w:val="-3"/>
        </w:rPr>
        <w:t>, </w:t>
      </w:r>
      <w:r>
        <w:rPr/>
        <w:t>自授予日起</w:t>
      </w:r>
      <w:r>
        <w:rPr>
          <w:rFonts w:ascii="宋体" w:hAnsi="宋体" w:cs="宋体" w:eastAsia="宋体" w:hint="default"/>
        </w:rPr>
        <w:t>12</w:t>
      </w:r>
      <w:r>
        <w:rPr/>
        <w:t>个月后可申请解锁</w:t>
      </w:r>
      <w:r>
        <w:rPr>
          <w:spacing w:val="-106"/>
        </w:rPr>
        <w:t> </w:t>
      </w:r>
      <w:r>
        <w:rPr/>
        <w:t>所获授限制性股票总量的</w:t>
      </w:r>
      <w:r>
        <w:rPr>
          <w:rFonts w:ascii="宋体" w:hAnsi="宋体" w:cs="宋体" w:eastAsia="宋体" w:hint="default"/>
        </w:rPr>
        <w:t>30%</w:t>
      </w:r>
      <w:r>
        <w:rPr>
          <w:rFonts w:ascii="宋体" w:hAnsi="宋体" w:cs="宋体" w:eastAsia="宋体" w:hint="default"/>
          <w:spacing w:val="1"/>
        </w:rPr>
        <w:t> </w:t>
      </w:r>
      <w:r>
        <w:rPr/>
        <w:t>。</w:t>
      </w:r>
    </w:p>
    <w:p>
      <w:pPr>
        <w:pStyle w:val="BodyText"/>
        <w:spacing w:line="357" w:lineRule="auto"/>
        <w:ind w:left="741" w:right="1121" w:firstLine="14"/>
        <w:jc w:val="left"/>
      </w:pPr>
      <w:r>
        <w:rPr>
          <w:rFonts w:ascii="宋体" w:hAnsi="宋体" w:cs="宋体" w:eastAsia="宋体" w:hint="default"/>
        </w:rPr>
        <w:t>2</w:t>
      </w:r>
      <w:r>
        <w:rPr/>
        <w:t>、满足解锁条件情况说明 </w:t>
      </w:r>
      <w:r>
        <w:rPr>
          <w:spacing w:val="-2"/>
        </w:rPr>
        <w:t>公司董事会对激励激发第一期限制性股票解锁约定的业绩条件进行了审查，激励计划所</w:t>
      </w:r>
    </w:p>
    <w:p>
      <w:pPr>
        <w:pStyle w:val="BodyText"/>
        <w:spacing w:line="240" w:lineRule="auto"/>
        <w:ind w:left="260" w:right="1780"/>
        <w:jc w:val="left"/>
      </w:pPr>
      <w:r>
        <w:rPr/>
        <w:pict>
          <v:group style="position:absolute;margin-left:460.320007pt;margin-top:60.875622pt;width:135pt;height:77pt;mso-position-horizontal-relative:page;mso-position-vertical-relative:paragraph;z-index:-633280" coordorigin="9206,1218" coordsize="2700,1540">
            <v:shape style="position:absolute;left:9206;top:1218;width:2700;height:1540" type="#_x0000_t75" stroked="false">
              <v:imagedata r:id="rId14" o:title=""/>
            </v:shape>
            <v:shape style="position:absolute;left:10593;top:157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w10:wrap type="none"/>
          </v:group>
        </w:pict>
      </w:r>
      <w:r>
        <w:rPr/>
        <w:t>有解锁条件详见下表：</w:t>
      </w:r>
    </w:p>
    <w:p>
      <w:pPr>
        <w:spacing w:line="240" w:lineRule="auto" w:before="1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767"/>
        <w:gridCol w:w="4820"/>
      </w:tblGrid>
      <w:tr>
        <w:trPr>
          <w:trHeight w:val="348" w:hRule="exact"/>
        </w:trPr>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86" w:right="0"/>
              <w:jc w:val="left"/>
              <w:rPr>
                <w:rFonts w:ascii="宋体" w:hAnsi="宋体" w:cs="宋体" w:eastAsia="宋体" w:hint="default"/>
                <w:sz w:val="21"/>
                <w:szCs w:val="21"/>
              </w:rPr>
            </w:pPr>
            <w:r>
              <w:rPr>
                <w:rFonts w:ascii="宋体" w:hAnsi="宋体" w:cs="宋体" w:eastAsia="宋体" w:hint="default"/>
                <w:b/>
                <w:bCs/>
                <w:sz w:val="21"/>
                <w:szCs w:val="21"/>
              </w:rPr>
              <w:t>激励计划设定的第一个解锁期解锁条件</w:t>
            </w:r>
            <w:r>
              <w:rPr>
                <w:rFonts w:ascii="宋体" w:hAnsi="宋体" w:cs="宋体" w:eastAsia="宋体" w:hint="default"/>
                <w:sz w:val="21"/>
                <w:szCs w:val="21"/>
              </w:rPr>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246" w:right="0"/>
              <w:jc w:val="left"/>
              <w:rPr>
                <w:rFonts w:ascii="宋体" w:hAnsi="宋体" w:cs="宋体" w:eastAsia="宋体" w:hint="default"/>
                <w:sz w:val="21"/>
                <w:szCs w:val="21"/>
              </w:rPr>
            </w:pPr>
            <w:r>
              <w:rPr>
                <w:rFonts w:ascii="宋体" w:hAnsi="宋体" w:cs="宋体" w:eastAsia="宋体" w:hint="default"/>
                <w:b/>
                <w:bCs/>
                <w:sz w:val="21"/>
                <w:szCs w:val="21"/>
              </w:rPr>
              <w:t>是否达到解锁条件的说明</w:t>
            </w:r>
            <w:r>
              <w:rPr>
                <w:rFonts w:ascii="宋体" w:hAnsi="宋体" w:cs="宋体" w:eastAsia="宋体" w:hint="default"/>
                <w:sz w:val="21"/>
                <w:szCs w:val="21"/>
              </w:rPr>
            </w:r>
          </w:p>
        </w:tc>
      </w:tr>
      <w:tr>
        <w:trPr>
          <w:trHeight w:val="427" w:hRule="exact"/>
        </w:trPr>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、公司业绩条件：</w:t>
            </w:r>
            <w:r>
              <w:rPr>
                <w:rFonts w:ascii="宋体" w:hAnsi="宋体" w:cs="宋体" w:eastAsia="宋体" w:hint="default"/>
                <w:sz w:val="21"/>
                <w:szCs w:val="21"/>
              </w:rPr>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年度公司归属于上市公司股东的净利润为</w:t>
            </w:r>
          </w:p>
        </w:tc>
      </w:tr>
    </w:tbl>
    <w:p>
      <w:pPr>
        <w:spacing w:after="0" w:line="288" w:lineRule="exact"/>
        <w:jc w:val="left"/>
        <w:rPr>
          <w:rFonts w:ascii="宋体" w:hAnsi="宋体" w:cs="宋体" w:eastAsia="宋体" w:hint="default"/>
          <w:sz w:val="21"/>
          <w:szCs w:val="21"/>
        </w:rPr>
        <w:sectPr>
          <w:headerReference w:type="default" r:id="rId21"/>
          <w:footerReference w:type="default" r:id="rId22"/>
          <w:pgSz w:w="11910" w:h="16840"/>
          <w:pgMar w:header="876"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767"/>
        <w:gridCol w:w="4820"/>
      </w:tblGrid>
      <w:tr>
        <w:trPr>
          <w:trHeight w:val="1908" w:hRule="exact"/>
        </w:trPr>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112" w:right="12" w:firstLine="420"/>
              <w:jc w:val="both"/>
              <w:rPr>
                <w:rFonts w:ascii="宋体" w:hAnsi="宋体" w:cs="宋体" w:eastAsia="宋体" w:hint="default"/>
                <w:sz w:val="21"/>
                <w:szCs w:val="21"/>
              </w:rPr>
            </w:pPr>
            <w:r>
              <w:rPr>
                <w:rFonts w:ascii="宋体" w:hAnsi="宋体" w:cs="宋体" w:eastAsia="宋体" w:hint="default"/>
                <w:spacing w:val="-1"/>
                <w:sz w:val="21"/>
                <w:szCs w:val="21"/>
              </w:rPr>
              <w:t>以</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年度净利润为基准，</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年度的净利润</w:t>
            </w:r>
            <w:r>
              <w:rPr>
                <w:rFonts w:ascii="宋体" w:hAnsi="宋体" w:cs="宋体" w:eastAsia="宋体" w:hint="default"/>
                <w:w w:val="100"/>
                <w:sz w:val="21"/>
                <w:szCs w:val="21"/>
              </w:rPr>
              <w:t> </w:t>
            </w:r>
            <w:r>
              <w:rPr>
                <w:rFonts w:ascii="宋体" w:hAnsi="宋体" w:cs="宋体" w:eastAsia="宋体" w:hint="default"/>
                <w:sz w:val="21"/>
                <w:szCs w:val="21"/>
              </w:rPr>
              <w:t>增长率不低于</w:t>
            </w:r>
            <w:r>
              <w:rPr>
                <w:rFonts w:ascii="Times New Roman" w:hAnsi="Times New Roman" w:cs="Times New Roman" w:eastAsia="Times New Roman" w:hint="default"/>
                <w:sz w:val="21"/>
                <w:szCs w:val="21"/>
              </w:rPr>
              <w:t>50%</w:t>
            </w:r>
            <w:r>
              <w:rPr>
                <w:rFonts w:ascii="宋体" w:hAnsi="宋体" w:cs="宋体" w:eastAsia="宋体" w:hint="default"/>
                <w:sz w:val="21"/>
                <w:szCs w:val="21"/>
              </w:rPr>
              <w:t>，同时加权平均净资产收益率不</w:t>
            </w:r>
            <w:r>
              <w:rPr>
                <w:rFonts w:ascii="宋体" w:hAnsi="宋体" w:cs="宋体" w:eastAsia="宋体" w:hint="default"/>
                <w:w w:val="100"/>
                <w:sz w:val="21"/>
                <w:szCs w:val="21"/>
              </w:rPr>
              <w:t> </w:t>
            </w:r>
            <w:r>
              <w:rPr>
                <w:rFonts w:ascii="宋体" w:hAnsi="宋体" w:cs="宋体" w:eastAsia="宋体" w:hint="default"/>
                <w:sz w:val="21"/>
                <w:szCs w:val="21"/>
              </w:rPr>
              <w:t>低于</w:t>
            </w:r>
            <w:r>
              <w:rPr>
                <w:rFonts w:ascii="Times New Roman" w:hAnsi="Times New Roman" w:cs="Times New Roman" w:eastAsia="Times New Roman" w:hint="default"/>
                <w:sz w:val="21"/>
                <w:szCs w:val="21"/>
              </w:rPr>
              <w:t>16%</w:t>
            </w:r>
            <w:r>
              <w:rPr>
                <w:rFonts w:ascii="宋体" w:hAnsi="宋体" w:cs="宋体" w:eastAsia="宋体" w:hint="default"/>
                <w:sz w:val="21"/>
                <w:szCs w:val="21"/>
              </w:rPr>
              <w:t>；以上净利润指标均以扣除非经常性损益</w:t>
            </w:r>
            <w:r>
              <w:rPr>
                <w:rFonts w:ascii="宋体" w:hAnsi="宋体" w:cs="宋体" w:eastAsia="宋体" w:hint="default"/>
                <w:w w:val="100"/>
                <w:sz w:val="21"/>
                <w:szCs w:val="21"/>
              </w:rPr>
              <w:t> </w:t>
            </w:r>
            <w:r>
              <w:rPr>
                <w:rFonts w:ascii="宋体" w:hAnsi="宋体" w:cs="宋体" w:eastAsia="宋体" w:hint="default"/>
                <w:spacing w:val="-2"/>
                <w:sz w:val="21"/>
                <w:szCs w:val="21"/>
              </w:rPr>
              <w:t>的净利润与不扣除非经常性损益的净利润二者孰低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者为计算依据，净利润指归属于母公司所有者的净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利润。</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4"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64,970,176.54</w:t>
            </w:r>
            <w:r>
              <w:rPr>
                <w:rFonts w:ascii="宋体" w:hAnsi="宋体" w:cs="宋体" w:eastAsia="宋体" w:hint="default"/>
                <w:spacing w:val="-1"/>
                <w:sz w:val="21"/>
                <w:szCs w:val="21"/>
              </w:rPr>
              <w:t>元，比</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年度增长</w:t>
            </w:r>
            <w:r>
              <w:rPr>
                <w:rFonts w:ascii="Times New Roman" w:hAnsi="Times New Roman" w:cs="Times New Roman" w:eastAsia="Times New Roman" w:hint="default"/>
                <w:spacing w:val="-1"/>
                <w:sz w:val="21"/>
                <w:szCs w:val="21"/>
              </w:rPr>
              <w:t>43.73%</w:t>
            </w:r>
            <w:r>
              <w:rPr>
                <w:rFonts w:ascii="宋体" w:hAnsi="宋体" w:cs="宋体" w:eastAsia="宋体" w:hint="default"/>
                <w:spacing w:val="-1"/>
                <w:sz w:val="21"/>
                <w:szCs w:val="21"/>
              </w:rPr>
              <w:t>；归属于上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市公司股东的扣除非经常性损益的净利润为</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59,349,124.77</w:t>
            </w:r>
            <w:r>
              <w:rPr>
                <w:rFonts w:ascii="宋体" w:hAnsi="宋体" w:cs="宋体" w:eastAsia="宋体" w:hint="default"/>
                <w:spacing w:val="-1"/>
                <w:sz w:val="21"/>
                <w:szCs w:val="21"/>
              </w:rPr>
              <w:t>元，比</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年度增长</w:t>
            </w:r>
            <w:r>
              <w:rPr>
                <w:rFonts w:ascii="Times New Roman" w:hAnsi="Times New Roman" w:cs="Times New Roman" w:eastAsia="Times New Roman" w:hint="default"/>
                <w:spacing w:val="-1"/>
                <w:sz w:val="21"/>
                <w:szCs w:val="21"/>
              </w:rPr>
              <w:t>58.61%</w:t>
            </w:r>
            <w:r>
              <w:rPr>
                <w:rFonts w:ascii="宋体" w:hAnsi="宋体" w:cs="宋体" w:eastAsia="宋体" w:hint="default"/>
                <w:spacing w:val="-1"/>
                <w:sz w:val="21"/>
                <w:szCs w:val="21"/>
              </w:rPr>
              <w:t>；加权平均</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净资产收益率为</w:t>
            </w:r>
            <w:r>
              <w:rPr>
                <w:rFonts w:ascii="Times New Roman" w:hAnsi="Times New Roman" w:cs="Times New Roman" w:eastAsia="Times New Roman" w:hint="default"/>
                <w:spacing w:val="-4"/>
                <w:sz w:val="21"/>
                <w:szCs w:val="21"/>
              </w:rPr>
              <w:t>19.46%</w:t>
            </w:r>
            <w:r>
              <w:rPr>
                <w:rFonts w:ascii="宋体" w:hAnsi="宋体" w:cs="宋体" w:eastAsia="宋体" w:hint="default"/>
                <w:spacing w:val="-4"/>
                <w:sz w:val="21"/>
                <w:szCs w:val="21"/>
              </w:rPr>
              <w:t>，因此业绩条件达到，符合解</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锁条件。</w:t>
            </w:r>
          </w:p>
        </w:tc>
      </w:tr>
      <w:tr>
        <w:trPr>
          <w:trHeight w:val="2417" w:hRule="exact"/>
        </w:trPr>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、海隆软件未发生如下任一情形：</w:t>
            </w:r>
            <w:r>
              <w:rPr>
                <w:rFonts w:ascii="宋体" w:hAnsi="宋体" w:cs="宋体" w:eastAsia="宋体" w:hint="default"/>
                <w:sz w:val="21"/>
                <w:szCs w:val="21"/>
              </w:rPr>
            </w:r>
          </w:p>
          <w:p>
            <w:pPr>
              <w:pStyle w:val="TableParagraph"/>
              <w:spacing w:line="256" w:lineRule="auto" w:before="59"/>
              <w:ind w:left="4" w:right="1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）最近一个会计年度的财务会计报告被注册会计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师出具否定意见或者无法表示意见的审计报告；</w:t>
            </w:r>
          </w:p>
          <w:p>
            <w:pPr>
              <w:pStyle w:val="TableParagraph"/>
              <w:spacing w:line="256" w:lineRule="auto" w:before="63"/>
              <w:ind w:left="4" w:right="1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）最近一年内因重大违法违规行为被中国证监会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予以行政处罚；</w:t>
            </w:r>
          </w:p>
          <w:p>
            <w:pPr>
              <w:pStyle w:val="TableParagraph"/>
              <w:spacing w:line="259" w:lineRule="auto" w:before="63"/>
              <w:ind w:left="4" w:right="1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）中国证监会认定不能实行限制性股票激励计划</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的其他情形。</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19" w:right="0"/>
              <w:jc w:val="left"/>
              <w:rPr>
                <w:rFonts w:ascii="宋体" w:hAnsi="宋体" w:cs="宋体" w:eastAsia="宋体" w:hint="default"/>
                <w:sz w:val="21"/>
                <w:szCs w:val="21"/>
              </w:rPr>
            </w:pPr>
            <w:r>
              <w:rPr>
                <w:rFonts w:ascii="宋体" w:hAnsi="宋体" w:cs="宋体" w:eastAsia="宋体" w:hint="default"/>
                <w:sz w:val="21"/>
                <w:szCs w:val="21"/>
              </w:rPr>
              <w:t>公司未发生前述情形，满足解锁条件。</w:t>
            </w:r>
          </w:p>
        </w:tc>
      </w:tr>
      <w:tr>
        <w:trPr>
          <w:trHeight w:val="4061" w:hRule="exact"/>
        </w:trPr>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、激励对象未发生如下任一情形：</w:t>
            </w:r>
            <w:r>
              <w:rPr>
                <w:rFonts w:ascii="宋体" w:hAnsi="宋体" w:cs="宋体" w:eastAsia="宋体" w:hint="default"/>
                <w:sz w:val="21"/>
                <w:szCs w:val="21"/>
              </w:rPr>
            </w:r>
          </w:p>
          <w:p>
            <w:pPr>
              <w:pStyle w:val="TableParagraph"/>
              <w:spacing w:line="256" w:lineRule="auto" w:before="59"/>
              <w:ind w:left="4" w:right="1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）最近三年内被证券交易所公开谴责或宣布为不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适当人选的；</w:t>
            </w:r>
          </w:p>
          <w:p>
            <w:pPr>
              <w:pStyle w:val="TableParagraph"/>
              <w:spacing w:line="256" w:lineRule="auto" w:before="63"/>
              <w:ind w:left="4" w:right="1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）最近三年内因重大违法违规行为被中国证监会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予以行政处罚的；</w:t>
            </w:r>
          </w:p>
          <w:p>
            <w:pPr>
              <w:pStyle w:val="TableParagraph"/>
              <w:spacing w:line="256" w:lineRule="auto" w:before="63"/>
              <w:ind w:left="4" w:right="1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）具有《公司法》规定的不得担任公司董事、监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事、高级管理人员情形的；</w:t>
            </w:r>
          </w:p>
          <w:p>
            <w:pPr>
              <w:pStyle w:val="TableParagraph"/>
              <w:spacing w:line="240" w:lineRule="auto" w:before="61"/>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）激励对象单方面终止劳动合同；</w:t>
            </w:r>
          </w:p>
          <w:p>
            <w:pPr>
              <w:pStyle w:val="TableParagraph"/>
              <w:spacing w:line="268" w:lineRule="auto" w:before="62"/>
              <w:ind w:left="4" w:right="-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）公司有足够的证据证明被授予人在任职期间，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0"/>
                <w:w w:val="100"/>
                <w:sz w:val="21"/>
                <w:szCs w:val="21"/>
              </w:rPr>
              <w:t>由于受贿索贿、贪污盗窃、泄露公司经营和技术秘密</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w w:val="100"/>
                <w:sz w:val="21"/>
                <w:szCs w:val="21"/>
              </w:rPr>
              <w:t>实施关联交易损害公司利益、声誉和对公司形象有重</w:t>
            </w:r>
            <w:r>
              <w:rPr>
                <w:rFonts w:ascii="宋体" w:hAnsi="宋体" w:cs="宋体" w:eastAsia="宋体" w:hint="default"/>
                <w:w w:val="100"/>
                <w:sz w:val="21"/>
                <w:szCs w:val="21"/>
              </w:rPr>
              <w:t> </w:t>
            </w:r>
            <w:r>
              <w:rPr>
                <w:rFonts w:ascii="宋体" w:hAnsi="宋体" w:cs="宋体" w:eastAsia="宋体" w:hint="default"/>
                <w:sz w:val="21"/>
                <w:szCs w:val="21"/>
              </w:rPr>
              <w:t>大负面影响的行为，给公司造成损失的。</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0"/>
              <w:ind w:left="4" w:right="-3" w:firstLine="420"/>
              <w:jc w:val="both"/>
              <w:rPr>
                <w:rFonts w:ascii="宋体" w:hAnsi="宋体" w:cs="宋体" w:eastAsia="宋体" w:hint="default"/>
                <w:sz w:val="21"/>
                <w:szCs w:val="21"/>
              </w:rPr>
            </w:pPr>
            <w:r>
              <w:rPr>
                <w:rFonts w:ascii="宋体" w:hAnsi="宋体" w:cs="宋体" w:eastAsia="宋体" w:hint="default"/>
                <w:spacing w:val="-3"/>
                <w:sz w:val="21"/>
                <w:szCs w:val="21"/>
              </w:rPr>
              <w:t>自限制性股票授予日起至今，除原激励对象方森</w:t>
            </w:r>
            <w:r>
              <w:rPr>
                <w:rFonts w:ascii="宋体" w:hAnsi="宋体" w:cs="宋体" w:eastAsia="宋体" w:hint="default"/>
                <w:w w:val="100"/>
                <w:sz w:val="21"/>
                <w:szCs w:val="21"/>
              </w:rPr>
              <w:t> </w:t>
            </w:r>
            <w:r>
              <w:rPr>
                <w:rFonts w:ascii="宋体" w:hAnsi="宋体" w:cs="宋体" w:eastAsia="宋体" w:hint="default"/>
                <w:spacing w:val="-3"/>
                <w:sz w:val="21"/>
                <w:szCs w:val="21"/>
              </w:rPr>
              <w:t>因离职已不符合激励条件外，其余</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名激励对象未发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生前述情形，满足解锁条件。</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404" w:hRule="exact"/>
        </w:trPr>
        <w:tc>
          <w:tcPr>
            <w:tcW w:w="4767"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38"/>
              <w:ind w:left="425" w:right="-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、个人绩效考核条件：</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根据《上海海隆软件股份有限公司限制性股票激</w:t>
            </w:r>
          </w:p>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5"/>
                <w:sz w:val="21"/>
                <w:szCs w:val="21"/>
              </w:rPr>
              <w:t>励计划实施考核办法》，激励对象解锁的前一年度绩</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效考核合格。</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3"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年度，股权激励计划中</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名激励对象绩效考</w:t>
            </w:r>
            <w:r>
              <w:rPr>
                <w:rFonts w:ascii="宋体" w:hAnsi="宋体" w:cs="宋体" w:eastAsia="宋体" w:hint="default"/>
                <w:w w:val="100"/>
                <w:sz w:val="21"/>
                <w:szCs w:val="21"/>
              </w:rPr>
              <w:t> </w:t>
            </w:r>
            <w:r>
              <w:rPr>
                <w:rFonts w:ascii="宋体" w:hAnsi="宋体" w:cs="宋体" w:eastAsia="宋体" w:hint="default"/>
                <w:sz w:val="21"/>
                <w:szCs w:val="21"/>
              </w:rPr>
              <w:t>核均达到合格或以上，满足解锁条件</w:t>
            </w:r>
          </w:p>
        </w:tc>
      </w:tr>
    </w:tbl>
    <w:p>
      <w:pPr>
        <w:spacing w:line="240" w:lineRule="auto" w:before="11"/>
        <w:rPr>
          <w:rFonts w:ascii="宋体" w:hAnsi="宋体" w:cs="宋体" w:eastAsia="宋体" w:hint="default"/>
          <w:sz w:val="24"/>
          <w:szCs w:val="24"/>
        </w:rPr>
      </w:pPr>
    </w:p>
    <w:p>
      <w:pPr>
        <w:spacing w:line="357" w:lineRule="auto" w:before="26"/>
        <w:ind w:left="774" w:right="3652" w:hanging="125"/>
        <w:jc w:val="left"/>
        <w:rPr>
          <w:rFonts w:ascii="宋体" w:hAnsi="宋体" w:cs="宋体" w:eastAsia="宋体" w:hint="default"/>
          <w:sz w:val="24"/>
          <w:szCs w:val="24"/>
        </w:rPr>
      </w:pPr>
      <w:r>
        <w:rPr>
          <w:rFonts w:ascii="宋体" w:hAnsi="宋体" w:cs="宋体" w:eastAsia="宋体" w:hint="default"/>
          <w:b/>
          <w:bCs/>
          <w:sz w:val="24"/>
          <w:szCs w:val="24"/>
        </w:rPr>
        <w:t>（三）股权激励第一次解锁的限制性股票的上市流通情况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、限制性股票第一次解锁日即上市流通日为</w:t>
      </w:r>
      <w:r>
        <w:rPr>
          <w:rFonts w:ascii="宋体" w:hAnsi="宋体" w:cs="宋体" w:eastAsia="宋体" w:hint="default"/>
          <w:sz w:val="24"/>
          <w:szCs w:val="24"/>
        </w:rPr>
        <w:t>2013</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18</w:t>
      </w:r>
      <w:r>
        <w:rPr>
          <w:rFonts w:ascii="宋体" w:hAnsi="宋体" w:cs="宋体" w:eastAsia="宋体" w:hint="default"/>
          <w:sz w:val="24"/>
          <w:szCs w:val="24"/>
        </w:rPr>
        <w:t>日；</w:t>
      </w:r>
    </w:p>
    <w:p>
      <w:pPr>
        <w:pStyle w:val="BodyText"/>
        <w:spacing w:line="357" w:lineRule="auto" w:before="37"/>
        <w:ind w:left="294" w:right="1132" w:firstLine="480"/>
        <w:jc w:val="left"/>
      </w:pPr>
      <w:r>
        <w:rPr>
          <w:rFonts w:ascii="宋体" w:hAnsi="宋体" w:cs="宋体" w:eastAsia="宋体" w:hint="default"/>
        </w:rPr>
        <w:t>2</w:t>
      </w:r>
      <w:r>
        <w:rPr/>
        <w:t>、限制性股票解锁数量为</w:t>
      </w:r>
      <w:r>
        <w:rPr>
          <w:rFonts w:ascii="宋体" w:hAnsi="宋体" w:cs="宋体" w:eastAsia="宋体" w:hint="default"/>
        </w:rPr>
        <w:t>600,000</w:t>
      </w:r>
      <w:r>
        <w:rPr/>
        <w:t>股，占公司当前股本总额的</w:t>
      </w:r>
      <w:r>
        <w:rPr>
          <w:rFonts w:ascii="宋体" w:hAnsi="宋体" w:cs="宋体" w:eastAsia="宋体" w:hint="default"/>
        </w:rPr>
        <w:t>0.53%</w:t>
      </w:r>
      <w:r>
        <w:rPr/>
        <w:t>；解锁日即上市流 通日为</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18</w:t>
      </w:r>
      <w:r>
        <w:rPr/>
        <w:t>日；</w:t>
      </w:r>
    </w:p>
    <w:p>
      <w:pPr>
        <w:pStyle w:val="BodyText"/>
        <w:spacing w:line="240" w:lineRule="auto"/>
        <w:ind w:left="774" w:right="1780"/>
        <w:jc w:val="left"/>
      </w:pPr>
      <w:r>
        <w:rPr>
          <w:rFonts w:ascii="宋体" w:hAnsi="宋体" w:cs="宋体" w:eastAsia="宋体" w:hint="default"/>
        </w:rPr>
        <w:t>3</w:t>
      </w:r>
      <w:r>
        <w:rPr/>
        <w:t>、申请解锁的激励对象人数为</w:t>
      </w:r>
      <w:r>
        <w:rPr>
          <w:rFonts w:ascii="宋体" w:hAnsi="宋体" w:cs="宋体" w:eastAsia="宋体" w:hint="default"/>
        </w:rPr>
        <w:t>51</w:t>
      </w:r>
      <w:r>
        <w:rPr/>
        <w:t>名；</w:t>
      </w:r>
    </w:p>
    <w:p>
      <w:pPr>
        <w:pStyle w:val="BodyText"/>
        <w:spacing w:line="240" w:lineRule="auto" w:before="154"/>
        <w:ind w:left="774" w:right="1780"/>
        <w:jc w:val="left"/>
      </w:pPr>
      <w:r>
        <w:rPr/>
        <w:pict>
          <v:group style="position:absolute;margin-left:460.320007pt;margin-top:75.77562pt;width:135pt;height:77pt;mso-position-horizontal-relative:page;mso-position-vertical-relative:paragraph;z-index:-633232" coordorigin="9206,1516" coordsize="2700,1540">
            <v:shape style="position:absolute;left:9206;top:1516;width:2700;height:1540" type="#_x0000_t75" stroked="false">
              <v:imagedata r:id="rId14" o:title=""/>
            </v:shape>
            <v:shape style="position:absolute;left:10593;top:187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10:wrap type="none"/>
          </v:group>
        </w:pict>
      </w:r>
      <w:r>
        <w:rPr>
          <w:rFonts w:ascii="宋体" w:hAnsi="宋体" w:cs="宋体" w:eastAsia="宋体" w:hint="default"/>
        </w:rPr>
        <w:t>4</w:t>
      </w:r>
      <w:r>
        <w:rPr/>
        <w:t>、激励对象限制性股票本次解锁股份情况如下：</w:t>
      </w:r>
    </w:p>
    <w:p>
      <w:pPr>
        <w:spacing w:line="240" w:lineRule="auto" w:before="1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812"/>
        <w:gridCol w:w="1135"/>
        <w:gridCol w:w="1702"/>
        <w:gridCol w:w="1844"/>
        <w:gridCol w:w="1982"/>
        <w:gridCol w:w="2086"/>
      </w:tblGrid>
      <w:tr>
        <w:trPr>
          <w:trHeight w:val="662" w:hRule="exact"/>
        </w:trPr>
        <w:tc>
          <w:tcPr>
            <w:tcW w:w="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4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80" w:right="67" w:hanging="209"/>
              <w:jc w:val="left"/>
              <w:rPr>
                <w:rFonts w:ascii="宋体" w:hAnsi="宋体" w:cs="宋体" w:eastAsia="宋体" w:hint="default"/>
                <w:sz w:val="21"/>
                <w:szCs w:val="21"/>
              </w:rPr>
            </w:pPr>
            <w:r>
              <w:rPr>
                <w:rFonts w:ascii="宋体" w:hAnsi="宋体" w:cs="宋体" w:eastAsia="宋体" w:hint="default"/>
                <w:sz w:val="21"/>
                <w:szCs w:val="21"/>
              </w:rPr>
              <w:t>现持有限制性股票</w:t>
            </w:r>
            <w:r>
              <w:rPr>
                <w:rFonts w:ascii="宋体" w:hAnsi="宋体" w:cs="宋体" w:eastAsia="宋体" w:hint="default"/>
                <w:w w:val="100"/>
                <w:sz w:val="21"/>
                <w:szCs w:val="21"/>
              </w:rPr>
              <w:t> </w:t>
            </w:r>
            <w:r>
              <w:rPr>
                <w:rFonts w:ascii="宋体" w:hAnsi="宋体" w:cs="宋体" w:eastAsia="宋体" w:hint="default"/>
                <w:sz w:val="21"/>
                <w:szCs w:val="21"/>
              </w:rPr>
              <w:t>数量（万股）</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41" w:right="31" w:hanging="106"/>
              <w:jc w:val="left"/>
              <w:rPr>
                <w:rFonts w:ascii="宋体" w:hAnsi="宋体" w:cs="宋体" w:eastAsia="宋体" w:hint="default"/>
                <w:sz w:val="21"/>
                <w:szCs w:val="21"/>
              </w:rPr>
            </w:pPr>
            <w:r>
              <w:rPr>
                <w:rFonts w:ascii="宋体" w:hAnsi="宋体" w:cs="宋体" w:eastAsia="宋体" w:hint="default"/>
                <w:sz w:val="21"/>
                <w:szCs w:val="21"/>
              </w:rPr>
              <w:t>第一期可解锁限制性</w:t>
            </w:r>
            <w:r>
              <w:rPr>
                <w:rFonts w:ascii="宋体" w:hAnsi="宋体" w:cs="宋体" w:eastAsia="宋体" w:hint="default"/>
                <w:w w:val="100"/>
                <w:sz w:val="21"/>
                <w:szCs w:val="21"/>
              </w:rPr>
              <w:t> </w:t>
            </w:r>
            <w:r>
              <w:rPr>
                <w:rFonts w:ascii="宋体" w:hAnsi="宋体" w:cs="宋体" w:eastAsia="宋体" w:hint="default"/>
                <w:sz w:val="21"/>
                <w:szCs w:val="21"/>
              </w:rPr>
              <w:t>股票数量（万股）</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8" w:right="82" w:hanging="210"/>
              <w:jc w:val="left"/>
              <w:rPr>
                <w:rFonts w:ascii="宋体" w:hAnsi="宋体" w:cs="宋体" w:eastAsia="宋体" w:hint="default"/>
                <w:sz w:val="21"/>
                <w:szCs w:val="21"/>
              </w:rPr>
            </w:pPr>
            <w:r>
              <w:rPr>
                <w:rFonts w:ascii="宋体" w:hAnsi="宋体" w:cs="宋体" w:eastAsia="宋体" w:hint="default"/>
                <w:sz w:val="21"/>
                <w:szCs w:val="21"/>
              </w:rPr>
              <w:t>剩余未解锁限制性股</w:t>
            </w:r>
            <w:r>
              <w:rPr>
                <w:rFonts w:ascii="宋体" w:hAnsi="宋体" w:cs="宋体" w:eastAsia="宋体" w:hint="default"/>
                <w:w w:val="100"/>
                <w:sz w:val="21"/>
                <w:szCs w:val="21"/>
              </w:rPr>
              <w:t> </w:t>
            </w:r>
            <w:r>
              <w:rPr>
                <w:rFonts w:ascii="宋体" w:hAnsi="宋体" w:cs="宋体" w:eastAsia="宋体" w:hint="default"/>
                <w:sz w:val="21"/>
                <w:szCs w:val="21"/>
              </w:rPr>
              <w:t>票数量（万股）</w:t>
            </w:r>
          </w:p>
        </w:tc>
      </w:tr>
      <w:tr>
        <w:trPr>
          <w:trHeight w:val="343" w:hRule="exact"/>
        </w:trPr>
        <w:tc>
          <w:tcPr>
            <w:tcW w:w="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5" w:right="0"/>
              <w:jc w:val="center"/>
              <w:rPr>
                <w:rFonts w:ascii="Times New Roman" w:hAnsi="Times New Roman" w:cs="Times New Roman" w:eastAsia="Times New Roman" w:hint="default"/>
                <w:sz w:val="21"/>
                <w:szCs w:val="21"/>
              </w:rPr>
            </w:pPr>
            <w:r>
              <w:rPr>
                <w:rFonts w:ascii="Times New Roman"/>
                <w:w w:val="100"/>
                <w:sz w:val="21"/>
              </w:rPr>
              <w:t>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许俊峰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13</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3.9</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9.1</w:t>
            </w:r>
          </w:p>
        </w:tc>
      </w:tr>
    </w:tbl>
    <w:p>
      <w:pPr>
        <w:spacing w:after="0" w:line="240" w:lineRule="auto"/>
        <w:jc w:val="center"/>
        <w:rPr>
          <w:rFonts w:ascii="Times New Roman" w:hAnsi="Times New Roman" w:cs="Times New Roman" w:eastAsia="Times New Roman" w:hint="default"/>
          <w:sz w:val="21"/>
          <w:szCs w:val="21"/>
        </w:rPr>
        <w:sectPr>
          <w:headerReference w:type="default" r:id="rId23"/>
          <w:footerReference w:type="default" r:id="rId24"/>
          <w:pgSz w:w="11910" w:h="16840"/>
          <w:pgMar w:header="876" w:footer="0" w:top="1060" w:bottom="0" w:left="980" w:right="0"/>
        </w:sectPr>
      </w:pPr>
    </w:p>
    <w:p>
      <w:pPr>
        <w:spacing w:line="240" w:lineRule="auto" w:before="10"/>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812"/>
        <w:gridCol w:w="1135"/>
        <w:gridCol w:w="1702"/>
        <w:gridCol w:w="1844"/>
        <w:gridCol w:w="1982"/>
        <w:gridCol w:w="2086"/>
      </w:tblGrid>
      <w:tr>
        <w:trPr>
          <w:trHeight w:val="653" w:hRule="exact"/>
        </w:trPr>
        <w:tc>
          <w:tcPr>
            <w:tcW w:w="81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right="338"/>
              <w:jc w:val="right"/>
              <w:rPr>
                <w:rFonts w:ascii="Times New Roman" w:hAnsi="Times New Roman" w:cs="Times New Roman" w:eastAsia="Times New Roman" w:hint="default"/>
                <w:sz w:val="21"/>
                <w:szCs w:val="21"/>
              </w:rPr>
            </w:pPr>
            <w:r>
              <w:rPr>
                <w:rFonts w:ascii="Times New Roman"/>
                <w:w w:val="100"/>
                <w:sz w:val="21"/>
              </w:rPr>
              <w:t>2</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张强</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73" w:lineRule="auto"/>
              <w:ind w:left="2" w:right="204"/>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江苏海隆总经理</w:t>
            </w:r>
          </w:p>
        </w:tc>
        <w:tc>
          <w:tcPr>
            <w:tcW w:w="184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left="806" w:right="0"/>
              <w:jc w:val="left"/>
              <w:rPr>
                <w:rFonts w:ascii="Times New Roman" w:hAnsi="Times New Roman" w:cs="Times New Roman" w:eastAsia="Times New Roman" w:hint="default"/>
                <w:sz w:val="21"/>
                <w:szCs w:val="21"/>
              </w:rPr>
            </w:pPr>
            <w:r>
              <w:rPr>
                <w:rFonts w:ascii="Times New Roman"/>
                <w:sz w:val="21"/>
              </w:rPr>
              <w:t>13</w:t>
            </w:r>
          </w:p>
        </w:tc>
        <w:tc>
          <w:tcPr>
            <w:tcW w:w="19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3.9</w:t>
            </w:r>
          </w:p>
        </w:tc>
        <w:tc>
          <w:tcPr>
            <w:tcW w:w="208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9.1</w:t>
            </w:r>
          </w:p>
        </w:tc>
      </w:tr>
      <w:tr>
        <w:trPr>
          <w:trHeight w:val="343" w:hRule="exact"/>
        </w:trPr>
        <w:tc>
          <w:tcPr>
            <w:tcW w:w="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338"/>
              <w:jc w:val="right"/>
              <w:rPr>
                <w:rFonts w:ascii="Times New Roman" w:hAnsi="Times New Roman" w:cs="Times New Roman" w:eastAsia="Times New Roman" w:hint="default"/>
                <w:sz w:val="21"/>
                <w:szCs w:val="21"/>
              </w:rPr>
            </w:pPr>
            <w:r>
              <w:rPr>
                <w:rFonts w:ascii="Times New Roman"/>
                <w:w w:val="100"/>
                <w:sz w:val="21"/>
              </w:rPr>
              <w:t>3</w:t>
            </w:r>
          </w:p>
        </w:tc>
        <w:tc>
          <w:tcPr>
            <w:tcW w:w="2837" w:type="dxa"/>
            <w:gridSpan w:val="2"/>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核心经营管理</w:t>
            </w:r>
            <w:r>
              <w:rPr>
                <w:rFonts w:ascii="Times New Roman" w:hAnsi="Times New Roman" w:cs="Times New Roman" w:eastAsia="Times New Roman" w:hint="default"/>
                <w:sz w:val="21"/>
                <w:szCs w:val="21"/>
              </w:rPr>
              <w:t>/</w:t>
            </w:r>
            <w:r>
              <w:rPr>
                <w:rFonts w:ascii="宋体" w:hAnsi="宋体" w:cs="宋体" w:eastAsia="宋体" w:hint="default"/>
                <w:sz w:val="21"/>
                <w:szCs w:val="21"/>
              </w:rPr>
              <w:t>技术人员计</w:t>
            </w:r>
            <w:r>
              <w:rPr>
                <w:rFonts w:ascii="Times New Roman" w:hAnsi="Times New Roman" w:cs="Times New Roman" w:eastAsia="Times New Roman" w:hint="default"/>
                <w:sz w:val="21"/>
                <w:szCs w:val="21"/>
              </w:rPr>
              <w:t>49</w:t>
            </w:r>
            <w:r>
              <w:rPr>
                <w:rFonts w:ascii="宋体" w:hAnsi="宋体" w:cs="宋体" w:eastAsia="宋体" w:hint="default"/>
                <w:sz w:val="21"/>
                <w:szCs w:val="21"/>
              </w:rPr>
              <w:t>人</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753" w:right="0"/>
              <w:jc w:val="left"/>
              <w:rPr>
                <w:rFonts w:ascii="Times New Roman" w:hAnsi="Times New Roman" w:cs="Times New Roman" w:eastAsia="Times New Roman" w:hint="default"/>
                <w:sz w:val="21"/>
                <w:szCs w:val="21"/>
              </w:rPr>
            </w:pPr>
            <w:r>
              <w:rPr>
                <w:rFonts w:ascii="Times New Roman"/>
                <w:sz w:val="21"/>
              </w:rPr>
              <w:t>174</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52.2</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121.8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right="1780"/>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日本欧姆 龙株式会 社</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17.62%</w:t>
            </w:r>
            <w:r>
              <w:rPr>
                <w:rFonts w:ascii="宋体" w:hAnsi="宋体" w:cs="宋体" w:eastAsia="宋体" w:hint="default"/>
                <w:sz w:val="18"/>
                <w:szCs w:val="18"/>
              </w:rPr>
              <w:t>的</w:t>
            </w:r>
          </w:p>
          <w:p>
            <w:pPr>
              <w:pStyle w:val="TableParagraph"/>
              <w:spacing w:line="316" w:lineRule="auto" w:before="63"/>
              <w:ind w:left="24" w:right="43"/>
              <w:jc w:val="left"/>
              <w:rPr>
                <w:rFonts w:ascii="宋体" w:hAnsi="宋体" w:cs="宋体" w:eastAsia="宋体" w:hint="default"/>
                <w:sz w:val="18"/>
                <w:szCs w:val="18"/>
              </w:rPr>
            </w:pPr>
            <w:r>
              <w:rPr>
                <w:rFonts w:ascii="宋体" w:hAnsi="宋体" w:cs="宋体" w:eastAsia="宋体" w:hint="default"/>
                <w:sz w:val="18"/>
                <w:szCs w:val="18"/>
              </w:rPr>
              <w:t>股东的实 际控制人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销售商品 和提供劳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销售软件</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参考市场 价格协商 确定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41"/>
              <w:jc w:val="left"/>
              <w:rPr>
                <w:rFonts w:ascii="宋体" w:hAnsi="宋体" w:cs="宋体" w:eastAsia="宋体" w:hint="default"/>
                <w:sz w:val="18"/>
                <w:szCs w:val="18"/>
              </w:rPr>
            </w:pPr>
            <w:r>
              <w:rPr>
                <w:rFonts w:ascii="宋体" w:hAnsi="宋体" w:cs="宋体" w:eastAsia="宋体" w:hint="default"/>
                <w:sz w:val="18"/>
                <w:szCs w:val="18"/>
              </w:rPr>
              <w:t>市场公允 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43"/>
              <w:jc w:val="left"/>
              <w:rPr>
                <w:rFonts w:ascii="宋体" w:hAnsi="宋体" w:cs="宋体" w:eastAsia="宋体" w:hint="default"/>
                <w:sz w:val="18"/>
                <w:szCs w:val="18"/>
              </w:rPr>
            </w:pPr>
            <w:r>
              <w:rPr>
                <w:rFonts w:ascii="宋体" w:hAnsi="宋体" w:cs="宋体" w:eastAsia="宋体" w:hint="default"/>
                <w:sz w:val="18"/>
                <w:szCs w:val="18"/>
              </w:rPr>
              <w:t>按协议结 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欧姆龙</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（中国）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17.62%</w:t>
            </w:r>
            <w:r>
              <w:rPr>
                <w:rFonts w:ascii="宋体" w:hAnsi="宋体" w:cs="宋体" w:eastAsia="宋体" w:hint="default"/>
                <w:sz w:val="18"/>
                <w:szCs w:val="18"/>
              </w:rPr>
              <w:t>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销售商品 和提供劳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销售软件</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参考市场 价格协商 确定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市场公允 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3"/>
              <w:jc w:val="left"/>
              <w:rPr>
                <w:rFonts w:ascii="宋体" w:hAnsi="宋体" w:cs="宋体" w:eastAsia="宋体" w:hint="default"/>
                <w:sz w:val="18"/>
                <w:szCs w:val="18"/>
              </w:rPr>
            </w:pPr>
            <w:r>
              <w:rPr>
                <w:rFonts w:ascii="宋体" w:hAnsi="宋体" w:cs="宋体" w:eastAsia="宋体" w:hint="default"/>
                <w:sz w:val="18"/>
                <w:szCs w:val="18"/>
              </w:rPr>
              <w:t>按协议结 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1,349.3</w:t>
            </w:r>
            <w:r>
              <w:rPr>
                <w:rFonts w:ascii="Times New Roman"/>
                <w:sz w:val="18"/>
              </w:rPr>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3.96%</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319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tcPr>
          <w:p>
            <w:pPr>
              <w:pStyle w:val="TableParagraph"/>
              <w:spacing w:line="316" w:lineRule="auto" w:before="49"/>
              <w:ind w:left="16" w:right="44"/>
              <w:jc w:val="both"/>
              <w:rPr>
                <w:rFonts w:ascii="宋体" w:hAnsi="宋体" w:cs="宋体" w:eastAsia="宋体" w:hint="default"/>
                <w:sz w:val="18"/>
                <w:szCs w:val="18"/>
              </w:rPr>
            </w:pPr>
            <w:r>
              <w:rPr>
                <w:rFonts w:ascii="宋体" w:hAnsi="宋体" w:cs="宋体" w:eastAsia="宋体" w:hint="default"/>
                <w:sz w:val="18"/>
                <w:szCs w:val="18"/>
              </w:rPr>
              <w:t>报告期内，公司与上述关联方发生的关联交易均属于公司正常销售行为，是公司 主营业务的一部分，该业务具有长期性和稳定性。上述交易，均是公司在长期经 营活动中累计形成的，其价格依据为市场平均价格，定价公平合理，不会损害公 司利益，对公司本期以及将来的财务状况及经营成果均具有积极意义。付款与结 算均依据多年形成的商业惯例，不存在风险，且交易金额占同类业务比例较低， 不会对公司独立性产生影响。</w:t>
            </w:r>
          </w:p>
        </w:tc>
      </w:tr>
      <w:tr>
        <w:trPr>
          <w:trHeight w:val="1015" w:hRule="exact"/>
        </w:trPr>
        <w:tc>
          <w:tcPr>
            <w:tcW w:w="319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vMerge/>
            <w:tcBorders>
              <w:left w:val="single" w:sz="10" w:space="0" w:color="D2D2D2"/>
              <w:right w:val="single" w:sz="4" w:space="0" w:color="000000"/>
            </w:tcBorders>
          </w:tcPr>
          <w:p>
            <w:pPr/>
          </w:p>
        </w:tc>
      </w:tr>
      <w:tr>
        <w:trPr>
          <w:trHeight w:val="473" w:hRule="exact"/>
        </w:trPr>
        <w:tc>
          <w:tcPr>
            <w:tcW w:w="319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tcPr>
          <w:p>
            <w:pP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spacing w:before="36"/>
        <w:ind w:left="152" w:right="1780" w:firstLine="0"/>
        <w:jc w:val="left"/>
        <w:rPr>
          <w:rFonts w:ascii="宋体" w:hAnsi="宋体" w:cs="宋体" w:eastAsia="宋体" w:hint="default"/>
          <w:sz w:val="21"/>
          <w:szCs w:val="21"/>
        </w:rPr>
      </w:pPr>
      <w:r>
        <w:rPr/>
        <w:pict>
          <v:group style="position:absolute;margin-left:460.320007pt;margin-top:86.963669pt;width:135pt;height:77pt;mso-position-horizontal-relative:page;mso-position-vertical-relative:paragraph;z-index:1624" coordorigin="9206,1739" coordsize="2700,1540">
            <v:shape style="position:absolute;left:9206;top:1739;width:2700;height:1540" type="#_x0000_t75" stroked="false">
              <v:imagedata r:id="rId14" o:title=""/>
            </v:shape>
            <v:shape style="position:absolute;left:10593;top:2100;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w:t>
                    </w:r>
                  </w:p>
                </w:txbxContent>
              </v:textbox>
              <w10:wrap type="non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3"/>
        <w:gridCol w:w="1063"/>
        <w:gridCol w:w="1065"/>
        <w:gridCol w:w="1044"/>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的总资产（万</w:t>
            </w:r>
            <w:r>
              <w:rPr>
                <w:rFonts w:ascii="宋体" w:hAnsi="宋体" w:cs="宋体" w:eastAsia="宋体" w:hint="default"/>
                <w:sz w:val="18"/>
                <w:szCs w:val="18"/>
              </w:rPr>
              <w:t> 元）</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的净资产（万</w:t>
            </w:r>
            <w:r>
              <w:rPr>
                <w:rFonts w:ascii="宋体" w:hAnsi="宋体" w:cs="宋体" w:eastAsia="宋体" w:hint="default"/>
                <w:sz w:val="18"/>
                <w:szCs w:val="18"/>
              </w:rPr>
              <w:t>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after="0" w:line="316" w:lineRule="auto"/>
        <w:jc w:val="center"/>
        <w:rPr>
          <w:rFonts w:ascii="宋体" w:hAnsi="宋体" w:cs="宋体" w:eastAsia="宋体" w:hint="default"/>
          <w:sz w:val="18"/>
          <w:szCs w:val="18"/>
        </w:rPr>
        <w:sectPr>
          <w:headerReference w:type="default" r:id="rId25"/>
          <w:footerReference w:type="default" r:id="rId26"/>
          <w:pgSz w:w="11910" w:h="16840"/>
          <w:pgMar w:header="876" w:footer="0" w:top="1060" w:bottom="0" w:left="980" w:right="0"/>
        </w:sectPr>
      </w:pPr>
    </w:p>
    <w:p>
      <w:pPr>
        <w:spacing w:line="240" w:lineRule="auto" w:before="3"/>
        <w:rPr>
          <w:rFonts w:ascii="宋体" w:hAnsi="宋体" w:cs="宋体" w:eastAsia="宋体" w:hint="default"/>
          <w:b/>
          <w:bCs/>
          <w:sz w:val="29"/>
          <w:szCs w:val="29"/>
        </w:rPr>
      </w:pPr>
      <w:r>
        <w:rPr/>
        <w:pict>
          <v:group style="position:absolute;margin-left:460.320007pt;margin-top:764.919983pt;width:135pt;height:77pt;mso-position-horizontal-relative:page;mso-position-vertical-relative:page;z-index:-63311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33</w:t>
                    </w:r>
                  </w:p>
                </w:txbxContent>
              </v:textbox>
              <w10:wrap type="none"/>
            </v:shape>
            <w10:wrap type="none"/>
          </v:group>
        </w:pict>
      </w:r>
    </w:p>
    <w:p>
      <w:pPr>
        <w:spacing w:line="936" w:lineRule="exact"/>
        <w:ind w:left="5482"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52.8pt;height:46.85pt;mso-position-horizontal-relative:char;mso-position-vertical-relative:line" coordorigin="0,0" coordsize="1056,937">
            <v:group style="position:absolute;left:0;top:0;width:1056;height:937" coordorigin="0,0" coordsize="1056,937">
              <v:shape style="position:absolute;left:0;top:0;width:1056;height:937" coordorigin="0,0" coordsize="1056,937" path="m0,936l1056,936,1056,0,0,0,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44"/>
        <w:ind w:left="0" w:right="1133" w:firstLine="0"/>
        <w:jc w:val="right"/>
        <w:rPr>
          <w:rFonts w:ascii="宋体" w:hAnsi="宋体" w:cs="宋体" w:eastAsia="宋体" w:hint="default"/>
          <w:sz w:val="18"/>
          <w:szCs w:val="18"/>
        </w:rPr>
      </w:pPr>
      <w:r>
        <w:rPr/>
        <w:pict>
          <v:shape style="position:absolute;margin-left:56.400002pt;margin-top:-114.50827pt;width:479.3pt;height:274.7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4"/>
                    <w:gridCol w:w="1063"/>
                    <w:gridCol w:w="1066"/>
                    <w:gridCol w:w="1066"/>
                    <w:gridCol w:w="1066"/>
                    <w:gridCol w:w="1063"/>
                    <w:gridCol w:w="1063"/>
                    <w:gridCol w:w="1064"/>
                    <w:gridCol w:w="1056"/>
                  </w:tblGrid>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上海豫瑞创 业投资合伙 </w:t>
                        </w:r>
                        <w:r>
                          <w:rPr>
                            <w:rFonts w:ascii="宋体" w:hAnsi="宋体" w:cs="宋体" w:eastAsia="宋体" w:hint="default"/>
                            <w:spacing w:val="-12"/>
                            <w:sz w:val="18"/>
                            <w:szCs w:val="18"/>
                          </w:rPr>
                          <w:t>企业（有限合</w:t>
                        </w:r>
                        <w:r>
                          <w:rPr>
                            <w:rFonts w:ascii="宋体" w:hAnsi="宋体" w:cs="宋体" w:eastAsia="宋体" w:hint="default"/>
                            <w:sz w:val="18"/>
                            <w:szCs w:val="18"/>
                          </w:rPr>
                          <w:t> </w:t>
                        </w:r>
                        <w:r>
                          <w:rPr>
                            <w:rFonts w:ascii="宋体" w:hAnsi="宋体" w:cs="宋体" w:eastAsia="宋体" w:hint="default"/>
                            <w:spacing w:val="-16"/>
                            <w:sz w:val="18"/>
                            <w:szCs w:val="18"/>
                          </w:rPr>
                          <w:t>伙）、上海艾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云创业投资 有限公司等</w:t>
                        </w:r>
                      </w:p>
                      <w:p>
                        <w:pPr>
                          <w:pStyle w:val="TableParagraph"/>
                          <w:spacing w:line="240" w:lineRule="auto" w:before="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位出资人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关联法人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130"/>
                          <w:jc w:val="left"/>
                          <w:rPr>
                            <w:rFonts w:ascii="宋体" w:hAnsi="宋体" w:cs="宋体" w:eastAsia="宋体" w:hint="default"/>
                            <w:sz w:val="18"/>
                            <w:szCs w:val="18"/>
                          </w:rPr>
                        </w:pPr>
                        <w:r>
                          <w:rPr>
                            <w:rFonts w:ascii="宋体" w:hAnsi="宋体" w:cs="宋体" w:eastAsia="宋体" w:hint="default"/>
                            <w:sz w:val="18"/>
                            <w:szCs w:val="18"/>
                          </w:rPr>
                          <w:t>按实际出资 比例定价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上海艾云慧 信创业投资 有限公司</w:t>
                        </w:r>
                      </w:p>
                    </w:tc>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pacing w:val="-12"/>
                            <w:sz w:val="18"/>
                            <w:szCs w:val="18"/>
                          </w:rPr>
                          <w:t>创业投资、创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业投资管理、 创业投资咨</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9,881.4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9,881.4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-222.6</w:t>
                        </w:r>
                      </w:p>
                    </w:tc>
                  </w:tr>
                  <w:tr>
                    <w:trPr>
                      <w:trHeight w:val="3212"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1"/>
                          <w:ind w:left="24" w:right="111"/>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4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0"/>
                            <w:sz w:val="18"/>
                            <w:szCs w:val="18"/>
                          </w:rPr>
                          <w:t>，</w:t>
                        </w:r>
                        <w:r>
                          <w:rPr>
                            <w:rFonts w:ascii="宋体" w:hAnsi="宋体" w:cs="宋体" w:eastAsia="宋体" w:hint="default"/>
                            <w:sz w:val="18"/>
                            <w:szCs w:val="18"/>
                          </w:rPr>
                          <w:t>为贯彻落</w:t>
                        </w:r>
                        <w:r>
                          <w:rPr>
                            <w:rFonts w:ascii="宋体" w:hAnsi="宋体" w:cs="宋体" w:eastAsia="宋体" w:hint="default"/>
                            <w:spacing w:val="-10"/>
                            <w:sz w:val="18"/>
                            <w:szCs w:val="18"/>
                          </w:rPr>
                          <w:t>实</w:t>
                        </w:r>
                        <w:r>
                          <w:rPr>
                            <w:rFonts w:ascii="宋体" w:hAnsi="宋体" w:cs="宋体" w:eastAsia="宋体" w:hint="default"/>
                            <w:sz w:val="18"/>
                            <w:szCs w:val="18"/>
                          </w:rPr>
                          <w:t>《</w:t>
                        </w:r>
                        <w:r>
                          <w:rPr>
                            <w:rFonts w:ascii="宋体" w:hAnsi="宋体" w:cs="宋体" w:eastAsia="宋体" w:hint="default"/>
                            <w:spacing w:val="-3"/>
                            <w:sz w:val="18"/>
                            <w:szCs w:val="18"/>
                          </w:rPr>
                          <w:t>国</w:t>
                        </w:r>
                        <w:r>
                          <w:rPr>
                            <w:rFonts w:ascii="宋体" w:hAnsi="宋体" w:cs="宋体" w:eastAsia="宋体" w:hint="default"/>
                            <w:sz w:val="18"/>
                            <w:szCs w:val="18"/>
                          </w:rPr>
                          <w:t>务院关于加快培育和发展战略性新兴产业的决定</w:t>
                        </w:r>
                        <w:r>
                          <w:rPr>
                            <w:rFonts w:ascii="宋体" w:hAnsi="宋体" w:cs="宋体" w:eastAsia="宋体" w:hint="default"/>
                            <w:spacing w:val="-101"/>
                            <w:sz w:val="18"/>
                            <w:szCs w:val="18"/>
                          </w:rPr>
                          <w:t>》</w:t>
                        </w:r>
                        <w:r>
                          <w:rPr>
                            <w:rFonts w:ascii="宋体" w:hAnsi="宋体" w:cs="宋体" w:eastAsia="宋体" w:hint="default"/>
                            <w:sz w:val="18"/>
                            <w:szCs w:val="18"/>
                          </w:rPr>
                          <w:t>（国</w:t>
                        </w:r>
                        <w:r>
                          <w:rPr>
                            <w:rFonts w:ascii="宋体" w:hAnsi="宋体" w:cs="宋体" w:eastAsia="宋体" w:hint="default"/>
                            <w:spacing w:val="-10"/>
                            <w:sz w:val="18"/>
                            <w:szCs w:val="18"/>
                          </w:rPr>
                          <w:t>发</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z w:val="18"/>
                            <w:szCs w:val="18"/>
                          </w:rPr>
                        </w:r>
                      </w:p>
                      <w:p>
                        <w:pPr>
                          <w:pStyle w:val="TableParagraph"/>
                          <w:spacing w:line="304" w:lineRule="auto" w:before="60"/>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号）精神，根据财政部、国家发改委共同制定的《新兴产业创投计划参股创业投资基金管理 暂行办法》的规定，上海艾云慧信创业投资有限公司（以下简称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艾云慧信创投</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）全体股东一 致同意：向财政部、国家发改委申请参股艾云慧信创投，申请金额为人民币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万元。上述 申请获得财政部、国家发改委的批准。财政部、国家发改委委托国投高科技投资有限公司对艾 云慧信创投进行增资。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月，艾云慧信创投召开股东大会，同意将注册资本由人民币 </w:t>
                        </w:r>
                        <w:r>
                          <w:rPr>
                            <w:rFonts w:ascii="Times New Roman" w:hAnsi="Times New Roman" w:cs="Times New Roman" w:eastAsia="Times New Roman" w:hint="default"/>
                            <w:sz w:val="18"/>
                            <w:szCs w:val="18"/>
                          </w:rPr>
                          <w:t>20,201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万元增加至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25,260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万元，其中：原股东上海创业投资有限公司增资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万元，原股东上海</w:t>
                        </w:r>
                      </w:p>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艾云创业投资管理有限公司增资</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新股东国投高科</w:t>
                        </w:r>
                        <w:r>
                          <w:rPr>
                            <w:rFonts w:ascii="宋体" w:hAnsi="宋体" w:cs="宋体" w:eastAsia="宋体" w:hint="default"/>
                            <w:spacing w:val="-3"/>
                            <w:sz w:val="18"/>
                            <w:szCs w:val="18"/>
                          </w:rPr>
                          <w:t>技</w:t>
                        </w:r>
                        <w:r>
                          <w:rPr>
                            <w:rFonts w:ascii="宋体" w:hAnsi="宋体" w:cs="宋体" w:eastAsia="宋体" w:hint="default"/>
                            <w:sz w:val="18"/>
                            <w:szCs w:val="18"/>
                          </w:rPr>
                          <w:t>投资有限公司增资</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z w:val="18"/>
                            <w:szCs w:val="18"/>
                          </w:rPr>
                          <w:t>2</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月，艾云慧信创投完成增资，注册资本由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万元增加至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25,260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万元，上海海隆软件股</w:t>
                        </w:r>
                        <w:r>
                          <w:rPr>
                            <w:rFonts w:ascii="宋体" w:hAnsi="宋体" w:cs="宋体" w:eastAsia="宋体" w:hint="default"/>
                            <w:sz w:val="18"/>
                            <w:szCs w:val="18"/>
                          </w:rPr>
                          <w:t> 份有限公司的持股比例由原来的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9.90%</w:t>
                        </w:r>
                        <w:r>
                          <w:rPr>
                            <w:rFonts w:ascii="宋体" w:hAnsi="宋体" w:cs="宋体" w:eastAsia="宋体" w:hint="default"/>
                            <w:sz w:val="18"/>
                            <w:szCs w:val="18"/>
                          </w:rPr>
                          <w:t>降至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7.92%</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516" w:lineRule="auto" w:before="36"/>
        <w:ind w:left="152" w:right="52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、关联债权债务往来、</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报告期内，公司不存在非经营性关联债权债务往来。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、其他重大关联交易</w:t>
      </w:r>
      <w:r>
        <w:rPr>
          <w:rFonts w:ascii="宋体" w:hAnsi="宋体" w:cs="宋体" w:eastAsia="宋体" w:hint="default"/>
          <w:b/>
          <w:bCs/>
          <w:w w:val="100"/>
          <w:sz w:val="21"/>
          <w:szCs w:val="21"/>
        </w:rPr>
        <w:t> </w:t>
      </w:r>
      <w:r>
        <w:rPr>
          <w:rFonts w:ascii="宋体" w:hAnsi="宋体" w:cs="宋体" w:eastAsia="宋体" w:hint="default"/>
          <w:sz w:val="21"/>
          <w:szCs w:val="21"/>
        </w:rPr>
        <w:t>报告期内，公司不存在其他重大关联交易。</w:t>
      </w:r>
    </w:p>
    <w:p>
      <w:pPr>
        <w:spacing w:line="468" w:lineRule="auto" w:before="70"/>
        <w:ind w:left="152" w:right="7154" w:firstLine="0"/>
        <w:jc w:val="left"/>
        <w:rPr>
          <w:rFonts w:ascii="宋体" w:hAnsi="宋体" w:cs="宋体" w:eastAsia="宋体" w:hint="default"/>
          <w:sz w:val="24"/>
          <w:szCs w:val="24"/>
        </w:rPr>
      </w:pPr>
      <w:r>
        <w:rPr>
          <w:rFonts w:ascii="宋体" w:hAnsi="宋体" w:cs="宋体" w:eastAsia="宋体" w:hint="default"/>
          <w:b/>
          <w:bCs/>
          <w:sz w:val="24"/>
          <w:szCs w:val="24"/>
        </w:rPr>
        <w:t>七、重大合同及其履行情况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报告期内，公司未签订重大合同。 </w:t>
      </w:r>
      <w:r>
        <w:rPr>
          <w:rFonts w:ascii="宋体" w:hAnsi="宋体" w:cs="宋体" w:eastAsia="宋体" w:hint="default"/>
          <w:b/>
          <w:bCs/>
          <w:sz w:val="24"/>
          <w:szCs w:val="24"/>
        </w:rPr>
        <w:t>八、承诺事项履行情况</w:t>
      </w:r>
      <w:r>
        <w:rPr>
          <w:rFonts w:ascii="宋体" w:hAnsi="宋体" w:cs="宋体" w:eastAsia="宋体" w:hint="default"/>
          <w:sz w:val="24"/>
          <w:szCs w:val="24"/>
        </w:rPr>
      </w:r>
    </w:p>
    <w:p>
      <w:pPr>
        <w:spacing w:before="97"/>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9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 </w:t>
            </w:r>
            <w:r>
              <w:rPr>
                <w:rFonts w:ascii="宋体" w:hAnsi="宋体" w:cs="宋体" w:eastAsia="宋体" w:hint="default"/>
                <w:spacing w:val="-7"/>
                <w:sz w:val="18"/>
                <w:szCs w:val="18"/>
              </w:rPr>
              <w:t>自然人股东、上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海慧盛创业投 </w:t>
            </w:r>
            <w:r>
              <w:rPr>
                <w:rFonts w:ascii="宋体" w:hAnsi="宋体" w:cs="宋体" w:eastAsia="宋体" w:hint="default"/>
                <w:spacing w:val="-7"/>
                <w:sz w:val="18"/>
                <w:szCs w:val="18"/>
              </w:rPr>
              <w:t>资有限公司、上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 </w:t>
            </w:r>
            <w:r>
              <w:rPr>
                <w:rFonts w:ascii="宋体" w:hAnsi="宋体" w:cs="宋体" w:eastAsia="宋体" w:hint="default"/>
                <w:spacing w:val="-6"/>
                <w:sz w:val="18"/>
                <w:szCs w:val="18"/>
              </w:rPr>
              <w:t>自然人股东、上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海古德投资咨 询有限公司关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headerReference w:type="default" r:id="rId27"/>
          <w:footerReference w:type="default" r:id="rId28"/>
          <w:pgSz w:w="11910" w:h="16840"/>
          <w:pgMar w:header="876"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3304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34</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483"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海古德投资咨 </w:t>
            </w:r>
            <w:r>
              <w:rPr>
                <w:rFonts w:ascii="宋体" w:hAnsi="宋体" w:cs="宋体" w:eastAsia="宋体" w:hint="default"/>
                <w:spacing w:val="-7"/>
                <w:sz w:val="18"/>
                <w:szCs w:val="18"/>
              </w:rPr>
              <w:t>询有限公司、欧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姆龙（中国）有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于不从事同业 竞争生产经营 </w:t>
            </w:r>
            <w:r>
              <w:rPr>
                <w:rFonts w:ascii="宋体" w:hAnsi="宋体" w:cs="宋体" w:eastAsia="宋体" w:hint="default"/>
                <w:spacing w:val="-6"/>
                <w:sz w:val="18"/>
                <w:szCs w:val="18"/>
              </w:rPr>
              <w:t>活动的承诺；上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海慧盛创业投 </w:t>
            </w:r>
            <w:r>
              <w:rPr>
                <w:rFonts w:ascii="宋体" w:hAnsi="宋体" w:cs="宋体" w:eastAsia="宋体" w:hint="default"/>
                <w:spacing w:val="-6"/>
                <w:sz w:val="18"/>
                <w:szCs w:val="18"/>
              </w:rPr>
              <w:t>资有限公司、欧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姆龙（中国）有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限公司关于不 从事有损于海 隆软件利益的 生产经营活动 的承诺。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9"/>
              <w:ind w:left="24" w:right="65"/>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 自然人股东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人管理其所持 有的发行人股 </w:t>
            </w:r>
            <w:r>
              <w:rPr>
                <w:rFonts w:ascii="宋体" w:hAnsi="宋体" w:cs="宋体" w:eastAsia="宋体" w:hint="default"/>
                <w:spacing w:val="-6"/>
                <w:sz w:val="18"/>
                <w:szCs w:val="18"/>
              </w:rPr>
              <w:t>份，也不由发行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人回购其所持 </w:t>
            </w:r>
            <w:r>
              <w:rPr>
                <w:rFonts w:ascii="宋体" w:hAnsi="宋体" w:cs="宋体" w:eastAsia="宋体" w:hint="default"/>
                <w:spacing w:val="-6"/>
                <w:sz w:val="18"/>
                <w:szCs w:val="18"/>
              </w:rPr>
              <w:t>有的股份；之后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每年解除限售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 所持有发行人 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084"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上海古德投资 咨询有限公司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让所持有的发 </w:t>
            </w:r>
            <w:r>
              <w:rPr>
                <w:rFonts w:ascii="宋体" w:hAnsi="宋体" w:cs="宋体" w:eastAsia="宋体" w:hint="default"/>
                <w:spacing w:val="-6"/>
                <w:sz w:val="18"/>
                <w:szCs w:val="18"/>
              </w:rPr>
              <w:t>行人股份，并在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与包叔平先生 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日签订的协议 中约定在所持 公司股票可以 </w:t>
            </w:r>
            <w:r>
              <w:rPr>
                <w:rFonts w:ascii="宋体" w:hAnsi="宋体" w:cs="宋体" w:eastAsia="宋体" w:hint="default"/>
                <w:spacing w:val="-6"/>
                <w:sz w:val="18"/>
                <w:szCs w:val="18"/>
              </w:rPr>
              <w:t>转让之日起，每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年通过证券交 易所减持的股 份不超过其持 有公司股份总 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29"/>
          <w:footerReference w:type="default" r:id="rId30"/>
          <w:pgSz w:w="11910" w:h="16840"/>
          <w:pgMar w:header="876"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报告期内未发生违反承诺的情形。</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78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78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w:t>
            </w:r>
          </w:p>
        </w:tc>
      </w:tr>
      <w:tr>
        <w:trPr>
          <w:trHeight w:val="714"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为公司提供了首次公开发行股票前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2004-2006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2007-2012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年度的审计服务</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戎凯宇、杨明</w:t>
            </w:r>
          </w:p>
        </w:tc>
      </w:tr>
    </w:tbl>
    <w:p>
      <w:pPr>
        <w:spacing w:line="307" w:lineRule="auto" w:before="28"/>
        <w:ind w:left="152" w:right="3268" w:firstLine="0"/>
        <w:jc w:val="left"/>
        <w:rPr>
          <w:rFonts w:ascii="宋体" w:hAnsi="宋体" w:cs="宋体" w:eastAsia="宋体" w:hint="default"/>
          <w:sz w:val="21"/>
          <w:szCs w:val="21"/>
        </w:rPr>
      </w:pPr>
      <w:r>
        <w:rPr>
          <w:rFonts w:ascii="宋体" w:hAnsi="宋体" w:cs="宋体" w:eastAsia="宋体" w:hint="default"/>
          <w:sz w:val="21"/>
          <w:szCs w:val="21"/>
        </w:rPr>
        <w:t>当期未改聘会计师事务所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未聘请内部控制审计会计师事务所、财务顾问或保荐人情况</w:t>
      </w:r>
    </w:p>
    <w:p>
      <w:pPr>
        <w:spacing w:line="240" w:lineRule="auto" w:before="4"/>
        <w:rPr>
          <w:rFonts w:ascii="宋体" w:hAnsi="宋体" w:cs="宋体" w:eastAsia="宋体" w:hint="default"/>
          <w:sz w:val="19"/>
          <w:szCs w:val="19"/>
        </w:rPr>
      </w:pPr>
    </w:p>
    <w:p>
      <w:pPr>
        <w:pStyle w:val="Heading2"/>
        <w:spacing w:line="240" w:lineRule="auto" w:before="0"/>
        <w:ind w:right="1780"/>
        <w:jc w:val="left"/>
        <w:rPr>
          <w:b w:val="0"/>
          <w:bCs w:val="0"/>
        </w:rPr>
      </w:pPr>
      <w:r>
        <w:rPr/>
        <w:t>十、处罚及整改情况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70" w:firstLine="480"/>
        <w:jc w:val="both"/>
      </w:pPr>
      <w:r>
        <w:rPr/>
        <w:t>报告期内，公司及其董事、监事、高级管理人员、实际控制人均未受有权机关、司法纪 检部门采取强制措施、被移送司法机关或追究刑事责任、中国证监会稽查、中国证监会行政 处罚、证券市场禁入、认定为不适当人选、被其他行政管理部门处罚及证券交易所公开谴责 的情形。且不存在董事、监事、高级管理人员、持股</w:t>
      </w:r>
      <w:r>
        <w:rPr>
          <w:rFonts w:ascii="宋体" w:hAnsi="宋体" w:cs="宋体" w:eastAsia="宋体" w:hint="default"/>
        </w:rPr>
        <w:t>5%</w:t>
      </w:r>
      <w:r>
        <w:rPr/>
        <w:t>以上的股东涉嫌违规买卖公司股票且 公司已披露将收回涉嫌违规所得收益的情况。</w:t>
      </w:r>
    </w:p>
    <w:p>
      <w:pPr>
        <w:spacing w:line="240" w:lineRule="auto" w:before="11"/>
        <w:rPr>
          <w:rFonts w:ascii="宋体" w:hAnsi="宋体" w:cs="宋体" w:eastAsia="宋体" w:hint="default"/>
          <w:sz w:val="19"/>
          <w:szCs w:val="19"/>
        </w:rPr>
      </w:pPr>
    </w:p>
    <w:p>
      <w:pPr>
        <w:pStyle w:val="Heading2"/>
        <w:spacing w:line="468" w:lineRule="auto" w:before="0"/>
        <w:ind w:right="5212"/>
        <w:jc w:val="left"/>
        <w:rPr>
          <w:rFonts w:ascii="宋体" w:hAnsi="宋体" w:cs="宋体" w:eastAsia="宋体" w:hint="default"/>
          <w:b w:val="0"/>
          <w:bCs w:val="0"/>
        </w:rPr>
      </w:pPr>
      <w:r>
        <w:rPr/>
        <w:t>十一、年度报告披露后面临暂停上市和终止上市情况</w:t>
      </w:r>
      <w:r>
        <w:rPr>
          <w:w w:val="99"/>
        </w:rPr>
        <w:t> </w:t>
      </w:r>
      <w:r>
        <w:rPr>
          <w:rFonts w:ascii="宋体" w:hAnsi="宋体" w:cs="宋体" w:eastAsia="宋体" w:hint="default"/>
          <w:b w:val="0"/>
          <w:bCs w:val="0"/>
        </w:rPr>
        <w:t>不适用</w:t>
      </w:r>
    </w:p>
    <w:p>
      <w:pPr>
        <w:spacing w:line="468" w:lineRule="auto" w:before="72"/>
        <w:ind w:left="152" w:right="5234" w:firstLine="0"/>
        <w:jc w:val="left"/>
        <w:rPr>
          <w:rFonts w:ascii="宋体" w:hAnsi="宋体" w:cs="宋体" w:eastAsia="宋体" w:hint="default"/>
          <w:sz w:val="24"/>
          <w:szCs w:val="24"/>
        </w:rPr>
      </w:pPr>
      <w:r>
        <w:rPr>
          <w:rFonts w:ascii="宋体" w:hAnsi="宋体" w:cs="宋体" w:eastAsia="宋体" w:hint="default"/>
          <w:b/>
          <w:bCs/>
          <w:sz w:val="24"/>
          <w:szCs w:val="24"/>
        </w:rPr>
        <w:t>十二、其他重大事项的说明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报告期内，公司无其他应披露而未披露的重大事项。 </w:t>
      </w:r>
      <w:r>
        <w:rPr>
          <w:rFonts w:ascii="宋体" w:hAnsi="宋体" w:cs="宋体" w:eastAsia="宋体" w:hint="default"/>
          <w:b/>
          <w:bCs/>
          <w:sz w:val="24"/>
          <w:szCs w:val="24"/>
        </w:rPr>
        <w:t>十三、公司子公司重要事项</w:t>
      </w:r>
      <w:r>
        <w:rPr>
          <w:rFonts w:ascii="宋体" w:hAnsi="宋体" w:cs="宋体" w:eastAsia="宋体" w:hint="default"/>
          <w:sz w:val="24"/>
          <w:szCs w:val="24"/>
        </w:rPr>
      </w:r>
    </w:p>
    <w:p>
      <w:pPr>
        <w:pStyle w:val="BodyText"/>
        <w:spacing w:line="240" w:lineRule="auto" w:before="70"/>
        <w:ind w:right="1780"/>
        <w:jc w:val="left"/>
      </w:pPr>
      <w:r>
        <w:rPr/>
        <w:t>报告期内，公司子公司无其他应披露而未披露的重要事项。</w:t>
      </w:r>
    </w:p>
    <w:p>
      <w:pPr>
        <w:spacing w:after="0" w:line="240" w:lineRule="auto"/>
        <w:jc w:val="left"/>
        <w:sectPr>
          <w:footerReference w:type="default" r:id="rId31"/>
          <w:pgSz w:w="11910" w:h="16840"/>
          <w:pgMar w:footer="1340" w:header="876" w:top="1060" w:bottom="1540" w:left="980" w:right="0"/>
          <w:pgNumType w:start="35"/>
        </w:sectPr>
      </w:pPr>
    </w:p>
    <w:p>
      <w:pPr>
        <w:spacing w:line="240" w:lineRule="auto" w:before="8"/>
        <w:rPr>
          <w:rFonts w:ascii="宋体" w:hAnsi="宋体" w:cs="宋体" w:eastAsia="宋体" w:hint="default"/>
          <w:sz w:val="23"/>
          <w:szCs w:val="23"/>
        </w:rPr>
      </w:pPr>
    </w:p>
    <w:p>
      <w:pPr>
        <w:spacing w:line="468" w:lineRule="auto" w:before="26"/>
        <w:ind w:left="152" w:right="5954" w:firstLine="0"/>
        <w:jc w:val="left"/>
        <w:rPr>
          <w:rFonts w:ascii="宋体" w:hAnsi="宋体" w:cs="宋体" w:eastAsia="宋体" w:hint="default"/>
          <w:sz w:val="24"/>
          <w:szCs w:val="24"/>
        </w:rPr>
      </w:pPr>
      <w:r>
        <w:rPr>
          <w:rFonts w:ascii="宋体" w:hAnsi="宋体" w:cs="宋体" w:eastAsia="宋体" w:hint="default"/>
          <w:b/>
          <w:bCs/>
          <w:sz w:val="24"/>
          <w:szCs w:val="24"/>
        </w:rPr>
        <w:t>十四、公司发行公司债券的情况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报告期内，公司不存在发行公司债券的情况。</w:t>
      </w:r>
    </w:p>
    <w:p>
      <w:pPr>
        <w:spacing w:after="0" w:line="468" w:lineRule="auto"/>
        <w:jc w:val="left"/>
        <w:rPr>
          <w:rFonts w:ascii="宋体" w:hAnsi="宋体" w:cs="宋体" w:eastAsia="宋体" w:hint="default"/>
          <w:sz w:val="24"/>
          <w:szCs w:val="24"/>
        </w:rPr>
        <w:sectPr>
          <w:pgSz w:w="11910" w:h="16840"/>
          <w:pgMar w:header="876"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78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78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25,311,40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22.61%</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2,030,000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-7,361,552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-5,331,552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17.53%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2,030,000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-9,411,187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-7,381,187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14.44%</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8,783,775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-4,391,888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-4,391,888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4,391,887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13.45%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2,030,000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-5,019,299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-2,989,299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10.59%</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1,469,730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2,049,635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2,049,635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3,519,365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77.39%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7,361,552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7,361,552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93,980,14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82.47%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77.39%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7,361,552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7,361,552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93,980,14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82.47%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2,030,000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2,030,000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113,960,0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57" w:lineRule="auto" w:before="39"/>
        <w:ind w:left="633" w:right="1123" w:hanging="481"/>
        <w:jc w:val="left"/>
      </w:pPr>
      <w:r>
        <w:rPr/>
        <w:t>股份变动的原因 </w:t>
      </w:r>
      <w:r>
        <w:rPr>
          <w:spacing w:val="-3"/>
        </w:rPr>
        <w:t>公司实施了《限制性股票激励计划》定向增发</w:t>
      </w:r>
      <w:r>
        <w:rPr>
          <w:rFonts w:ascii="宋体" w:hAnsi="宋体" w:cs="宋体" w:eastAsia="宋体" w:hint="default"/>
          <w:spacing w:val="-3"/>
        </w:rPr>
        <w:t>203</w:t>
      </w:r>
      <w:r>
        <w:rPr>
          <w:spacing w:val="-3"/>
        </w:rPr>
        <w:t>万股普通股，授予激励对象。公司总股</w:t>
      </w:r>
    </w:p>
    <w:p>
      <w:pPr>
        <w:pStyle w:val="BodyText"/>
        <w:spacing w:line="357" w:lineRule="auto"/>
        <w:ind w:right="8234"/>
        <w:jc w:val="left"/>
      </w:pPr>
      <w:r>
        <w:rPr/>
        <w:t>本变为</w:t>
      </w:r>
      <w:r>
        <w:rPr>
          <w:rFonts w:ascii="宋体" w:hAnsi="宋体" w:cs="宋体" w:eastAsia="宋体" w:hint="default"/>
        </w:rPr>
        <w:t>113,960,000</w:t>
      </w:r>
      <w:r>
        <w:rPr/>
        <w:t>股。 股份变动的批准情况</w:t>
      </w:r>
    </w:p>
    <w:p>
      <w:pPr>
        <w:pStyle w:val="BodyText"/>
        <w:spacing w:line="357" w:lineRule="auto"/>
        <w:ind w:right="2114" w:firstLine="480"/>
        <w:jc w:val="left"/>
      </w:pPr>
      <w:r>
        <w:rPr/>
        <w:t>参见年报第五节《重要事项》中“五、公司股权激励的实施情况及其影响”。 股份变动的过户情况</w:t>
      </w:r>
    </w:p>
    <w:p>
      <w:pPr>
        <w:spacing w:line="528" w:lineRule="auto" w:before="37"/>
        <w:ind w:left="152" w:right="2090" w:firstLine="504"/>
        <w:jc w:val="left"/>
        <w:rPr>
          <w:rFonts w:ascii="宋体" w:hAnsi="宋体" w:cs="宋体" w:eastAsia="宋体" w:hint="default"/>
          <w:sz w:val="24"/>
          <w:szCs w:val="24"/>
        </w:rPr>
      </w:pPr>
      <w:r>
        <w:rPr>
          <w:rFonts w:ascii="宋体" w:hAnsi="宋体" w:cs="宋体" w:eastAsia="宋体" w:hint="default"/>
          <w:sz w:val="24"/>
          <w:szCs w:val="24"/>
        </w:rPr>
        <w:t>参见年报第五节《重要事项》中“五、公司股权激励的实施情况及其影响”。 </w:t>
      </w:r>
      <w:r>
        <w:rPr>
          <w:rFonts w:ascii="宋体" w:hAnsi="宋体" w:cs="宋体" w:eastAsia="宋体" w:hint="default"/>
          <w:b/>
          <w:bCs/>
          <w:sz w:val="24"/>
          <w:szCs w:val="24"/>
        </w:rPr>
        <w:t>二、证券发行与上市情况</w:t>
      </w:r>
      <w:r>
        <w:rPr>
          <w:rFonts w:ascii="宋体" w:hAnsi="宋体" w:cs="宋体" w:eastAsia="宋体" w:hint="default"/>
          <w:sz w:val="24"/>
          <w:szCs w:val="24"/>
        </w:rPr>
      </w:r>
    </w:p>
    <w:p>
      <w:pPr>
        <w:spacing w:before="35"/>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26"/>
        <w:gridCol w:w="1443"/>
        <w:gridCol w:w="1133"/>
        <w:gridCol w:w="1366"/>
        <w:gridCol w:w="1673"/>
        <w:gridCol w:w="1597"/>
        <w:gridCol w:w="835"/>
      </w:tblGrid>
      <w:tr>
        <w:trPr>
          <w:trHeight w:val="75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17" w:right="216" w:firstLine="180"/>
              <w:jc w:val="left"/>
              <w:rPr>
                <w:rFonts w:ascii="宋体" w:hAnsi="宋体" w:cs="宋体" w:eastAsia="宋体" w:hint="default"/>
                <w:sz w:val="18"/>
                <w:szCs w:val="18"/>
              </w:rPr>
            </w:pPr>
            <w:r>
              <w:rPr>
                <w:rFonts w:ascii="宋体" w:hAnsi="宋体" w:cs="宋体" w:eastAsia="宋体" w:hint="default"/>
                <w:sz w:val="18"/>
                <w:szCs w:val="18"/>
              </w:rPr>
              <w:t>股票及其 衍生证券名称</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4"/>
              <w:ind w:left="11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2" w:right="50"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bl>
    <w:p>
      <w:pPr>
        <w:spacing w:after="0" w:line="316" w:lineRule="auto"/>
        <w:jc w:val="left"/>
        <w:rPr>
          <w:rFonts w:ascii="宋体" w:hAnsi="宋体" w:cs="宋体" w:eastAsia="宋体" w:hint="default"/>
          <w:sz w:val="18"/>
          <w:szCs w:val="18"/>
        </w:rPr>
        <w:sectPr>
          <w:pgSz w:w="11910" w:h="16840"/>
          <w:pgMar w:header="876"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27"/>
        <w:gridCol w:w="1568"/>
        <w:gridCol w:w="1008"/>
        <w:gridCol w:w="1366"/>
        <w:gridCol w:w="1673"/>
        <w:gridCol w:w="1597"/>
        <w:gridCol w:w="835"/>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4" w:right="0"/>
              <w:jc w:val="left"/>
              <w:rPr>
                <w:rFonts w:ascii="Times New Roman" w:hAnsi="Times New Roman" w:cs="Times New Roman" w:eastAsia="Times New Roman" w:hint="default"/>
                <w:sz w:val="18"/>
                <w:szCs w:val="18"/>
              </w:rPr>
            </w:pPr>
            <w:r>
              <w:rPr>
                <w:rFonts w:ascii="Times New Roman"/>
                <w:sz w:val="18"/>
              </w:rPr>
              <w:t>2,030,000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5" w:right="0"/>
              <w:jc w:val="left"/>
              <w:rPr>
                <w:rFonts w:ascii="Times New Roman" w:hAnsi="Times New Roman" w:cs="Times New Roman" w:eastAsia="Times New Roman" w:hint="default"/>
                <w:sz w:val="18"/>
                <w:szCs w:val="18"/>
              </w:rPr>
            </w:pPr>
            <w:r>
              <w:rPr>
                <w:rFonts w:ascii="Times New Roman"/>
                <w:sz w:val="18"/>
              </w:rPr>
              <w:t>2,030,000</w:t>
            </w:r>
          </w:p>
        </w:tc>
        <w:tc>
          <w:tcPr>
            <w:tcW w:w="8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39"/>
        <w:ind w:left="633" w:right="1117" w:hanging="481"/>
        <w:jc w:val="left"/>
      </w:pPr>
      <w:r>
        <w:rPr/>
        <w:t>前三年历次证券发行情况的说明 </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日，经公司第四届董事会提名·薪酬与考核委员会审议通过后，提交公司第</w:t>
      </w:r>
    </w:p>
    <w:p>
      <w:pPr>
        <w:pStyle w:val="BodyText"/>
        <w:spacing w:line="240" w:lineRule="auto"/>
        <w:ind w:right="0"/>
        <w:jc w:val="left"/>
      </w:pPr>
      <w:r>
        <w:rPr/>
        <w:t>四届董事会第九次会议及第四届监事会第七次会议审议并通</w:t>
      </w:r>
      <w:r>
        <w:rPr>
          <w:spacing w:val="-108"/>
        </w:rPr>
        <w:t>过</w:t>
      </w:r>
      <w:r>
        <w:rPr/>
        <w:t>《限制性股票激励计</w:t>
      </w:r>
      <w:r>
        <w:rPr>
          <w:spacing w:val="-108"/>
        </w:rPr>
        <w:t>划</w:t>
      </w:r>
      <w:r>
        <w:rPr/>
        <w:t>（草案</w:t>
      </w:r>
      <w:r>
        <w:rPr>
          <w:spacing w:val="-106"/>
        </w:rPr>
        <w:t>）</w:t>
      </w:r>
      <w:r>
        <w:rPr/>
        <w:t>》</w:t>
      </w:r>
    </w:p>
    <w:p>
      <w:pPr>
        <w:pStyle w:val="BodyText"/>
        <w:spacing w:line="357" w:lineRule="auto" w:before="154"/>
        <w:ind w:right="1131"/>
        <w:jc w:val="both"/>
      </w:pPr>
      <w:r>
        <w:rPr/>
        <w:t>（以下简称“激励计划”），监事会对激励对象名单发表了审核意见。</w:t>
      </w:r>
      <w:r>
        <w:rPr>
          <w:rFonts w:ascii="宋体" w:hAnsi="宋体" w:cs="宋体" w:eastAsia="宋体" w:hint="default"/>
        </w:rPr>
        <w:t>2011</w:t>
      </w:r>
      <w:r>
        <w:rPr/>
        <w:t>年</w:t>
      </w:r>
      <w:r>
        <w:rPr>
          <w:rFonts w:ascii="宋体" w:hAnsi="宋体" w:cs="宋体" w:eastAsia="宋体" w:hint="default"/>
        </w:rPr>
        <w:t>12</w:t>
      </w:r>
      <w:r>
        <w:rPr/>
        <w:t>月初，收到 深交所通知证监会备案无异议，并于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日经</w:t>
      </w:r>
      <w:r>
        <w:rPr>
          <w:rFonts w:ascii="宋体" w:hAnsi="宋体" w:cs="宋体" w:eastAsia="宋体" w:hint="default"/>
        </w:rPr>
        <w:t>2012</w:t>
      </w:r>
      <w:r>
        <w:rPr/>
        <w:t>年度第一次临时股东大会通过后， </w:t>
      </w: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日向</w:t>
      </w:r>
      <w:r>
        <w:rPr>
          <w:rFonts w:ascii="宋体" w:hAnsi="宋体" w:cs="宋体" w:eastAsia="宋体" w:hint="default"/>
          <w:spacing w:val="-2"/>
        </w:rPr>
        <w:t>52</w:t>
      </w:r>
      <w:r>
        <w:rPr>
          <w:spacing w:val="-2"/>
        </w:rPr>
        <w:t>名激励对象授予</w:t>
      </w:r>
      <w:r>
        <w:rPr>
          <w:rFonts w:ascii="宋体" w:hAnsi="宋体" w:cs="宋体" w:eastAsia="宋体" w:hint="default"/>
          <w:spacing w:val="-2"/>
        </w:rPr>
        <w:t>203</w:t>
      </w:r>
      <w:r>
        <w:rPr>
          <w:spacing w:val="-2"/>
        </w:rPr>
        <w:t>万股的限制性股票，授予股份于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日在</w:t>
      </w:r>
      <w:r>
        <w:rPr>
          <w:spacing w:val="-104"/>
        </w:rPr>
        <w:t> </w:t>
      </w:r>
      <w:r>
        <w:rPr/>
        <w:t>中国证券登记结算有限公司深圳分公司完成股份登记，上市日期为</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9</w:t>
      </w:r>
      <w:r>
        <w:rPr/>
        <w:t>日。</w:t>
      </w:r>
    </w:p>
    <w:p>
      <w:pPr>
        <w:pStyle w:val="BodyText"/>
        <w:spacing w:line="357" w:lineRule="auto"/>
        <w:ind w:right="1154" w:firstLine="480"/>
        <w:jc w:val="left"/>
      </w:pPr>
      <w:r>
        <w:rPr/>
        <w:t>截止报告期末的前三年内，公司未发行可转换公司债券、分离交易的可转换公司债券、 公司债券及其他衍生证券。</w:t>
      </w:r>
    </w:p>
    <w:p>
      <w:pPr>
        <w:spacing w:line="240" w:lineRule="auto" w:before="10"/>
        <w:rPr>
          <w:rFonts w:ascii="宋体" w:hAnsi="宋体" w:cs="宋体" w:eastAsia="宋体" w:hint="default"/>
          <w:sz w:val="21"/>
          <w:szCs w:val="21"/>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370" w:firstLine="384"/>
        <w:jc w:val="left"/>
      </w:pPr>
      <w:r>
        <w:rPr/>
        <w:t>公司于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日向</w:t>
      </w:r>
      <w:r>
        <w:rPr>
          <w:rFonts w:ascii="宋体" w:hAnsi="宋体" w:cs="宋体" w:eastAsia="宋体" w:hint="default"/>
        </w:rPr>
        <w:t>52</w:t>
      </w:r>
      <w:r>
        <w:rPr/>
        <w:t>名激励对象授予</w:t>
      </w:r>
      <w:r>
        <w:rPr>
          <w:rFonts w:ascii="宋体" w:hAnsi="宋体" w:cs="宋体" w:eastAsia="宋体" w:hint="default"/>
        </w:rPr>
        <w:t>203</w:t>
      </w:r>
      <w:r>
        <w:rPr/>
        <w:t>万股限制性股票，授予完成后股本总额由 </w:t>
      </w:r>
      <w:r>
        <w:rPr>
          <w:rFonts w:ascii="宋体" w:hAnsi="宋体" w:cs="宋体" w:eastAsia="宋体" w:hint="default"/>
        </w:rPr>
        <w:t>111,930,000</w:t>
      </w:r>
      <w:r>
        <w:rPr/>
        <w:t>股增加到</w:t>
      </w:r>
      <w:r>
        <w:rPr>
          <w:rFonts w:ascii="宋体" w:hAnsi="宋体" w:cs="宋体" w:eastAsia="宋体" w:hint="default"/>
        </w:rPr>
        <w:t>113,960,000</w:t>
      </w:r>
      <w:r>
        <w:rPr/>
        <w:t>股。</w:t>
      </w:r>
    </w:p>
    <w:p>
      <w:pPr>
        <w:spacing w:line="240" w:lineRule="auto" w:before="10"/>
        <w:rPr>
          <w:rFonts w:ascii="宋体" w:hAnsi="宋体" w:cs="宋体" w:eastAsia="宋体" w:hint="default"/>
          <w:sz w:val="21"/>
          <w:szCs w:val="21"/>
        </w:rPr>
      </w:pPr>
    </w:p>
    <w:p>
      <w:pPr>
        <w:spacing w:line="480"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b/>
          <w:bCs/>
          <w:w w:val="100"/>
          <w:sz w:val="21"/>
          <w:szCs w:val="21"/>
        </w:rPr>
        <w:t> </w:t>
      </w:r>
      <w:r>
        <w:rPr>
          <w:rFonts w:ascii="宋体" w:hAnsi="宋体" w:cs="宋体" w:eastAsia="宋体" w:hint="default"/>
          <w:sz w:val="24"/>
          <w:szCs w:val="24"/>
        </w:rPr>
        <w:t>公司无内部职工股情况。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0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97"/>
        <w:gridCol w:w="421"/>
        <w:gridCol w:w="518"/>
        <w:gridCol w:w="857"/>
        <w:gridCol w:w="878"/>
        <w:gridCol w:w="1035"/>
        <w:gridCol w:w="1037"/>
        <w:gridCol w:w="939"/>
        <w:gridCol w:w="209"/>
        <w:gridCol w:w="600"/>
        <w:gridCol w:w="780"/>
      </w:tblGrid>
      <w:tr>
        <w:trPr>
          <w:trHeight w:val="408" w:hRule="exact"/>
        </w:trPr>
        <w:tc>
          <w:tcPr>
            <w:tcW w:w="2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11,731</w:t>
            </w:r>
          </w:p>
        </w:tc>
        <w:tc>
          <w:tcPr>
            <w:tcW w:w="40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13,907</w:t>
            </w: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2297" w:type="dxa"/>
            <w:vMerge w:val="restart"/>
            <w:tcBorders>
              <w:top w:val="single" w:sz="4" w:space="0" w:color="000000"/>
              <w:left w:val="single" w:sz="4" w:space="0" w:color="000000"/>
              <w:right w:val="single" w:sz="4" w:space="0" w:color="000000"/>
            </w:tcBorders>
            <w:shd w:val="clear" w:color="auto" w:fill="D2D2D2"/>
          </w:tcPr>
          <w:p>
            <w:pPr/>
          </w:p>
        </w:tc>
        <w:tc>
          <w:tcPr>
            <w:tcW w:w="939" w:type="dxa"/>
            <w:gridSpan w:val="2"/>
            <w:vMerge w:val="restart"/>
            <w:tcBorders>
              <w:top w:val="single" w:sz="4" w:space="0" w:color="000000"/>
              <w:left w:val="single" w:sz="4" w:space="0" w:color="000000"/>
              <w:right w:val="single" w:sz="4" w:space="0" w:color="000000"/>
            </w:tcBorders>
            <w:shd w:val="clear" w:color="auto" w:fill="D2D2D2"/>
          </w:tcPr>
          <w:p>
            <w:pPr/>
          </w:p>
        </w:tc>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62" w:right="62"/>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05" w:right="101"/>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5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7" w:hRule="exact"/>
        </w:trPr>
        <w:tc>
          <w:tcPr>
            <w:tcW w:w="2297" w:type="dxa"/>
            <w:vMerge/>
            <w:tcBorders>
              <w:left w:val="single" w:sz="4" w:space="0" w:color="000000"/>
              <w:bottom w:val="nil" w:sz="6" w:space="0" w:color="auto"/>
              <w:right w:val="single" w:sz="4" w:space="0" w:color="000000"/>
            </w:tcBorders>
            <w:shd w:val="clear" w:color="auto" w:fill="D2D2D2"/>
          </w:tcPr>
          <w:p>
            <w:pPr/>
          </w:p>
        </w:tc>
        <w:tc>
          <w:tcPr>
            <w:tcW w:w="939" w:type="dxa"/>
            <w:gridSpan w:val="2"/>
            <w:vMerge/>
            <w:tcBorders>
              <w:left w:val="single" w:sz="4" w:space="0" w:color="000000"/>
              <w:bottom w:val="nil" w:sz="6" w:space="0" w:color="auto"/>
              <w:right w:val="single" w:sz="4" w:space="0" w:color="000000"/>
            </w:tcBorders>
            <w:shd w:val="clear" w:color="auto" w:fill="D2D2D2"/>
          </w:tcPr>
          <w:p>
            <w:pPr/>
          </w:p>
        </w:tc>
        <w:tc>
          <w:tcPr>
            <w:tcW w:w="8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1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7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37" w:type="dxa"/>
            <w:vMerge/>
            <w:tcBorders>
              <w:left w:val="single" w:sz="4" w:space="0" w:color="000000"/>
              <w:right w:val="single" w:sz="4" w:space="0" w:color="000000"/>
            </w:tcBorders>
            <w:shd w:val="clear" w:color="auto" w:fill="D2D2D2"/>
          </w:tcPr>
          <w:p>
            <w:pPr/>
          </w:p>
        </w:tc>
        <w:tc>
          <w:tcPr>
            <w:tcW w:w="939" w:type="dxa"/>
            <w:vMerge/>
            <w:tcBorders>
              <w:left w:val="single" w:sz="4" w:space="0" w:color="000000"/>
              <w:right w:val="single" w:sz="4" w:space="0" w:color="000000"/>
            </w:tcBorders>
            <w:shd w:val="clear" w:color="auto" w:fill="D2D2D2"/>
          </w:tcPr>
          <w:p>
            <w:pPr/>
          </w:p>
        </w:tc>
        <w:tc>
          <w:tcPr>
            <w:tcW w:w="1589" w:type="dxa"/>
            <w:gridSpan w:val="3"/>
            <w:vMerge/>
            <w:tcBorders>
              <w:left w:val="single" w:sz="4" w:space="0" w:color="000000"/>
              <w:right w:val="single" w:sz="4" w:space="0" w:color="000000"/>
            </w:tcBorders>
            <w:shd w:val="clear" w:color="auto" w:fill="D2D2D2"/>
          </w:tcPr>
          <w:p>
            <w:pPr/>
          </w:p>
        </w:tc>
      </w:tr>
      <w:tr>
        <w:trPr>
          <w:trHeight w:val="140" w:hRule="exact"/>
        </w:trPr>
        <w:tc>
          <w:tcPr>
            <w:tcW w:w="22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7"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1035"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939" w:type="dxa"/>
            <w:vMerge/>
            <w:tcBorders>
              <w:left w:val="single" w:sz="4" w:space="0" w:color="000000"/>
              <w:right w:val="single" w:sz="4" w:space="0" w:color="000000"/>
            </w:tcBorders>
            <w:shd w:val="clear" w:color="auto" w:fill="D2D2D2"/>
          </w:tcPr>
          <w:p>
            <w:pPr/>
          </w:p>
        </w:tc>
        <w:tc>
          <w:tcPr>
            <w:tcW w:w="158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297" w:type="dxa"/>
            <w:vMerge/>
            <w:tcBorders>
              <w:left w:val="single" w:sz="4" w:space="0" w:color="000000"/>
              <w:bottom w:val="nil" w:sz="6" w:space="0" w:color="auto"/>
              <w:right w:val="single" w:sz="4" w:space="0" w:color="000000"/>
            </w:tcBorders>
            <w:shd w:val="clear" w:color="auto" w:fill="D2D2D2"/>
          </w:tcPr>
          <w:p>
            <w:pPr/>
          </w:p>
        </w:tc>
        <w:tc>
          <w:tcPr>
            <w:tcW w:w="939" w:type="dxa"/>
            <w:gridSpan w:val="2"/>
            <w:vMerge/>
            <w:tcBorders>
              <w:left w:val="single" w:sz="4" w:space="0" w:color="000000"/>
              <w:bottom w:val="nil" w:sz="6" w:space="0" w:color="auto"/>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1035"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939" w:type="dxa"/>
            <w:vMerge/>
            <w:tcBorders>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297" w:type="dxa"/>
            <w:vMerge w:val="restart"/>
            <w:tcBorders>
              <w:top w:val="nil" w:sz="6" w:space="0" w:color="auto"/>
              <w:left w:val="single" w:sz="4" w:space="0" w:color="000000"/>
              <w:right w:val="single" w:sz="4" w:space="0" w:color="000000"/>
            </w:tcBorders>
            <w:shd w:val="clear" w:color="auto" w:fill="D2D2D2"/>
          </w:tcPr>
          <w:p>
            <w:pPr/>
          </w:p>
        </w:tc>
        <w:tc>
          <w:tcPr>
            <w:tcW w:w="939" w:type="dxa"/>
            <w:gridSpan w:val="2"/>
            <w:vMerge w:val="restart"/>
            <w:tcBorders>
              <w:top w:val="nil" w:sz="6" w:space="0" w:color="auto"/>
              <w:left w:val="single" w:sz="4" w:space="0" w:color="000000"/>
              <w:right w:val="single" w:sz="4" w:space="0" w:color="000000"/>
            </w:tcBorders>
            <w:shd w:val="clear" w:color="auto" w:fill="D2D2D2"/>
          </w:tcPr>
          <w:p>
            <w:pPr/>
          </w:p>
        </w:tc>
        <w:tc>
          <w:tcPr>
            <w:tcW w:w="857" w:type="dxa"/>
            <w:vMerge/>
            <w:tcBorders>
              <w:left w:val="single" w:sz="4" w:space="0" w:color="000000"/>
              <w:bottom w:val="nil" w:sz="6" w:space="0" w:color="auto"/>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1035" w:type="dxa"/>
            <w:vMerge/>
            <w:tcBorders>
              <w:left w:val="single" w:sz="4" w:space="0" w:color="000000"/>
              <w:bottom w:val="nil" w:sz="6" w:space="0" w:color="auto"/>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939" w:type="dxa"/>
            <w:vMerge/>
            <w:tcBorders>
              <w:left w:val="single" w:sz="4" w:space="0" w:color="000000"/>
              <w:right w:val="single" w:sz="4" w:space="0" w:color="000000"/>
            </w:tcBorders>
            <w:shd w:val="clear" w:color="auto" w:fill="D2D2D2"/>
          </w:tcPr>
          <w:p>
            <w:pPr/>
          </w:p>
        </w:tc>
        <w:tc>
          <w:tcPr>
            <w:tcW w:w="809" w:type="dxa"/>
            <w:gridSpan w:val="2"/>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2297" w:type="dxa"/>
            <w:vMerge/>
            <w:tcBorders>
              <w:left w:val="single" w:sz="4" w:space="0" w:color="000000"/>
              <w:bottom w:val="single" w:sz="4" w:space="0" w:color="000000"/>
              <w:right w:val="single" w:sz="4" w:space="0" w:color="000000"/>
            </w:tcBorders>
            <w:shd w:val="clear" w:color="auto" w:fill="D2D2D2"/>
          </w:tcPr>
          <w:p>
            <w:pPr/>
          </w:p>
        </w:tc>
        <w:tc>
          <w:tcPr>
            <w:tcW w:w="939" w:type="dxa"/>
            <w:gridSpan w:val="2"/>
            <w:vMerge/>
            <w:tcBorders>
              <w:left w:val="single" w:sz="4" w:space="0" w:color="000000"/>
              <w:bottom w:val="single" w:sz="4" w:space="0" w:color="000000"/>
              <w:right w:val="single" w:sz="4" w:space="0" w:color="000000"/>
            </w:tcBorders>
            <w:shd w:val="clear" w:color="auto" w:fill="D2D2D2"/>
          </w:tcPr>
          <w:p>
            <w:pPr/>
          </w:p>
        </w:tc>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939"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欧姆龙</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17.62%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20,077,200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20,077,200</w:t>
            </w:r>
          </w:p>
        </w:tc>
        <w:tc>
          <w:tcPr>
            <w:tcW w:w="809" w:type="dxa"/>
            <w:gridSpan w:val="2"/>
            <w:tcBorders>
              <w:top w:val="single" w:sz="44" w:space="0" w:color="D2D2D2"/>
              <w:left w:val="single" w:sz="4" w:space="0" w:color="000000"/>
              <w:bottom w:val="single" w:sz="4" w:space="0" w:color="000000"/>
              <w:right w:val="single" w:sz="4" w:space="0" w:color="000000"/>
            </w:tcBorders>
          </w:tcPr>
          <w:p>
            <w:pPr/>
          </w:p>
        </w:tc>
        <w:tc>
          <w:tcPr>
            <w:tcW w:w="780" w:type="dxa"/>
            <w:tcBorders>
              <w:top w:val="single" w:sz="44" w:space="0" w:color="D2D2D2"/>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上海慧盛创业投资有限公司</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11.59%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13,213,234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-2,032,304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13,213,234</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上海古德投资咨询有限公司</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9.32%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10,620,327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4,391,887</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6,228,440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境内自然</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3.76%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3,217,500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1,072,500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1340" w:top="1060" w:bottom="154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181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39</w:t>
                    </w:r>
                  </w:p>
                </w:txbxContent>
              </v:textbox>
              <w10:wrap type="none"/>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0"/>
        <w:ind w:left="0" w:right="1137" w:firstLine="0"/>
        <w:jc w:val="right"/>
        <w:rPr>
          <w:rFonts w:ascii="宋体" w:hAnsi="宋体" w:cs="宋体" w:eastAsia="宋体" w:hint="default"/>
          <w:sz w:val="18"/>
          <w:szCs w:val="18"/>
        </w:rPr>
      </w:pPr>
      <w:r>
        <w:rPr/>
        <w:pict>
          <v:shape style="position:absolute;margin-left:56.400002pt;margin-top:-344.498291pt;width:479.3pt;height:696.9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7"/>
                    <w:gridCol w:w="433"/>
                    <w:gridCol w:w="506"/>
                    <w:gridCol w:w="840"/>
                    <w:gridCol w:w="895"/>
                    <w:gridCol w:w="1035"/>
                    <w:gridCol w:w="828"/>
                    <w:gridCol w:w="209"/>
                    <w:gridCol w:w="939"/>
                    <w:gridCol w:w="221"/>
                    <w:gridCol w:w="588"/>
                    <w:gridCol w:w="780"/>
                  </w:tblGrid>
                  <w:tr>
                    <w:trPr>
                      <w:trHeight w:val="363" w:hRule="exact"/>
                    </w:trPr>
                    <w:tc>
                      <w:tcPr>
                        <w:tcW w:w="2297" w:type="dxa"/>
                        <w:tcBorders>
                          <w:top w:val="single" w:sz="4" w:space="0" w:color="000000"/>
                          <w:left w:val="single" w:sz="4" w:space="0" w:color="000000"/>
                          <w:bottom w:val="single" w:sz="4" w:space="0" w:color="000000"/>
                          <w:right w:val="single" w:sz="4" w:space="0" w:color="000000"/>
                        </w:tcBorders>
                      </w:tcPr>
                      <w:p>
                        <w:pP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4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唐长钧</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3,112,438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2,409,328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703,110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姚钢</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1,951,950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780,780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1,171,170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交通银行－普惠证券投资基 金</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中国农业银行－富国天瑞强 势地区精选混合型开放式证 券投资基金</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3"/>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1,388,629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1,388,629</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1,388,629</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周诚</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1,150,020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-148,800</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725,010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425,010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李坚</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1,038,100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669,240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368,860</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323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335" w:type="dxa"/>
                        <w:gridSpan w:val="9"/>
                        <w:vMerge w:val="restart"/>
                        <w:tcBorders>
                          <w:top w:val="single" w:sz="4" w:space="0" w:color="000000"/>
                          <w:left w:val="single" w:sz="10" w:space="0" w:color="D2D2D2"/>
                          <w:right w:val="single" w:sz="4" w:space="0" w:color="000000"/>
                        </w:tcBorders>
                      </w:tcPr>
                      <w:p>
                        <w:pPr>
                          <w:pStyle w:val="TableParagraph"/>
                          <w:spacing w:line="314" w:lineRule="auto" w:before="49"/>
                          <w:ind w:left="16" w:right="20"/>
                          <w:jc w:val="left"/>
                          <w:rPr>
                            <w:rFonts w:ascii="宋体" w:hAnsi="宋体" w:cs="宋体" w:eastAsia="宋体" w:hint="default"/>
                            <w:sz w:val="18"/>
                            <w:szCs w:val="18"/>
                          </w:rPr>
                        </w:pPr>
                        <w:r>
                          <w:rPr>
                            <w:rFonts w:ascii="宋体" w:hAnsi="宋体" w:cs="宋体" w:eastAsia="宋体" w:hint="default"/>
                            <w:spacing w:val="-4"/>
                            <w:sz w:val="18"/>
                            <w:szCs w:val="18"/>
                          </w:rPr>
                          <w:t>上述股东关联关系或一致行动的说明：</w:t>
                        </w:r>
                        <w:r>
                          <w:rPr>
                            <w:rFonts w:ascii="Times New Roman" w:hAnsi="Times New Roman" w:cs="Times New Roman" w:eastAsia="Times New Roman" w:hint="default"/>
                            <w:spacing w:val="-4"/>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日上海古德投资咨询有限公 </w:t>
                        </w:r>
                        <w:r>
                          <w:rPr>
                            <w:rFonts w:ascii="宋体" w:hAnsi="宋体" w:cs="宋体" w:eastAsia="宋体" w:hint="default"/>
                            <w:spacing w:val="-1"/>
                            <w:sz w:val="18"/>
                            <w:szCs w:val="18"/>
                          </w:rPr>
                          <w:t>司与包叔平先生签订协议，约定古德投资授权包叔平先生行使其包括股东大会的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投票权、提案权、董事、独立董事及监事候选人的提名权、临时股东大会的召集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权的股东权利。</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37 </w:t>
                        </w:r>
                        <w:r>
                          <w:rPr>
                            <w:rFonts w:ascii="宋体" w:hAnsi="宋体" w:cs="宋体" w:eastAsia="宋体" w:hint="default"/>
                            <w:sz w:val="18"/>
                            <w:szCs w:val="18"/>
                          </w:rPr>
                          <w:t>位自然人股东共同签署《上海海隆软件股 </w:t>
                        </w:r>
                        <w:r>
                          <w:rPr>
                            <w:rFonts w:ascii="宋体" w:hAnsi="宋体" w:cs="宋体" w:eastAsia="宋体" w:hint="default"/>
                            <w:spacing w:val="-3"/>
                            <w:sz w:val="18"/>
                            <w:szCs w:val="18"/>
                          </w:rPr>
                          <w:t>份有限公司公开发行股票前的自然人股东持股规则》，约定由包叔平先生作为受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托人，代理本规则的全体参与人，代为行使其作为公司股东除收益权和依照法律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法规、公司章程及本规则的处分权之外的全部股东权利，包括股东大会的投票权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提案权及董事、独立董事、监事候选人的提名权、临时股东大会的召集权。上述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股东之间，包叔平、唐长钧、姚钢、周诚和李坚为一致行动人，其他未知是否属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于一致行动人。</w:t>
                        </w:r>
                      </w:p>
                    </w:tc>
                  </w:tr>
                  <w:tr>
                    <w:trPr>
                      <w:trHeight w:val="391" w:hRule="exact"/>
                    </w:trPr>
                    <w:tc>
                      <w:tcPr>
                        <w:tcW w:w="3236"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35" w:type="dxa"/>
                        <w:gridSpan w:val="9"/>
                        <w:vMerge/>
                        <w:tcBorders>
                          <w:left w:val="single" w:sz="10" w:space="0" w:color="D2D2D2"/>
                          <w:right w:val="single" w:sz="4" w:space="0" w:color="000000"/>
                        </w:tcBorders>
                      </w:tcPr>
                      <w:p>
                        <w:pPr/>
                      </w:p>
                    </w:tc>
                  </w:tr>
                  <w:tr>
                    <w:trPr>
                      <w:trHeight w:val="1409" w:hRule="exact"/>
                    </w:trPr>
                    <w:tc>
                      <w:tcPr>
                        <w:tcW w:w="323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335" w:type="dxa"/>
                        <w:gridSpan w:val="9"/>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5"/>
                        <w:vMerge/>
                        <w:tcBorders>
                          <w:left w:val="single" w:sz="4" w:space="0" w:color="000000"/>
                          <w:bottom w:val="nil" w:sz="6" w:space="0" w:color="auto"/>
                          <w:right w:val="single" w:sz="4" w:space="0" w:color="000000"/>
                        </w:tcBorders>
                        <w:shd w:val="clear" w:color="auto" w:fill="D2D2D2"/>
                      </w:tcPr>
                      <w:p>
                        <w:pPr/>
                      </w:p>
                    </w:tc>
                    <w:tc>
                      <w:tcPr>
                        <w:tcW w:w="13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3"/>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欧姆龙</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20,077,200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20,077,200</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上海慧盛创业投资有限公司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13,213,234</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13,213,234</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上海古德投资咨询有限公司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6,228,440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6,228,440</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交通银行－普惠证券投资基金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1,500,000</w:t>
                        </w:r>
                      </w:p>
                    </w:tc>
                  </w:tr>
                  <w:tr>
                    <w:trPr>
                      <w:trHeight w:val="102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both"/>
                          <w:rPr>
                            <w:rFonts w:ascii="宋体" w:hAnsi="宋体" w:cs="宋体" w:eastAsia="宋体" w:hint="default"/>
                            <w:sz w:val="18"/>
                            <w:szCs w:val="18"/>
                          </w:rPr>
                        </w:pPr>
                        <w:r>
                          <w:rPr>
                            <w:rFonts w:ascii="宋体" w:hAnsi="宋体" w:cs="宋体" w:eastAsia="宋体" w:hint="default"/>
                            <w:sz w:val="18"/>
                            <w:szCs w:val="18"/>
                          </w:rPr>
                          <w:t>中国农业银行－富国天瑞强势地 区精选混合型开放式证券投资基 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1,388,629</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1,388,629</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姚钢</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1,171,170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1,171,170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1,072,500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1,072,500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招商银行－鹏华新兴产业股票型 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822,132</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822,132</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唐长钧</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703,110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703,110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32"/>
          <w:footerReference w:type="default" r:id="rId33"/>
          <w:pgSz w:w="11910" w:h="16840"/>
          <w:pgMar w:header="876"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29"/>
        <w:gridCol w:w="4104"/>
        <w:gridCol w:w="1369"/>
        <w:gridCol w:w="1368"/>
      </w:tblGrid>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74"/>
              <w:jc w:val="left"/>
              <w:rPr>
                <w:rFonts w:ascii="宋体" w:hAnsi="宋体" w:cs="宋体" w:eastAsia="宋体" w:hint="default"/>
                <w:sz w:val="18"/>
                <w:szCs w:val="18"/>
              </w:rPr>
            </w:pPr>
            <w:r>
              <w:rPr>
                <w:rFonts w:ascii="宋体" w:hAnsi="宋体" w:cs="宋体" w:eastAsia="宋体" w:hint="default"/>
                <w:sz w:val="18"/>
                <w:szCs w:val="18"/>
              </w:rPr>
              <w:t>泰康人寿保险股份有限公司－万 能－个险万能</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693,277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693,277</w:t>
            </w:r>
          </w:p>
        </w:tc>
      </w:tr>
      <w:tr>
        <w:trPr>
          <w:trHeight w:val="3212"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日上海古德投资咨询有限公司与 </w:t>
            </w:r>
            <w:r>
              <w:rPr>
                <w:rFonts w:ascii="宋体" w:hAnsi="宋体" w:cs="宋体" w:eastAsia="宋体" w:hint="default"/>
                <w:spacing w:val="-2"/>
                <w:sz w:val="18"/>
                <w:szCs w:val="18"/>
              </w:rPr>
              <w:t>包叔平先生签订协议，约定古德投资授权包叔平先生行使其包括股东大会的投票权、提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案权、董事、独立董事及监事候选人的提名权、临时股东大会的召集权的股东权利。</w:t>
            </w:r>
            <w:r>
              <w:rPr>
                <w:rFonts w:ascii="Times New Roman" w:hAnsi="Times New Roman" w:cs="Times New Roman" w:eastAsia="Times New Roman" w:hint="default"/>
                <w:spacing w:val="-6"/>
                <w:sz w:val="18"/>
                <w:szCs w:val="18"/>
              </w:rPr>
              <w:t>2007</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Times New Roman" w:hAnsi="Times New Roman" w:cs="Times New Roman" w:eastAsia="Times New Roman" w:hint="default"/>
                <w:sz w:val="18"/>
                <w:szCs w:val="18"/>
              </w:rPr>
              <w:t>37 </w:t>
            </w:r>
            <w:r>
              <w:rPr>
                <w:rFonts w:ascii="宋体" w:hAnsi="宋体" w:cs="宋体" w:eastAsia="宋体" w:hint="default"/>
                <w:sz w:val="18"/>
                <w:szCs w:val="18"/>
              </w:rPr>
              <w:t>位自然人股东共同签署《上海海隆软件股份有限公司公开发行股票前 </w:t>
            </w:r>
            <w:r>
              <w:rPr>
                <w:rFonts w:ascii="宋体" w:hAnsi="宋体" w:cs="宋体" w:eastAsia="宋体" w:hint="default"/>
                <w:spacing w:val="-3"/>
                <w:sz w:val="18"/>
                <w:szCs w:val="18"/>
              </w:rPr>
              <w:t>的自然人股东持股规则》，约定由包叔平先生作为受托人，代理本规则的全体参与人，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代为行使其作为公司股东除收益权和依照法律法规、公司章程及本规则的处分权之外的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全部股东权利，包括股东大会的投票权、提案权及董事、独立董事、监事候选人的提名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权、临时股东大会的召集权。前十名无限售条件股东之间，包叔平、姚钢和唐长钧为一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致行动人，其他未知是否属于一致行动人。前十名股东之间，包叔平、唐长钧，姚钢、 周诚和李坚为一致行动人，其他未知是否属于一致行动人</w:t>
            </w:r>
          </w:p>
        </w:tc>
      </w:tr>
      <w:tr>
        <w:trPr>
          <w:trHeight w:val="1027"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公司股东上海古德投资咨询有限公司除通过普通证券账户持有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10,570,327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股外，还通过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银泰证券股份有限公司客户信用交易担保证券账户持有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10,620,327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3"/>
        <w:rPr>
          <w:rFonts w:ascii="宋体" w:hAnsi="宋体" w:cs="宋体" w:eastAsia="宋体" w:hint="default"/>
          <w:sz w:val="19"/>
          <w:szCs w:val="19"/>
        </w:rPr>
      </w:pPr>
    </w:p>
    <w:p>
      <w:pPr>
        <w:spacing w:line="520" w:lineRule="auto" w:before="36"/>
        <w:ind w:left="152" w:right="85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21"/>
          <w:szCs w:val="21"/>
        </w:rPr>
        <w:t>公司不存在控股股东</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both"/>
              <w:rPr>
                <w:rFonts w:ascii="宋体" w:hAnsi="宋体" w:cs="宋体" w:eastAsia="宋体" w:hint="default"/>
                <w:sz w:val="18"/>
                <w:szCs w:val="18"/>
              </w:rPr>
            </w:pPr>
            <w:r>
              <w:rPr>
                <w:rFonts w:ascii="宋体" w:hAnsi="宋体" w:cs="宋体" w:eastAsia="宋体" w:hint="default"/>
                <w:sz w:val="18"/>
                <w:szCs w:val="18"/>
              </w:rPr>
              <w:t>上海海隆软件股份有限公司董事长兼总经理、日本海隆株式会社董事长兼总经 理、江苏海隆软件技术有限公司董事长、上海华钟计算机软件开发有限公司董 事、上海海隆宜通信息技术有限公司董事长、上海艾云慧信创业投资有限公司 副董事长</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报告期实际控制人未发生变更</w:t>
      </w:r>
    </w:p>
    <w:p>
      <w:pPr>
        <w:spacing w:after="0"/>
        <w:jc w:val="left"/>
        <w:rPr>
          <w:rFonts w:ascii="宋体" w:hAnsi="宋体" w:cs="宋体" w:eastAsia="宋体" w:hint="default"/>
          <w:sz w:val="21"/>
          <w:szCs w:val="21"/>
        </w:rPr>
        <w:sectPr>
          <w:footerReference w:type="default" r:id="rId34"/>
          <w:pgSz w:w="11910" w:h="16840"/>
          <w:pgMar w:footer="1283" w:header="876" w:top="1060" w:bottom="1480" w:left="980" w:right="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sz w:val="21"/>
          <w:szCs w:val="21"/>
        </w:rPr>
        <w:t>公司与实际控制人之间的产权及控制关系的方框图</w:t>
      </w:r>
    </w:p>
    <w:p>
      <w:pPr>
        <w:spacing w:line="240" w:lineRule="auto" w:before="12"/>
        <w:rPr>
          <w:rFonts w:ascii="宋体" w:hAnsi="宋体" w:cs="宋体" w:eastAsia="宋体" w:hint="default"/>
          <w:sz w:val="19"/>
          <w:szCs w:val="19"/>
        </w:rPr>
      </w:pPr>
    </w:p>
    <w:p>
      <w:pPr>
        <w:spacing w:line="4648" w:lineRule="exact"/>
        <w:ind w:left="378"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825206" cy="295160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35" cstate="print"/>
                    <a:stretch>
                      <a:fillRect/>
                    </a:stretch>
                  </pic:blipFill>
                  <pic:spPr>
                    <a:xfrm>
                      <a:off x="0" y="0"/>
                      <a:ext cx="5825206" cy="2951606"/>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8"/>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before="44"/>
        <w:ind w:left="0" w:right="1208" w:firstLine="0"/>
        <w:jc w:val="right"/>
        <w:rPr>
          <w:rFonts w:ascii="宋体" w:hAnsi="宋体" w:cs="宋体" w:eastAsia="宋体" w:hint="default"/>
          <w:sz w:val="18"/>
          <w:szCs w:val="18"/>
        </w:rPr>
      </w:pPr>
      <w:r>
        <w:rPr/>
        <w:pict>
          <v:shape style="position:absolute;margin-left:56.400002pt;margin-top:-72.148285pt;width:475.8pt;height:107.5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136"/>
                    <w:gridCol w:w="1531"/>
                    <w:gridCol w:w="1800"/>
                    <w:gridCol w:w="2624"/>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2" w:right="87"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欧姆龙</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土居公司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10177435-5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19660.5657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持有并管理日本欧姆龙株式会社 在中国设立的其他公司股权</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上海慧盛创业投资有限公司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刘文裕</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73455680-9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1"/>
                          <w:jc w:val="left"/>
                          <w:rPr>
                            <w:rFonts w:ascii="宋体" w:hAnsi="宋体" w:cs="宋体" w:eastAsia="宋体" w:hint="default"/>
                            <w:sz w:val="18"/>
                            <w:szCs w:val="18"/>
                          </w:rPr>
                        </w:pPr>
                        <w:r>
                          <w:rPr>
                            <w:rFonts w:ascii="宋体" w:hAnsi="宋体" w:cs="宋体" w:eastAsia="宋体" w:hint="default"/>
                            <w:spacing w:val="-4"/>
                            <w:sz w:val="18"/>
                            <w:szCs w:val="18"/>
                          </w:rPr>
                          <w:t>创业（风险）投资、创业（风险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投资管理，投资咨询与管理</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1780"/>
        <w:jc w:val="left"/>
        <w:rPr>
          <w:b w:val="0"/>
          <w:bCs w:val="0"/>
        </w:rPr>
      </w:pPr>
      <w:r>
        <w:rPr/>
        <w:t>四、公司股东及其一致行动人在报告期提出或实施股份增持计划的情况</w:t>
      </w:r>
      <w:r>
        <w:rPr>
          <w:b w:val="0"/>
          <w:bCs w:val="0"/>
        </w:rPr>
      </w:r>
    </w:p>
    <w:p>
      <w:pPr>
        <w:spacing w:line="240" w:lineRule="auto" w:before="12"/>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sz w:val="21"/>
          <w:szCs w:val="21"/>
        </w:rPr>
        <w:t>公司股东及其一致行动人在报告期未提出或实施股份增持计划。</w:t>
      </w:r>
    </w:p>
    <w:p>
      <w:pPr>
        <w:spacing w:after="0"/>
        <w:jc w:val="left"/>
        <w:rPr>
          <w:rFonts w:ascii="宋体" w:hAnsi="宋体" w:cs="宋体" w:eastAsia="宋体" w:hint="default"/>
          <w:sz w:val="21"/>
          <w:szCs w:val="21"/>
        </w:rPr>
        <w:sectPr>
          <w:pgSz w:w="11910" w:h="16840"/>
          <w:pgMar w:header="876" w:footer="1283"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79" w:right="1780"/>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13"/>
        <w:rPr>
          <w:rFonts w:ascii="宋体" w:hAnsi="宋体" w:cs="宋体" w:eastAsia="宋体" w:hint="default"/>
          <w:b/>
          <w:bCs/>
          <w:sz w:val="38"/>
          <w:szCs w:val="38"/>
        </w:rPr>
      </w:pPr>
    </w:p>
    <w:p>
      <w:pPr>
        <w:pStyle w:val="Heading2"/>
        <w:spacing w:line="240" w:lineRule="auto" w:before="0"/>
        <w:ind w:right="178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977"/>
        <w:gridCol w:w="490"/>
        <w:gridCol w:w="421"/>
        <w:gridCol w:w="518"/>
        <w:gridCol w:w="1512"/>
        <w:gridCol w:w="1568"/>
        <w:gridCol w:w="910"/>
        <w:gridCol w:w="728"/>
        <w:gridCol w:w="703"/>
        <w:gridCol w:w="869"/>
      </w:tblGrid>
      <w:tr>
        <w:trPr>
          <w:trHeight w:val="133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0" w:right="5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179" w:right="179" w:firstLine="91"/>
              <w:jc w:val="left"/>
              <w:rPr>
                <w:rFonts w:ascii="宋体" w:hAnsi="宋体" w:cs="宋体" w:eastAsia="宋体" w:hint="default"/>
                <w:sz w:val="18"/>
                <w:szCs w:val="18"/>
              </w:rPr>
            </w:pPr>
            <w:r>
              <w:rPr>
                <w:rFonts w:ascii="宋体" w:hAnsi="宋体" w:cs="宋体" w:eastAsia="宋体" w:hint="default"/>
                <w:sz w:val="18"/>
                <w:szCs w:val="18"/>
              </w:rPr>
              <w:t>期初 持股数</w:t>
            </w:r>
          </w:p>
          <w:p>
            <w:pPr>
              <w:pStyle w:val="TableParagraph"/>
              <w:spacing w:line="224" w:lineRule="exact"/>
              <w:ind w:left="1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8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160" w:right="156" w:firstLine="88"/>
              <w:jc w:val="left"/>
              <w:rPr>
                <w:rFonts w:ascii="宋体" w:hAnsi="宋体" w:cs="宋体" w:eastAsia="宋体" w:hint="default"/>
                <w:sz w:val="18"/>
                <w:szCs w:val="18"/>
              </w:rPr>
            </w:pPr>
            <w:r>
              <w:rPr>
                <w:rFonts w:ascii="宋体" w:hAnsi="宋体" w:cs="宋体" w:eastAsia="宋体" w:hint="default"/>
                <w:sz w:val="18"/>
                <w:szCs w:val="18"/>
              </w:rPr>
              <w:t>期末 持股数</w:t>
            </w:r>
          </w:p>
          <w:p>
            <w:pPr>
              <w:pStyle w:val="TableParagraph"/>
              <w:spacing w:line="224" w:lineRule="exact"/>
              <w:ind w:left="160"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5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22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4,290,000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4,290,000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唐长钧</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69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3,212,438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3,112,438</w:t>
            </w:r>
          </w:p>
        </w:tc>
      </w:tr>
      <w:tr>
        <w:trPr>
          <w:trHeight w:val="75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3" w:right="221"/>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858,000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张怡方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何积丰</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高美萍</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颖</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彬</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429,000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 </w:t>
            </w:r>
            <w:r>
              <w:rPr>
                <w:rFonts w:ascii="宋体" w:hAnsi="宋体" w:cs="宋体" w:eastAsia="宋体" w:hint="default"/>
                <w:spacing w:val="2"/>
                <w:sz w:val="18"/>
                <w:szCs w:val="18"/>
              </w:rPr>
              <w:t> </w:t>
            </w:r>
            <w:r>
              <w:rPr>
                <w:rFonts w:ascii="宋体" w:hAnsi="宋体" w:cs="宋体" w:eastAsia="宋体" w:hint="default"/>
                <w:sz w:val="18"/>
                <w:szCs w:val="18"/>
              </w:rPr>
              <w:t>庆</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许俊峰</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75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静</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429,000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429,000</w:t>
            </w:r>
          </w:p>
        </w:tc>
      </w:tr>
      <w:tr>
        <w:trPr>
          <w:trHeight w:val="75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2"/>
                <w:sz w:val="18"/>
                <w:szCs w:val="18"/>
              </w:rPr>
              <w:t> </w:t>
            </w:r>
            <w:r>
              <w:rPr>
                <w:rFonts w:ascii="宋体" w:hAnsi="宋体" w:cs="宋体" w:eastAsia="宋体" w:hint="default"/>
                <w:sz w:val="18"/>
                <w:szCs w:val="18"/>
              </w:rPr>
              <w:t>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401"/>
              <w:jc w:val="left"/>
              <w:rPr>
                <w:rFonts w:ascii="宋体" w:hAnsi="宋体" w:cs="宋体" w:eastAsia="宋体" w:hint="default"/>
                <w:sz w:val="18"/>
                <w:szCs w:val="18"/>
              </w:rPr>
            </w:pPr>
            <w:r>
              <w:rPr>
                <w:rFonts w:ascii="宋体" w:hAnsi="宋体" w:cs="宋体" w:eastAsia="宋体" w:hint="default"/>
                <w:sz w:val="18"/>
                <w:szCs w:val="18"/>
              </w:rPr>
              <w:t>财务 负责人</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321,750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321,750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10,398,188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10,558,188</w:t>
            </w:r>
          </w:p>
        </w:tc>
      </w:tr>
    </w:tbl>
    <w:p>
      <w:pPr>
        <w:spacing w:line="240" w:lineRule="auto" w:before="1"/>
        <w:rPr>
          <w:rFonts w:ascii="宋体" w:hAnsi="宋体" w:cs="宋体" w:eastAsia="宋体" w:hint="default"/>
          <w:b/>
          <w:bCs/>
          <w:sz w:val="18"/>
          <w:szCs w:val="18"/>
        </w:rPr>
      </w:pPr>
    </w:p>
    <w:p>
      <w:pPr>
        <w:pStyle w:val="Heading2"/>
        <w:spacing w:line="240" w:lineRule="auto"/>
        <w:ind w:right="1780"/>
        <w:jc w:val="left"/>
        <w:rPr>
          <w:b w:val="0"/>
          <w:bCs w:val="0"/>
        </w:rPr>
      </w:pPr>
      <w:r>
        <w:rPr/>
        <w:t>二、任职情况</w:t>
      </w:r>
      <w:r>
        <w:rPr>
          <w:b w:val="0"/>
          <w:bCs w:val="0"/>
        </w:rPr>
      </w:r>
    </w:p>
    <w:p>
      <w:pPr>
        <w:spacing w:line="240" w:lineRule="auto" w:before="11"/>
        <w:rPr>
          <w:rFonts w:ascii="宋体" w:hAnsi="宋体" w:cs="宋体" w:eastAsia="宋体" w:hint="default"/>
          <w:b/>
          <w:bCs/>
          <w:sz w:val="28"/>
          <w:szCs w:val="28"/>
        </w:rPr>
      </w:pPr>
    </w:p>
    <w:p>
      <w:pPr>
        <w:spacing w:line="357" w:lineRule="auto" w:before="0"/>
        <w:ind w:left="573" w:right="1123" w:hanging="421"/>
        <w:jc w:val="left"/>
        <w:rPr>
          <w:rFonts w:ascii="宋体" w:hAnsi="宋体" w:cs="宋体" w:eastAsia="宋体" w:hint="default"/>
          <w:sz w:val="24"/>
          <w:szCs w:val="24"/>
        </w:rPr>
      </w:pPr>
      <w:r>
        <w:rPr>
          <w:rFonts w:ascii="宋体" w:hAnsi="宋体" w:cs="宋体" w:eastAsia="宋体" w:hint="default"/>
          <w:b/>
          <w:bCs/>
          <w:sz w:val="24"/>
          <w:szCs w:val="24"/>
        </w:rPr>
        <w:t>公司现任董事、监事、高级管理人员最近</w:t>
      </w:r>
      <w:r>
        <w:rPr>
          <w:rFonts w:ascii="宋体" w:hAnsi="宋体" w:cs="宋体" w:eastAsia="宋体" w:hint="default"/>
          <w:b/>
          <w:bCs/>
          <w:spacing w:val="-57"/>
          <w:sz w:val="24"/>
          <w:szCs w:val="24"/>
        </w:rPr>
        <w:t> </w:t>
      </w:r>
      <w:r>
        <w:rPr>
          <w:rFonts w:ascii="宋体" w:hAnsi="宋体" w:cs="宋体" w:eastAsia="宋体" w:hint="default"/>
          <w:b/>
          <w:bCs/>
          <w:sz w:val="24"/>
          <w:szCs w:val="24"/>
        </w:rPr>
        <w:t>5</w:t>
      </w:r>
      <w:r>
        <w:rPr>
          <w:rFonts w:ascii="宋体" w:hAnsi="宋体" w:cs="宋体" w:eastAsia="宋体" w:hint="default"/>
          <w:b/>
          <w:bCs/>
          <w:spacing w:val="-62"/>
          <w:sz w:val="24"/>
          <w:szCs w:val="24"/>
        </w:rPr>
        <w:t> </w:t>
      </w:r>
      <w:r>
        <w:rPr>
          <w:rFonts w:ascii="宋体" w:hAnsi="宋体" w:cs="宋体" w:eastAsia="宋体" w:hint="default"/>
          <w:b/>
          <w:bCs/>
          <w:sz w:val="24"/>
          <w:szCs w:val="24"/>
        </w:rPr>
        <w:t>年的主要工作经历</w:t>
      </w:r>
      <w:r>
        <w:rPr>
          <w:rFonts w:ascii="宋体" w:hAnsi="宋体" w:cs="宋体" w:eastAsia="宋体" w:hint="default"/>
          <w:b/>
          <w:bCs/>
          <w:w w:val="99"/>
          <w:sz w:val="24"/>
          <w:szCs w:val="24"/>
        </w:rPr>
        <w:t> </w:t>
      </w:r>
      <w:r>
        <w:rPr>
          <w:rFonts w:ascii="宋体" w:hAnsi="宋体" w:cs="宋体" w:eastAsia="宋体" w:hint="default"/>
          <w:b/>
          <w:bCs/>
          <w:sz w:val="24"/>
          <w:szCs w:val="24"/>
        </w:rPr>
        <w:t>包叔平先生，</w:t>
      </w:r>
      <w:r>
        <w:rPr>
          <w:rFonts w:ascii="宋体" w:hAnsi="宋体" w:cs="宋体" w:eastAsia="宋体" w:hint="default"/>
          <w:sz w:val="24"/>
          <w:szCs w:val="24"/>
        </w:rPr>
        <w:t>中国国籍，</w:t>
      </w:r>
      <w:r>
        <w:rPr>
          <w:rFonts w:ascii="宋体" w:hAnsi="宋体" w:cs="宋体" w:eastAsia="宋体" w:hint="default"/>
          <w:sz w:val="24"/>
          <w:szCs w:val="24"/>
        </w:rPr>
        <w:t>1955</w:t>
      </w:r>
      <w:r>
        <w:rPr>
          <w:rFonts w:ascii="宋体" w:hAnsi="宋体" w:cs="宋体" w:eastAsia="宋体" w:hint="default"/>
          <w:sz w:val="24"/>
          <w:szCs w:val="24"/>
        </w:rPr>
        <w:t>年生，博士学历。</w:t>
      </w:r>
      <w:r>
        <w:rPr>
          <w:rFonts w:ascii="宋体" w:hAnsi="宋体" w:cs="宋体" w:eastAsia="宋体" w:hint="default"/>
          <w:sz w:val="24"/>
          <w:szCs w:val="24"/>
        </w:rPr>
        <w:t>1982</w:t>
      </w:r>
      <w:r>
        <w:rPr>
          <w:rFonts w:ascii="宋体" w:hAnsi="宋体" w:cs="宋体" w:eastAsia="宋体" w:hint="default"/>
          <w:sz w:val="24"/>
          <w:szCs w:val="24"/>
        </w:rPr>
        <w:t>年毕业于南京工学院自动控制系，</w:t>
      </w:r>
    </w:p>
    <w:p>
      <w:pPr>
        <w:pStyle w:val="BodyText"/>
        <w:spacing w:line="240" w:lineRule="auto"/>
        <w:ind w:right="1123"/>
        <w:jc w:val="left"/>
      </w:pPr>
      <w:r>
        <w:rPr/>
        <w:t>获学士学位，</w:t>
      </w:r>
      <w:r>
        <w:rPr>
          <w:rFonts w:ascii="宋体" w:hAnsi="宋体" w:cs="宋体" w:eastAsia="宋体" w:hint="default"/>
        </w:rPr>
        <w:t>1988</w:t>
      </w:r>
      <w:r>
        <w:rPr/>
        <w:t>年毕业于日本京都大学，获博士学位。曾任日本欧姆龙株式会社</w:t>
      </w:r>
      <w:r>
        <w:rPr>
          <w:rFonts w:ascii="宋体" w:hAnsi="宋体" w:cs="宋体" w:eastAsia="宋体" w:hint="default"/>
        </w:rPr>
        <w:t>IT</w:t>
      </w:r>
      <w:r>
        <w:rPr/>
        <w:t>研究所</w:t>
      </w:r>
    </w:p>
    <w:p>
      <w:pPr>
        <w:pStyle w:val="BodyText"/>
        <w:spacing w:line="240" w:lineRule="auto" w:before="154"/>
        <w:ind w:right="982"/>
        <w:jc w:val="left"/>
      </w:pPr>
      <w:r>
        <w:rPr>
          <w:spacing w:val="-3"/>
        </w:rPr>
        <w:t>研究员，自</w:t>
      </w:r>
      <w:r>
        <w:rPr>
          <w:rFonts w:ascii="宋体" w:hAnsi="宋体" w:cs="宋体" w:eastAsia="宋体" w:hint="default"/>
          <w:spacing w:val="-3"/>
        </w:rPr>
        <w:t>1989</w:t>
      </w:r>
      <w:r>
        <w:rPr>
          <w:spacing w:val="-3"/>
        </w:rPr>
        <w:t>年受欧姆龙委派回国创办上海中立计算机有限公司（公司前身）并经营至今。</w:t>
      </w:r>
    </w:p>
    <w:p>
      <w:pPr>
        <w:spacing w:after="0" w:line="240" w:lineRule="auto"/>
        <w:jc w:val="left"/>
        <w:sectPr>
          <w:pgSz w:w="11910" w:h="16840"/>
          <w:pgMar w:header="876" w:footer="1283" w:top="1060" w:bottom="148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982"/>
        <w:jc w:val="left"/>
      </w:pPr>
      <w:r>
        <w:rPr/>
        <w:t>现任本公司董事长、总经理，日本海隆株式会社董事长兼总经理，上海华钟计算机软件开发</w:t>
      </w:r>
      <w:r>
        <w:rPr>
          <w:spacing w:val="-99"/>
        </w:rPr>
        <w:t> </w:t>
      </w:r>
      <w:r>
        <w:rPr>
          <w:spacing w:val="-99"/>
        </w:rPr>
      </w:r>
      <w:r>
        <w:rPr>
          <w:spacing w:val="-3"/>
        </w:rPr>
        <w:t>有限公司董事，江苏海隆软件技术有限公司董事长、上海海隆宜通信息技术有限公司董事长，</w:t>
      </w:r>
      <w:r>
        <w:rPr>
          <w:spacing w:val="-89"/>
        </w:rPr>
        <w:t> </w:t>
      </w:r>
      <w:r>
        <w:rPr>
          <w:spacing w:val="-89"/>
        </w:rPr>
      </w:r>
      <w:r>
        <w:rPr/>
        <w:t>上海艾云慧信创业投资有限公司副董事长。</w:t>
      </w:r>
    </w:p>
    <w:p>
      <w:pPr>
        <w:pStyle w:val="BodyText"/>
        <w:spacing w:line="357" w:lineRule="auto"/>
        <w:ind w:right="1143" w:firstLine="420"/>
        <w:jc w:val="both"/>
      </w:pPr>
      <w:r>
        <w:rPr>
          <w:rFonts w:ascii="宋体" w:hAnsi="宋体" w:cs="宋体" w:eastAsia="宋体" w:hint="default"/>
          <w:b/>
          <w:bCs/>
          <w:spacing w:val="-4"/>
        </w:rPr>
        <w:t>唐长钧先生，</w:t>
      </w:r>
      <w:r>
        <w:rPr>
          <w:spacing w:val="-4"/>
        </w:rPr>
        <w:t>中国国籍，</w:t>
      </w:r>
      <w:r>
        <w:rPr>
          <w:rFonts w:ascii="宋体" w:hAnsi="宋体" w:cs="宋体" w:eastAsia="宋体" w:hint="default"/>
          <w:spacing w:val="-4"/>
        </w:rPr>
        <w:t>1943</w:t>
      </w:r>
      <w:r>
        <w:rPr>
          <w:spacing w:val="-4"/>
        </w:rPr>
        <w:t>年生，大学学历，教授。</w:t>
      </w:r>
      <w:r>
        <w:rPr>
          <w:rFonts w:ascii="宋体" w:hAnsi="宋体" w:cs="宋体" w:eastAsia="宋体" w:hint="default"/>
          <w:spacing w:val="-4"/>
        </w:rPr>
        <w:t>1965</w:t>
      </w:r>
      <w:r>
        <w:rPr>
          <w:spacing w:val="-4"/>
        </w:rPr>
        <w:t>年毕业于上海交通大学。</w:t>
      </w:r>
      <w:r>
        <w:rPr>
          <w:rFonts w:ascii="宋体" w:hAnsi="宋体" w:cs="宋体" w:eastAsia="宋体" w:hint="default"/>
          <w:spacing w:val="-4"/>
        </w:rPr>
        <w:t>1965</w:t>
      </w:r>
      <w:r>
        <w:rPr>
          <w:rFonts w:ascii="宋体" w:hAnsi="宋体" w:cs="宋体" w:eastAsia="宋体" w:hint="default"/>
        </w:rPr>
        <w:t> </w:t>
      </w:r>
      <w:r>
        <w:rPr/>
        <w:t>年～</w:t>
      </w:r>
      <w:r>
        <w:rPr>
          <w:rFonts w:ascii="宋体" w:hAnsi="宋体" w:cs="宋体" w:eastAsia="宋体" w:hint="default"/>
        </w:rPr>
        <w:t>1990</w:t>
      </w:r>
      <w:r>
        <w:rPr/>
        <w:t>年，在上海交通大学无线电系、微机所工作。曾任上海华钟计算机软件开发有限公</w:t>
      </w:r>
      <w:r>
        <w:rPr>
          <w:spacing w:val="-99"/>
        </w:rPr>
        <w:t> </w:t>
      </w:r>
      <w:r>
        <w:rPr>
          <w:spacing w:val="-99"/>
        </w:rPr>
      </w:r>
      <w:r>
        <w:rPr/>
        <w:t>司董事、副总经理、总经理。现任本公司副董事长、上海华钟计算机软件开发有限公司副董</w:t>
      </w:r>
      <w:r>
        <w:rPr>
          <w:spacing w:val="-98"/>
        </w:rPr>
        <w:t> </w:t>
      </w:r>
      <w:r>
        <w:rPr>
          <w:spacing w:val="-98"/>
        </w:rPr>
      </w:r>
      <w:r>
        <w:rPr/>
        <w:t>事长。曾获中船总公司科技进步三等奖。</w:t>
      </w:r>
    </w:p>
    <w:p>
      <w:pPr>
        <w:pStyle w:val="BodyText"/>
        <w:spacing w:line="357" w:lineRule="auto"/>
        <w:ind w:right="982" w:firstLine="420"/>
        <w:jc w:val="left"/>
      </w:pPr>
      <w:r>
        <w:rPr>
          <w:rFonts w:ascii="宋体" w:hAnsi="宋体" w:cs="宋体" w:eastAsia="宋体" w:hint="default"/>
          <w:b/>
          <w:bCs/>
        </w:rPr>
        <w:t>潘世雷先生，</w:t>
      </w:r>
      <w:r>
        <w:rPr/>
        <w:t>中国国籍，</w:t>
      </w:r>
      <w:r>
        <w:rPr>
          <w:rFonts w:ascii="宋体" w:hAnsi="宋体" w:cs="宋体" w:eastAsia="宋体" w:hint="default"/>
        </w:rPr>
        <w:t>1964</w:t>
      </w:r>
      <w:r>
        <w:rPr/>
        <w:t>年生，研究生学历，高级工程师。</w:t>
      </w:r>
      <w:r>
        <w:rPr>
          <w:rFonts w:ascii="宋体" w:hAnsi="宋体" w:cs="宋体" w:eastAsia="宋体" w:hint="default"/>
        </w:rPr>
        <w:t>1989</w:t>
      </w:r>
      <w:r>
        <w:rPr/>
        <w:t>年毕业于上海交通</w:t>
      </w:r>
      <w:r>
        <w:rPr>
          <w:spacing w:val="2"/>
        </w:rPr>
        <w:t> </w:t>
      </w:r>
      <w:r>
        <w:rPr>
          <w:spacing w:val="-3"/>
        </w:rPr>
        <w:t>大学，获硕士学位。随后进入上海中立计算机有限公司（公司前身）工作至今，历任程序员、</w:t>
      </w:r>
      <w:r>
        <w:rPr>
          <w:spacing w:val="-91"/>
        </w:rPr>
        <w:t> </w:t>
      </w:r>
      <w:r>
        <w:rPr>
          <w:spacing w:val="-91"/>
        </w:rPr>
      </w:r>
      <w:r>
        <w:rPr/>
        <w:t>高级程序员、项目经理、部门经理、副总经理。现任本公司董事、副总经理兼任新事业部部</w:t>
      </w:r>
      <w:r>
        <w:rPr>
          <w:spacing w:val="-99"/>
        </w:rPr>
        <w:t> </w:t>
      </w:r>
      <w:r>
        <w:rPr>
          <w:spacing w:val="-99"/>
        </w:rPr>
      </w:r>
      <w:r>
        <w:rPr/>
        <w:t>长，上海海隆宜通信息技术有限公司董事、总经理。</w:t>
      </w:r>
    </w:p>
    <w:p>
      <w:pPr>
        <w:pStyle w:val="BodyText"/>
        <w:spacing w:line="357" w:lineRule="auto"/>
        <w:ind w:right="1141" w:firstLine="420"/>
        <w:jc w:val="both"/>
      </w:pPr>
      <w:r>
        <w:rPr>
          <w:rFonts w:ascii="宋体" w:hAnsi="宋体" w:cs="宋体" w:eastAsia="宋体" w:hint="default"/>
          <w:b/>
          <w:bCs/>
        </w:rPr>
        <w:t>张强先生，</w:t>
      </w:r>
      <w:r>
        <w:rPr/>
        <w:t>中国国籍，</w:t>
      </w:r>
      <w:r>
        <w:rPr>
          <w:rFonts w:ascii="宋体" w:hAnsi="宋体" w:cs="宋体" w:eastAsia="宋体" w:hint="default"/>
        </w:rPr>
        <w:t>1969</w:t>
      </w:r>
      <w:r>
        <w:rPr/>
        <w:t>年生，毕业于上海交通大学电子工程系通信工程专业，大学 学历。历任日本恒星电脑系统公司程序员、工程师、部门经理；日本恒星株式会社系统工程</w:t>
      </w:r>
      <w:r>
        <w:rPr>
          <w:spacing w:val="-96"/>
        </w:rPr>
        <w:t> </w:t>
      </w:r>
      <w:r>
        <w:rPr>
          <w:spacing w:val="-96"/>
        </w:rPr>
      </w:r>
      <w:r>
        <w:rPr/>
        <w:t>师、项目经理；联迪恒星（南京）信息系统有限公司总经理、副董事长。现任本公司董事、</w:t>
      </w:r>
      <w:r>
        <w:rPr>
          <w:spacing w:val="-99"/>
        </w:rPr>
        <w:t> </w:t>
      </w:r>
      <w:r>
        <w:rPr>
          <w:spacing w:val="-99"/>
        </w:rPr>
      </w:r>
      <w:r>
        <w:rPr/>
        <w:t>江苏海隆软件技术有限公司总经理。</w:t>
      </w:r>
    </w:p>
    <w:p>
      <w:pPr>
        <w:pStyle w:val="BodyText"/>
        <w:spacing w:line="357" w:lineRule="auto"/>
        <w:ind w:right="1142" w:firstLine="475"/>
        <w:jc w:val="both"/>
      </w:pPr>
      <w:r>
        <w:rPr>
          <w:rFonts w:ascii="宋体" w:hAnsi="宋体" w:cs="宋体" w:eastAsia="宋体" w:hint="default"/>
          <w:b/>
          <w:bCs/>
        </w:rPr>
        <w:t>朱玉旭先生，</w:t>
      </w:r>
      <w:r>
        <w:rPr/>
        <w:t>中国国籍，</w:t>
      </w:r>
      <w:r>
        <w:rPr>
          <w:rFonts w:ascii="宋体" w:hAnsi="宋体" w:cs="宋体" w:eastAsia="宋体" w:hint="default"/>
        </w:rPr>
        <w:t>1961</w:t>
      </w:r>
      <w:r>
        <w:rPr/>
        <w:t>年生，博士，高级会计师。曾任上海交大南洋股份有限公 司总会计师。现任本公司董事、上海慧盛创业投资有限公司总经理、上海交大高新技术股份</w:t>
      </w:r>
      <w:r>
        <w:rPr>
          <w:spacing w:val="-99"/>
        </w:rPr>
        <w:t> </w:t>
      </w:r>
      <w:r>
        <w:rPr>
          <w:spacing w:val="-99"/>
        </w:rPr>
      </w:r>
      <w:r>
        <w:rPr/>
        <w:t>有限公司董事长</w:t>
      </w:r>
      <w:r>
        <w:rPr>
          <w:rFonts w:ascii="宋体" w:hAnsi="宋体" w:cs="宋体" w:eastAsia="宋体" w:hint="default"/>
        </w:rPr>
        <w:t>,</w:t>
      </w:r>
      <w:r>
        <w:rPr/>
        <w:t>上海艾云慧信创业投资有限公司董事</w:t>
      </w:r>
      <w:r>
        <w:rPr>
          <w:rFonts w:ascii="宋体" w:hAnsi="宋体" w:cs="宋体" w:eastAsia="宋体" w:hint="default"/>
        </w:rPr>
        <w:t>,</w:t>
      </w:r>
      <w:r>
        <w:rPr/>
        <w:t>上海艾云创业投资管理有限公司董事</w:t>
      </w:r>
      <w:r>
        <w:rPr>
          <w:spacing w:val="-96"/>
        </w:rPr>
        <w:t> </w:t>
      </w:r>
      <w:r>
        <w:rPr>
          <w:spacing w:val="-96"/>
        </w:rPr>
      </w:r>
      <w:r>
        <w:rPr/>
        <w:t>长</w:t>
      </w:r>
      <w:r>
        <w:rPr>
          <w:rFonts w:ascii="宋体" w:hAnsi="宋体" w:cs="宋体" w:eastAsia="宋体" w:hint="default"/>
        </w:rPr>
        <w:t>, </w:t>
      </w:r>
      <w:r>
        <w:rPr/>
        <w:t>上海豫瑞创业投资合伙企业（有限合伙）执行合伙人。</w:t>
      </w:r>
    </w:p>
    <w:p>
      <w:pPr>
        <w:pStyle w:val="BodyText"/>
        <w:spacing w:line="357" w:lineRule="auto"/>
        <w:ind w:right="982" w:firstLine="420"/>
        <w:jc w:val="left"/>
      </w:pPr>
      <w:r>
        <w:rPr>
          <w:rFonts w:ascii="宋体" w:hAnsi="宋体" w:cs="宋体" w:eastAsia="宋体" w:hint="default"/>
          <w:b/>
          <w:bCs/>
        </w:rPr>
        <w:t>张怡方女士，</w:t>
      </w:r>
      <w:r>
        <w:rPr/>
        <w:t>中国国籍，</w:t>
      </w:r>
      <w:r>
        <w:rPr>
          <w:rFonts w:ascii="宋体" w:hAnsi="宋体" w:cs="宋体" w:eastAsia="宋体" w:hint="default"/>
        </w:rPr>
        <w:t>1955</w:t>
      </w:r>
      <w:r>
        <w:rPr/>
        <w:t>年生，大学学历。</w:t>
      </w:r>
      <w:r>
        <w:rPr>
          <w:rFonts w:ascii="宋体" w:hAnsi="宋体" w:cs="宋体" w:eastAsia="宋体" w:hint="default"/>
        </w:rPr>
        <w:t>1982</w:t>
      </w:r>
      <w:r>
        <w:rPr/>
        <w:t>年毕业于南京工学院自动控制系。</w:t>
      </w:r>
      <w:r>
        <w:rPr>
          <w:spacing w:val="2"/>
        </w:rPr>
        <w:t> </w:t>
      </w:r>
      <w:r>
        <w:rPr/>
        <w:t>曾任南京有线电厂工程师、南京标牌厂副厂长、上海顺风电子技术有限公司总经理、上海中</w:t>
      </w:r>
      <w:r>
        <w:rPr>
          <w:spacing w:val="-99"/>
        </w:rPr>
        <w:t> </w:t>
      </w:r>
      <w:r>
        <w:rPr>
          <w:spacing w:val="-99"/>
        </w:rPr>
      </w:r>
      <w:r>
        <w:rPr>
          <w:spacing w:val="-3"/>
        </w:rPr>
        <w:t>立计算机有限公司销售经理、晨兴（中国）有限公司总裁助理、贵州证券上海业务部总经理、</w:t>
      </w:r>
      <w:r>
        <w:rPr>
          <w:spacing w:val="-91"/>
        </w:rPr>
        <w:t> </w:t>
      </w:r>
      <w:r>
        <w:rPr>
          <w:spacing w:val="-91"/>
        </w:rPr>
      </w:r>
      <w:r>
        <w:rPr/>
        <w:t>陕西证券上海业务部总经理、上海证券交易所理事。现任上海古德投资有限公司董事，本公</w:t>
      </w:r>
      <w:r>
        <w:rPr>
          <w:spacing w:val="-99"/>
        </w:rPr>
        <w:t> </w:t>
      </w:r>
      <w:r>
        <w:rPr>
          <w:spacing w:val="-99"/>
        </w:rPr>
      </w:r>
      <w:r>
        <w:rPr/>
        <w:t>司董事。</w:t>
      </w:r>
    </w:p>
    <w:p>
      <w:pPr>
        <w:pStyle w:val="BodyText"/>
        <w:spacing w:line="357" w:lineRule="auto"/>
        <w:ind w:right="1139" w:firstLine="420"/>
        <w:jc w:val="both"/>
      </w:pPr>
      <w:r>
        <w:rPr>
          <w:rFonts w:ascii="宋体" w:hAnsi="宋体" w:cs="宋体" w:eastAsia="宋体" w:hint="default"/>
          <w:b/>
          <w:bCs/>
        </w:rPr>
        <w:t>何积丰先生，</w:t>
      </w:r>
      <w:r>
        <w:rPr/>
        <w:t>中国国籍，</w:t>
      </w:r>
      <w:r>
        <w:rPr>
          <w:rFonts w:ascii="宋体" w:hAnsi="宋体" w:cs="宋体" w:eastAsia="宋体" w:hint="default"/>
        </w:rPr>
        <w:t>1943</w:t>
      </w:r>
      <w:r>
        <w:rPr/>
        <w:t>年生，大学学历。曾任华东师范大学助教、讲师，曾在美</w:t>
      </w:r>
      <w:r>
        <w:rPr>
          <w:spacing w:val="2"/>
        </w:rPr>
        <w:t> </w:t>
      </w:r>
      <w:r>
        <w:rPr/>
        <w:t>国斯坦福大学、旧金山大学进修，在英国牛津大学担任客座教授、高级研究员。</w:t>
      </w:r>
      <w:r>
        <w:rPr>
          <w:rFonts w:ascii="宋体" w:hAnsi="宋体" w:cs="宋体" w:eastAsia="宋体" w:hint="default"/>
        </w:rPr>
        <w:t>1988</w:t>
      </w:r>
      <w:r>
        <w:rPr/>
        <w:t>年被评</w:t>
      </w:r>
      <w:r>
        <w:rPr>
          <w:spacing w:val="-97"/>
        </w:rPr>
        <w:t> </w:t>
      </w:r>
      <w:r>
        <w:rPr/>
        <w:t>为国家有突出贡献中青年专家。曾获电子工业部软件一等奖，上海市科技进步一等奖，英国</w:t>
      </w:r>
      <w:r>
        <w:rPr>
          <w:spacing w:val="-99"/>
        </w:rPr>
        <w:t> </w:t>
      </w:r>
      <w:r>
        <w:rPr>
          <w:spacing w:val="-99"/>
        </w:rPr>
      </w:r>
      <w:r>
        <w:rPr/>
        <w:t>先进技术女皇奖，国家自然科学二等奖。现任本公司独立董事、华东师范大学终生教授、博</w:t>
      </w:r>
      <w:r>
        <w:rPr>
          <w:spacing w:val="-99"/>
        </w:rPr>
        <w:t> </w:t>
      </w:r>
      <w:r>
        <w:rPr>
          <w:spacing w:val="-99"/>
        </w:rPr>
      </w:r>
      <w:r>
        <w:rPr/>
        <w:t>士生导师、软件学院院长，中国科学院院士。</w:t>
      </w:r>
    </w:p>
    <w:p>
      <w:pPr>
        <w:spacing w:after="0" w:line="357" w:lineRule="auto"/>
        <w:jc w:val="both"/>
        <w:sectPr>
          <w:pgSz w:w="11910" w:h="16840"/>
          <w:pgMar w:header="876" w:footer="1283" w:top="1060" w:bottom="148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41" w:firstLine="516"/>
        <w:jc w:val="both"/>
      </w:pPr>
      <w:r>
        <w:rPr>
          <w:rFonts w:ascii="宋体" w:hAnsi="宋体" w:cs="宋体" w:eastAsia="宋体" w:hint="default"/>
          <w:b/>
          <w:bCs/>
          <w:spacing w:val="-1"/>
        </w:rPr>
        <w:t>陈乐波先生，</w:t>
      </w:r>
      <w:r>
        <w:rPr>
          <w:spacing w:val="-1"/>
        </w:rPr>
        <w:t>中国国籍，</w:t>
      </w:r>
      <w:r>
        <w:rPr>
          <w:rFonts w:ascii="宋体" w:hAnsi="宋体" w:cs="宋体" w:eastAsia="宋体" w:hint="default"/>
          <w:spacing w:val="-1"/>
        </w:rPr>
        <w:t>1949</w:t>
      </w:r>
      <w:r>
        <w:rPr>
          <w:spacing w:val="-1"/>
        </w:rPr>
        <w:t>年生，大学学历。</w:t>
      </w:r>
      <w:r>
        <w:rPr>
          <w:rFonts w:ascii="宋体" w:hAnsi="宋体" w:cs="宋体" w:eastAsia="宋体" w:hint="default"/>
          <w:spacing w:val="-1"/>
        </w:rPr>
        <w:t>1983</w:t>
      </w:r>
      <w:r>
        <w:rPr>
          <w:spacing w:val="-1"/>
        </w:rPr>
        <w:t>年毕业于上海交通大学工业外贸专</w:t>
      </w:r>
      <w:r>
        <w:rPr/>
        <w:t> 业。曾任上海交通大学教师，上海市社会科学院记者、编辑、研究人员，广联（南宁）投资</w:t>
      </w:r>
      <w:r>
        <w:rPr>
          <w:spacing w:val="-99"/>
        </w:rPr>
        <w:t> </w:t>
      </w:r>
      <w:r>
        <w:rPr>
          <w:spacing w:val="-99"/>
        </w:rPr>
      </w:r>
      <w:r>
        <w:rPr/>
        <w:t>有限公司副总经理，上海中泰信托投资公司总经济师，昆明百货大楼股份有限公司独立董事</w:t>
      </w:r>
      <w:r>
        <w:rPr>
          <w:spacing w:val="-99"/>
        </w:rPr>
        <w:t> </w:t>
      </w:r>
      <w:r>
        <w:rPr>
          <w:spacing w:val="-99"/>
        </w:rPr>
      </w:r>
      <w:r>
        <w:rPr/>
        <w:t>等职，现任本公司独立董事、红塔红土证券基金独立董事。</w:t>
      </w:r>
    </w:p>
    <w:p>
      <w:pPr>
        <w:pStyle w:val="BodyText"/>
        <w:spacing w:line="357" w:lineRule="auto"/>
        <w:ind w:right="1137" w:firstLine="420"/>
        <w:jc w:val="both"/>
      </w:pPr>
      <w:r>
        <w:rPr>
          <w:rFonts w:ascii="宋体" w:hAnsi="宋体" w:cs="宋体" w:eastAsia="宋体" w:hint="default"/>
          <w:b/>
          <w:bCs/>
          <w:spacing w:val="2"/>
        </w:rPr>
        <w:t>高美萍女士，</w:t>
      </w:r>
      <w:r>
        <w:rPr>
          <w:spacing w:val="2"/>
        </w:rPr>
        <w:t>中国国籍，</w:t>
      </w:r>
      <w:r>
        <w:rPr>
          <w:rFonts w:ascii="宋体" w:hAnsi="宋体" w:cs="宋体" w:eastAsia="宋体" w:hint="default"/>
          <w:spacing w:val="2"/>
        </w:rPr>
        <w:t>1958</w:t>
      </w:r>
      <w:r>
        <w:rPr>
          <w:spacing w:val="2"/>
        </w:rPr>
        <w:t>年生，大专学历，注册会计师。曾任上海崇明东风农场纺</w:t>
      </w:r>
      <w:r>
        <w:rPr/>
        <w:t> 织厂工人，上海第四铜带厂财务人员，东华大学教工，现任本公司独立董事、上海汇青会计</w:t>
      </w:r>
      <w:r>
        <w:rPr>
          <w:spacing w:val="-90"/>
        </w:rPr>
        <w:t> </w:t>
      </w:r>
      <w:r>
        <w:rPr>
          <w:spacing w:val="-90"/>
        </w:rPr>
      </w:r>
      <w:r>
        <w:rPr/>
        <w:t>师事务所项目经理。</w:t>
      </w:r>
    </w:p>
    <w:p>
      <w:pPr>
        <w:spacing w:line="240" w:lineRule="auto" w:before="0"/>
        <w:rPr>
          <w:rFonts w:ascii="宋体" w:hAnsi="宋体" w:cs="宋体" w:eastAsia="宋体" w:hint="default"/>
          <w:sz w:val="24"/>
          <w:szCs w:val="24"/>
        </w:rPr>
      </w:pPr>
    </w:p>
    <w:p>
      <w:pPr>
        <w:pStyle w:val="Heading2"/>
        <w:spacing w:line="240" w:lineRule="auto" w:before="191"/>
        <w:ind w:right="1780"/>
        <w:jc w:val="left"/>
        <w:rPr>
          <w:b w:val="0"/>
          <w:bCs w:val="0"/>
        </w:rPr>
      </w:pPr>
      <w:r>
        <w:rPr/>
        <w:t>现任监事主要工作经历</w:t>
      </w:r>
      <w:r>
        <w:rPr>
          <w:b w:val="0"/>
          <w:bCs w:val="0"/>
        </w:rPr>
      </w:r>
    </w:p>
    <w:p>
      <w:pPr>
        <w:pStyle w:val="BodyText"/>
        <w:spacing w:line="357" w:lineRule="auto" w:before="154"/>
        <w:ind w:right="1140" w:firstLine="420"/>
        <w:jc w:val="both"/>
      </w:pPr>
      <w:r>
        <w:rPr>
          <w:rFonts w:ascii="宋体" w:hAnsi="宋体" w:cs="宋体" w:eastAsia="宋体" w:hint="default"/>
          <w:b/>
          <w:bCs/>
        </w:rPr>
        <w:t>周颖先生，</w:t>
      </w:r>
      <w:r>
        <w:rPr/>
        <w:t>中国国籍，</w:t>
      </w:r>
      <w:r>
        <w:rPr>
          <w:rFonts w:ascii="宋体" w:hAnsi="宋体" w:cs="宋体" w:eastAsia="宋体" w:hint="default"/>
        </w:rPr>
        <w:t>1964</w:t>
      </w:r>
      <w:r>
        <w:rPr/>
        <w:t>年生，研究生学历。</w:t>
      </w:r>
      <w:r>
        <w:rPr>
          <w:rFonts w:ascii="宋体" w:hAnsi="宋体" w:cs="宋体" w:eastAsia="宋体" w:hint="default"/>
        </w:rPr>
        <w:t>2001</w:t>
      </w:r>
      <w:r>
        <w:rPr/>
        <w:t>年毕业于上海交通大学。曾任上海</w:t>
      </w:r>
      <w:r>
        <w:rPr>
          <w:spacing w:val="2"/>
        </w:rPr>
        <w:t> </w:t>
      </w:r>
      <w:r>
        <w:rPr/>
        <w:t>交大高新技术股份有限公司总经理助理。现任本公司监事会主席、上海慧盛创业投资有限公</w:t>
      </w:r>
      <w:r>
        <w:rPr>
          <w:spacing w:val="-99"/>
        </w:rPr>
        <w:t> </w:t>
      </w:r>
      <w:r>
        <w:rPr>
          <w:spacing w:val="-99"/>
        </w:rPr>
      </w:r>
      <w:r>
        <w:rPr/>
        <w:t>司资产经营部经理、上海艾云创业投资管理有限公司副总经理。</w:t>
      </w:r>
    </w:p>
    <w:p>
      <w:pPr>
        <w:pStyle w:val="BodyText"/>
        <w:spacing w:line="357" w:lineRule="auto"/>
        <w:ind w:right="1140" w:firstLine="420"/>
        <w:jc w:val="both"/>
      </w:pPr>
      <w:r>
        <w:rPr>
          <w:rFonts w:ascii="宋体" w:hAnsi="宋体" w:cs="宋体" w:eastAsia="宋体" w:hint="default"/>
          <w:b/>
          <w:bCs/>
        </w:rPr>
        <w:t>王彬先生，</w:t>
      </w:r>
      <w:r>
        <w:rPr/>
        <w:t>中国国籍，</w:t>
      </w:r>
      <w:r>
        <w:rPr>
          <w:rFonts w:ascii="宋体" w:hAnsi="宋体" w:cs="宋体" w:eastAsia="宋体" w:hint="default"/>
        </w:rPr>
        <w:t>1962</w:t>
      </w:r>
      <w:r>
        <w:rPr/>
        <w:t>年生，大学学历。</w:t>
      </w:r>
      <w:r>
        <w:rPr>
          <w:rFonts w:ascii="宋体" w:hAnsi="宋体" w:cs="宋体" w:eastAsia="宋体" w:hint="default"/>
        </w:rPr>
        <w:t>1982</w:t>
      </w:r>
      <w:r>
        <w:rPr/>
        <w:t>年毕业于复旦大学数学系，随后进入</w:t>
      </w:r>
      <w:r>
        <w:rPr>
          <w:spacing w:val="2"/>
        </w:rPr>
        <w:t> </w:t>
      </w:r>
      <w:r>
        <w:rPr/>
        <w:t>上海无线电二厂工作至</w:t>
      </w:r>
      <w:r>
        <w:rPr>
          <w:rFonts w:ascii="宋体" w:hAnsi="宋体" w:cs="宋体" w:eastAsia="宋体" w:hint="default"/>
        </w:rPr>
        <w:t>1989</w:t>
      </w:r>
      <w:r>
        <w:rPr/>
        <w:t>年</w:t>
      </w:r>
      <w:r>
        <w:rPr>
          <w:rFonts w:ascii="宋体" w:hAnsi="宋体" w:cs="宋体" w:eastAsia="宋体" w:hint="default"/>
        </w:rPr>
        <w:t>6</w:t>
      </w:r>
      <w:r>
        <w:rPr/>
        <w:t>月。自</w:t>
      </w:r>
      <w:r>
        <w:rPr>
          <w:rFonts w:ascii="宋体" w:hAnsi="宋体" w:cs="宋体" w:eastAsia="宋体" w:hint="default"/>
        </w:rPr>
        <w:t>1989</w:t>
      </w:r>
      <w:r>
        <w:rPr/>
        <w:t>年</w:t>
      </w:r>
      <w:r>
        <w:rPr>
          <w:rFonts w:ascii="宋体" w:hAnsi="宋体" w:cs="宋体" w:eastAsia="宋体" w:hint="default"/>
        </w:rPr>
        <w:t>6</w:t>
      </w:r>
      <w:r>
        <w:rPr/>
        <w:t>月进入上海中立计算机有限公司（公司前身）</w:t>
      </w:r>
      <w:r>
        <w:rPr>
          <w:spacing w:val="-98"/>
        </w:rPr>
        <w:t> </w:t>
      </w:r>
      <w:r>
        <w:rPr>
          <w:spacing w:val="-98"/>
        </w:rPr>
      </w:r>
      <w:r>
        <w:rPr/>
        <w:t>并工作至今，历任程序员、高级程序员、项目经理、副部长。现任本公司职工代表监事、第</w:t>
      </w:r>
      <w:r>
        <w:rPr>
          <w:spacing w:val="-99"/>
        </w:rPr>
        <w:t> </w:t>
      </w:r>
      <w:r>
        <w:rPr>
          <w:spacing w:val="-99"/>
        </w:rPr>
      </w:r>
      <w:r>
        <w:rPr/>
        <w:t>一海外软件开发事业本部副本部长。</w:t>
      </w:r>
    </w:p>
    <w:p>
      <w:pPr>
        <w:pStyle w:val="BodyText"/>
        <w:spacing w:line="357" w:lineRule="auto"/>
        <w:ind w:right="1139" w:firstLine="420"/>
        <w:jc w:val="both"/>
      </w:pPr>
      <w:r>
        <w:rPr>
          <w:rFonts w:ascii="宋体" w:hAnsi="宋体" w:cs="宋体" w:eastAsia="宋体" w:hint="default"/>
          <w:b/>
          <w:bCs/>
        </w:rPr>
        <w:t>陆庆先生，</w:t>
      </w:r>
      <w:r>
        <w:rPr/>
        <w:t>中国国籍，</w:t>
      </w:r>
      <w:r>
        <w:rPr>
          <w:rFonts w:ascii="宋体" w:hAnsi="宋体" w:cs="宋体" w:eastAsia="宋体" w:hint="default"/>
        </w:rPr>
        <w:t>1964</w:t>
      </w:r>
      <w:r>
        <w:rPr/>
        <w:t>年生，研究生学历，高级工程师，</w:t>
      </w:r>
      <w:r>
        <w:rPr>
          <w:rFonts w:ascii="宋体" w:hAnsi="宋体" w:cs="宋体" w:eastAsia="宋体" w:hint="default"/>
        </w:rPr>
        <w:t>1989</w:t>
      </w:r>
      <w:r>
        <w:rPr/>
        <w:t>年毕业于复旦大学，</w:t>
      </w:r>
      <w:r>
        <w:rPr>
          <w:spacing w:val="2"/>
        </w:rPr>
        <w:t> </w:t>
      </w:r>
      <w:r>
        <w:rPr/>
        <w:t>获硕士学位，随后进入上海中立计算机有限公司（公司前身）工作至今，历任程序员、高级</w:t>
      </w:r>
      <w:r>
        <w:rPr>
          <w:spacing w:val="-99"/>
        </w:rPr>
        <w:t> </w:t>
      </w:r>
      <w:r>
        <w:rPr>
          <w:spacing w:val="-99"/>
        </w:rPr>
      </w:r>
      <w:r>
        <w:rPr/>
        <w:t>程序员、项目经理、部门经理、副总经理、董事。现任本公司监事、内审部负责人。</w:t>
      </w:r>
    </w:p>
    <w:p>
      <w:pPr>
        <w:spacing w:line="240" w:lineRule="auto" w:before="0"/>
        <w:rPr>
          <w:rFonts w:ascii="宋体" w:hAnsi="宋体" w:cs="宋体" w:eastAsia="宋体" w:hint="default"/>
          <w:sz w:val="24"/>
          <w:szCs w:val="24"/>
        </w:rPr>
      </w:pPr>
    </w:p>
    <w:p>
      <w:pPr>
        <w:spacing w:line="357" w:lineRule="auto" w:before="190"/>
        <w:ind w:left="573" w:right="4567" w:hanging="421"/>
        <w:jc w:val="left"/>
        <w:rPr>
          <w:rFonts w:ascii="宋体" w:hAnsi="宋体" w:cs="宋体" w:eastAsia="宋体" w:hint="default"/>
          <w:sz w:val="24"/>
          <w:szCs w:val="24"/>
        </w:rPr>
      </w:pPr>
      <w:r>
        <w:rPr>
          <w:rFonts w:ascii="宋体" w:hAnsi="宋体" w:cs="宋体" w:eastAsia="宋体" w:hint="default"/>
          <w:b/>
          <w:bCs/>
          <w:sz w:val="24"/>
          <w:szCs w:val="24"/>
        </w:rPr>
        <w:t>现任高级管理人员主要工作经历</w:t>
      </w:r>
      <w:r>
        <w:rPr>
          <w:rFonts w:ascii="宋体" w:hAnsi="宋体" w:cs="宋体" w:eastAsia="宋体" w:hint="default"/>
          <w:b/>
          <w:bCs/>
          <w:w w:val="99"/>
          <w:sz w:val="24"/>
          <w:szCs w:val="24"/>
        </w:rPr>
        <w:t> </w:t>
      </w:r>
      <w:r>
        <w:rPr>
          <w:rFonts w:ascii="宋体" w:hAnsi="宋体" w:cs="宋体" w:eastAsia="宋体" w:hint="default"/>
          <w:b/>
          <w:bCs/>
          <w:sz w:val="24"/>
          <w:szCs w:val="24"/>
        </w:rPr>
        <w:t>包叔平先生，</w:t>
      </w:r>
      <w:r>
        <w:rPr>
          <w:rFonts w:ascii="宋体" w:hAnsi="宋体" w:cs="宋体" w:eastAsia="宋体" w:hint="default"/>
          <w:sz w:val="24"/>
          <w:szCs w:val="24"/>
        </w:rPr>
        <w:t>本公司董事长、总经理。参见董事简介。 </w:t>
      </w:r>
      <w:r>
        <w:rPr>
          <w:rFonts w:ascii="宋体" w:hAnsi="宋体" w:cs="宋体" w:eastAsia="宋体" w:hint="default"/>
          <w:b/>
          <w:bCs/>
          <w:sz w:val="24"/>
          <w:szCs w:val="24"/>
        </w:rPr>
        <w:t>潘世雷先生，</w:t>
      </w:r>
      <w:r>
        <w:rPr>
          <w:rFonts w:ascii="宋体" w:hAnsi="宋体" w:cs="宋体" w:eastAsia="宋体" w:hint="default"/>
          <w:sz w:val="24"/>
          <w:szCs w:val="24"/>
        </w:rPr>
        <w:t>本公司董事、副总经理。参见董事简介。</w:t>
      </w:r>
    </w:p>
    <w:p>
      <w:pPr>
        <w:pStyle w:val="BodyText"/>
        <w:spacing w:line="357" w:lineRule="auto" w:before="37"/>
        <w:ind w:right="1139" w:firstLine="420"/>
        <w:jc w:val="both"/>
      </w:pPr>
      <w:r>
        <w:rPr>
          <w:rFonts w:ascii="宋体" w:hAnsi="宋体" w:cs="宋体" w:eastAsia="宋体" w:hint="default"/>
          <w:b/>
          <w:bCs/>
        </w:rPr>
        <w:t>许俊峰先生，</w:t>
      </w:r>
      <w:r>
        <w:rPr/>
        <w:t>中国国籍，</w:t>
      </w:r>
      <w:r>
        <w:rPr>
          <w:rFonts w:ascii="宋体" w:hAnsi="宋体" w:cs="宋体" w:eastAsia="宋体" w:hint="default"/>
        </w:rPr>
        <w:t>1965</w:t>
      </w:r>
      <w:r>
        <w:rPr/>
        <w:t>年生，大学学历。毕业于上海交通大学应用数学系。曾任</w:t>
      </w:r>
      <w:r>
        <w:rPr>
          <w:spacing w:val="2"/>
        </w:rPr>
        <w:t> </w:t>
      </w:r>
      <w:r>
        <w:rPr/>
        <w:t>职于上海市地下建筑设计院、上海中立计算机有限公司（公司前身）、日本系统创造株式会</w:t>
      </w:r>
      <w:r>
        <w:rPr>
          <w:spacing w:val="-99"/>
        </w:rPr>
        <w:t> </w:t>
      </w:r>
      <w:r>
        <w:rPr>
          <w:spacing w:val="-99"/>
        </w:rPr>
      </w:r>
      <w:r>
        <w:rPr/>
        <w:t>社。历任申软计算机技术有限公司副总经理；中讯申软计算机技术有限公司副总经理、总经</w:t>
      </w:r>
      <w:r>
        <w:rPr>
          <w:spacing w:val="-99"/>
        </w:rPr>
        <w:t> </w:t>
      </w:r>
      <w:r>
        <w:rPr>
          <w:spacing w:val="-99"/>
        </w:rPr>
      </w:r>
      <w:r>
        <w:rPr>
          <w:spacing w:val="-3"/>
        </w:rPr>
        <w:t>理、副董事长、董事长；日本中讯大阪支社支社长。</w:t>
      </w:r>
      <w:r>
        <w:rPr>
          <w:rFonts w:ascii="宋体" w:hAnsi="宋体" w:cs="宋体" w:eastAsia="宋体" w:hint="default"/>
          <w:spacing w:val="-3"/>
        </w:rPr>
        <w:t>2009</w:t>
      </w:r>
      <w:r>
        <w:rPr>
          <w:spacing w:val="-3"/>
        </w:rPr>
        <w:t>年</w:t>
      </w:r>
      <w:r>
        <w:rPr>
          <w:rFonts w:ascii="宋体" w:hAnsi="宋体" w:cs="宋体" w:eastAsia="宋体" w:hint="default"/>
          <w:spacing w:val="-3"/>
        </w:rPr>
        <w:t>5</w:t>
      </w:r>
      <w:r>
        <w:rPr>
          <w:spacing w:val="-3"/>
        </w:rPr>
        <w:t>月进入公司，历任第二海外开发</w:t>
      </w:r>
      <w:r>
        <w:rPr>
          <w:spacing w:val="-87"/>
        </w:rPr>
        <w:t> </w:t>
      </w:r>
      <w:r>
        <w:rPr>
          <w:spacing w:val="-87"/>
        </w:rPr>
      </w:r>
      <w:r>
        <w:rPr/>
        <w:t>事业本部副本部长、第一海外开发事业本部本部长、日本海隆株式会社营业本部长，现任本</w:t>
      </w:r>
      <w:r>
        <w:rPr>
          <w:spacing w:val="-99"/>
        </w:rPr>
        <w:t> </w:t>
      </w:r>
      <w:r>
        <w:rPr>
          <w:spacing w:val="-99"/>
        </w:rPr>
      </w:r>
      <w:r>
        <w:rPr/>
        <w:t>公司副总经理。</w:t>
      </w:r>
    </w:p>
    <w:p>
      <w:pPr>
        <w:spacing w:after="0" w:line="357" w:lineRule="auto"/>
        <w:jc w:val="both"/>
        <w:sectPr>
          <w:pgSz w:w="11910" w:h="16840"/>
          <w:pgMar w:header="876" w:footer="1283" w:top="1060" w:bottom="148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29" w:firstLine="473"/>
        <w:jc w:val="both"/>
      </w:pPr>
      <w:r>
        <w:rPr>
          <w:rFonts w:ascii="宋体" w:hAnsi="宋体" w:cs="宋体" w:eastAsia="宋体" w:hint="default"/>
          <w:b/>
          <w:bCs/>
        </w:rPr>
        <w:t>李静女士，</w:t>
      </w:r>
      <w:r>
        <w:rPr/>
        <w:t>中国国籍，</w:t>
      </w:r>
      <w:r>
        <w:rPr>
          <w:rFonts w:ascii="宋体" w:hAnsi="宋体" w:cs="宋体" w:eastAsia="宋体" w:hint="default"/>
        </w:rPr>
        <w:t>1961</w:t>
      </w:r>
      <w:r>
        <w:rPr/>
        <w:t>年生，研究生学历。</w:t>
      </w:r>
      <w:r>
        <w:rPr>
          <w:rFonts w:ascii="宋体" w:hAnsi="宋体" w:cs="宋体" w:eastAsia="宋体" w:hint="default"/>
        </w:rPr>
        <w:t>1982</w:t>
      </w:r>
      <w:r>
        <w:rPr/>
        <w:t>年毕业于西安交通大学信息与控制 </w:t>
      </w:r>
      <w:r>
        <w:rPr>
          <w:spacing w:val="-2"/>
        </w:rPr>
        <w:t>工程系，</w:t>
      </w:r>
      <w:r>
        <w:rPr>
          <w:rFonts w:ascii="宋体" w:hAnsi="宋体" w:cs="宋体" w:eastAsia="宋体" w:hint="default"/>
          <w:spacing w:val="-2"/>
        </w:rPr>
        <w:t>1986</w:t>
      </w:r>
      <w:r>
        <w:rPr>
          <w:spacing w:val="-2"/>
        </w:rPr>
        <w:t>年</w:t>
      </w:r>
      <w:r>
        <w:rPr>
          <w:rFonts w:ascii="宋体" w:hAnsi="宋体" w:cs="宋体" w:eastAsia="宋体" w:hint="default"/>
          <w:spacing w:val="-2"/>
        </w:rPr>
        <w:t>4</w:t>
      </w:r>
      <w:r>
        <w:rPr>
          <w:spacing w:val="-2"/>
        </w:rPr>
        <w:t>月获日本京都大学工学硕士学位。</w:t>
      </w:r>
      <w:r>
        <w:rPr>
          <w:rFonts w:ascii="宋体" w:hAnsi="宋体" w:cs="宋体" w:eastAsia="宋体" w:hint="default"/>
          <w:spacing w:val="-2"/>
        </w:rPr>
        <w:t>1989</w:t>
      </w:r>
      <w:r>
        <w:rPr>
          <w:spacing w:val="-2"/>
        </w:rPr>
        <w:t>年进入本公司，历任日本软件外包业</w:t>
      </w:r>
      <w:r>
        <w:rPr>
          <w:spacing w:val="-109"/>
        </w:rPr>
        <w:t> </w:t>
      </w:r>
      <w:r>
        <w:rPr>
          <w:spacing w:val="-109"/>
        </w:rPr>
      </w:r>
      <w:r>
        <w:rPr/>
        <w:t>务担当（日本），开发管理科科长、业务企划部部长。现任本公司副总经理、董事会秘书、</w:t>
      </w:r>
      <w:r>
        <w:rPr>
          <w:spacing w:val="-91"/>
        </w:rPr>
        <w:t> </w:t>
      </w:r>
      <w:r>
        <w:rPr>
          <w:spacing w:val="-91"/>
        </w:rPr>
      </w:r>
      <w:r>
        <w:rPr/>
        <w:t>总经理办公室主任。</w:t>
      </w:r>
    </w:p>
    <w:p>
      <w:pPr>
        <w:pStyle w:val="BodyText"/>
        <w:spacing w:line="357" w:lineRule="auto"/>
        <w:ind w:right="1131" w:firstLine="482"/>
        <w:jc w:val="both"/>
      </w:pPr>
      <w:r>
        <w:rPr>
          <w:rFonts w:ascii="宋体" w:hAnsi="宋体" w:cs="宋体" w:eastAsia="宋体" w:hint="default"/>
          <w:b/>
          <w:bCs/>
        </w:rPr>
        <w:t>董樑先生，</w:t>
      </w:r>
      <w:r>
        <w:rPr/>
        <w:t>中国国籍，</w:t>
      </w:r>
      <w:r>
        <w:rPr>
          <w:rFonts w:ascii="宋体" w:hAnsi="宋体" w:cs="宋体" w:eastAsia="宋体" w:hint="default"/>
        </w:rPr>
        <w:t>1970</w:t>
      </w:r>
      <w:r>
        <w:rPr/>
        <w:t>年生，大学学历。</w:t>
      </w:r>
      <w:r>
        <w:rPr>
          <w:rFonts w:ascii="宋体" w:hAnsi="宋体" w:cs="宋体" w:eastAsia="宋体" w:hint="default"/>
        </w:rPr>
        <w:t>1991</w:t>
      </w:r>
      <w:r>
        <w:rPr/>
        <w:t>年大专毕业于上海大学国际商学院， </w:t>
      </w:r>
      <w:r>
        <w:rPr>
          <w:rFonts w:ascii="宋体" w:hAnsi="宋体" w:cs="宋体" w:eastAsia="宋体" w:hint="default"/>
          <w:spacing w:val="-5"/>
        </w:rPr>
        <w:t>2001</w:t>
      </w:r>
      <w:r>
        <w:rPr>
          <w:spacing w:val="-5"/>
        </w:rPr>
        <w:t>年本科毕业于华东师范大学金融学专业。曾任有色金属总公司上海分公司业务人员，</w:t>
      </w:r>
      <w:r>
        <w:rPr>
          <w:rFonts w:ascii="宋体" w:hAnsi="宋体" w:cs="宋体" w:eastAsia="宋体" w:hint="default"/>
          <w:spacing w:val="-5"/>
        </w:rPr>
        <w:t>1996</w:t>
      </w:r>
      <w:r>
        <w:rPr>
          <w:rFonts w:ascii="宋体" w:hAnsi="宋体" w:cs="宋体" w:eastAsia="宋体" w:hint="default"/>
          <w:spacing w:val="-96"/>
        </w:rPr>
        <w:t> </w:t>
      </w:r>
      <w:r>
        <w:rPr/>
        <w:t>年</w:t>
      </w:r>
      <w:r>
        <w:rPr>
          <w:rFonts w:ascii="宋体" w:hAnsi="宋体" w:cs="宋体" w:eastAsia="宋体" w:hint="default"/>
        </w:rPr>
        <w:t>10</w:t>
      </w:r>
      <w:r>
        <w:rPr/>
        <w:t>月进入本公司。历任会计、会计主管，现任本公司财务负责人。</w:t>
      </w:r>
    </w:p>
    <w:p>
      <w:pPr>
        <w:spacing w:line="240" w:lineRule="auto" w:before="11"/>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sz w:val="21"/>
          <w:szCs w:val="21"/>
        </w:rPr>
        <w:t>在股东单位任职情况</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478"/>
        <w:gridCol w:w="2268"/>
        <w:gridCol w:w="2693"/>
      </w:tblGrid>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在股东单位是否领取报酬津贴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上海慧盛创业投资有限公司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周颖</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上海慧盛创业投资有限公司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资产经营部经理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张怡方</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上海古德投资有限公司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在其他单位任职情况</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478"/>
        <w:gridCol w:w="2268"/>
        <w:gridCol w:w="2693"/>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在其他单位是否领取报酬津贴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上海艾云慧信创业投资有限公司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上海交大高新技术股份有限公司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上海艾云慧信创业投资有限公司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上海艾云创业投资管理有限公司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上海豫瑞创业投资合伙企业（有限合伙）</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高美萍</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上海汇青会计师事务所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何积丰</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上海华东师范大学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软件学院院长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红塔红土证券基金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周颖</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上海艾云创业投资管理有限公司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ind w:right="1780"/>
        <w:jc w:val="left"/>
        <w:rPr>
          <w:b w:val="0"/>
          <w:bCs w:val="0"/>
        </w:rPr>
      </w:pPr>
      <w:r>
        <w:rPr/>
        <w:t>三、董事、监事、高级管理人员报酬情况</w:t>
      </w:r>
      <w:r>
        <w:rPr>
          <w:b w:val="0"/>
          <w:bCs w:val="0"/>
        </w:rPr>
      </w:r>
    </w:p>
    <w:p>
      <w:pPr>
        <w:spacing w:line="240" w:lineRule="auto" w:before="8"/>
        <w:rPr>
          <w:rFonts w:ascii="宋体" w:hAnsi="宋体" w:cs="宋体" w:eastAsia="宋体" w:hint="default"/>
          <w:b/>
          <w:bCs/>
          <w:sz w:val="22"/>
          <w:szCs w:val="22"/>
        </w:rPr>
      </w:pPr>
    </w:p>
    <w:p>
      <w:pPr>
        <w:pStyle w:val="BodyText"/>
        <w:spacing w:line="331" w:lineRule="auto" w:before="0"/>
        <w:ind w:left="633" w:right="1153" w:hanging="481"/>
        <w:jc w:val="left"/>
      </w:pPr>
      <w:r>
        <w:rPr/>
        <w:t>董事、监事、高级管理人员报酬的决策程序、确定依据 公司董事、监事、高级管理人员实行基本年薪与年终绩效考核相结合的薪酬制度。公司</w:t>
      </w:r>
    </w:p>
    <w:p>
      <w:pPr>
        <w:pStyle w:val="BodyText"/>
        <w:spacing w:line="357" w:lineRule="auto" w:before="62"/>
        <w:ind w:right="1154"/>
        <w:jc w:val="left"/>
      </w:pPr>
      <w:r>
        <w:rPr/>
        <w:t>董事会提名·薪酬与考核委员会对高级管理人员进行年度业绩考核，经过综合考评，根据年 度业绩情况确定公司董事、监事、高级管理人员的薪酬。</w:t>
      </w:r>
    </w:p>
    <w:p>
      <w:pPr>
        <w:spacing w:after="0" w:line="357" w:lineRule="auto"/>
        <w:jc w:val="left"/>
        <w:sectPr>
          <w:pgSz w:w="11910" w:h="16840"/>
          <w:pgMar w:header="876" w:footer="1283" w:top="1060" w:bottom="1480" w:left="980" w:right="0"/>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6" w:footer="1283" w:top="1060" w:bottom="1480" w:left="980" w:right="0"/>
        </w:sectPr>
      </w:pPr>
    </w:p>
    <w:p>
      <w:pPr>
        <w:pStyle w:val="BodyText"/>
        <w:spacing w:line="240" w:lineRule="auto" w:before="26"/>
        <w:ind w:right="-19"/>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434" w:space="3306"/>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997"/>
        <w:gridCol w:w="811"/>
        <w:gridCol w:w="780"/>
        <w:gridCol w:w="970"/>
        <w:gridCol w:w="1423"/>
        <w:gridCol w:w="1196"/>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74" w:hanging="180"/>
              <w:jc w:val="left"/>
              <w:rPr>
                <w:rFonts w:ascii="宋体" w:hAnsi="宋体" w:cs="宋体" w:eastAsia="宋体" w:hint="default"/>
                <w:sz w:val="18"/>
                <w:szCs w:val="18"/>
              </w:rPr>
            </w:pPr>
            <w:r>
              <w:rPr>
                <w:rFonts w:ascii="宋体" w:hAnsi="宋体" w:cs="宋体" w:eastAsia="宋体" w:hint="default"/>
                <w:sz w:val="18"/>
                <w:szCs w:val="18"/>
              </w:rPr>
              <w:t>从公司获得的应 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唐长钧</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潘世雷</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张怡方</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朱玉旭</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何积丰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（税后）</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（税后）</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高美萍</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（税后）</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（税后）</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陈乐波</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（税后）</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（税后）</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颖</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35.68</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彬</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 </w:t>
            </w:r>
            <w:r>
              <w:rPr>
                <w:rFonts w:ascii="宋体" w:hAnsi="宋体" w:cs="宋体" w:eastAsia="宋体" w:hint="default"/>
                <w:spacing w:val="2"/>
                <w:sz w:val="18"/>
                <w:szCs w:val="18"/>
              </w:rPr>
              <w:t> </w:t>
            </w:r>
            <w:r>
              <w:rPr>
                <w:rFonts w:ascii="宋体" w:hAnsi="宋体" w:cs="宋体" w:eastAsia="宋体" w:hint="default"/>
                <w:sz w:val="18"/>
                <w:szCs w:val="18"/>
              </w:rPr>
              <w:t>庆</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许俊峰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静</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2"/>
                <w:sz w:val="18"/>
                <w:szCs w:val="18"/>
              </w:rPr>
              <w:t> </w:t>
            </w:r>
            <w:r>
              <w:rPr>
                <w:rFonts w:ascii="宋体" w:hAnsi="宋体" w:cs="宋体" w:eastAsia="宋体" w:hint="default"/>
                <w:sz w:val="18"/>
                <w:szCs w:val="18"/>
              </w:rPr>
              <w:t>樑</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37.58</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621.70</w:t>
            </w:r>
          </w:p>
        </w:tc>
      </w:tr>
    </w:tbl>
    <w:p>
      <w:pPr>
        <w:spacing w:line="240" w:lineRule="auto" w:before="11"/>
        <w:rPr>
          <w:rFonts w:ascii="宋体" w:hAnsi="宋体" w:cs="宋体" w:eastAsia="宋体" w:hint="default"/>
          <w:sz w:val="24"/>
          <w:szCs w:val="24"/>
        </w:rPr>
      </w:pPr>
    </w:p>
    <w:p>
      <w:pPr>
        <w:pStyle w:val="BodyText"/>
        <w:spacing w:line="240" w:lineRule="auto" w:before="26"/>
        <w:ind w:right="1780"/>
        <w:jc w:val="left"/>
      </w:pPr>
      <w:r>
        <w:rPr/>
        <w:t>公司董事、监事、高级管理人员报告期内被授予的股权激励情况</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9"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许俊峰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40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260,000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260,000</w:t>
            </w:r>
          </w:p>
        </w:tc>
      </w:tr>
    </w:tbl>
    <w:p>
      <w:pPr>
        <w:spacing w:line="240" w:lineRule="auto" w:before="1"/>
        <w:rPr>
          <w:rFonts w:ascii="宋体" w:hAnsi="宋体" w:cs="宋体" w:eastAsia="宋体" w:hint="default"/>
          <w:sz w:val="18"/>
          <w:szCs w:val="18"/>
        </w:rPr>
      </w:pPr>
    </w:p>
    <w:p>
      <w:pPr>
        <w:spacing w:line="468" w:lineRule="auto" w:before="26"/>
        <w:ind w:left="152" w:right="1839" w:firstLine="0"/>
        <w:jc w:val="left"/>
        <w:rPr>
          <w:rFonts w:ascii="宋体" w:hAnsi="宋体" w:cs="宋体" w:eastAsia="宋体" w:hint="default"/>
          <w:sz w:val="24"/>
          <w:szCs w:val="24"/>
        </w:rPr>
      </w:pPr>
      <w:r>
        <w:rPr>
          <w:rFonts w:ascii="宋体" w:hAnsi="宋体" w:cs="宋体" w:eastAsia="宋体" w:hint="default"/>
          <w:b/>
          <w:bCs/>
          <w:sz w:val="24"/>
          <w:szCs w:val="24"/>
        </w:rPr>
        <w:t>四、公司董事、监事、高级管理人员离职和解聘情况</w:t>
      </w:r>
      <w:r>
        <w:rPr>
          <w:rFonts w:ascii="宋体" w:hAnsi="宋体" w:cs="宋体" w:eastAsia="宋体" w:hint="default"/>
          <w:b/>
          <w:bCs/>
          <w:w w:val="99"/>
          <w:sz w:val="24"/>
          <w:szCs w:val="24"/>
        </w:rPr>
        <w:t> </w:t>
      </w:r>
      <w:r>
        <w:rPr>
          <w:rFonts w:ascii="宋体" w:hAnsi="宋体" w:cs="宋体" w:eastAsia="宋体" w:hint="default"/>
          <w:sz w:val="24"/>
          <w:szCs w:val="24"/>
        </w:rPr>
        <w:t>报告期内，未发生公司董事、监事、高级管理人员离职和解聘情况。 </w:t>
      </w: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报告期内，公司核心技术团队或关键技术人员未发生变动。</w:t>
      </w:r>
    </w:p>
    <w:p>
      <w:pPr>
        <w:spacing w:after="0" w:line="468" w:lineRule="auto"/>
        <w:jc w:val="left"/>
        <w:rPr>
          <w:rFonts w:ascii="宋体" w:hAnsi="宋体" w:cs="宋体" w:eastAsia="宋体" w:hint="default"/>
          <w:sz w:val="24"/>
          <w:szCs w:val="24"/>
        </w:rPr>
        <w:sectPr>
          <w:type w:val="continuous"/>
          <w:pgSz w:w="11910" w:h="16840"/>
          <w:pgMar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780"/>
        <w:jc w:val="left"/>
        <w:rPr>
          <w:b w:val="0"/>
          <w:bCs w:val="0"/>
        </w:rPr>
      </w:pPr>
      <w:r>
        <w:rPr/>
        <w:t>六、公司员工情况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0"/>
        <w:ind w:right="1780"/>
        <w:jc w:val="left"/>
      </w:pPr>
      <w:r>
        <w:rPr>
          <w:rFonts w:ascii="宋体" w:hAnsi="宋体" w:cs="宋体" w:eastAsia="宋体" w:hint="default"/>
        </w:rPr>
        <w:t>1</w:t>
      </w: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日，母公司及控股子公司员工总数为</w:t>
      </w:r>
      <w:r>
        <w:rPr>
          <w:rFonts w:ascii="宋体" w:hAnsi="宋体" w:cs="宋体" w:eastAsia="宋体" w:hint="default"/>
        </w:rPr>
        <w:t>1,401</w:t>
      </w:r>
      <w:r>
        <w:rPr/>
        <w:t>人。</w:t>
      </w:r>
    </w:p>
    <w:p>
      <w:pPr>
        <w:spacing w:before="64"/>
        <w:ind w:left="152" w:right="178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）按专业结构分</w:t>
      </w:r>
    </w:p>
    <w:p>
      <w:pPr>
        <w:spacing w:line="240" w:lineRule="auto" w:before="12"/>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3546"/>
        <w:gridCol w:w="2976"/>
        <w:gridCol w:w="3118"/>
      </w:tblGrid>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分工</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38" w:right="0"/>
              <w:jc w:val="left"/>
              <w:rPr>
                <w:rFonts w:ascii="宋体" w:hAnsi="宋体" w:cs="宋体" w:eastAsia="宋体" w:hint="default"/>
                <w:sz w:val="18"/>
                <w:szCs w:val="18"/>
              </w:rPr>
            </w:pPr>
            <w:r>
              <w:rPr>
                <w:rFonts w:ascii="宋体" w:hAnsi="宋体" w:cs="宋体" w:eastAsia="宋体" w:hint="default"/>
                <w:sz w:val="18"/>
                <w:szCs w:val="18"/>
              </w:rPr>
              <w:t>所占比例（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34</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2.43%</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1246</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88.94%</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13</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0.93%</w:t>
            </w:r>
          </w:p>
        </w:tc>
      </w:tr>
      <w:tr>
        <w:trPr>
          <w:trHeight w:val="425"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行政、总务人员</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108</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7.70 %</w:t>
            </w:r>
          </w:p>
        </w:tc>
      </w:tr>
      <w:tr>
        <w:trPr>
          <w:trHeight w:val="430"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1401</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10"/>
          <w:szCs w:val="10"/>
        </w:rPr>
      </w:pPr>
    </w:p>
    <w:p>
      <w:pPr>
        <w:spacing w:line="3552" w:lineRule="exact"/>
        <w:ind w:left="1612"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267199" cy="225552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36" cstate="print"/>
                    <a:stretch>
                      <a:fillRect/>
                    </a:stretch>
                  </pic:blipFill>
                  <pic:spPr>
                    <a:xfrm>
                      <a:off x="0" y="0"/>
                      <a:ext cx="4267199" cy="2255520"/>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）按受教育程度分</w:t>
      </w:r>
    </w:p>
    <w:p>
      <w:pPr>
        <w:spacing w:line="240" w:lineRule="auto" w:before="12"/>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3546"/>
        <w:gridCol w:w="2976"/>
        <w:gridCol w:w="3118"/>
      </w:tblGrid>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38" w:right="0"/>
              <w:jc w:val="left"/>
              <w:rPr>
                <w:rFonts w:ascii="宋体" w:hAnsi="宋体" w:cs="宋体" w:eastAsia="宋体" w:hint="default"/>
                <w:sz w:val="18"/>
                <w:szCs w:val="18"/>
              </w:rPr>
            </w:pPr>
            <w:r>
              <w:rPr>
                <w:rFonts w:ascii="宋体" w:hAnsi="宋体" w:cs="宋体" w:eastAsia="宋体" w:hint="default"/>
                <w:sz w:val="18"/>
                <w:szCs w:val="18"/>
              </w:rPr>
              <w:t>所占比例（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33</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2.36%</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1259</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89.86%</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72</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5.14%</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37</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2.64%</w:t>
            </w: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1401</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1283" w:top="1060" w:bottom="148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3638" w:lineRule="exact"/>
        <w:ind w:left="1598"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285451" cy="2310383"/>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37" cstate="print"/>
                    <a:stretch>
                      <a:fillRect/>
                    </a:stretch>
                  </pic:blipFill>
                  <pic:spPr>
                    <a:xfrm>
                      <a:off x="0" y="0"/>
                      <a:ext cx="4285451" cy="2310383"/>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26"/>
        <w:ind w:right="1780"/>
        <w:jc w:val="left"/>
      </w:pPr>
      <w:r>
        <w:rPr>
          <w:rFonts w:ascii="宋体" w:hAnsi="宋体" w:cs="宋体" w:eastAsia="宋体" w:hint="default"/>
        </w:rPr>
        <w:t>2</w:t>
      </w:r>
      <w:r>
        <w:rPr/>
        <w:t>、公司没有需承担费用的离退休人员。</w:t>
      </w:r>
    </w:p>
    <w:p>
      <w:pPr>
        <w:pStyle w:val="BodyText"/>
        <w:spacing w:line="357" w:lineRule="auto" w:before="154"/>
        <w:ind w:left="633" w:right="1153" w:hanging="481"/>
        <w:jc w:val="left"/>
      </w:pPr>
      <w:r>
        <w:rPr>
          <w:rFonts w:ascii="宋体" w:hAnsi="宋体" w:cs="宋体" w:eastAsia="宋体" w:hint="default"/>
        </w:rPr>
        <w:t>3</w:t>
      </w:r>
      <w:r>
        <w:rPr/>
        <w:t>、员工薪酬政策 公司严格按照《中华人民共和国劳动合同法》和有关劳动法律法规的规定，向员工提供</w:t>
      </w:r>
    </w:p>
    <w:p>
      <w:pPr>
        <w:pStyle w:val="BodyText"/>
        <w:spacing w:line="357" w:lineRule="auto"/>
        <w:ind w:right="4034"/>
        <w:jc w:val="left"/>
      </w:pPr>
      <w:r>
        <w:rPr/>
        <w:t>稳定而具有竞争力的薪酬，以充分调动员工的积极性和创造性。 </w:t>
      </w:r>
      <w:r>
        <w:rPr>
          <w:rFonts w:ascii="宋体" w:hAnsi="宋体" w:cs="宋体" w:eastAsia="宋体" w:hint="default"/>
        </w:rPr>
        <w:t>4</w:t>
      </w:r>
      <w:r>
        <w:rPr/>
        <w:t>、培训计划</w:t>
      </w:r>
    </w:p>
    <w:p>
      <w:pPr>
        <w:pStyle w:val="BodyText"/>
        <w:spacing w:line="357" w:lineRule="auto"/>
        <w:ind w:right="1138" w:firstLine="480"/>
        <w:jc w:val="both"/>
      </w:pPr>
      <w:r>
        <w:rPr/>
        <w:t>公司非常注重员工的培训工作，通过信入职员工脱产培训和在职员工的职业生涯持续培 训等多种形式，培养复合型人才和专业岗位人才，充分挖掘员工潜力，助力员工成长，实现</w:t>
      </w:r>
      <w:r>
        <w:rPr>
          <w:spacing w:val="-91"/>
        </w:rPr>
        <w:t> </w:t>
      </w:r>
      <w:r>
        <w:rPr>
          <w:spacing w:val="-91"/>
        </w:rPr>
      </w:r>
      <w:r>
        <w:rPr/>
        <w:t>公司与员工双赢，以实现员工价值和企业价值共同成长。</w:t>
      </w:r>
    </w:p>
    <w:p>
      <w:pPr>
        <w:spacing w:after="0" w:line="357" w:lineRule="auto"/>
        <w:jc w:val="both"/>
        <w:sectPr>
          <w:pgSz w:w="11910" w:h="16840"/>
          <w:pgMar w:header="876" w:footer="1283" w:top="1060" w:bottom="14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588"/>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780"/>
        <w:jc w:val="left"/>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33" w:firstLine="482"/>
        <w:jc w:val="both"/>
      </w:pPr>
      <w:r>
        <w:rPr/>
        <w:t>报告期内，公司严格按照《公司法》、《证券法》、《上市公司治理准则》、《深圳证 券交易所股票上市规则》、《深圳证券交易所中小企业板上市公司规范运作指引》及中国证</w:t>
      </w:r>
      <w:r>
        <w:rPr>
          <w:spacing w:val="-86"/>
        </w:rPr>
        <w:t> </w:t>
      </w:r>
      <w:r>
        <w:rPr>
          <w:spacing w:val="-86"/>
        </w:rPr>
      </w:r>
      <w:r>
        <w:rPr/>
        <w:t>监会有关法律法规的要求，不断完善公司法人治理结构、建立健全公司内部控制体系，规范</w:t>
      </w:r>
      <w:r>
        <w:rPr>
          <w:spacing w:val="-91"/>
        </w:rPr>
        <w:t> </w:t>
      </w:r>
      <w:r>
        <w:rPr>
          <w:spacing w:val="-91"/>
        </w:rPr>
      </w:r>
      <w:r>
        <w:rPr/>
        <w:t>公司运作，目前公司治理的实际情况符合有关上市公司治理规范性文件的要求。公司报告期</w:t>
      </w:r>
      <w:r>
        <w:rPr>
          <w:spacing w:val="-91"/>
        </w:rPr>
        <w:t> </w:t>
      </w:r>
      <w:r>
        <w:rPr>
          <w:spacing w:val="-91"/>
        </w:rPr>
      </w:r>
      <w:r>
        <w:rPr/>
        <w:t>内未收到监管部门行政监管措施需限期整改的有关文件。</w:t>
      </w:r>
    </w:p>
    <w:p>
      <w:pPr>
        <w:pStyle w:val="BodyText"/>
        <w:spacing w:line="240" w:lineRule="auto"/>
        <w:ind w:left="635" w:right="1780"/>
        <w:jc w:val="left"/>
      </w:pPr>
      <w:r>
        <w:rPr/>
        <w:t>报告期内，公司建立和修订的治理制度：</w:t>
      </w:r>
    </w:p>
    <w:p>
      <w:pPr>
        <w:spacing w:line="240" w:lineRule="auto" w:before="1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864"/>
        <w:gridCol w:w="3673"/>
        <w:gridCol w:w="2552"/>
        <w:gridCol w:w="2552"/>
      </w:tblGrid>
      <w:tr>
        <w:trPr>
          <w:trHeight w:val="346"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6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48"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w w:val="100"/>
                <w:sz w:val="21"/>
              </w:rPr>
              <w:t>1</w:t>
            </w:r>
          </w:p>
        </w:tc>
        <w:tc>
          <w:tcPr>
            <w:tcW w:w="367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利润分配管理制度（</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w w:val="100"/>
                <w:sz w:val="21"/>
              </w:rPr>
              <w:t>2</w:t>
            </w:r>
          </w:p>
        </w:tc>
        <w:tc>
          <w:tcPr>
            <w:tcW w:w="367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1"/>
        <w:rPr>
          <w:rFonts w:ascii="宋体" w:hAnsi="宋体" w:cs="宋体" w:eastAsia="宋体" w:hint="default"/>
          <w:sz w:val="24"/>
          <w:szCs w:val="24"/>
        </w:rPr>
      </w:pPr>
    </w:p>
    <w:p>
      <w:pPr>
        <w:pStyle w:val="Heading2"/>
        <w:spacing w:line="240" w:lineRule="auto"/>
        <w:ind w:right="1780"/>
        <w:jc w:val="left"/>
        <w:rPr>
          <w:b w:val="0"/>
          <w:bCs w:val="0"/>
        </w:rPr>
      </w:pPr>
      <w:r>
        <w:rPr/>
        <w:t>（一）关于股东与股东大会</w:t>
      </w:r>
      <w:r>
        <w:rPr>
          <w:b w:val="0"/>
          <w:bCs w:val="0"/>
        </w:rPr>
      </w:r>
    </w:p>
    <w:p>
      <w:pPr>
        <w:pStyle w:val="BodyText"/>
        <w:spacing w:line="357" w:lineRule="auto" w:before="154"/>
        <w:ind w:right="1133" w:firstLine="420"/>
        <w:jc w:val="both"/>
      </w:pPr>
      <w:r>
        <w:rPr>
          <w:spacing w:val="2"/>
        </w:rPr>
        <w:t>公司严格按照《公司法》、《上市公司股东大会规则》、《公司章程》和《公司股东大 </w:t>
      </w:r>
      <w:r>
        <w:rPr/>
        <w:t>会议事规则》的规定和要求，规范股东大会的召集、召开、表决程序，包括通知、登记、提</w:t>
      </w:r>
      <w:r>
        <w:rPr>
          <w:spacing w:val="-91"/>
        </w:rPr>
        <w:t> </w:t>
      </w:r>
      <w:r>
        <w:rPr>
          <w:spacing w:val="-91"/>
        </w:rPr>
      </w:r>
      <w:r>
        <w:rPr/>
        <w:t>案的审议、投票、计票、表决结果的宣布、会议决议的形成、会议记录及其签署、公告等内</w:t>
      </w:r>
      <w:r>
        <w:rPr>
          <w:spacing w:val="-91"/>
        </w:rPr>
        <w:t> </w:t>
      </w:r>
      <w:r>
        <w:rPr>
          <w:spacing w:val="-91"/>
        </w:rPr>
      </w:r>
      <w:r>
        <w:rPr/>
        <w:t>容，以及股东大会对董事会的授权等，平等对待所有股东，确保全体股东特别是中小股东能</w:t>
      </w:r>
      <w:r>
        <w:rPr>
          <w:spacing w:val="-91"/>
        </w:rPr>
        <w:t> </w:t>
      </w:r>
      <w:r>
        <w:rPr>
          <w:spacing w:val="-91"/>
        </w:rPr>
      </w:r>
      <w:r>
        <w:rPr/>
        <w:t>充分行使权利，并请律师出席见证。</w:t>
      </w:r>
    </w:p>
    <w:p>
      <w:pPr>
        <w:pStyle w:val="Heading2"/>
        <w:spacing w:line="240" w:lineRule="auto" w:before="36"/>
        <w:ind w:right="1780"/>
        <w:jc w:val="left"/>
        <w:rPr>
          <w:b w:val="0"/>
          <w:bCs w:val="0"/>
        </w:rPr>
      </w:pPr>
      <w:r>
        <w:rPr/>
        <w:t>（二）关于公司与实际控制人的关系</w:t>
      </w:r>
      <w:r>
        <w:rPr>
          <w:b w:val="0"/>
          <w:bCs w:val="0"/>
        </w:rPr>
      </w:r>
    </w:p>
    <w:p>
      <w:pPr>
        <w:pStyle w:val="BodyText"/>
        <w:spacing w:line="357" w:lineRule="auto" w:before="154"/>
        <w:ind w:right="1133" w:firstLine="420"/>
        <w:jc w:val="both"/>
      </w:pPr>
      <w:r>
        <w:rPr>
          <w:spacing w:val="2"/>
        </w:rPr>
        <w:t>公司无控股股东，实际控制人为自然人包叔平先生，在公司担任董事长兼总经理职务。 </w:t>
      </w:r>
      <w:r>
        <w:rPr/>
        <w:t>公司具有独立的业务、独立的经营能力和完备的供销系统，业务、人员、资产、机构、财务</w:t>
      </w:r>
      <w:r>
        <w:rPr>
          <w:spacing w:val="-91"/>
        </w:rPr>
        <w:t> </w:t>
      </w:r>
      <w:r>
        <w:rPr>
          <w:spacing w:val="-91"/>
        </w:rPr>
      </w:r>
      <w:r>
        <w:rPr/>
        <w:t>独立，公司董事会、监事会和内部机构均能够独立运作。</w:t>
      </w:r>
    </w:p>
    <w:p>
      <w:pPr>
        <w:pStyle w:val="Heading2"/>
        <w:spacing w:line="240" w:lineRule="auto" w:before="37"/>
        <w:ind w:right="1780"/>
        <w:jc w:val="left"/>
        <w:rPr>
          <w:b w:val="0"/>
          <w:bCs w:val="0"/>
        </w:rPr>
      </w:pPr>
      <w:r>
        <w:rPr/>
        <w:t>（三）关于董事与董事会</w:t>
      </w:r>
      <w:r>
        <w:rPr>
          <w:b w:val="0"/>
          <w:bCs w:val="0"/>
        </w:rPr>
      </w:r>
    </w:p>
    <w:p>
      <w:pPr>
        <w:pStyle w:val="BodyText"/>
        <w:spacing w:line="357" w:lineRule="auto" w:before="154"/>
        <w:ind w:right="1129" w:firstLine="406"/>
        <w:jc w:val="both"/>
      </w:pPr>
      <w:r>
        <w:rPr>
          <w:spacing w:val="2"/>
        </w:rPr>
        <w:t>《公司章程》规定了董事选聘程序，保证董事选聘公开、公平、公正、独立。公司设董</w:t>
      </w:r>
      <w:r>
        <w:rPr/>
        <w:t> </w:t>
      </w:r>
      <w:r>
        <w:rPr>
          <w:spacing w:val="-2"/>
        </w:rPr>
        <w:t>事会，董事会由</w:t>
      </w:r>
      <w:r>
        <w:rPr>
          <w:rFonts w:ascii="宋体" w:hAnsi="宋体" w:cs="宋体" w:eastAsia="宋体" w:hint="default"/>
          <w:spacing w:val="-2"/>
        </w:rPr>
        <w:t>9</w:t>
      </w:r>
      <w:r>
        <w:rPr>
          <w:spacing w:val="-2"/>
        </w:rPr>
        <w:t>名董事组成，设董事长</w:t>
      </w:r>
      <w:r>
        <w:rPr>
          <w:rFonts w:ascii="宋体" w:hAnsi="宋体" w:cs="宋体" w:eastAsia="宋体" w:hint="default"/>
          <w:spacing w:val="-2"/>
        </w:rPr>
        <w:t>1</w:t>
      </w:r>
      <w:r>
        <w:rPr>
          <w:spacing w:val="-2"/>
        </w:rPr>
        <w:t>名，副董事长</w:t>
      </w:r>
      <w:r>
        <w:rPr>
          <w:rFonts w:ascii="宋体" w:hAnsi="宋体" w:cs="宋体" w:eastAsia="宋体" w:hint="default"/>
          <w:spacing w:val="-2"/>
        </w:rPr>
        <w:t>1</w:t>
      </w:r>
      <w:r>
        <w:rPr>
          <w:spacing w:val="-2"/>
        </w:rPr>
        <w:t>名，董事长由全体董事过半数选举产</w:t>
      </w:r>
      <w:r>
        <w:rPr>
          <w:spacing w:val="-118"/>
        </w:rPr>
        <w:t> </w:t>
      </w:r>
      <w:r>
        <w:rPr>
          <w:spacing w:val="-118"/>
        </w:rPr>
      </w:r>
      <w:r>
        <w:rPr/>
        <w:t>生，董事会成员中有</w:t>
      </w:r>
      <w:r>
        <w:rPr>
          <w:rFonts w:ascii="宋体" w:hAnsi="宋体" w:cs="宋体" w:eastAsia="宋体" w:hint="default"/>
        </w:rPr>
        <w:t>3</w:t>
      </w:r>
      <w:r>
        <w:rPr/>
        <w:t>名独立董事，其中</w:t>
      </w:r>
      <w:r>
        <w:rPr>
          <w:rFonts w:ascii="宋体" w:hAnsi="宋体" w:cs="宋体" w:eastAsia="宋体" w:hint="default"/>
        </w:rPr>
        <w:t>1</w:t>
      </w:r>
      <w:r>
        <w:rPr/>
        <w:t>名为财务专业人士。公司董事会人数和人员构成符</w:t>
      </w:r>
      <w:r>
        <w:rPr>
          <w:spacing w:val="-87"/>
        </w:rPr>
        <w:t> </w:t>
      </w:r>
      <w:r>
        <w:rPr>
          <w:spacing w:val="-87"/>
        </w:rPr>
      </w:r>
      <w:r>
        <w:rPr/>
        <w:t>合法律、法规的要求。</w:t>
      </w:r>
    </w:p>
    <w:p>
      <w:pPr>
        <w:pStyle w:val="BodyText"/>
        <w:spacing w:line="240" w:lineRule="auto"/>
        <w:ind w:left="558" w:right="1123"/>
        <w:jc w:val="left"/>
      </w:pPr>
      <w:r>
        <w:rPr>
          <w:spacing w:val="2"/>
        </w:rPr>
        <w:t>公司明确了董事的职权和义务，建立了《董事会议事规则》和《独立董事工作制度》；</w:t>
      </w:r>
    </w:p>
    <w:p>
      <w:pPr>
        <w:spacing w:after="0" w:line="240" w:lineRule="auto"/>
        <w:jc w:val="left"/>
        <w:sectPr>
          <w:pgSz w:w="11910" w:h="16840"/>
          <w:pgMar w:header="876" w:footer="1283" w:top="1060" w:bottom="1480" w:left="980" w:right="0"/>
        </w:sectPr>
      </w:pPr>
    </w:p>
    <w:p>
      <w:pPr>
        <w:spacing w:line="240" w:lineRule="auto" w:before="6"/>
        <w:rPr>
          <w:rFonts w:ascii="宋体" w:hAnsi="宋体" w:cs="宋体" w:eastAsia="宋体" w:hint="default"/>
          <w:sz w:val="29"/>
          <w:szCs w:val="29"/>
        </w:rPr>
      </w:pPr>
    </w:p>
    <w:p>
      <w:pPr>
        <w:pStyle w:val="BodyText"/>
        <w:spacing w:line="240" w:lineRule="auto" w:before="26"/>
        <w:ind w:right="982"/>
        <w:jc w:val="left"/>
      </w:pPr>
      <w:r>
        <w:rPr/>
        <w:t>董事会设立了战略委员会，提名·薪酬与考核委员会、审计委员会等</w:t>
      </w:r>
      <w:r>
        <w:rPr>
          <w:rFonts w:ascii="宋体" w:hAnsi="宋体" w:cs="宋体" w:eastAsia="宋体" w:hint="default"/>
        </w:rPr>
        <w:t>3</w:t>
      </w:r>
      <w:r>
        <w:rPr/>
        <w:t>个专业委员会，制订了</w:t>
      </w:r>
    </w:p>
    <w:p>
      <w:pPr>
        <w:pStyle w:val="BodyText"/>
        <w:spacing w:line="357" w:lineRule="auto" w:before="154"/>
        <w:ind w:left="558" w:right="982" w:hanging="407"/>
        <w:jc w:val="left"/>
      </w:pPr>
      <w:r>
        <w:rPr>
          <w:spacing w:val="-8"/>
        </w:rPr>
        <w:t>《战略委员会实施细则》、《提名·薪酬与考核委员会实施细则》、《审计委员会实施细则》。</w:t>
      </w:r>
      <w:r>
        <w:rPr>
          <w:spacing w:val="-106"/>
        </w:rPr>
        <w:t> </w:t>
      </w:r>
      <w:r>
        <w:rPr>
          <w:spacing w:val="-106"/>
        </w:rPr>
      </w:r>
      <w:r>
        <w:rPr>
          <w:spacing w:val="-1"/>
        </w:rPr>
        <w:t>公司董事会严格按照《公司法》、《深圳证券交易所中小企业板上市公司规范运作指引》</w:t>
      </w:r>
    </w:p>
    <w:p>
      <w:pPr>
        <w:pStyle w:val="BodyText"/>
        <w:spacing w:line="357" w:lineRule="auto"/>
        <w:ind w:right="1135"/>
        <w:jc w:val="both"/>
      </w:pPr>
      <w:r>
        <w:rPr/>
        <w:t>等法律法规及《公司章程》、《董事会议事规则》的规定开展工作，规范董事会会议召集、</w:t>
      </w:r>
      <w:r>
        <w:rPr>
          <w:spacing w:val="-88"/>
        </w:rPr>
        <w:t> </w:t>
      </w:r>
      <w:r>
        <w:rPr>
          <w:spacing w:val="-88"/>
        </w:rPr>
      </w:r>
      <w:r>
        <w:rPr/>
        <w:t>召开和表决程序。公司董事积极参加相关知识培训，熟悉有关法律法规，提高了规范运作意</w:t>
      </w:r>
      <w:r>
        <w:rPr>
          <w:spacing w:val="-91"/>
        </w:rPr>
        <w:t> </w:t>
      </w:r>
      <w:r>
        <w:rPr>
          <w:spacing w:val="-91"/>
        </w:rPr>
      </w:r>
      <w:r>
        <w:rPr/>
        <w:t>识；公司各位董事认真出席董事会和股东大会，执行股东大会决议并依法行使职权；能够勤</w:t>
      </w:r>
      <w:r>
        <w:rPr>
          <w:spacing w:val="-91"/>
        </w:rPr>
        <w:t> </w:t>
      </w:r>
      <w:r>
        <w:rPr>
          <w:spacing w:val="-91"/>
        </w:rPr>
      </w:r>
      <w:r>
        <w:rPr/>
        <w:t>勉、尽责地履行义务和责任，维护公司和股东的利益。</w:t>
      </w:r>
    </w:p>
    <w:p>
      <w:pPr>
        <w:spacing w:line="357" w:lineRule="auto" w:before="36"/>
        <w:ind w:left="633" w:right="1123" w:hanging="481"/>
        <w:jc w:val="left"/>
        <w:rPr>
          <w:rFonts w:ascii="宋体" w:hAnsi="宋体" w:cs="宋体" w:eastAsia="宋体" w:hint="default"/>
          <w:sz w:val="24"/>
          <w:szCs w:val="24"/>
        </w:rPr>
      </w:pPr>
      <w:r>
        <w:rPr>
          <w:rFonts w:ascii="宋体" w:hAnsi="宋体" w:cs="宋体" w:eastAsia="宋体" w:hint="default"/>
          <w:b/>
          <w:bCs/>
          <w:sz w:val="24"/>
          <w:szCs w:val="24"/>
        </w:rPr>
        <w:t>（四）关于监事和监事会</w:t>
      </w:r>
      <w:r>
        <w:rPr>
          <w:rFonts w:ascii="宋体" w:hAnsi="宋体" w:cs="宋体" w:eastAsia="宋体" w:hint="default"/>
          <w:b/>
          <w:bCs/>
          <w:w w:val="99"/>
          <w:sz w:val="24"/>
          <w:szCs w:val="24"/>
        </w:rPr>
        <w:t> </w:t>
      </w:r>
      <w:r>
        <w:rPr>
          <w:rFonts w:ascii="宋体" w:hAnsi="宋体" w:cs="宋体" w:eastAsia="宋体" w:hint="default"/>
          <w:sz w:val="24"/>
          <w:szCs w:val="24"/>
        </w:rPr>
        <w:t>公司监事会在《公司法》、《公司章程》和股东大会赋予的职权范围内依法并积极行使</w:t>
      </w:r>
    </w:p>
    <w:p>
      <w:pPr>
        <w:pStyle w:val="BodyText"/>
        <w:spacing w:line="357" w:lineRule="auto"/>
        <w:ind w:right="996"/>
        <w:jc w:val="left"/>
      </w:pPr>
      <w:r>
        <w:rPr/>
        <w:t>监督权，建立了《监事会议事规则》。公司监事会由</w:t>
      </w:r>
      <w:r>
        <w:rPr>
          <w:rFonts w:ascii="宋体" w:hAnsi="宋体" w:cs="宋体" w:eastAsia="宋体" w:hint="default"/>
        </w:rPr>
        <w:t>3 </w:t>
      </w:r>
      <w:r>
        <w:rPr/>
        <w:t>名监事组成，其中一名为职工代表监</w:t>
      </w:r>
      <w:r>
        <w:rPr>
          <w:spacing w:val="-88"/>
        </w:rPr>
        <w:t> </w:t>
      </w:r>
      <w:r>
        <w:rPr>
          <w:spacing w:val="-88"/>
        </w:rPr>
      </w:r>
      <w:r>
        <w:rPr>
          <w:spacing w:val="-2"/>
        </w:rPr>
        <w:t>事。公司监事会严格按照《公司章程》、《监事会议事规则》的规定，规范监事会会议召集、</w:t>
      </w:r>
      <w:r>
        <w:rPr/>
        <w:t> 召开和表决程序。公司监事会向股东大会负责，公司监事认真履行职责，诚信、勤勉、尽责</w:t>
      </w:r>
      <w:r>
        <w:rPr>
          <w:spacing w:val="-91"/>
        </w:rPr>
        <w:t> </w:t>
      </w:r>
      <w:r>
        <w:rPr>
          <w:spacing w:val="-91"/>
        </w:rPr>
      </w:r>
      <w:r>
        <w:rPr/>
        <w:t>地对公司财务以及公司董事、经理及其他高级管理人员履行职务情况进行监督，维护公司及</w:t>
      </w:r>
      <w:r>
        <w:rPr>
          <w:spacing w:val="-91"/>
        </w:rPr>
        <w:t> </w:t>
      </w:r>
      <w:r>
        <w:rPr>
          <w:spacing w:val="-91"/>
        </w:rPr>
      </w:r>
      <w:r>
        <w:rPr/>
        <w:t>股东的合法权益。</w:t>
      </w:r>
    </w:p>
    <w:p>
      <w:pPr>
        <w:spacing w:line="357" w:lineRule="auto" w:before="36"/>
        <w:ind w:left="633" w:right="1123" w:hanging="481"/>
        <w:jc w:val="left"/>
        <w:rPr>
          <w:rFonts w:ascii="宋体" w:hAnsi="宋体" w:cs="宋体" w:eastAsia="宋体" w:hint="default"/>
          <w:sz w:val="24"/>
          <w:szCs w:val="24"/>
        </w:rPr>
      </w:pP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z w:val="24"/>
          <w:szCs w:val="24"/>
        </w:rPr>
        <w:t>公司已经建立绩效评价激励体系，经营层的收入与公司经营业绩挂钩。公司高级管理人</w:t>
      </w:r>
    </w:p>
    <w:p>
      <w:pPr>
        <w:pStyle w:val="BodyText"/>
        <w:spacing w:line="357" w:lineRule="auto"/>
        <w:ind w:right="996"/>
        <w:jc w:val="left"/>
      </w:pPr>
      <w:r>
        <w:rPr/>
        <w:t>员薪酬执行基本年薪加年度绩效考核的政策，在公司任职的董事、监事和高级管理人员按其</w:t>
      </w:r>
      <w:r>
        <w:rPr>
          <w:spacing w:val="-88"/>
        </w:rPr>
        <w:t> </w:t>
      </w:r>
      <w:r>
        <w:rPr>
          <w:spacing w:val="-88"/>
        </w:rPr>
      </w:r>
      <w:r>
        <w:rPr>
          <w:spacing w:val="-2"/>
        </w:rPr>
        <w:t>岗位及职务，根据公司现行的薪酬制度和业绩考核规定获取薪酬；高级管理人员的聘任公开、</w:t>
      </w:r>
      <w:r>
        <w:rPr/>
        <w:t> </w:t>
      </w:r>
      <w:r>
        <w:rPr>
          <w:spacing w:val="-8"/>
        </w:rPr>
        <w:t>有效，符合法律法规及公司的有关规定。公司还制定了《限制性股票激励计划实施考核办法》，</w:t>
      </w:r>
      <w:r>
        <w:rPr>
          <w:spacing w:val="-106"/>
        </w:rPr>
        <w:t> </w:t>
      </w:r>
      <w:r>
        <w:rPr>
          <w:spacing w:val="-106"/>
        </w:rPr>
      </w:r>
      <w:r>
        <w:rPr/>
        <w:t>对该激励计划的激励对象应满足的各项激励条件进行有效考核，从而确定被激励对象是否完</w:t>
      </w:r>
      <w:r>
        <w:rPr>
          <w:spacing w:val="-91"/>
        </w:rPr>
        <w:t> </w:t>
      </w:r>
      <w:r>
        <w:rPr>
          <w:spacing w:val="-91"/>
        </w:rPr>
      </w:r>
      <w:r>
        <w:rPr>
          <w:spacing w:val="-2"/>
        </w:rPr>
        <w:t>成激励指标，达到激励条件，为该激励计划执行中的授予、分配、解锁等环节提供考核依据。</w:t>
      </w:r>
    </w:p>
    <w:p>
      <w:pPr>
        <w:spacing w:line="357" w:lineRule="auto" w:before="36"/>
        <w:ind w:left="633" w:right="1123" w:hanging="481"/>
        <w:jc w:val="left"/>
        <w:rPr>
          <w:rFonts w:ascii="宋体" w:hAnsi="宋体" w:cs="宋体" w:eastAsia="宋体" w:hint="default"/>
          <w:sz w:val="24"/>
          <w:szCs w:val="24"/>
        </w:rPr>
      </w:pPr>
      <w:r>
        <w:rPr>
          <w:rFonts w:ascii="宋体" w:hAnsi="宋体" w:cs="宋体" w:eastAsia="宋体" w:hint="default"/>
          <w:b/>
          <w:bCs/>
          <w:sz w:val="24"/>
          <w:szCs w:val="24"/>
        </w:rPr>
        <w:t>（六）关于信息披露与透明度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公司根据《深圳证券交易所股票上市规则》、《上市公司信息披露管理办法》、《公司</w:t>
      </w:r>
    </w:p>
    <w:p>
      <w:pPr>
        <w:pStyle w:val="BodyText"/>
        <w:spacing w:line="357" w:lineRule="auto" w:before="37"/>
        <w:ind w:right="1134"/>
        <w:jc w:val="both"/>
      </w:pPr>
      <w:r>
        <w:rPr/>
        <w:t>章程》以及公司《信息披露管理办法》等相关法规制度的规定，认真履行信息披露义务。公</w:t>
      </w:r>
      <w:r>
        <w:rPr>
          <w:spacing w:val="-87"/>
        </w:rPr>
        <w:t> </w:t>
      </w:r>
      <w:r>
        <w:rPr>
          <w:spacing w:val="-87"/>
        </w:rPr>
      </w:r>
      <w:r>
        <w:rPr/>
        <w:t>司指定董事会秘书负责信息披露工作，设立证券事务部并配备了相应人员，真实、准确、及</w:t>
      </w:r>
      <w:r>
        <w:rPr>
          <w:spacing w:val="-88"/>
        </w:rPr>
        <w:t> </w:t>
      </w:r>
      <w:r>
        <w:rPr>
          <w:spacing w:val="-88"/>
        </w:rPr>
      </w:r>
      <w:r>
        <w:rPr/>
        <w:t>时、公平、完整地披露有关信息，确保公司所有股东能够以平等的机会获得信息。公司指定</w:t>
      </w:r>
    </w:p>
    <w:p>
      <w:pPr>
        <w:pStyle w:val="BodyText"/>
        <w:spacing w:line="357" w:lineRule="auto"/>
        <w:ind w:right="1123"/>
        <w:jc w:val="left"/>
      </w:pPr>
      <w:r>
        <w:rPr/>
        <w:t>《中国证券报》和巨潮资讯网（</w:t>
      </w:r>
      <w:hyperlink r:id="rId11">
        <w:r>
          <w:rPr>
            <w:rFonts w:ascii="宋体" w:hAnsi="宋体" w:cs="宋体" w:eastAsia="宋体" w:hint="default"/>
          </w:rPr>
          <w:t>http://www.cninfo.com.cn</w:t>
        </w:r>
      </w:hyperlink>
      <w:r>
        <w:rPr/>
        <w:t>）为公司信息披露的指定报纸和</w:t>
      </w:r>
      <w:r>
        <w:rPr>
          <w:spacing w:val="-85"/>
        </w:rPr>
        <w:t> </w:t>
      </w:r>
      <w:r>
        <w:rPr>
          <w:spacing w:val="-85"/>
        </w:rPr>
      </w:r>
      <w:r>
        <w:rPr/>
        <w:t>网站。</w:t>
      </w:r>
    </w:p>
    <w:p>
      <w:pPr>
        <w:pStyle w:val="BodyText"/>
        <w:spacing w:line="240" w:lineRule="auto"/>
        <w:ind w:left="633" w:right="1123"/>
        <w:jc w:val="left"/>
      </w:pPr>
      <w:r>
        <w:rPr/>
        <w:t>同时，为完善公司信息披露管理制度，加大对年报信息披露责任人的问责力度，提高年</w:t>
      </w:r>
    </w:p>
    <w:p>
      <w:pPr>
        <w:spacing w:after="0" w:line="240" w:lineRule="auto"/>
        <w:jc w:val="left"/>
        <w:sectPr>
          <w:pgSz w:w="11910" w:h="16840"/>
          <w:pgMar w:header="876" w:footer="1283" w:top="1060" w:bottom="148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5"/>
        <w:jc w:val="both"/>
      </w:pPr>
      <w:r>
        <w:rPr/>
        <w:t>报信息披露质量和透明度，公司董事会制定了《年报披露重大差错责任追究制度》，在公司</w:t>
      </w:r>
      <w:r>
        <w:rPr>
          <w:spacing w:val="-91"/>
        </w:rPr>
        <w:t> </w:t>
      </w:r>
      <w:r>
        <w:rPr>
          <w:spacing w:val="-91"/>
        </w:rPr>
      </w:r>
      <w:r>
        <w:rPr/>
        <w:t>年报信息披露工作中有关人员不履行或者不正确履行职责、义务或因其他个人原因，对公司</w:t>
      </w:r>
      <w:r>
        <w:rPr>
          <w:spacing w:val="-88"/>
        </w:rPr>
        <w:t> </w:t>
      </w:r>
      <w:r>
        <w:rPr>
          <w:spacing w:val="-88"/>
        </w:rPr>
      </w:r>
      <w:r>
        <w:rPr/>
        <w:t>造成重大经济损失或造成不良社会影响时，予以追究责任。</w:t>
      </w:r>
    </w:p>
    <w:p>
      <w:pPr>
        <w:pStyle w:val="Heading2"/>
        <w:spacing w:line="240" w:lineRule="auto" w:before="36"/>
        <w:ind w:right="1780"/>
        <w:jc w:val="left"/>
        <w:rPr>
          <w:b w:val="0"/>
          <w:bCs w:val="0"/>
        </w:rPr>
      </w:pPr>
      <w:r>
        <w:rPr/>
        <w:t>（七）关于相关利益者</w:t>
      </w:r>
      <w:r>
        <w:rPr>
          <w:b w:val="0"/>
          <w:bCs w:val="0"/>
        </w:rPr>
      </w:r>
    </w:p>
    <w:p>
      <w:pPr>
        <w:pStyle w:val="BodyText"/>
        <w:spacing w:line="357" w:lineRule="auto" w:before="154"/>
        <w:ind w:right="1133" w:firstLine="420"/>
        <w:jc w:val="both"/>
      </w:pPr>
      <w:r>
        <w:rPr>
          <w:spacing w:val="2"/>
        </w:rPr>
        <w:t>公司积极履行企业的社会责任，充分尊重和维护相关利益者的合法权益，加强与各方的 </w:t>
      </w:r>
      <w:r>
        <w:rPr/>
        <w:t>沟通和交流，实现股东、员工、社会等各方利益的协调平衡，共同推动公司持续、健康的发</w:t>
      </w:r>
      <w:r>
        <w:rPr>
          <w:spacing w:val="-91"/>
        </w:rPr>
        <w:t> </w:t>
      </w:r>
      <w:r>
        <w:rPr>
          <w:spacing w:val="-91"/>
        </w:rPr>
      </w:r>
      <w:r>
        <w:rPr/>
        <w:t>展。</w:t>
      </w:r>
    </w:p>
    <w:p>
      <w:pPr>
        <w:spacing w:line="357" w:lineRule="auto" w:before="36"/>
        <w:ind w:left="633" w:right="1123" w:hanging="481"/>
        <w:jc w:val="left"/>
        <w:rPr>
          <w:rFonts w:ascii="宋体" w:hAnsi="宋体" w:cs="宋体" w:eastAsia="宋体" w:hint="default"/>
          <w:sz w:val="24"/>
          <w:szCs w:val="24"/>
        </w:rPr>
      </w:pPr>
      <w:r>
        <w:rPr>
          <w:rFonts w:ascii="宋体" w:hAnsi="宋体" w:cs="宋体" w:eastAsia="宋体" w:hint="default"/>
          <w:b/>
          <w:bCs/>
          <w:sz w:val="24"/>
          <w:szCs w:val="24"/>
        </w:rPr>
        <w:t>（八）关于内部审计制度</w:t>
      </w:r>
      <w:r>
        <w:rPr>
          <w:rFonts w:ascii="宋体" w:hAnsi="宋体" w:cs="宋体" w:eastAsia="宋体" w:hint="default"/>
          <w:b/>
          <w:bCs/>
          <w:w w:val="99"/>
          <w:sz w:val="24"/>
          <w:szCs w:val="24"/>
        </w:rPr>
        <w:t> </w:t>
      </w:r>
      <w:r>
        <w:rPr>
          <w:rFonts w:ascii="宋体" w:hAnsi="宋体" w:cs="宋体" w:eastAsia="宋体" w:hint="default"/>
          <w:spacing w:val="-3"/>
          <w:sz w:val="24"/>
          <w:szCs w:val="24"/>
        </w:rPr>
        <w:t>公司设立了内审部，配置了</w:t>
      </w:r>
      <w:r>
        <w:rPr>
          <w:rFonts w:ascii="宋体" w:hAnsi="宋体" w:cs="宋体" w:eastAsia="宋体" w:hint="default"/>
          <w:spacing w:val="-3"/>
          <w:sz w:val="24"/>
          <w:szCs w:val="24"/>
        </w:rPr>
        <w:t>3</w:t>
      </w:r>
      <w:r>
        <w:rPr>
          <w:rFonts w:ascii="宋体" w:hAnsi="宋体" w:cs="宋体" w:eastAsia="宋体" w:hint="default"/>
          <w:spacing w:val="-3"/>
          <w:sz w:val="24"/>
          <w:szCs w:val="24"/>
        </w:rPr>
        <w:t>名专职审计人员，在董事会审计委员会的领导下对公司及子</w:t>
      </w:r>
    </w:p>
    <w:p>
      <w:pPr>
        <w:pStyle w:val="BodyText"/>
        <w:spacing w:line="357" w:lineRule="auto"/>
        <w:ind w:right="1123"/>
        <w:jc w:val="left"/>
      </w:pPr>
      <w:r>
        <w:rPr/>
        <w:t>公司的经济运行质量、经济效益、内控的制度和执行、各项费用的使用以及资产情况进行审</w:t>
      </w:r>
      <w:r>
        <w:rPr>
          <w:spacing w:val="-91"/>
        </w:rPr>
        <w:t> </w:t>
      </w:r>
      <w:r>
        <w:rPr>
          <w:spacing w:val="-91"/>
        </w:rPr>
      </w:r>
      <w:r>
        <w:rPr/>
        <w:t>计和监督。</w:t>
      </w:r>
    </w:p>
    <w:p>
      <w:pPr>
        <w:spacing w:line="357" w:lineRule="auto" w:before="36"/>
        <w:ind w:left="152" w:right="2321" w:firstLine="480"/>
        <w:jc w:val="left"/>
        <w:rPr>
          <w:rFonts w:ascii="宋体" w:hAnsi="宋体" w:cs="宋体" w:eastAsia="宋体" w:hint="default"/>
          <w:sz w:val="24"/>
          <w:szCs w:val="24"/>
        </w:rPr>
      </w:pPr>
      <w:r>
        <w:rPr>
          <w:rFonts w:ascii="宋体" w:hAnsi="宋体" w:cs="宋体" w:eastAsia="宋体" w:hint="default"/>
          <w:sz w:val="24"/>
          <w:szCs w:val="24"/>
        </w:rPr>
        <w:t>公司治理与《公司法》和中国证监会相关规定的要求不存在差异。 </w:t>
      </w:r>
      <w:r>
        <w:rPr>
          <w:rFonts w:ascii="宋体" w:hAnsi="宋体" w:cs="宋体" w:eastAsia="宋体" w:hint="default"/>
          <w:b/>
          <w:bCs/>
          <w:sz w:val="24"/>
          <w:szCs w:val="24"/>
        </w:rPr>
        <w:t>公司治理专项活动开展情况以及内幕信息知情人登记管理制度的制定、实施情况</w:t>
      </w:r>
      <w:r>
        <w:rPr>
          <w:rFonts w:ascii="宋体" w:hAnsi="宋体" w:cs="宋体" w:eastAsia="宋体" w:hint="default"/>
          <w:sz w:val="24"/>
          <w:szCs w:val="24"/>
        </w:rPr>
      </w:r>
    </w:p>
    <w:p>
      <w:pPr>
        <w:pStyle w:val="BodyText"/>
        <w:spacing w:line="357" w:lineRule="auto"/>
        <w:ind w:right="1128" w:firstLine="480"/>
        <w:jc w:val="both"/>
      </w:pPr>
      <w:r>
        <w:rPr>
          <w:rFonts w:ascii="宋体" w:hAnsi="宋体" w:cs="宋体" w:eastAsia="宋体" w:hint="default"/>
          <w:spacing w:val="-3"/>
        </w:rPr>
        <w:t>1</w:t>
      </w:r>
      <w:r>
        <w:rPr>
          <w:spacing w:val="-3"/>
        </w:rPr>
        <w:t>、公司治理是一项长期系统的工作，为进一步严格落实法律法规及证监会、深交所的要</w:t>
      </w:r>
      <w:r>
        <w:rPr/>
        <w:t> 求，不断完善各项治理工作，提高公司的规范治理水平，公司于 </w:t>
      </w:r>
      <w:r>
        <w:rPr>
          <w:rFonts w:ascii="宋体" w:hAnsi="宋体" w:cs="宋体" w:eastAsia="宋体" w:hint="default"/>
        </w:rPr>
        <w:t>2011 </w:t>
      </w:r>
      <w:r>
        <w:rPr/>
        <w:t>年开展了</w:t>
      </w:r>
      <w:r>
        <w:rPr>
          <w:spacing w:val="-79"/>
        </w:rPr>
        <w:t> </w:t>
      </w:r>
      <w:r>
        <w:rPr/>
        <w:t>“中小企业</w:t>
      </w:r>
      <w:r>
        <w:rPr/>
        <w:t> </w:t>
      </w:r>
      <w:r>
        <w:rPr>
          <w:spacing w:val="-5"/>
        </w:rPr>
        <w:t>板上市公司内控规则落实专项活动”，认真核查了在公司治理、内控规则落实方面的情况，并</w:t>
      </w:r>
      <w:r>
        <w:rPr>
          <w:spacing w:val="-116"/>
        </w:rPr>
        <w:t> </w:t>
      </w:r>
      <w:r>
        <w:rPr>
          <w:spacing w:val="-116"/>
        </w:rPr>
      </w:r>
      <w:r>
        <w:rPr/>
        <w:t>完成了相应整改工作。报告期内，公司继续深入推进公司治理活动，根据公司自身发展需要 </w:t>
      </w:r>
      <w:r>
        <w:rPr>
          <w:spacing w:val="-5"/>
        </w:rPr>
        <w:t>及外部环境变化，对相关制度进行了修订，并制定了《未来三年股东回报规划》，进一步完善</w:t>
      </w:r>
      <w:r>
        <w:rPr>
          <w:spacing w:val="-117"/>
        </w:rPr>
        <w:t> </w:t>
      </w:r>
      <w:r>
        <w:rPr>
          <w:spacing w:val="-117"/>
        </w:rPr>
      </w:r>
      <w:r>
        <w:rPr/>
        <w:t>了公司内部控制体系，促进了公司健康长远发展。</w:t>
      </w:r>
    </w:p>
    <w:p>
      <w:pPr>
        <w:pStyle w:val="BodyText"/>
        <w:spacing w:line="240" w:lineRule="auto"/>
        <w:ind w:left="633" w:right="982"/>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6"/>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12</w:t>
      </w:r>
      <w:r>
        <w:rPr>
          <w:rFonts w:ascii="宋体" w:hAnsi="宋体" w:cs="宋体" w:eastAsia="宋体" w:hint="default"/>
          <w:spacing w:val="-65"/>
        </w:rPr>
        <w:t> </w:t>
      </w:r>
      <w:r>
        <w:rPr/>
        <w:t>日召开的公司第三届董事会第二十二次会议审议通过了《内幕信息知</w:t>
      </w:r>
    </w:p>
    <w:p>
      <w:pPr>
        <w:pStyle w:val="BodyText"/>
        <w:spacing w:line="357" w:lineRule="auto" w:before="154"/>
        <w:ind w:right="996"/>
        <w:jc w:val="left"/>
      </w:pPr>
      <w:r>
        <w:rPr>
          <w:spacing w:val="-9"/>
        </w:rPr>
        <w:t>情人登记备案制度》，相关制度刊载于</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spacing w:val="-4"/>
        </w:rPr>
        <w:t>日的巨潮资讯网。报告期内，公司严格</w:t>
      </w:r>
      <w:r>
        <w:rPr>
          <w:spacing w:val="-116"/>
        </w:rPr>
        <w:t> </w:t>
      </w:r>
      <w:r>
        <w:rPr>
          <w:spacing w:val="-116"/>
        </w:rPr>
      </w:r>
      <w:r>
        <w:rPr>
          <w:spacing w:val="-8"/>
        </w:rPr>
        <w:t>按照《信息披露事务管理制度》、《内幕信息知情人登记备案制度》等有关制度的规定和要求，</w:t>
      </w:r>
      <w:r>
        <w:rPr>
          <w:spacing w:val="-105"/>
        </w:rPr>
        <w:t> </w:t>
      </w:r>
      <w:r>
        <w:rPr>
          <w:spacing w:val="-105"/>
        </w:rPr>
      </w:r>
      <w:r>
        <w:rPr/>
        <w:t>积极做好内幕信息保密和管理工作；定期报告披露前，及时提示禁止买卖的窗口期，防止违</w:t>
      </w:r>
      <w:r>
        <w:rPr/>
        <w:t> </w:t>
      </w:r>
      <w:r>
        <w:rPr>
          <w:spacing w:val="-2"/>
        </w:rPr>
        <w:t>规事件的发生；重大事项期间，与相关内幕信息知情人签订保密协议，从源头预防内幕交易，</w:t>
      </w:r>
      <w:r>
        <w:rPr/>
        <w:t> 将内幕信息知情人范围控制在最小；接待机构等来访调研时，做好接访人员安排，要求来访 人员签署保密承诺。</w:t>
      </w:r>
    </w:p>
    <w:p>
      <w:pPr>
        <w:spacing w:after="0" w:line="357" w:lineRule="auto"/>
        <w:jc w:val="left"/>
        <w:sectPr>
          <w:pgSz w:w="11910" w:h="16840"/>
          <w:pgMar w:header="876" w:footer="1283" w:top="1060" w:bottom="1480" w:left="980" w:right="0"/>
        </w:sectPr>
      </w:pPr>
    </w:p>
    <w:p>
      <w:pPr>
        <w:spacing w:line="240" w:lineRule="auto" w:before="8"/>
        <w:rPr>
          <w:rFonts w:ascii="宋体" w:hAnsi="宋体" w:cs="宋体" w:eastAsia="宋体" w:hint="default"/>
          <w:sz w:val="23"/>
          <w:szCs w:val="23"/>
        </w:rPr>
      </w:pPr>
    </w:p>
    <w:p>
      <w:pPr>
        <w:pStyle w:val="Heading2"/>
        <w:spacing w:line="240" w:lineRule="auto"/>
        <w:ind w:right="178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44"/>
        <w:ind w:left="0" w:right="1148" w:firstLine="0"/>
        <w:jc w:val="right"/>
        <w:rPr>
          <w:rFonts w:ascii="宋体" w:hAnsi="宋体" w:cs="宋体" w:eastAsia="宋体" w:hint="default"/>
          <w:sz w:val="18"/>
          <w:szCs w:val="18"/>
        </w:rPr>
      </w:pPr>
      <w:r>
        <w:rPr/>
        <w:pict>
          <v:shape style="position:absolute;margin-left:56.400002pt;margin-top:-88.208305pt;width:479.15pt;height:128.8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2"/>
                    <w:gridCol w:w="1344"/>
                    <w:gridCol w:w="3054"/>
                    <w:gridCol w:w="1286"/>
                    <w:gridCol w:w="1198"/>
                    <w:gridCol w:w="1594"/>
                  </w:tblGrid>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162"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38" w:lineRule="auto"/>
                          <w:ind w:left="24" w:right="29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年年度报告》及摘要</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年度董事会报告》</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年度监事会报告》</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年度财务决算报告》</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《关于续聘会计师事务所的议案》</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3" w:right="170"/>
                          <w:jc w:val="both"/>
                          <w:rPr>
                            <w:rFonts w:ascii="宋体" w:hAnsi="宋体" w:cs="宋体" w:eastAsia="宋体" w:hint="default"/>
                            <w:sz w:val="18"/>
                            <w:szCs w:val="18"/>
                          </w:rPr>
                        </w:pPr>
                        <w:r>
                          <w:rPr>
                            <w:rFonts w:ascii="宋体" w:hAnsi="宋体" w:cs="宋体" w:eastAsia="宋体" w:hint="default"/>
                            <w:sz w:val="18"/>
                            <w:szCs w:val="18"/>
                          </w:rPr>
                          <w:t>会议以现场投 票方式审议通 过了全部议案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47"/>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编号：</w:t>
                        </w:r>
                        <w:r>
                          <w:rPr>
                            <w:rFonts w:ascii="Times New Roman" w:hAnsi="Times New Roman" w:cs="Times New Roman" w:eastAsia="Times New Roman" w:hint="default"/>
                            <w:spacing w:val="-7"/>
                            <w:sz w:val="18"/>
                            <w:szCs w:val="18"/>
                          </w:rPr>
                          <w:t>2012-019</w:t>
                        </w:r>
                        <w:r>
                          <w:rPr>
                            <w:rFonts w:ascii="宋体" w:hAnsi="宋体" w:cs="宋体" w:eastAsia="宋体" w:hint="default"/>
                            <w:spacing w:val="-7"/>
                            <w:sz w:val="18"/>
                            <w:szCs w:val="18"/>
                          </w:rPr>
                          <w:t>）刊</w:t>
                        </w:r>
                        <w:r>
                          <w:rPr>
                            <w:rFonts w:ascii="宋体" w:hAnsi="宋体" w:cs="宋体" w:eastAsia="宋体" w:hint="default"/>
                            <w:spacing w:val="-79"/>
                            <w:sz w:val="18"/>
                            <w:szCs w:val="18"/>
                          </w:rPr>
                          <w:t> </w:t>
                        </w:r>
                        <w:r>
                          <w:rPr>
                            <w:rFonts w:ascii="宋体" w:hAnsi="宋体" w:cs="宋体" w:eastAsia="宋体" w:hint="default"/>
                            <w:sz w:val="18"/>
                            <w:szCs w:val="18"/>
                          </w:rPr>
                          <w:t>登于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日的《中国证券报 及巨潮资讯网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46"/>
        <w:gridCol w:w="994"/>
        <w:gridCol w:w="3474"/>
        <w:gridCol w:w="1356"/>
        <w:gridCol w:w="905"/>
        <w:gridCol w:w="1594"/>
      </w:tblGrid>
      <w:tr>
        <w:trPr>
          <w:trHeight w:val="403" w:hRule="exact"/>
        </w:trPr>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60" w:lineRule="auto" w:before="101"/>
              <w:ind w:left="24" w:right="130"/>
              <w:jc w:val="left"/>
              <w:rPr>
                <w:rFonts w:ascii="宋体" w:hAnsi="宋体" w:cs="宋体" w:eastAsia="宋体" w:hint="default"/>
                <w:sz w:val="18"/>
                <w:szCs w:val="18"/>
              </w:rPr>
            </w:pPr>
            <w:r>
              <w:rPr>
                <w:rFonts w:ascii="宋体" w:hAnsi="宋体" w:cs="宋体" w:eastAsia="宋体" w:hint="default"/>
                <w:sz w:val="18"/>
                <w:szCs w:val="18"/>
              </w:rPr>
              <w:t>第一次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《限制性股票激励计划（草案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101"/>
              <w:ind w:left="23"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、《关于提请股东大会授权董事会办理限制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性股票激励计划相关事宜的议案》</w:t>
            </w:r>
          </w:p>
          <w:p>
            <w:pPr>
              <w:pStyle w:val="TableParagraph"/>
              <w:spacing w:line="300" w:lineRule="auto" w:before="72"/>
              <w:ind w:left="23"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、《上海海隆软件股份有限公司限制性股票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激励计划实施考核办法》</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《关于修改公司</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w:t>
            </w:r>
            <w:r>
              <w:rPr>
                <w:rFonts w:ascii="宋体" w:hAnsi="宋体" w:cs="宋体" w:eastAsia="宋体" w:hint="default"/>
                <w:spacing w:val="2"/>
                <w:sz w:val="18"/>
                <w:szCs w:val="18"/>
              </w:rPr>
              <w:t>议</w:t>
            </w:r>
            <w:r>
              <w:rPr>
                <w:rFonts w:ascii="宋体" w:hAnsi="宋体" w:cs="宋体" w:eastAsia="宋体" w:hint="default"/>
                <w:sz w:val="18"/>
                <w:szCs w:val="18"/>
              </w:rPr>
              <w:t>案》</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会议以现场投票 与网络投票相结 合的方式，审议 通过了全部议案</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2012-001</w:t>
            </w:r>
            <w:r>
              <w:rPr>
                <w:rFonts w:ascii="宋体" w:hAnsi="宋体" w:cs="宋体" w:eastAsia="宋体" w:hint="default"/>
                <w:sz w:val="18"/>
                <w:szCs w:val="18"/>
              </w:rPr>
              <w:t>）刊登于</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pacing w:val="-10"/>
                <w:sz w:val="18"/>
                <w:szCs w:val="18"/>
              </w:rPr>
              <w:t>《中国证券报》及巨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r>
        <w:trPr>
          <w:trHeight w:val="227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60" w:lineRule="auto" w:before="101"/>
              <w:ind w:left="24" w:right="130"/>
              <w:jc w:val="left"/>
              <w:rPr>
                <w:rFonts w:ascii="宋体" w:hAnsi="宋体" w:cs="宋体" w:eastAsia="宋体" w:hint="default"/>
                <w:sz w:val="18"/>
                <w:szCs w:val="18"/>
              </w:rPr>
            </w:pPr>
            <w:r>
              <w:rPr>
                <w:rFonts w:ascii="宋体" w:hAnsi="宋体" w:cs="宋体" w:eastAsia="宋体" w:hint="default"/>
                <w:sz w:val="18"/>
                <w:szCs w:val="18"/>
              </w:rPr>
              <w:t>第二次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《关于修订公司</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w:t>
            </w:r>
            <w:r>
              <w:rPr>
                <w:rFonts w:ascii="宋体" w:hAnsi="宋体" w:cs="宋体" w:eastAsia="宋体" w:hint="default"/>
                <w:spacing w:val="2"/>
                <w:sz w:val="18"/>
                <w:szCs w:val="18"/>
              </w:rPr>
              <w:t>议</w:t>
            </w:r>
            <w:r>
              <w:rPr>
                <w:rFonts w:ascii="宋体" w:hAnsi="宋体" w:cs="宋体" w:eastAsia="宋体" w:hint="default"/>
                <w:sz w:val="18"/>
                <w:szCs w:val="18"/>
              </w:rPr>
              <w:t>案》</w:t>
            </w:r>
          </w:p>
          <w:p>
            <w:pPr>
              <w:pStyle w:val="TableParagraph"/>
              <w:spacing w:line="240" w:lineRule="auto" w:before="101"/>
              <w:ind w:left="23" w:right="-1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《关于制定</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利润分配管理制度</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p>
          <w:p>
            <w:pPr>
              <w:pStyle w:val="TableParagraph"/>
              <w:spacing w:line="300" w:lineRule="auto" w:before="103"/>
              <w:ind w:left="23" w:right="33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、《关于制定</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未来三年（</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股东回报规划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35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2" w:right="60"/>
              <w:jc w:val="both"/>
              <w:rPr>
                <w:rFonts w:ascii="宋体" w:hAnsi="宋体" w:cs="宋体" w:eastAsia="宋体" w:hint="default"/>
                <w:sz w:val="18"/>
                <w:szCs w:val="18"/>
              </w:rPr>
            </w:pPr>
            <w:r>
              <w:rPr>
                <w:rFonts w:ascii="宋体" w:hAnsi="宋体" w:cs="宋体" w:eastAsia="宋体" w:hint="default"/>
                <w:sz w:val="18"/>
                <w:szCs w:val="18"/>
              </w:rPr>
              <w:t>会议以现场投票 方式审议通过了 全部议案</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2012-024</w:t>
            </w:r>
            <w:r>
              <w:rPr>
                <w:rFonts w:ascii="宋体" w:hAnsi="宋体" w:cs="宋体" w:eastAsia="宋体" w:hint="default"/>
                <w:sz w:val="18"/>
                <w:szCs w:val="18"/>
              </w:rPr>
              <w:t>）刊登于</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pacing w:val="-10"/>
                <w:sz w:val="18"/>
                <w:szCs w:val="18"/>
              </w:rPr>
              <w:t>《中国证券报》及巨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bl>
    <w:p>
      <w:pPr>
        <w:spacing w:line="240" w:lineRule="auto" w:before="11"/>
        <w:rPr>
          <w:rFonts w:ascii="宋体" w:hAnsi="宋体" w:cs="宋体" w:eastAsia="宋体" w:hint="default"/>
          <w:b/>
          <w:bCs/>
          <w:sz w:val="6"/>
          <w:szCs w:val="6"/>
        </w:rPr>
      </w:pPr>
    </w:p>
    <w:p>
      <w:pPr>
        <w:pStyle w:val="Heading2"/>
        <w:spacing w:line="240" w:lineRule="auto"/>
        <w:ind w:right="1780"/>
        <w:jc w:val="left"/>
        <w:rPr>
          <w:b w:val="0"/>
          <w:bCs w:val="0"/>
        </w:rPr>
      </w:pPr>
      <w:r>
        <w:rPr/>
        <w:pict>
          <v:shape style="position:absolute;margin-left:326.829987pt;margin-top:-56.378765pt;width:82pt;height:20.25pt;mso-position-horizontal-relative:page;mso-position-vertical-relative:paragraph;z-index:-6329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r>
        <w:rPr/>
        <w:pict>
          <v:group style="position:absolute;margin-left:343.75pt;margin-top:-69.404388pt;width:65.05pt;height:33.25pt;mso-position-horizontal-relative:page;mso-position-vertical-relative:paragraph;z-index:-632896" coordorigin="6875,-1388" coordsize="1301,665">
            <v:group style="position:absolute;left:6875;top:-1388;width:1301;height:312" coordorigin="6875,-1388" coordsize="1301,312">
              <v:shape style="position:absolute;left:6875;top:-1388;width:1301;height:312" coordorigin="6875,-1388" coordsize="1301,312" path="m6875,-1076l8176,-1076,8176,-1388,6875,-1388,6875,-1076xe" filled="true" fillcolor="#ffffff" stroked="false">
                <v:path arrowok="t"/>
                <v:fill type="solid"/>
              </v:shape>
            </v:group>
            <v:group style="position:absolute;left:6875;top:-1076;width:1301;height:353" coordorigin="6875,-1076" coordsize="1301,353">
              <v:shape style="position:absolute;left:6875;top:-1076;width:1301;height:353" coordorigin="6875,-1076" coordsize="1301,353" path="m6875,-723l8176,-723,8176,-1076,6875,-1076,6875,-723xe" filled="true" fillcolor="#ffffff" stroked="false">
                <v:path arrowok="t"/>
                <v:fill type="solid"/>
              </v:shape>
            </v:group>
            <w10:wrap type="none"/>
          </v:group>
        </w:pict>
      </w:r>
      <w:r>
        <w:rPr/>
        <w:t>三、报告期内独立董事履行职责的情况</w:t>
      </w:r>
      <w:r>
        <w:rPr>
          <w:b w:val="0"/>
          <w:bCs w:val="0"/>
        </w:rPr>
      </w:r>
    </w:p>
    <w:p>
      <w:pPr>
        <w:spacing w:before="145"/>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何积丰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高美萍</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陈乐波</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0"/>
        <w:ind w:right="1780"/>
        <w:jc w:val="left"/>
      </w:pPr>
      <w:r>
        <w:rPr/>
        <w:t>报告期内，公司独立董事未发生连续两次未亲自出席董事会的情况。</w:t>
      </w:r>
    </w:p>
    <w:p>
      <w:pPr>
        <w:spacing w:after="0" w:line="240" w:lineRule="auto"/>
        <w:jc w:val="left"/>
        <w:sectPr>
          <w:pgSz w:w="11910" w:h="16840"/>
          <w:pgMar w:header="876" w:footer="1283" w:top="1060" w:bottom="1480" w:left="980" w:right="0"/>
        </w:sectPr>
      </w:pPr>
    </w:p>
    <w:p>
      <w:pPr>
        <w:spacing w:line="240" w:lineRule="auto" w:before="10"/>
        <w:rPr>
          <w:rFonts w:ascii="宋体" w:hAnsi="宋体" w:cs="宋体" w:eastAsia="宋体" w:hint="default"/>
          <w:sz w:val="24"/>
          <w:szCs w:val="24"/>
        </w:rPr>
      </w:pPr>
    </w:p>
    <w:p>
      <w:pPr>
        <w:spacing w:line="484" w:lineRule="auto" w:before="36"/>
        <w:ind w:left="152" w:right="57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z w:val="24"/>
          <w:szCs w:val="24"/>
        </w:rPr>
        <w:t>报告期内独立董事对公司有关事项未提出异议。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pStyle w:val="BodyText"/>
        <w:spacing w:line="357" w:lineRule="auto" w:before="138"/>
        <w:ind w:right="5234"/>
        <w:jc w:val="left"/>
      </w:pPr>
      <w:r>
        <w:rPr/>
        <w:t>独立董事对公司有关建议均被采纳。 独立董事对公司有关建议被采纳或未被采纳的说明：</w:t>
      </w:r>
    </w:p>
    <w:p>
      <w:pPr>
        <w:pStyle w:val="BodyText"/>
        <w:spacing w:line="357" w:lineRule="auto"/>
        <w:ind w:right="1049" w:firstLine="480"/>
        <w:jc w:val="left"/>
      </w:pPr>
      <w:r>
        <w:rPr/>
        <w:t>公司独立董事根据《公司法》、《证券法》等法律法规及《公司章程》和《独立董事工 作制度》等的规定，关注公司运作的规范性，独立履行职责，对公司的制度完善和日常经营 决策等方面提出了许多宝贵的专业性意见，对报告期内公司发生的聘请年度报告审计机构、 关联交易、限制性股票激励计划、高管薪酬、《未来三年（</w:t>
      </w:r>
      <w:r>
        <w:rPr>
          <w:rFonts w:ascii="宋体" w:hAnsi="宋体" w:cs="宋体" w:eastAsia="宋体" w:hint="default"/>
        </w:rPr>
        <w:t>2012</w:t>
      </w:r>
      <w:r>
        <w:rPr/>
        <w:t>年</w:t>
      </w:r>
      <w:r>
        <w:rPr>
          <w:rFonts w:ascii="宋体" w:hAnsi="宋体" w:cs="宋体" w:eastAsia="宋体" w:hint="default"/>
        </w:rPr>
        <w:t>-2014</w:t>
      </w:r>
      <w:r>
        <w:rPr/>
        <w:t>年）股东回报规划》 等需要独立董事发表意见的事项出具了独立、公正的独立董事意见，为完善公司监督机制， 维护公司和全体股东的合法权益发挥了积极的作用。</w:t>
      </w:r>
    </w:p>
    <w:p>
      <w:pPr>
        <w:spacing w:line="240" w:lineRule="auto" w:before="11"/>
        <w:rPr>
          <w:rFonts w:ascii="宋体" w:hAnsi="宋体" w:cs="宋体" w:eastAsia="宋体" w:hint="default"/>
          <w:sz w:val="19"/>
          <w:szCs w:val="19"/>
        </w:rPr>
      </w:pPr>
    </w:p>
    <w:p>
      <w:pPr>
        <w:pStyle w:val="Heading2"/>
        <w:spacing w:line="240" w:lineRule="auto" w:before="0"/>
        <w:ind w:right="1780"/>
        <w:jc w:val="left"/>
        <w:rPr>
          <w:b w:val="0"/>
          <w:bCs w:val="0"/>
        </w:rPr>
      </w:pPr>
      <w:r>
        <w:rPr/>
        <w:t>四、董事会下设专门委员会在报告期内履行职责情况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38" w:firstLine="480"/>
        <w:jc w:val="both"/>
      </w:pPr>
      <w:r>
        <w:rPr/>
        <w:t>公司董事会下设三个专门委员会，分别为审计委员会、战略委员会、提名、薪酬与考核 委员会。</w:t>
      </w:r>
      <w:r>
        <w:rPr>
          <w:rFonts w:ascii="宋体" w:hAnsi="宋体" w:cs="宋体" w:eastAsia="宋体" w:hint="default"/>
        </w:rPr>
        <w:t>2012</w:t>
      </w:r>
      <w:r>
        <w:rPr/>
        <w:t>年各专门委员会本着勤勉尽责的原则，按照有关法律法规、规范性文件及公司</w:t>
      </w:r>
      <w:r>
        <w:rPr>
          <w:spacing w:val="-91"/>
        </w:rPr>
        <w:t> </w:t>
      </w:r>
      <w:r>
        <w:rPr>
          <w:spacing w:val="-91"/>
        </w:rPr>
      </w:r>
      <w:r>
        <w:rPr/>
        <w:t>各专门委员会工作细则的有关规定开展相关工作，报告期内，各专门委员会履职情况如下：</w:t>
      </w:r>
    </w:p>
    <w:p>
      <w:pPr>
        <w:pStyle w:val="BodyText"/>
        <w:spacing w:line="357" w:lineRule="auto"/>
        <w:ind w:left="633" w:right="1123"/>
        <w:jc w:val="left"/>
      </w:pPr>
      <w:r>
        <w:rPr/>
        <w:t>（一）审计委员会 报告期内，审计委员会根据《董事会审计委员会工作细则》及其他有关规定积极开展工</w:t>
      </w:r>
    </w:p>
    <w:p>
      <w:pPr>
        <w:pStyle w:val="BodyText"/>
        <w:spacing w:line="357" w:lineRule="auto"/>
        <w:ind w:right="1129"/>
        <w:jc w:val="both"/>
      </w:pPr>
      <w:r>
        <w:rPr>
          <w:spacing w:val="-2"/>
        </w:rPr>
        <w:t>作，认真履行职责。报告期内，审计委员会召开了</w:t>
      </w:r>
      <w:r>
        <w:rPr>
          <w:rFonts w:ascii="宋体" w:hAnsi="宋体" w:cs="宋体" w:eastAsia="宋体" w:hint="default"/>
          <w:spacing w:val="-2"/>
        </w:rPr>
        <w:t>8</w:t>
      </w:r>
      <w:r>
        <w:rPr>
          <w:spacing w:val="-2"/>
        </w:rPr>
        <w:t>次会议，审查了公司内部控制制度及执行</w:t>
      </w:r>
      <w:r>
        <w:rPr/>
        <w:t> 情况，审核了公司所有重要的会计政策，定期了解公司财务状况和经营情况，督促和指导公</w:t>
      </w:r>
      <w:r>
        <w:rPr>
          <w:spacing w:val="-87"/>
        </w:rPr>
        <w:t> </w:t>
      </w:r>
      <w:r>
        <w:rPr>
          <w:spacing w:val="-87"/>
        </w:rPr>
      </w:r>
      <w:r>
        <w:rPr/>
        <w:t>司审计部门对公司财务管理运行情况进行定期和不定期的检查和评估，委员会认为公司内控</w:t>
      </w:r>
      <w:r>
        <w:rPr>
          <w:spacing w:val="-91"/>
        </w:rPr>
        <w:t> </w:t>
      </w:r>
      <w:r>
        <w:rPr>
          <w:spacing w:val="-91"/>
        </w:rPr>
      </w:r>
      <w:r>
        <w:rPr/>
        <w:t>制度体系符合法律、法规及《公司章程》的要求，适应当前公司生产经营实际情况的需要。</w:t>
      </w:r>
      <w:r>
        <w:rPr>
          <w:spacing w:val="-91"/>
        </w:rPr>
        <w:t> </w:t>
      </w:r>
      <w:r>
        <w:rPr>
          <w:spacing w:val="-91"/>
        </w:rPr>
      </w:r>
      <w:r>
        <w:rPr/>
        <w:t>同时，审计委员会还就下列事项展开工作：</w:t>
      </w:r>
    </w:p>
    <w:p>
      <w:pPr>
        <w:pStyle w:val="BodyText"/>
        <w:spacing w:line="357" w:lineRule="auto" w:before="37"/>
        <w:ind w:right="1132" w:firstLine="480"/>
        <w:jc w:val="both"/>
      </w:pPr>
      <w:r>
        <w:rPr>
          <w:spacing w:val="-3"/>
        </w:rPr>
        <w:t>（</w:t>
      </w:r>
      <w:r>
        <w:rPr>
          <w:rFonts w:ascii="宋体" w:hAnsi="宋体" w:cs="宋体" w:eastAsia="宋体" w:hint="default"/>
          <w:spacing w:val="-3"/>
        </w:rPr>
        <w:t>1</w:t>
      </w:r>
      <w:r>
        <w:rPr>
          <w:spacing w:val="-3"/>
        </w:rPr>
        <w:t>）与会计师事务所就年度审计报告编制进行沟通和交流，要求审计机构密切关注中国</w:t>
      </w:r>
      <w:r>
        <w:rPr/>
        <w:t> 证监会、深圳证券交易所等监管部门对年报审计工作的相关政策和要求，确保审计的独立性</w:t>
      </w:r>
      <w:r>
        <w:rPr>
          <w:spacing w:val="-86"/>
        </w:rPr>
        <w:t> </w:t>
      </w:r>
      <w:r>
        <w:rPr>
          <w:spacing w:val="-86"/>
        </w:rPr>
      </w:r>
      <w:r>
        <w:rPr/>
        <w:t>并保质保量如期完成审计工作；</w:t>
      </w:r>
    </w:p>
    <w:p>
      <w:pPr>
        <w:pStyle w:val="BodyText"/>
        <w:spacing w:line="240" w:lineRule="auto"/>
        <w:ind w:left="633" w:right="1780"/>
        <w:jc w:val="left"/>
      </w:pPr>
      <w:r>
        <w:rPr/>
        <w:t>（</w:t>
      </w:r>
      <w:r>
        <w:rPr>
          <w:rFonts w:ascii="宋体" w:hAnsi="宋体" w:cs="宋体" w:eastAsia="宋体" w:hint="default"/>
        </w:rPr>
        <w:t>2</w:t>
      </w:r>
      <w:r>
        <w:rPr/>
        <w:t>）审议公司审计部门提交的季度工作报告，年度工作计划等；</w:t>
      </w:r>
    </w:p>
    <w:p>
      <w:pPr>
        <w:pStyle w:val="BodyText"/>
        <w:spacing w:line="240" w:lineRule="auto" w:before="154"/>
        <w:ind w:left="633" w:right="1780"/>
        <w:jc w:val="left"/>
      </w:pPr>
      <w:r>
        <w:rPr/>
        <w:t>（</w:t>
      </w:r>
      <w:r>
        <w:rPr>
          <w:rFonts w:ascii="宋体" w:hAnsi="宋体" w:cs="宋体" w:eastAsia="宋体" w:hint="default"/>
        </w:rPr>
        <w:t>3</w:t>
      </w:r>
      <w:r>
        <w:rPr/>
        <w:t>）对会计师事务所的工作进行评价和总结，并向董事会提出续聘议案。</w:t>
      </w:r>
    </w:p>
    <w:p>
      <w:pPr>
        <w:pStyle w:val="BodyText"/>
        <w:spacing w:line="240" w:lineRule="auto" w:before="154"/>
        <w:ind w:left="633" w:right="1780"/>
        <w:jc w:val="left"/>
      </w:pPr>
      <w:r>
        <w:rPr/>
        <w:t>（二）战略委员会</w:t>
      </w:r>
    </w:p>
    <w:p>
      <w:pPr>
        <w:spacing w:after="0" w:line="240" w:lineRule="auto"/>
        <w:jc w:val="left"/>
        <w:sectPr>
          <w:pgSz w:w="11910" w:h="16840"/>
          <w:pgMar w:header="876" w:footer="1283" w:top="1060" w:bottom="148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6" w:firstLine="480"/>
        <w:jc w:val="both"/>
      </w:pPr>
      <w:r>
        <w:rPr/>
        <w:t>报告期内，战略委员会召开了数次讨论会，研究公司的中长期发展计划。</w:t>
      </w:r>
      <w:r>
        <w:rPr>
          <w:rFonts w:ascii="宋体" w:hAnsi="宋体" w:cs="宋体" w:eastAsia="宋体" w:hint="default"/>
        </w:rPr>
        <w:t>2012</w:t>
      </w:r>
      <w:r>
        <w:rPr/>
        <w:t>年度公司 在对海外的软件外包业务方面获得较好的发展，在此基础上，公司将继续寻求多种经营模式</w:t>
      </w:r>
      <w:r>
        <w:rPr>
          <w:spacing w:val="-91"/>
        </w:rPr>
        <w:t> </w:t>
      </w:r>
      <w:r>
        <w:rPr>
          <w:spacing w:val="-91"/>
        </w:rPr>
      </w:r>
      <w:r>
        <w:rPr/>
        <w:t>的发展方向。</w:t>
      </w:r>
    </w:p>
    <w:p>
      <w:pPr>
        <w:pStyle w:val="BodyText"/>
        <w:spacing w:line="357" w:lineRule="auto"/>
        <w:ind w:left="633" w:right="1123"/>
        <w:jc w:val="left"/>
      </w:pPr>
      <w:r>
        <w:rPr/>
        <w:t>（三）提名、薪酬与考核委员会 第四届提名、薪酬与考核委员会对公司董事、监事、高级管理人员</w:t>
      </w:r>
      <w:r>
        <w:rPr>
          <w:rFonts w:ascii="宋体" w:hAnsi="宋体" w:cs="宋体" w:eastAsia="宋体" w:hint="default"/>
        </w:rPr>
        <w:t>2012</w:t>
      </w:r>
      <w:r>
        <w:rPr/>
        <w:t>年度薪酬进行了</w:t>
      </w:r>
    </w:p>
    <w:p>
      <w:pPr>
        <w:pStyle w:val="BodyText"/>
        <w:spacing w:line="357" w:lineRule="auto"/>
        <w:ind w:right="1136"/>
        <w:jc w:val="both"/>
      </w:pPr>
      <w:r>
        <w:rPr/>
        <w:t>审核，经过综合考评，根据本年度业绩情况确定了公司员工及高级管理人员的薪酬以及公司</w:t>
      </w:r>
      <w:r>
        <w:rPr>
          <w:spacing w:val="-89"/>
        </w:rPr>
        <w:t> </w:t>
      </w:r>
      <w:r>
        <w:rPr>
          <w:spacing w:val="-89"/>
        </w:rPr>
      </w:r>
      <w:r>
        <w:rPr/>
        <w:t>员工的薪酬标准，认为公司员工及高管的薪酬待遇符合市场基本情况，公平合理，对公司保</w:t>
      </w:r>
      <w:r>
        <w:rPr>
          <w:spacing w:val="-91"/>
        </w:rPr>
        <w:t> </w:t>
      </w:r>
      <w:r>
        <w:rPr>
          <w:spacing w:val="-91"/>
        </w:rPr>
      </w:r>
      <w:r>
        <w:rPr/>
        <w:t>有高质量的人才并对提高公司业绩起到积极的作用。</w:t>
      </w:r>
    </w:p>
    <w:p>
      <w:pPr>
        <w:spacing w:line="240" w:lineRule="auto" w:before="12"/>
        <w:rPr>
          <w:rFonts w:ascii="宋体" w:hAnsi="宋体" w:cs="宋体" w:eastAsia="宋体" w:hint="default"/>
          <w:sz w:val="19"/>
          <w:szCs w:val="19"/>
        </w:rPr>
      </w:pPr>
    </w:p>
    <w:p>
      <w:pPr>
        <w:pStyle w:val="Heading2"/>
        <w:spacing w:line="240" w:lineRule="auto" w:before="0"/>
        <w:ind w:right="0"/>
        <w:jc w:val="both"/>
        <w:rPr>
          <w:b w:val="0"/>
          <w:bCs w:val="0"/>
        </w:rPr>
      </w:pPr>
      <w:r>
        <w:rPr/>
        <w:t>五、监事会工作情况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40" w:firstLine="480"/>
        <w:jc w:val="both"/>
      </w:pPr>
      <w:r>
        <w:rPr/>
        <w:t>监事会在报告期内的监督活动中未发现公司存在风险，监事会对报告期内的监督事项无 异议。</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71" w:firstLine="454"/>
        <w:jc w:val="both"/>
      </w:pPr>
      <w:r>
        <w:rPr/>
        <w:t>公司无控股股东，公司在业务、人员、资产、机构及财务等方面完全独立，不存在公司 与控股股东在业务、人员、资产、机构、财务等方面的问题。同时公司的股东及其关联公司 除因正常业务往来而发生经营性占用外未以其他任何形式占用公司的货币资金或其他资产。 公司严格按照《公司法》和公司章程规范运作，建立健全公司的法人治理结构，公司具有独 立完整的业务及自主经营能力。</w:t>
      </w:r>
    </w:p>
    <w:p>
      <w:pPr>
        <w:spacing w:line="240" w:lineRule="auto" w:before="11"/>
        <w:rPr>
          <w:rFonts w:ascii="宋体" w:hAnsi="宋体" w:cs="宋体" w:eastAsia="宋体" w:hint="default"/>
          <w:sz w:val="19"/>
          <w:szCs w:val="19"/>
        </w:rPr>
      </w:pPr>
    </w:p>
    <w:p>
      <w:pPr>
        <w:pStyle w:val="BodyText"/>
        <w:spacing w:line="468" w:lineRule="auto" w:before="0"/>
        <w:ind w:left="633" w:right="1393" w:hanging="481"/>
        <w:jc w:val="left"/>
      </w:pPr>
      <w:r>
        <w:rPr>
          <w:rFonts w:ascii="宋体" w:hAnsi="宋体" w:cs="宋体" w:eastAsia="宋体" w:hint="default"/>
          <w:b/>
          <w:bCs/>
        </w:rPr>
        <w:t>七、同业竞争情况</w:t>
      </w:r>
      <w:r>
        <w:rPr>
          <w:rFonts w:ascii="宋体" w:hAnsi="宋体" w:cs="宋体" w:eastAsia="宋体" w:hint="default"/>
          <w:b/>
          <w:bCs/>
          <w:w w:val="99"/>
        </w:rPr>
        <w:t> </w:t>
      </w:r>
      <w:r>
        <w:rPr/>
        <w:t>公司不存在因股份化改造、行业特点、国家政策、收购兼并等原因导致的同业竞争。</w:t>
      </w:r>
    </w:p>
    <w:p>
      <w:pPr>
        <w:pStyle w:val="Heading2"/>
        <w:spacing w:line="240" w:lineRule="auto" w:before="72"/>
        <w:ind w:right="0"/>
        <w:jc w:val="both"/>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8"/>
          <w:szCs w:val="28"/>
        </w:rPr>
      </w:pPr>
    </w:p>
    <w:p>
      <w:pPr>
        <w:pStyle w:val="BodyText"/>
        <w:spacing w:line="357" w:lineRule="auto" w:before="0"/>
        <w:ind w:right="1170" w:firstLine="480"/>
        <w:jc w:val="both"/>
      </w:pPr>
      <w:r>
        <w:rPr/>
        <w:t>公司建立了公正、合理、有效的高级管理人员绩效考核评价体系，以公司规范化管理以 及经营效益稳步提升为基础，明确责任。董事会提名、薪酬与考核委员会具体审议高级管理 人员的薪酬奖励方案，根据公司实际经营完成情况以及高级管理人员的工作绩效，对高级管 理人员进行年度绩效考核，并监督薪酬制度执行情况。报告期内，本公司高级管理人员严格 </w:t>
      </w:r>
      <w:r>
        <w:rPr>
          <w:spacing w:val="-9"/>
        </w:rPr>
        <w:t>按照《公司法》、《公司章程》等法律法规，认真履行职责。</w:t>
      </w:r>
    </w:p>
    <w:p>
      <w:pPr>
        <w:pStyle w:val="BodyText"/>
        <w:spacing w:line="240" w:lineRule="auto"/>
        <w:ind w:left="633" w:right="982"/>
        <w:jc w:val="left"/>
      </w:pPr>
      <w:r>
        <w:rPr>
          <w:spacing w:val="-3"/>
        </w:rPr>
        <w:t>根据公司《限制性股票激励计划》及《限制性股票激励计划实施考核办法》的相关规定，</w:t>
      </w:r>
    </w:p>
    <w:p>
      <w:pPr>
        <w:spacing w:after="0" w:line="240" w:lineRule="auto"/>
        <w:jc w:val="left"/>
        <w:sectPr>
          <w:footerReference w:type="default" r:id="rId38"/>
          <w:pgSz w:w="11910" w:h="16840"/>
          <w:pgMar w:footer="1297" w:header="876" w:top="1060" w:bottom="1480" w:left="980" w:right="0"/>
          <w:pgNumType w:start="54"/>
        </w:sectPr>
      </w:pPr>
    </w:p>
    <w:p>
      <w:pPr>
        <w:spacing w:line="240" w:lineRule="auto" w:before="6"/>
        <w:rPr>
          <w:rFonts w:ascii="宋体" w:hAnsi="宋体" w:cs="宋体" w:eastAsia="宋体" w:hint="default"/>
          <w:sz w:val="29"/>
          <w:szCs w:val="29"/>
        </w:rPr>
      </w:pPr>
    </w:p>
    <w:p>
      <w:pPr>
        <w:pStyle w:val="BodyText"/>
        <w:spacing w:line="357" w:lineRule="auto" w:before="26"/>
        <w:ind w:right="1132"/>
        <w:jc w:val="both"/>
      </w:pPr>
      <w:r>
        <w:rPr>
          <w:rFonts w:ascii="宋体" w:hAnsi="宋体" w:cs="宋体" w:eastAsia="宋体" w:hint="default"/>
        </w:rPr>
        <w:t>2013</w:t>
      </w:r>
      <w:r>
        <w:rPr>
          <w:rFonts w:ascii="宋体" w:hAnsi="宋体" w:cs="宋体" w:eastAsia="宋体" w:hint="default"/>
          <w:spacing w:val="-68"/>
        </w:rPr>
        <w:t> </w:t>
      </w:r>
      <w:r>
        <w:rPr/>
        <w:t>年</w:t>
      </w:r>
      <w:r>
        <w:rPr>
          <w:spacing w:val="-68"/>
        </w:rPr>
        <w:t> </w:t>
      </w:r>
      <w:r>
        <w:rPr>
          <w:rFonts w:ascii="宋体" w:hAnsi="宋体" w:cs="宋体" w:eastAsia="宋体" w:hint="default"/>
        </w:rPr>
        <w:t>2</w:t>
      </w:r>
      <w:r>
        <w:rPr>
          <w:rFonts w:ascii="宋体" w:hAnsi="宋体" w:cs="宋体" w:eastAsia="宋体" w:hint="default"/>
          <w:spacing w:val="-69"/>
        </w:rPr>
        <w:t> </w:t>
      </w:r>
      <w:r>
        <w:rPr/>
        <w:t>月，公司对解锁条件进行了核查，并实施了限制性股票首次解锁。上述股权激励计 划的实施，建立和完善了对公司高级管理人员和其他骨干员工的激励和约束机制，有利于稳 定和吸引优秀的管理、技术、营销人才，提高公司的市场竞争能力和可持续发展能力，有利 于公司发展战略和经营目标的实现。</w:t>
      </w:r>
    </w:p>
    <w:p>
      <w:pPr>
        <w:spacing w:after="0" w:line="357" w:lineRule="auto"/>
        <w:jc w:val="both"/>
        <w:sectPr>
          <w:pgSz w:w="11910" w:h="16840"/>
          <w:pgMar w:header="876" w:footer="1297"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88"/>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both"/>
        <w:rPr>
          <w:b w:val="0"/>
          <w:bCs w:val="0"/>
        </w:rPr>
      </w:pPr>
      <w:r>
        <w:rPr/>
        <w:t>一、内部控制建设情况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982" w:firstLine="480"/>
        <w:jc w:val="left"/>
      </w:pPr>
      <w:r>
        <w:rPr>
          <w:spacing w:val="-3"/>
        </w:rPr>
        <w:t>为规范公司生产经营、财务管理以及信息披露等工作，保证公司日常工作正常有序开展，</w:t>
      </w:r>
      <w:r>
        <w:rPr/>
        <w:t> 公司结合自身实际以及发展需要，严格按照上市公司有关法律法规的要求，制定了一整套贯 穿于公司生产经营管理各个层面的内部控制制度体系，并及时根据最新的法律、法规不断完 善，在日常工作中严格遵照执行，使公司的内部控制制度体系更加健全，法人治理结构更加 完善。</w:t>
      </w:r>
    </w:p>
    <w:p>
      <w:pPr>
        <w:pStyle w:val="BodyText"/>
        <w:spacing w:line="357" w:lineRule="auto"/>
        <w:ind w:left="633" w:right="5953"/>
        <w:jc w:val="left"/>
      </w:pPr>
      <w:r>
        <w:rPr/>
        <w:t>（一）公司主要内部控制的具体实施内容 </w:t>
      </w:r>
      <w:r>
        <w:rPr>
          <w:rFonts w:ascii="宋体" w:hAnsi="宋体" w:cs="宋体" w:eastAsia="宋体" w:hint="default"/>
        </w:rPr>
        <w:t>1</w:t>
      </w:r>
      <w:r>
        <w:rPr/>
        <w:t>、货币资金管理的内部控制</w:t>
      </w:r>
    </w:p>
    <w:p>
      <w:pPr>
        <w:pStyle w:val="BodyText"/>
        <w:spacing w:line="357" w:lineRule="auto"/>
        <w:ind w:right="1170" w:firstLine="480"/>
        <w:jc w:val="both"/>
      </w:pPr>
      <w:r>
        <w:rPr/>
        <w:t>本公司已对货币资金的收支和保管业务建立了严格的授权批准程序，办理货币资金业务 的不相容岗位已作分离，相关机构和人员存在相互制约关系。本公司已按国务院《现金管理 </w:t>
      </w:r>
      <w:r>
        <w:rPr>
          <w:spacing w:val="-6"/>
        </w:rPr>
        <w:t>暂行条例》和财政部《内部会计控制规范—货币资金（试行）》，明确了现金的使用范围及办</w:t>
      </w:r>
      <w:r>
        <w:rPr>
          <w:spacing w:val="-113"/>
        </w:rPr>
        <w:t> </w:t>
      </w:r>
      <w:r>
        <w:rPr>
          <w:spacing w:val="-113"/>
        </w:rPr>
      </w:r>
      <w:r>
        <w:rPr/>
        <w:t>理现金收支业务时应遵守的规定，并按中国人民银行《支付结算办法》及有关规定制定了银 行存款的结算程序。公司规定了货币资金从支付申请、审批、复核与办理支付等各个环节的 权限与责任。审批人应当根据货币资金授权批准制度的规定，在授权范围内进行审批，不得 超越审批权限。本公司没有影响货币资金安全的重大不适当之处。</w:t>
      </w:r>
    </w:p>
    <w:p>
      <w:pPr>
        <w:pStyle w:val="BodyText"/>
        <w:spacing w:line="357" w:lineRule="auto"/>
        <w:ind w:left="633" w:right="1153"/>
        <w:jc w:val="left"/>
      </w:pPr>
      <w:r>
        <w:rPr>
          <w:rFonts w:ascii="宋体" w:hAnsi="宋体" w:cs="宋体" w:eastAsia="宋体" w:hint="default"/>
        </w:rPr>
        <w:t>2</w:t>
      </w:r>
      <w:r>
        <w:rPr/>
        <w:t>、采购与付款的内部控制 本公司已较合理地计划和设立了采购与付款业务的机构和岗位，明确了请购、审批、采</w:t>
      </w:r>
    </w:p>
    <w:p>
      <w:pPr>
        <w:pStyle w:val="BodyText"/>
        <w:spacing w:line="357" w:lineRule="auto"/>
        <w:ind w:right="1171"/>
        <w:jc w:val="both"/>
      </w:pPr>
      <w:r>
        <w:rPr/>
        <w:t>购、验收程序。应付账款和预付账款的支付必须在相关手续齐备后才能办理。本公司建立了 供应商登记管理制度，尤其是对于需要长期供应的货品，需要同时确定两家固定供应商，和 一家后备供应商，以保证价格合理、供应稳定。对于零星采购商品，应相对集中品牌及供应 商。对于大额采购商品，设备管理科内部必须要有不少于三家的供应商报价。本公司在采购 与付款的控制方面没有重大漏洞。</w:t>
      </w:r>
    </w:p>
    <w:p>
      <w:pPr>
        <w:pStyle w:val="BodyText"/>
        <w:spacing w:line="357" w:lineRule="auto"/>
        <w:ind w:left="633" w:right="1153"/>
        <w:jc w:val="left"/>
      </w:pPr>
      <w:r>
        <w:rPr>
          <w:rFonts w:ascii="宋体" w:hAnsi="宋体" w:cs="宋体" w:eastAsia="宋体" w:hint="default"/>
        </w:rPr>
        <w:t>3</w:t>
      </w:r>
      <w:r>
        <w:rPr/>
        <w:t>、生产的内部控制 本公司主营业务为软件外包服务业务，软件服务贯穿于软件项目售前、开发、售后的整</w:t>
      </w:r>
    </w:p>
    <w:p>
      <w:pPr>
        <w:pStyle w:val="BodyText"/>
        <w:spacing w:line="357" w:lineRule="auto"/>
        <w:ind w:right="1171"/>
        <w:jc w:val="both"/>
      </w:pPr>
      <w:r>
        <w:rPr/>
        <w:t>个过程，公司视服务质量为企业生命。本公司学习国际先进软件质量管理经验，在软件外包 业务实施过程中给予合作方全方位的服务，将纯粹的技术结果延伸到长期、体贴的技术服务</w:t>
      </w:r>
    </w:p>
    <w:p>
      <w:pPr>
        <w:spacing w:after="0" w:line="357" w:lineRule="auto"/>
        <w:jc w:val="both"/>
        <w:sectPr>
          <w:pgSz w:w="11910" w:h="16840"/>
          <w:pgMar w:header="876" w:footer="1297"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996"/>
        <w:jc w:val="left"/>
      </w:pPr>
      <w:r>
        <w:rPr>
          <w:spacing w:val="-8"/>
        </w:rPr>
        <w:t>过程中；公司制定了《服务质量反馈及投诉快速反应机制》，确保软件外包项目达到客户要求，</w:t>
      </w:r>
      <w:r>
        <w:rPr>
          <w:spacing w:val="-108"/>
        </w:rPr>
        <w:t> </w:t>
      </w:r>
      <w:r>
        <w:rPr>
          <w:spacing w:val="-108"/>
        </w:rPr>
      </w:r>
      <w:r>
        <w:rPr>
          <w:spacing w:val="-2"/>
        </w:rPr>
        <w:t>尤其确保软件项目交付后长期的售后服务过程中的客户满意，使售后服务与项目承诺不脱节。</w:t>
      </w:r>
      <w:r>
        <w:rPr/>
        <w:t> 公司通过三个基础环节作为项目完成的支撑和保障，即基础设施的保证、规范化的流程保证 </w:t>
      </w:r>
      <w:r>
        <w:rPr>
          <w:spacing w:val="-2"/>
        </w:rPr>
        <w:t>和具体项目实施过程中监控与反馈机制的保证，使提供的软件服务受控于整个质量管理体系。</w:t>
      </w:r>
      <w:r>
        <w:rPr/>
        <w:t> </w:t>
      </w:r>
      <w:r>
        <w:rPr>
          <w:rFonts w:ascii="宋体" w:hAnsi="宋体" w:cs="宋体" w:eastAsia="宋体" w:hint="default"/>
        </w:rPr>
        <w:t>2012</w:t>
      </w:r>
      <w:r>
        <w:rPr>
          <w:rFonts w:ascii="宋体" w:hAnsi="宋体" w:cs="宋体" w:eastAsia="宋体" w:hint="default"/>
          <w:spacing w:val="-60"/>
        </w:rPr>
        <w:t> </w:t>
      </w:r>
      <w:r>
        <w:rPr/>
        <w:t>年公司在服务质量方面得到客户好评，生产环节方面没有重大漏洞。</w:t>
      </w:r>
    </w:p>
    <w:p>
      <w:pPr>
        <w:pStyle w:val="BodyText"/>
        <w:spacing w:line="357" w:lineRule="auto"/>
        <w:ind w:left="633" w:right="1153"/>
        <w:jc w:val="left"/>
      </w:pPr>
      <w:r>
        <w:rPr>
          <w:rFonts w:ascii="宋体" w:hAnsi="宋体" w:cs="宋体" w:eastAsia="宋体" w:hint="default"/>
        </w:rPr>
        <w:t>4</w:t>
      </w:r>
      <w:r>
        <w:rPr/>
        <w:t>、销售与收款的内部控制 本公司已制定比较可行的销售政策，对定价原则、信用标准和条件、收款方式以及涉及</w:t>
      </w:r>
    </w:p>
    <w:p>
      <w:pPr>
        <w:pStyle w:val="BodyText"/>
        <w:spacing w:line="357" w:lineRule="auto"/>
        <w:ind w:right="1171"/>
        <w:jc w:val="both"/>
      </w:pPr>
      <w:r>
        <w:rPr/>
        <w:t>销售业务的机构和人员的职责权限等作了明确规定；并加强了营销、报价、签署合同、项目 实施及监督、评价和收款等环节的控制；本公司对合并报表范围内企业之间销售商品、提供 劳务参照市场价格进行结算，在公司授权范围内，下属企业可自主对外办理销售商品、提供 劳务和货款结算业务。</w:t>
      </w:r>
    </w:p>
    <w:p>
      <w:pPr>
        <w:pStyle w:val="BodyText"/>
        <w:spacing w:line="357" w:lineRule="auto"/>
        <w:ind w:left="633" w:right="1153"/>
        <w:jc w:val="left"/>
      </w:pPr>
      <w:r>
        <w:rPr>
          <w:rFonts w:ascii="宋体" w:hAnsi="宋体" w:cs="宋体" w:eastAsia="宋体" w:hint="default"/>
        </w:rPr>
        <w:t>5</w:t>
      </w:r>
      <w:r>
        <w:rPr/>
        <w:t>、固定资产管理的内部控制 本公司已建立较科学的固定资产管理制度。固定资产实行“统一管理，统一调度，统一</w:t>
      </w:r>
    </w:p>
    <w:p>
      <w:pPr>
        <w:pStyle w:val="BodyText"/>
        <w:spacing w:line="357" w:lineRule="auto"/>
        <w:ind w:left="633" w:right="1153" w:hanging="481"/>
        <w:jc w:val="left"/>
      </w:pPr>
      <w:r>
        <w:rPr/>
        <w:t>使用和核算”的办法。大额固定资产款项必须在相关资产已经验收、手续齐备后才能支付。 </w:t>
      </w:r>
      <w:r>
        <w:rPr>
          <w:rFonts w:ascii="宋体" w:hAnsi="宋体" w:cs="宋体" w:eastAsia="宋体" w:hint="default"/>
        </w:rPr>
        <w:t>6</w:t>
      </w:r>
      <w:r>
        <w:rPr/>
        <w:t>、投资管理的内部控制 为严格控制投资风险，本公司建立了较科学的对外投资决策程序，实行重大投资决策的</w:t>
      </w:r>
    </w:p>
    <w:p>
      <w:pPr>
        <w:pStyle w:val="BodyText"/>
        <w:spacing w:line="357" w:lineRule="auto"/>
        <w:ind w:right="1128"/>
        <w:jc w:val="both"/>
      </w:pPr>
      <w:r>
        <w:rPr/>
        <w:t>责任制度，相应对外投资的权限集中于公司本部（采用不同的投资额分别由公司不同层次的 </w:t>
      </w:r>
      <w:r>
        <w:rPr>
          <w:spacing w:val="-5"/>
        </w:rPr>
        <w:t>权力机构进行决策的机制），强化对外投资项目的立项、评估、决策、实施、管理、收益、投</w:t>
      </w:r>
      <w:r>
        <w:rPr>
          <w:spacing w:val="-117"/>
        </w:rPr>
        <w:t> </w:t>
      </w:r>
      <w:r>
        <w:rPr>
          <w:spacing w:val="-117"/>
        </w:rPr>
      </w:r>
      <w:r>
        <w:rPr/>
        <w:t>资处置等环节的管理。本公司没有偏离公司投资政策和程序的行为。对控股子公司，本公司 </w:t>
      </w:r>
      <w:r>
        <w:rPr>
          <w:spacing w:val="-5"/>
        </w:rPr>
        <w:t>制订了《控股子公司管理办法》，规范了对控股子公司的控制政策及程序，明确了公司委派董</w:t>
      </w:r>
      <w:r>
        <w:rPr>
          <w:spacing w:val="-114"/>
        </w:rPr>
        <w:t> </w:t>
      </w:r>
      <w:r>
        <w:rPr>
          <w:spacing w:val="-114"/>
        </w:rPr>
      </w:r>
      <w:r>
        <w:rPr/>
        <w:t>事监事及高级管理人员的选人方式和职权，监督控股子公司规范运作，控制风险。被投资项 目或被投资公司每年定期向本公司报告项目或公司的经营情况。本公司董事会根据其经营情 况调整投资计划，完善投资管理，控制投资风险。公司委派的经营者和财务负责人每年度决</w:t>
      </w:r>
      <w:r>
        <w:rPr/>
        <w:t> 算结束后，均向公司报告工作，并接受公司的质询。</w:t>
      </w:r>
    </w:p>
    <w:p>
      <w:pPr>
        <w:pStyle w:val="BodyText"/>
        <w:spacing w:line="357" w:lineRule="auto"/>
        <w:ind w:left="633" w:right="1123"/>
        <w:jc w:val="left"/>
      </w:pPr>
      <w:r>
        <w:rPr>
          <w:rFonts w:ascii="宋体" w:hAnsi="宋体" w:cs="宋体" w:eastAsia="宋体" w:hint="default"/>
        </w:rPr>
        <w:t>7</w:t>
      </w:r>
      <w:r>
        <w:rPr/>
        <w:t>、关联交易的内部控制 </w:t>
      </w:r>
      <w:r>
        <w:rPr>
          <w:spacing w:val="-6"/>
        </w:rPr>
        <w:t>本公司制定了《关联交易管理办法》，并在报告期内修改了公司《章程》中关联交易相关</w:t>
      </w:r>
    </w:p>
    <w:p>
      <w:pPr>
        <w:pStyle w:val="BodyText"/>
        <w:spacing w:line="357" w:lineRule="auto"/>
        <w:ind w:right="996"/>
        <w:jc w:val="left"/>
      </w:pPr>
      <w:r>
        <w:rPr>
          <w:spacing w:val="-2"/>
        </w:rPr>
        <w:t>条款，对发生关联交易的审批权限和决策程序等作了明确的规定，规范了关联方的交易行为，</w:t>
      </w:r>
      <w:r>
        <w:rPr/>
        <w:t> 保证诚实信用、保护公司及中小股东的利益。本公司与关联人之间的关联交易均需签订书面 协议，协议的签订遵循平等、自愿、等价、有偿的原则。</w:t>
      </w:r>
    </w:p>
    <w:p>
      <w:pPr>
        <w:spacing w:after="0" w:line="357" w:lineRule="auto"/>
        <w:jc w:val="left"/>
        <w:sectPr>
          <w:pgSz w:w="11910" w:h="16840"/>
          <w:pgMar w:header="876" w:footer="1297"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633" w:right="1123"/>
        <w:jc w:val="left"/>
      </w:pPr>
      <w:r>
        <w:rPr>
          <w:rFonts w:ascii="宋体" w:hAnsi="宋体" w:cs="宋体" w:eastAsia="宋体" w:hint="default"/>
        </w:rPr>
        <w:t>8</w:t>
      </w:r>
      <w:r>
        <w:rPr/>
        <w:t>、担保与融资的内部控制 </w:t>
      </w:r>
      <w:r>
        <w:rPr>
          <w:spacing w:val="-6"/>
        </w:rPr>
        <w:t>本公司制定了《对外担保管理办法》，对公司发生对外担保行为时的担保对象、审批权限</w:t>
      </w:r>
    </w:p>
    <w:p>
      <w:pPr>
        <w:pStyle w:val="BodyText"/>
        <w:spacing w:line="357" w:lineRule="auto"/>
        <w:ind w:right="1129"/>
        <w:jc w:val="both"/>
      </w:pPr>
      <w:r>
        <w:rPr>
          <w:spacing w:val="-3"/>
        </w:rPr>
        <w:t>和决策程序、安全措施等作了详细的规定。截至</w:t>
      </w:r>
      <w:r>
        <w:rPr>
          <w:spacing w:val="-56"/>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日，本公司没有对外部单位</w:t>
      </w:r>
      <w:r>
        <w:rPr/>
        <w:t> 提供担保的事项。</w:t>
      </w:r>
    </w:p>
    <w:p>
      <w:pPr>
        <w:pStyle w:val="BodyText"/>
        <w:spacing w:line="357" w:lineRule="auto"/>
        <w:ind w:left="633" w:right="1153"/>
        <w:jc w:val="left"/>
      </w:pPr>
      <w:r>
        <w:rPr>
          <w:rFonts w:ascii="宋体" w:hAnsi="宋体" w:cs="宋体" w:eastAsia="宋体" w:hint="default"/>
        </w:rPr>
        <w:t>9</w:t>
      </w:r>
      <w:r>
        <w:rPr/>
        <w:t>、人事管理的内部控制 本公司根据经营和发展战略，制定了完善的员工行为守则、员工薪资、考勤管理、晋升</w:t>
      </w:r>
    </w:p>
    <w:p>
      <w:pPr>
        <w:pStyle w:val="BodyText"/>
        <w:spacing w:line="357" w:lineRule="auto"/>
        <w:ind w:left="633" w:right="1123" w:hanging="481"/>
        <w:jc w:val="left"/>
      </w:pPr>
      <w:r>
        <w:rPr/>
        <w:t>考核及社会福利等制度，并形成了完备的员工培训体系，建立起有效的员工职业发展制度。 </w:t>
      </w:r>
      <w:r>
        <w:rPr>
          <w:rFonts w:ascii="宋体" w:hAnsi="宋体" w:cs="宋体" w:eastAsia="宋体" w:hint="default"/>
        </w:rPr>
        <w:t>10</w:t>
      </w:r>
      <w:r>
        <w:rPr/>
        <w:t>、募集资金管理的内部控制 </w:t>
      </w:r>
      <w:r>
        <w:rPr>
          <w:spacing w:val="-6"/>
        </w:rPr>
        <w:t>本公司制定了《募集资金管理办法》，对募集资金专户存储，使用及审批程序、用途调整</w:t>
      </w:r>
    </w:p>
    <w:p>
      <w:pPr>
        <w:pStyle w:val="BodyText"/>
        <w:spacing w:line="357" w:lineRule="auto"/>
        <w:ind w:left="633" w:right="1153" w:hanging="481"/>
        <w:jc w:val="left"/>
      </w:pPr>
      <w:r>
        <w:rPr/>
        <w:t>与变更、管理监督和责任追究等方面进行明确规定，以保证募集资金专款专用。 </w:t>
      </w:r>
      <w:r>
        <w:rPr>
          <w:rFonts w:ascii="宋体" w:hAnsi="宋体" w:cs="宋体" w:eastAsia="宋体" w:hint="default"/>
        </w:rPr>
        <w:t>11</w:t>
      </w:r>
      <w:r>
        <w:rPr/>
        <w:t>、信息披露的内部控制为进一步规范本公司的信息披露行为，维护投资者利益，公司</w:t>
      </w:r>
    </w:p>
    <w:p>
      <w:pPr>
        <w:pStyle w:val="BodyText"/>
        <w:spacing w:line="357" w:lineRule="auto"/>
        <w:ind w:right="1171"/>
        <w:jc w:val="both"/>
      </w:pPr>
      <w:r>
        <w:rPr>
          <w:spacing w:val="-6"/>
        </w:rPr>
        <w:t>建立健全了公司《信息披露事务管理制度》、《年报信息披露重大差错责任追究制度》及《内</w:t>
      </w:r>
      <w:r>
        <w:rPr>
          <w:spacing w:val="-114"/>
        </w:rPr>
        <w:t> </w:t>
      </w:r>
      <w:r>
        <w:rPr>
          <w:spacing w:val="-114"/>
        </w:rPr>
      </w:r>
      <w:r>
        <w:rPr/>
        <w:t>幕信息知情人登记备案制度》等有关信息披露管理的制度，在信息披露机构和人员、信息披 露文件和事务管理、披露程序、信息报告、保密措施、档案管理、责任追究等方面作了详细 规定，对本公司公开信息披露和重大内部信息沟通进行全程、有效的控制。</w:t>
      </w:r>
    </w:p>
    <w:p>
      <w:pPr>
        <w:pStyle w:val="BodyText"/>
        <w:spacing w:line="357" w:lineRule="auto"/>
        <w:ind w:left="633" w:right="1153"/>
        <w:jc w:val="left"/>
      </w:pPr>
      <w:r>
        <w:rPr>
          <w:rFonts w:ascii="宋体" w:hAnsi="宋体" w:cs="宋体" w:eastAsia="宋体" w:hint="default"/>
        </w:rPr>
        <w:t>12</w:t>
      </w:r>
      <w:r>
        <w:rPr/>
        <w:t>、全面预算的内部控制 为了促进公司实现发展战略，加强全面预算管理作用，强化内部控制，提高经营管理水</w:t>
      </w:r>
    </w:p>
    <w:p>
      <w:pPr>
        <w:pStyle w:val="BodyText"/>
        <w:spacing w:line="357" w:lineRule="auto"/>
        <w:ind w:right="1131"/>
        <w:jc w:val="both"/>
      </w:pPr>
      <w:r>
        <w:rPr>
          <w:spacing w:val="-5"/>
        </w:rPr>
        <w:t>平和风险防范能力，公司制定了《全面预算管理制度》，确定公司的经营目标并组织实施；明</w:t>
      </w:r>
      <w:r>
        <w:rPr>
          <w:spacing w:val="-117"/>
        </w:rPr>
        <w:t> </w:t>
      </w:r>
      <w:r>
        <w:rPr>
          <w:spacing w:val="-117"/>
        </w:rPr>
      </w:r>
      <w:r>
        <w:rPr/>
        <w:t>确各责任单位在预算管理中的职责和权限；对公司经营活动实施全程控制、监督和分析。</w:t>
      </w:r>
    </w:p>
    <w:p>
      <w:pPr>
        <w:spacing w:line="240" w:lineRule="auto" w:before="11"/>
        <w:rPr>
          <w:rFonts w:ascii="宋体" w:hAnsi="宋体" w:cs="宋体" w:eastAsia="宋体" w:hint="default"/>
          <w:sz w:val="19"/>
          <w:szCs w:val="19"/>
        </w:rPr>
      </w:pPr>
    </w:p>
    <w:p>
      <w:pPr>
        <w:pStyle w:val="Heading2"/>
        <w:spacing w:line="240" w:lineRule="auto" w:before="0"/>
        <w:ind w:right="1780"/>
        <w:jc w:val="left"/>
        <w:rPr>
          <w:b w:val="0"/>
          <w:bCs w:val="0"/>
        </w:rPr>
      </w:pPr>
      <w:r>
        <w:rPr/>
        <w:t>二、董事会关于内部控制责任的声明</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996" w:firstLine="480"/>
        <w:jc w:val="left"/>
      </w:pPr>
      <w:r>
        <w:rPr/>
        <w:t>公司现有的内部控制已覆盖了公司运营的各个层面和环节，公司法人治理、日常经营、 信息披露等各项活动均严格按照内部控制规定进行，能有效保证公司经营管理的正常进行。 </w:t>
      </w:r>
      <w:r>
        <w:rPr>
          <w:spacing w:val="-2"/>
        </w:rPr>
        <w:t>公司内部控制的设计是完整和合理的，执行是有效的，能够合理地保证内部控制目标的达成。</w:t>
      </w:r>
      <w:r>
        <w:rPr/>
        <w:t> </w:t>
      </w:r>
      <w:r>
        <w:rPr>
          <w:spacing w:val="-6"/>
        </w:rPr>
        <w:t>公司董事会及全体董事保证《</w:t>
      </w:r>
      <w:r>
        <w:rPr>
          <w:rFonts w:ascii="宋体" w:hAnsi="宋体" w:cs="宋体" w:eastAsia="宋体" w:hint="default"/>
          <w:spacing w:val="-6"/>
        </w:rPr>
        <w:t>2012</w:t>
      </w:r>
      <w:r>
        <w:rPr>
          <w:rFonts w:ascii="宋体" w:hAnsi="宋体" w:cs="宋体" w:eastAsia="宋体" w:hint="default"/>
          <w:spacing w:val="4"/>
        </w:rPr>
        <w:t> </w:t>
      </w:r>
      <w:r>
        <w:rPr>
          <w:spacing w:val="-4"/>
        </w:rPr>
        <w:t>年度内部控制自我评价报告》的内容不存在任何虚假记载、</w:t>
      </w:r>
      <w:r>
        <w:rPr/>
        <w:t> 误导性陈述或重大遗漏，并对报告内容的真实性、准确性和完整性承担个别及连带责任。</w:t>
      </w:r>
    </w:p>
    <w:p>
      <w:pPr>
        <w:spacing w:line="240" w:lineRule="auto" w:before="11"/>
        <w:rPr>
          <w:rFonts w:ascii="宋体" w:hAnsi="宋体" w:cs="宋体" w:eastAsia="宋体" w:hint="default"/>
          <w:sz w:val="19"/>
          <w:szCs w:val="19"/>
        </w:rPr>
      </w:pPr>
    </w:p>
    <w:p>
      <w:pPr>
        <w:pStyle w:val="Heading2"/>
        <w:spacing w:line="240" w:lineRule="auto" w:before="0"/>
        <w:ind w:right="1780"/>
        <w:jc w:val="left"/>
        <w:rPr>
          <w:b w:val="0"/>
          <w:bCs w:val="0"/>
        </w:rPr>
      </w:pPr>
      <w:r>
        <w:rPr/>
        <w:t>三、建立财务报告内部控制的依据</w:t>
      </w:r>
      <w:r>
        <w:rPr>
          <w:b w:val="0"/>
          <w:bCs w:val="0"/>
        </w:rPr>
      </w:r>
    </w:p>
    <w:p>
      <w:pPr>
        <w:spacing w:line="240" w:lineRule="auto" w:before="9"/>
        <w:rPr>
          <w:rFonts w:ascii="宋体" w:hAnsi="宋体" w:cs="宋体" w:eastAsia="宋体" w:hint="default"/>
          <w:b/>
          <w:bCs/>
          <w:sz w:val="17"/>
          <w:szCs w:val="17"/>
        </w:rPr>
      </w:pPr>
    </w:p>
    <w:p>
      <w:pPr>
        <w:pStyle w:val="BodyText"/>
        <w:spacing w:line="460" w:lineRule="atLeast" w:before="0"/>
        <w:ind w:right="1154" w:firstLine="480"/>
        <w:jc w:val="left"/>
      </w:pPr>
      <w:r>
        <w:rPr>
          <w:spacing w:val="-12"/>
        </w:rPr>
        <w:t>公司根据《会计法》、《企业会计准则》、《企业内部控制基本规范》及监管部门的相关规</w:t>
      </w:r>
      <w:r>
        <w:rPr/>
        <w:t> 范性文件为依据，建立了财务报告内部控制，通过授权审核及会计机构内部的合理分工有效</w:t>
      </w:r>
    </w:p>
    <w:p>
      <w:pPr>
        <w:spacing w:after="0" w:line="460" w:lineRule="atLeast"/>
        <w:jc w:val="left"/>
        <w:sectPr>
          <w:pgSz w:w="11910" w:h="16840"/>
          <w:pgMar w:header="876" w:footer="1297" w:top="1060" w:bottom="148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996"/>
        <w:jc w:val="left"/>
      </w:pPr>
      <w:r>
        <w:rPr>
          <w:spacing w:val="-2"/>
        </w:rPr>
        <w:t>地保证了原始单据的合法性；形成了会计人员之间相互制约、相互监督、相互核对有效机制，</w:t>
      </w:r>
      <w:r>
        <w:rPr/>
        <w:t> 提高了会计核算的质量，降低了出现会计舞弊的可能性。减少了核算中的差错，最终保证了 财务报告信息的真实可靠。 公司 </w:t>
      </w:r>
      <w:r>
        <w:rPr>
          <w:rFonts w:ascii="宋体" w:hAnsi="宋体" w:cs="宋体" w:eastAsia="宋体" w:hint="default"/>
        </w:rPr>
        <w:t>2012</w:t>
      </w:r>
      <w:r>
        <w:rPr>
          <w:rFonts w:ascii="宋体" w:hAnsi="宋体" w:cs="宋体" w:eastAsia="宋体" w:hint="default"/>
          <w:spacing w:val="1"/>
        </w:rPr>
        <w:t> </w:t>
      </w:r>
      <w:r>
        <w:rPr/>
        <w:t>年度财务报告在内部控制等方面不存在重大缺陷。</w:t>
      </w:r>
    </w:p>
    <w:p>
      <w:pPr>
        <w:spacing w:line="240" w:lineRule="auto" w:before="11"/>
        <w:rPr>
          <w:rFonts w:ascii="宋体" w:hAnsi="宋体" w:cs="宋体" w:eastAsia="宋体" w:hint="default"/>
          <w:sz w:val="19"/>
          <w:szCs w:val="19"/>
        </w:rPr>
      </w:pPr>
    </w:p>
    <w:p>
      <w:pPr>
        <w:pStyle w:val="Heading2"/>
        <w:spacing w:line="240" w:lineRule="auto" w:before="0"/>
        <w:ind w:right="1780"/>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07"/>
        <w:gridCol w:w="6363"/>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1"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内部控制自我评价报告于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日在巨潮资讯网上披露</w:t>
            </w:r>
          </w:p>
        </w:tc>
      </w:tr>
    </w:tbl>
    <w:p>
      <w:pPr>
        <w:spacing w:line="240" w:lineRule="auto" w:before="1"/>
        <w:rPr>
          <w:rFonts w:ascii="宋体" w:hAnsi="宋体" w:cs="宋体" w:eastAsia="宋体" w:hint="default"/>
          <w:b/>
          <w:bCs/>
          <w:sz w:val="18"/>
          <w:szCs w:val="18"/>
        </w:rPr>
      </w:pPr>
    </w:p>
    <w:p>
      <w:pPr>
        <w:pStyle w:val="Heading2"/>
        <w:spacing w:line="240" w:lineRule="auto"/>
        <w:ind w:right="1780"/>
        <w:jc w:val="left"/>
        <w:rPr>
          <w:b w:val="0"/>
          <w:bCs w:val="0"/>
        </w:rPr>
      </w:pPr>
      <w:r>
        <w:rPr/>
        <w:t>五、年度报告重大差错责任追究制度的建立与执行情况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32" w:firstLine="480"/>
        <w:jc w:val="both"/>
      </w:pPr>
      <w:r>
        <w:rPr>
          <w:spacing w:val="-6"/>
        </w:rPr>
        <w:t>公司已建立了《年报信息披露重大差错责任追究制度》，公司董事、监事、高级管理人员</w:t>
      </w:r>
      <w:r>
        <w:rPr/>
        <w:t> 以及年报信息披露相关的其他人员在年报信息披露工作中按照国家有关法律、法规、规范性 文件以及公司规章制度要求严格执行，勤勉尽责，并认真对照相关制度努力提高公司规范运 作水平，增强信息披露的真实性、准确性、完整性和及时性，提高年报信息披露的质量和透 明度。报告期内，公司严格按照该制度做好年报信息披露工作，未发生重大会计差错更正、 重大遗漏信息补充等情况。</w:t>
      </w:r>
    </w:p>
    <w:p>
      <w:pPr>
        <w:spacing w:after="0" w:line="357" w:lineRule="auto"/>
        <w:jc w:val="both"/>
        <w:sectPr>
          <w:pgSz w:w="11910" w:h="16840"/>
          <w:pgMar w:header="876" w:footer="1297" w:top="1060" w:bottom="148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588"/>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2"/>
        <w:spacing w:line="240" w:lineRule="auto"/>
        <w:ind w:right="178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6" w:footer="1297" w:top="1060" w:bottom="1480" w:left="980" w:right="0"/>
        </w:sectPr>
      </w:pPr>
    </w:p>
    <w:p>
      <w:pPr>
        <w:spacing w:line="240" w:lineRule="auto" w:before="0"/>
        <w:rPr>
          <w:rFonts w:ascii="宋体" w:hAnsi="宋体" w:cs="宋体" w:eastAsia="宋体" w:hint="default"/>
          <w:b/>
          <w:bCs/>
          <w:sz w:val="20"/>
          <w:szCs w:val="20"/>
        </w:rPr>
      </w:pPr>
    </w:p>
    <w:p>
      <w:pPr>
        <w:spacing w:before="149"/>
        <w:ind w:left="152" w:right="0" w:firstLine="0"/>
        <w:jc w:val="left"/>
        <w:rPr>
          <w:rFonts w:ascii="宋体" w:hAnsi="宋体" w:cs="宋体" w:eastAsia="宋体" w:hint="default"/>
          <w:sz w:val="20"/>
          <w:szCs w:val="20"/>
        </w:rPr>
      </w:pPr>
      <w:r>
        <w:rPr>
          <w:rFonts w:ascii="宋体" w:hAnsi="宋体" w:cs="宋体" w:eastAsia="宋体" w:hint="default"/>
          <w:b/>
          <w:bCs/>
          <w:w w:val="95"/>
          <w:sz w:val="20"/>
          <w:szCs w:val="20"/>
        </w:rPr>
        <w:t>上海海隆软件股份有限公司全体股东：</w:t>
      </w:r>
      <w:r>
        <w:rPr>
          <w:rFonts w:ascii="宋体" w:hAnsi="宋体" w:cs="宋体" w:eastAsia="宋体" w:hint="default"/>
          <w:sz w:val="20"/>
          <w:szCs w:val="20"/>
        </w:rPr>
      </w:r>
    </w:p>
    <w:p>
      <w:pPr>
        <w:pStyle w:val="BodyText"/>
        <w:spacing w:line="240" w:lineRule="auto" w:before="26"/>
        <w:ind w:right="0"/>
        <w:jc w:val="left"/>
      </w:pPr>
      <w:r>
        <w:rPr/>
        <w:br w:type="column"/>
      </w:r>
      <w:r>
        <w:rPr/>
        <w:t>审计报告正文</w:t>
      </w:r>
    </w:p>
    <w:p>
      <w:pPr>
        <w:spacing w:after="0" w:line="240" w:lineRule="auto"/>
        <w:jc w:val="left"/>
        <w:sectPr>
          <w:type w:val="continuous"/>
          <w:pgSz w:w="11910" w:h="16840"/>
          <w:pgMar w:top="1060" w:bottom="1540" w:left="980" w:right="0"/>
          <w:cols w:num="2" w:equalWidth="0">
            <w:col w:w="3564" w:space="536"/>
            <w:col w:w="6830"/>
          </w:cols>
        </w:sectPr>
      </w:pPr>
    </w:p>
    <w:p>
      <w:pPr>
        <w:spacing w:line="240" w:lineRule="auto" w:before="11"/>
        <w:rPr>
          <w:rFonts w:ascii="宋体" w:hAnsi="宋体" w:cs="宋体" w:eastAsia="宋体" w:hint="default"/>
          <w:sz w:val="24"/>
          <w:szCs w:val="24"/>
        </w:rPr>
      </w:pPr>
    </w:p>
    <w:p>
      <w:pPr>
        <w:spacing w:line="271" w:lineRule="auto" w:before="37"/>
        <w:ind w:left="152" w:right="1175" w:firstLine="420"/>
        <w:jc w:val="both"/>
        <w:rPr>
          <w:rFonts w:ascii="宋体" w:hAnsi="宋体" w:cs="宋体" w:eastAsia="宋体" w:hint="default"/>
          <w:sz w:val="20"/>
          <w:szCs w:val="20"/>
        </w:rPr>
      </w:pPr>
      <w:r>
        <w:rPr>
          <w:rFonts w:ascii="宋体" w:hAnsi="宋体" w:cs="宋体" w:eastAsia="宋体" w:hint="default"/>
          <w:sz w:val="20"/>
          <w:szCs w:val="20"/>
        </w:rPr>
        <w:t>我们审计了后附的上海海隆软件股份有限公司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以下简称海隆软件公司</w:t>
      </w:r>
      <w:r>
        <w:rPr>
          <w:rFonts w:ascii="Times New Roman" w:hAnsi="Times New Roman" w:cs="Times New Roman" w:eastAsia="Times New Roman" w:hint="default"/>
          <w:sz w:val="20"/>
          <w:szCs w:val="20"/>
        </w:rPr>
        <w:t>)</w:t>
      </w:r>
      <w:r>
        <w:rPr>
          <w:rFonts w:ascii="宋体" w:hAnsi="宋体" w:cs="宋体" w:eastAsia="宋体" w:hint="default"/>
          <w:sz w:val="20"/>
          <w:szCs w:val="20"/>
        </w:rPr>
        <w:t>财务报表，包括</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日的</w:t>
      </w:r>
      <w:r>
        <w:rPr>
          <w:rFonts w:ascii="宋体" w:hAnsi="宋体" w:cs="宋体" w:eastAsia="宋体" w:hint="default"/>
          <w:w w:val="99"/>
          <w:sz w:val="20"/>
          <w:szCs w:val="20"/>
        </w:rPr>
        <w:t> </w:t>
      </w:r>
      <w:r>
        <w:rPr>
          <w:rFonts w:ascii="宋体" w:hAnsi="宋体" w:cs="宋体" w:eastAsia="宋体" w:hint="default"/>
          <w:w w:val="95"/>
          <w:sz w:val="20"/>
          <w:szCs w:val="20"/>
        </w:rPr>
        <w:t>合并及公司资产负债表，</w:t>
      </w:r>
      <w:r>
        <w:rPr>
          <w:rFonts w:ascii="Times New Roman" w:hAnsi="Times New Roman" w:cs="Times New Roman" w:eastAsia="Times New Roman" w:hint="default"/>
          <w:w w:val="95"/>
          <w:sz w:val="20"/>
          <w:szCs w:val="20"/>
        </w:rPr>
        <w:t>2012</w:t>
      </w:r>
      <w:r>
        <w:rPr>
          <w:rFonts w:ascii="宋体" w:hAnsi="宋体" w:cs="宋体" w:eastAsia="宋体" w:hint="default"/>
          <w:w w:val="95"/>
          <w:sz w:val="20"/>
          <w:szCs w:val="20"/>
        </w:rPr>
        <w:t>年度的合并及公司利润表、合并及公司现金流量表、合并股东权益变动表及公司</w:t>
      </w:r>
      <w:r>
        <w:rPr>
          <w:rFonts w:ascii="宋体" w:hAnsi="宋体" w:cs="宋体" w:eastAsia="宋体" w:hint="default"/>
          <w:spacing w:val="92"/>
          <w:w w:val="95"/>
          <w:sz w:val="20"/>
          <w:szCs w:val="20"/>
        </w:rPr>
        <w:t> </w:t>
      </w:r>
      <w:r>
        <w:rPr>
          <w:rFonts w:ascii="宋体" w:hAnsi="宋体" w:cs="宋体" w:eastAsia="宋体" w:hint="default"/>
          <w:spacing w:val="92"/>
          <w:w w:val="95"/>
          <w:sz w:val="20"/>
          <w:szCs w:val="20"/>
        </w:rPr>
      </w:r>
      <w:r>
        <w:rPr>
          <w:rFonts w:ascii="宋体" w:hAnsi="宋体" w:cs="宋体" w:eastAsia="宋体" w:hint="default"/>
          <w:sz w:val="20"/>
          <w:szCs w:val="20"/>
        </w:rPr>
        <w:t>股东权益变动表以及财务报表附注。</w:t>
      </w:r>
    </w:p>
    <w:p>
      <w:pPr>
        <w:spacing w:line="240" w:lineRule="auto" w:before="9"/>
        <w:rPr>
          <w:rFonts w:ascii="宋体" w:hAnsi="宋体" w:cs="宋体" w:eastAsia="宋体" w:hint="default"/>
          <w:sz w:val="25"/>
          <w:szCs w:val="25"/>
        </w:rPr>
      </w:pPr>
    </w:p>
    <w:p>
      <w:pPr>
        <w:spacing w:line="285" w:lineRule="auto" w:before="0"/>
        <w:ind w:left="573" w:right="1123" w:firstLine="60"/>
        <w:jc w:val="left"/>
        <w:rPr>
          <w:rFonts w:ascii="宋体" w:hAnsi="宋体" w:cs="宋体" w:eastAsia="宋体" w:hint="default"/>
          <w:sz w:val="20"/>
          <w:szCs w:val="20"/>
        </w:rPr>
      </w:pPr>
      <w:r>
        <w:rPr>
          <w:rFonts w:ascii="宋体" w:hAnsi="宋体" w:cs="宋体" w:eastAsia="宋体" w:hint="default"/>
          <w:b/>
          <w:bCs/>
          <w:sz w:val="20"/>
          <w:szCs w:val="20"/>
        </w:rPr>
        <w:t>一、管理层对合并及公司财务报表的责任</w:t>
      </w:r>
      <w:r>
        <w:rPr>
          <w:rFonts w:ascii="宋体" w:hAnsi="宋体" w:cs="宋体" w:eastAsia="宋体" w:hint="default"/>
          <w:b/>
          <w:bCs/>
          <w:w w:val="99"/>
          <w:sz w:val="20"/>
          <w:szCs w:val="20"/>
        </w:rPr>
        <w:t> </w:t>
      </w:r>
      <w:r>
        <w:rPr>
          <w:rFonts w:ascii="宋体" w:hAnsi="宋体" w:cs="宋体" w:eastAsia="宋体" w:hint="default"/>
          <w:w w:val="95"/>
          <w:sz w:val="20"/>
          <w:szCs w:val="20"/>
        </w:rPr>
        <w:t>编制和公允列报财务报表是海隆软件公司管理层的责任，这种责任包括：</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按照企业会计准则的规定编制</w:t>
      </w:r>
      <w:r>
        <w:rPr>
          <w:rFonts w:ascii="宋体" w:hAnsi="宋体" w:cs="宋体" w:eastAsia="宋体" w:hint="default"/>
          <w:sz w:val="20"/>
          <w:szCs w:val="20"/>
        </w:rPr>
      </w:r>
    </w:p>
    <w:p>
      <w:pPr>
        <w:spacing w:line="271" w:lineRule="auto" w:before="0"/>
        <w:ind w:left="152" w:right="1123" w:firstLine="0"/>
        <w:jc w:val="left"/>
        <w:rPr>
          <w:rFonts w:ascii="宋体" w:hAnsi="宋体" w:cs="宋体" w:eastAsia="宋体" w:hint="default"/>
          <w:sz w:val="20"/>
          <w:szCs w:val="20"/>
        </w:rPr>
      </w:pPr>
      <w:r>
        <w:rPr>
          <w:rFonts w:ascii="宋体" w:hAnsi="宋体" w:cs="宋体" w:eastAsia="宋体" w:hint="default"/>
          <w:w w:val="95"/>
          <w:sz w:val="20"/>
          <w:szCs w:val="20"/>
        </w:rPr>
        <w:t>财务报表，并使其实现公允反映；</w:t>
      </w: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设计、执行和维护必要的内部控制，以使财务报表不存在由于舞弊或错误</w:t>
      </w:r>
      <w:r>
        <w:rPr>
          <w:rFonts w:ascii="宋体" w:hAnsi="宋体" w:cs="宋体" w:eastAsia="宋体" w:hint="default"/>
          <w:spacing w:val="93"/>
          <w:w w:val="95"/>
          <w:sz w:val="20"/>
          <w:szCs w:val="20"/>
        </w:rPr>
        <w:t> </w:t>
      </w:r>
      <w:r>
        <w:rPr>
          <w:rFonts w:ascii="宋体" w:hAnsi="宋体" w:cs="宋体" w:eastAsia="宋体" w:hint="default"/>
          <w:spacing w:val="93"/>
          <w:w w:val="95"/>
          <w:sz w:val="20"/>
          <w:szCs w:val="20"/>
        </w:rPr>
      </w:r>
      <w:r>
        <w:rPr>
          <w:rFonts w:ascii="宋体" w:hAnsi="宋体" w:cs="宋体" w:eastAsia="宋体" w:hint="default"/>
          <w:sz w:val="20"/>
          <w:szCs w:val="20"/>
        </w:rPr>
        <w:t>导致的重大错报。</w:t>
      </w:r>
    </w:p>
    <w:p>
      <w:pPr>
        <w:spacing w:line="240" w:lineRule="auto" w:before="10"/>
        <w:rPr>
          <w:rFonts w:ascii="宋体" w:hAnsi="宋体" w:cs="宋体" w:eastAsia="宋体" w:hint="default"/>
          <w:sz w:val="25"/>
          <w:szCs w:val="25"/>
        </w:rPr>
      </w:pPr>
    </w:p>
    <w:p>
      <w:pPr>
        <w:spacing w:line="285" w:lineRule="auto" w:before="0"/>
        <w:ind w:left="573" w:right="1123" w:firstLine="57"/>
        <w:jc w:val="left"/>
        <w:rPr>
          <w:rFonts w:ascii="宋体" w:hAnsi="宋体" w:cs="宋体" w:eastAsia="宋体" w:hint="default"/>
          <w:sz w:val="20"/>
          <w:szCs w:val="20"/>
        </w:rPr>
      </w:pPr>
      <w:r>
        <w:rPr>
          <w:rFonts w:ascii="宋体" w:hAnsi="宋体" w:cs="宋体" w:eastAsia="宋体" w:hint="default"/>
          <w:b/>
          <w:bCs/>
          <w:sz w:val="20"/>
          <w:szCs w:val="20"/>
        </w:rPr>
        <w:t>二、注册会计师的责任</w:t>
      </w:r>
      <w:r>
        <w:rPr>
          <w:rFonts w:ascii="宋体" w:hAnsi="宋体" w:cs="宋体" w:eastAsia="宋体" w:hint="default"/>
          <w:b/>
          <w:bCs/>
          <w:w w:val="99"/>
          <w:sz w:val="20"/>
          <w:szCs w:val="20"/>
        </w:rPr>
        <w:t> </w:t>
      </w:r>
      <w:r>
        <w:rPr>
          <w:rFonts w:ascii="宋体" w:hAnsi="宋体" w:cs="宋体" w:eastAsia="宋体" w:hint="default"/>
          <w:w w:val="95"/>
          <w:sz w:val="20"/>
          <w:szCs w:val="20"/>
        </w:rPr>
        <w:t>我们的责任是在执行审计工作的基础上对财务报表发表审计意见。我们按照中国注册会计师审计准则的规</w:t>
      </w:r>
      <w:r>
        <w:rPr>
          <w:rFonts w:ascii="宋体" w:hAnsi="宋体" w:cs="宋体" w:eastAsia="宋体" w:hint="default"/>
          <w:sz w:val="20"/>
          <w:szCs w:val="20"/>
        </w:rPr>
      </w:r>
    </w:p>
    <w:p>
      <w:pPr>
        <w:spacing w:line="285" w:lineRule="auto" w:before="12"/>
        <w:ind w:left="152" w:right="1123" w:firstLine="0"/>
        <w:jc w:val="left"/>
        <w:rPr>
          <w:rFonts w:ascii="宋体" w:hAnsi="宋体" w:cs="宋体" w:eastAsia="宋体" w:hint="default"/>
          <w:sz w:val="20"/>
          <w:szCs w:val="20"/>
        </w:rPr>
      </w:pPr>
      <w:r>
        <w:rPr>
          <w:rFonts w:ascii="宋体" w:hAnsi="宋体" w:cs="宋体" w:eastAsia="宋体" w:hint="default"/>
          <w:w w:val="95"/>
          <w:sz w:val="20"/>
          <w:szCs w:val="20"/>
        </w:rPr>
        <w:t>定执行了审计工作。中国注册会计师审计准则要求我们遵守中国注册会计师职业道德守则，计划和执行审计工</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作以对财务报表是否不存在重大错报获取合理保证。</w:t>
      </w:r>
    </w:p>
    <w:p>
      <w:pPr>
        <w:spacing w:line="285" w:lineRule="auto" w:before="12"/>
        <w:ind w:left="152" w:right="1157" w:firstLine="420"/>
        <w:jc w:val="both"/>
        <w:rPr>
          <w:rFonts w:ascii="宋体" w:hAnsi="宋体" w:cs="宋体" w:eastAsia="宋体" w:hint="default"/>
          <w:sz w:val="20"/>
          <w:szCs w:val="20"/>
        </w:rPr>
      </w:pPr>
      <w:r>
        <w:rPr>
          <w:rFonts w:ascii="宋体" w:hAnsi="宋体" w:cs="宋体" w:eastAsia="宋体" w:hint="default"/>
          <w:w w:val="95"/>
          <w:sz w:val="20"/>
          <w:szCs w:val="20"/>
        </w:rPr>
        <w:t>审计工作涉及实施审计程序，以获取有关财务报表金额和披露的审计证据。选择的审计程序取决于注册会</w:t>
      </w:r>
      <w:r>
        <w:rPr>
          <w:rFonts w:ascii="宋体" w:hAnsi="宋体" w:cs="宋体" w:eastAsia="宋体" w:hint="default"/>
          <w:spacing w:val="-64"/>
          <w:w w:val="95"/>
          <w:sz w:val="20"/>
          <w:szCs w:val="20"/>
        </w:rPr>
        <w:t> </w:t>
      </w:r>
      <w:r>
        <w:rPr>
          <w:rFonts w:ascii="宋体" w:hAnsi="宋体" w:cs="宋体" w:eastAsia="宋体" w:hint="default"/>
          <w:spacing w:val="-64"/>
          <w:w w:val="95"/>
          <w:sz w:val="20"/>
          <w:szCs w:val="20"/>
        </w:rPr>
      </w:r>
      <w:r>
        <w:rPr>
          <w:rFonts w:ascii="宋体" w:hAnsi="宋体" w:cs="宋体" w:eastAsia="宋体" w:hint="default"/>
          <w:sz w:val="20"/>
          <w:szCs w:val="20"/>
        </w:rPr>
        <w:t>计师的判断，包括对由于舞弊或错误导致的财务报表重大错报风险的评估。在进行风险评估时，注册会计师考</w:t>
      </w:r>
      <w:r>
        <w:rPr>
          <w:rFonts w:ascii="宋体" w:hAnsi="宋体" w:cs="宋体" w:eastAsia="宋体" w:hint="default"/>
          <w:w w:val="99"/>
          <w:sz w:val="20"/>
          <w:szCs w:val="20"/>
        </w:rPr>
        <w:t> </w:t>
      </w:r>
      <w:r>
        <w:rPr>
          <w:rFonts w:ascii="宋体" w:hAnsi="宋体" w:cs="宋体" w:eastAsia="宋体" w:hint="default"/>
          <w:sz w:val="20"/>
          <w:szCs w:val="20"/>
        </w:rPr>
        <w:t>虑与财务报表编制和公允列报相关的内部控制，以设计恰当的审计程序，但目的并非对内部控制的有效性发表</w:t>
      </w:r>
      <w:r>
        <w:rPr>
          <w:rFonts w:ascii="宋体" w:hAnsi="宋体" w:cs="宋体" w:eastAsia="宋体" w:hint="default"/>
          <w:w w:val="99"/>
          <w:sz w:val="20"/>
          <w:szCs w:val="20"/>
        </w:rPr>
        <w:t> </w:t>
      </w:r>
      <w:r>
        <w:rPr>
          <w:rFonts w:ascii="宋体" w:hAnsi="宋体" w:cs="宋体" w:eastAsia="宋体" w:hint="default"/>
          <w:sz w:val="20"/>
          <w:szCs w:val="20"/>
        </w:rPr>
        <w:t>意见。审计工作还包括评价管理层选用会计政策的恰当性和作出会计估计的合理性，以及评价财务报表的总体</w:t>
      </w:r>
      <w:r>
        <w:rPr>
          <w:rFonts w:ascii="宋体" w:hAnsi="宋体" w:cs="宋体" w:eastAsia="宋体" w:hint="default"/>
          <w:w w:val="99"/>
          <w:sz w:val="20"/>
          <w:szCs w:val="20"/>
        </w:rPr>
        <w:t> </w:t>
      </w:r>
      <w:r>
        <w:rPr>
          <w:rFonts w:ascii="宋体" w:hAnsi="宋体" w:cs="宋体" w:eastAsia="宋体" w:hint="default"/>
          <w:sz w:val="20"/>
          <w:szCs w:val="20"/>
        </w:rPr>
        <w:t>列报。</w:t>
      </w:r>
    </w:p>
    <w:p>
      <w:pPr>
        <w:spacing w:before="12"/>
        <w:ind w:left="573" w:right="1780" w:firstLine="0"/>
        <w:jc w:val="left"/>
        <w:rPr>
          <w:rFonts w:ascii="宋体" w:hAnsi="宋体" w:cs="宋体" w:eastAsia="宋体" w:hint="default"/>
          <w:sz w:val="20"/>
          <w:szCs w:val="20"/>
        </w:rPr>
      </w:pPr>
      <w:r>
        <w:rPr>
          <w:rFonts w:ascii="宋体" w:hAnsi="宋体" w:cs="宋体" w:eastAsia="宋体" w:hint="default"/>
          <w:sz w:val="20"/>
          <w:szCs w:val="20"/>
        </w:rPr>
        <w:t>我们相信，我们获取的审计证据是充分、适当的，为发表审计意见提供了基础。</w:t>
      </w:r>
    </w:p>
    <w:p>
      <w:pPr>
        <w:spacing w:line="240" w:lineRule="auto" w:before="10"/>
        <w:rPr>
          <w:rFonts w:ascii="宋体" w:hAnsi="宋体" w:cs="宋体" w:eastAsia="宋体" w:hint="default"/>
          <w:sz w:val="27"/>
          <w:szCs w:val="27"/>
        </w:rPr>
      </w:pPr>
    </w:p>
    <w:p>
      <w:pPr>
        <w:spacing w:line="285" w:lineRule="auto" w:before="0"/>
        <w:ind w:left="573" w:right="1123" w:firstLine="60"/>
        <w:jc w:val="left"/>
        <w:rPr>
          <w:rFonts w:ascii="宋体" w:hAnsi="宋体" w:cs="宋体" w:eastAsia="宋体" w:hint="default"/>
          <w:sz w:val="20"/>
          <w:szCs w:val="20"/>
        </w:rPr>
      </w:pPr>
      <w:r>
        <w:rPr>
          <w:rFonts w:ascii="宋体" w:hAnsi="宋体" w:cs="宋体" w:eastAsia="宋体" w:hint="default"/>
          <w:b/>
          <w:bCs/>
          <w:sz w:val="20"/>
          <w:szCs w:val="20"/>
        </w:rPr>
        <w:t>三、审计意见</w:t>
      </w:r>
      <w:r>
        <w:rPr>
          <w:rFonts w:ascii="宋体" w:hAnsi="宋体" w:cs="宋体" w:eastAsia="宋体" w:hint="default"/>
          <w:b/>
          <w:bCs/>
          <w:w w:val="99"/>
          <w:sz w:val="20"/>
          <w:szCs w:val="20"/>
        </w:rPr>
        <w:t> </w:t>
      </w:r>
      <w:r>
        <w:rPr>
          <w:rFonts w:ascii="宋体" w:hAnsi="宋体" w:cs="宋体" w:eastAsia="宋体" w:hint="default"/>
          <w:w w:val="95"/>
          <w:sz w:val="20"/>
          <w:szCs w:val="20"/>
        </w:rPr>
        <w:t>我们认为，海隆软件公司财务报表在所有重大方面按照企业会计准则的规定编制，公允反映了海隆软件公</w:t>
      </w:r>
      <w:r>
        <w:rPr>
          <w:rFonts w:ascii="宋体" w:hAnsi="宋体" w:cs="宋体" w:eastAsia="宋体" w:hint="default"/>
          <w:sz w:val="20"/>
          <w:szCs w:val="20"/>
        </w:rPr>
      </w:r>
    </w:p>
    <w:p>
      <w:pPr>
        <w:spacing w:before="12"/>
        <w:ind w:left="152" w:right="1123" w:firstLine="0"/>
        <w:jc w:val="left"/>
        <w:rPr>
          <w:rFonts w:ascii="宋体" w:hAnsi="宋体" w:cs="宋体" w:eastAsia="宋体" w:hint="default"/>
          <w:sz w:val="20"/>
          <w:szCs w:val="20"/>
        </w:rPr>
      </w:pPr>
      <w:r>
        <w:rPr>
          <w:rFonts w:ascii="宋体" w:hAnsi="宋体" w:cs="宋体" w:eastAsia="宋体" w:hint="default"/>
          <w:sz w:val="20"/>
          <w:szCs w:val="20"/>
        </w:rPr>
        <w:t>司</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日的合并及公司财务状况以及</w:t>
      </w:r>
      <w:r>
        <w:rPr>
          <w:rFonts w:ascii="Times New Roman" w:hAnsi="Times New Roman" w:cs="Times New Roman" w:eastAsia="Times New Roman" w:hint="default"/>
          <w:sz w:val="20"/>
          <w:szCs w:val="20"/>
        </w:rPr>
        <w:t>2012</w:t>
      </w:r>
      <w:r>
        <w:rPr>
          <w:rFonts w:ascii="宋体" w:hAnsi="宋体" w:cs="宋体" w:eastAsia="宋体" w:hint="default"/>
          <w:sz w:val="20"/>
          <w:szCs w:val="20"/>
        </w:rPr>
        <w:t>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953" w:val="left" w:leader="none"/>
          <w:tab w:pos="6854" w:val="left" w:leader="none"/>
          <w:tab w:pos="7325" w:val="left" w:leader="none"/>
        </w:tabs>
        <w:spacing w:line="285" w:lineRule="auto" w:before="135"/>
        <w:ind w:left="4934" w:right="3399" w:hanging="4782"/>
        <w:jc w:val="left"/>
        <w:rPr>
          <w:rFonts w:ascii="宋体" w:hAnsi="宋体" w:cs="宋体" w:eastAsia="宋体" w:hint="default"/>
          <w:sz w:val="20"/>
          <w:szCs w:val="20"/>
        </w:rPr>
      </w:pPr>
      <w:r>
        <w:rPr>
          <w:rFonts w:ascii="宋体" w:hAnsi="宋体" w:cs="宋体" w:eastAsia="宋体" w:hint="default"/>
          <w:b/>
          <w:bCs/>
          <w:sz w:val="20"/>
          <w:szCs w:val="20"/>
        </w:rPr>
        <w:t>上海众华沪银会计师事务所有限公司</w:t>
        <w:tab/>
        <w:tab/>
        <w:t> </w:t>
      </w:r>
      <w:r>
        <w:rPr>
          <w:rFonts w:ascii="宋体" w:hAnsi="宋体" w:cs="宋体" w:eastAsia="宋体" w:hint="default"/>
          <w:b/>
          <w:bCs/>
          <w:w w:val="95"/>
          <w:sz w:val="20"/>
          <w:szCs w:val="20"/>
        </w:rPr>
        <w:t>中国注册会计师</w:t>
        <w:tab/>
      </w:r>
      <w:r>
        <w:rPr>
          <w:rFonts w:ascii="宋体" w:hAnsi="宋体" w:cs="宋体" w:eastAsia="宋体" w:hint="default"/>
          <w:b/>
          <w:bCs/>
          <w:sz w:val="20"/>
          <w:szCs w:val="20"/>
        </w:rPr>
        <w:t>戎凯宇</w:t>
      </w:r>
      <w:r>
        <w:rPr>
          <w:rFonts w:ascii="宋体" w:hAnsi="宋体" w:cs="宋体" w:eastAsia="宋体" w:hint="default"/>
          <w:b/>
          <w:bCs/>
          <w:w w:val="99"/>
          <w:sz w:val="20"/>
          <w:szCs w:val="20"/>
        </w:rPr>
        <w:t> </w:t>
      </w:r>
      <w:r>
        <w:rPr>
          <w:rFonts w:ascii="宋体" w:hAnsi="宋体" w:cs="宋体" w:eastAsia="宋体" w:hint="default"/>
          <w:b/>
          <w:bCs/>
          <w:w w:val="95"/>
          <w:sz w:val="20"/>
          <w:szCs w:val="20"/>
        </w:rPr>
        <w:t>中国注册会计师</w:t>
        <w:tab/>
        <w:t>杨</w:t>
        <w:tab/>
      </w:r>
      <w:r>
        <w:rPr>
          <w:rFonts w:ascii="宋体" w:hAnsi="宋体" w:cs="宋体" w:eastAsia="宋体" w:hint="default"/>
          <w:b/>
          <w:bCs/>
          <w:sz w:val="20"/>
          <w:szCs w:val="20"/>
        </w:rPr>
        <w:t>明</w:t>
      </w:r>
      <w:r>
        <w:rPr>
          <w:rFonts w:ascii="宋体" w:hAnsi="宋体" w:cs="宋体" w:eastAsia="宋体" w:hint="default"/>
          <w:sz w:val="20"/>
          <w:szCs w:val="20"/>
        </w:rPr>
      </w:r>
    </w:p>
    <w:p>
      <w:pPr>
        <w:spacing w:line="240" w:lineRule="auto" w:before="10"/>
        <w:rPr>
          <w:rFonts w:ascii="宋体" w:hAnsi="宋体" w:cs="宋体" w:eastAsia="宋体" w:hint="default"/>
          <w:b/>
          <w:bCs/>
          <w:sz w:val="24"/>
          <w:szCs w:val="24"/>
        </w:rPr>
      </w:pPr>
    </w:p>
    <w:p>
      <w:pPr>
        <w:tabs>
          <w:tab w:pos="4912" w:val="left" w:leader="none"/>
        </w:tabs>
        <w:spacing w:before="0"/>
        <w:ind w:left="152" w:right="1780" w:firstLine="0"/>
        <w:jc w:val="left"/>
        <w:rPr>
          <w:rFonts w:ascii="宋体" w:hAnsi="宋体" w:cs="宋体" w:eastAsia="宋体" w:hint="default"/>
          <w:sz w:val="20"/>
          <w:szCs w:val="20"/>
        </w:rPr>
      </w:pPr>
      <w:r>
        <w:rPr>
          <w:rFonts w:ascii="宋体" w:hAnsi="宋体" w:cs="宋体" w:eastAsia="宋体" w:hint="default"/>
          <w:b/>
          <w:bCs/>
          <w:w w:val="95"/>
          <w:sz w:val="20"/>
          <w:szCs w:val="20"/>
        </w:rPr>
        <w:t>中国，上海</w:t>
        <w:tab/>
      </w:r>
      <w:r>
        <w:rPr>
          <w:rFonts w:ascii="宋体" w:hAnsi="宋体" w:cs="宋体" w:eastAsia="宋体" w:hint="default"/>
          <w:b/>
          <w:bCs/>
          <w:sz w:val="20"/>
          <w:szCs w:val="20"/>
        </w:rPr>
        <w:t>二〇一三年四月八日</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ind w:right="178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78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18"/>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40"/>
        <w:gridCol w:w="3016"/>
        <w:gridCol w:w="3303"/>
      </w:tblGrid>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285,128,009.01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247,726,796.12</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36,236,068.06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30,849,856.34</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1,403,550.09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1,102,725.78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5,414,760.06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3,197,618.00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4,359,809.29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1,362,966.71</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332,542,196.51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284,239,962.95</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248,700.00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248,700.00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122,241,027.83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123,119,088.45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297"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40"/>
        <w:gridCol w:w="3016"/>
        <w:gridCol w:w="3303"/>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16,352,662.17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9,508,636.16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3,398,671.76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3,194,138.72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146,337.55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146,337.55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2,887,776.52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3,561,523.90</w:t>
            </w: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153,275,175.83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139,778,424.78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485,817,372.34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424,018,387.73</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3,944,646.00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14,866,180.00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1,368,015.38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2,207,983.10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6,142,772.76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969,036.67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10,654,663.52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10,735,030.00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4,062,407.22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11,595,569.18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467,363.10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374,933.55</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1297"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40"/>
        <w:gridCol w:w="3016"/>
        <w:gridCol w:w="3303"/>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26,842,867.98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40,748,732.50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26,842,867.98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40,748,732.50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111,930,000.00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84,755,408.26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66,114,508.26</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29,907,234.60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23,893,760.48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016"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213,324,538.18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164,402,873.88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-97,495.46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873,186.45</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441,849,685.58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367,214,329.07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17,124,818.78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16,055,326.16</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458,974,504.36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383,269,655.23</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0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485,817,372.34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424,018,387.73</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after="0"/>
        <w:jc w:val="left"/>
        <w:rPr>
          <w:rFonts w:ascii="宋体" w:hAnsi="宋体" w:cs="宋体" w:eastAsia="宋体" w:hint="default"/>
          <w:sz w:val="18"/>
          <w:szCs w:val="18"/>
        </w:rPr>
        <w:sectPr>
          <w:pgSz w:w="11910" w:h="16840"/>
          <w:pgMar w:header="876" w:footer="1297" w:top="1060" w:bottom="148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233,834,134.60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193,057,115.59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26,874,488.53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23,930,939.58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1,390,599.60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1,265,738.70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262,099,222.73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218,253,793.87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26,916,919.95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18,916,919.95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119,507,918.41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120,209,899.67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15,156,716.51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8,666,795.15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3,398,671.76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3,194,138.72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1,359,011.93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1,796,553.65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297"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166,339,238.56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152,784,307.14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428,438,461.29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371,038,101.01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5,945,904.00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2,873,353.00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5,986,891.62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7,402,712.52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2,285,371.31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6,160,164.66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203,000.00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89,971.12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84,188.76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14,511,138.05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26,520,418.94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14,511,138.05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26,520,418.94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113,960,000.00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111,930,000.00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84,734,713.46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66,093,813.46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29,907,234.60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23,893,760.48</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297"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185,325,375.18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142,600,108.13</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413,927,323.24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344,517,682.07</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428,438,461.29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371,038,101.01</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line="240" w:lineRule="auto" w:before="0"/>
        <w:rPr>
          <w:rFonts w:ascii="宋体" w:hAnsi="宋体" w:cs="宋体" w:eastAsia="宋体" w:hint="default"/>
          <w:sz w:val="18"/>
          <w:szCs w:val="18"/>
        </w:rPr>
      </w:pPr>
    </w:p>
    <w:p>
      <w:pPr>
        <w:spacing w:before="118"/>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06"/>
        <w:gridCol w:w="2614"/>
        <w:gridCol w:w="2739"/>
      </w:tblGrid>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410,324,918.22</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390,699,391.77</w:t>
            </w: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410,324,918.22</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390,699,391.77</w:t>
            </w: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345,737,223.69</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318,461,094.61</w:t>
            </w:r>
          </w:p>
        </w:tc>
      </w:tr>
      <w:tr>
        <w:trPr>
          <w:trHeight w:val="404"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244,660,909.51</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216,833,044.56</w:t>
            </w: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317,492.96</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720,506.95</w:t>
            </w: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16,092,993.61</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17,048,357.14</w:t>
            </w: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90,399,834.68</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85,356,898.67</w:t>
            </w: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-5,741,585.90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-1,348,692.68</w:t>
            </w: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7,578.83</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-149,020.03</w:t>
            </w: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1297" w:top="1060" w:bottom="158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63282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67</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4206"/>
        <w:gridCol w:w="2614"/>
        <w:gridCol w:w="2739"/>
      </w:tblGrid>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64,587,694.53</w:t>
            </w:r>
            <w:r>
              <w:rPr>
                <w:rFonts w:ascii="Times New Roman"/>
                <w:sz w:val="18"/>
              </w:rPr>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72,238,297.16</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10,905,647.81</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7,118,032.28</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130,403.40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167,075.68</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130,203.40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140,478.26</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75,362,938.94</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79,189,253.76</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7,435,783.90</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13,094,823.17</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67,927,155.04</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66,094,430.59</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614" w:type="dxa"/>
            <w:tcBorders>
              <w:top w:val="single" w:sz="4" w:space="0" w:color="000000"/>
              <w:left w:val="single" w:sz="13" w:space="0" w:color="D2D2D2"/>
              <w:bottom w:val="single" w:sz="4" w:space="0" w:color="000000"/>
              <w:right w:val="single" w:sz="4" w:space="0" w:color="000000"/>
            </w:tcBorders>
          </w:tcPr>
          <w:p>
            <w:pPr/>
          </w:p>
        </w:tc>
        <w:tc>
          <w:tcPr>
            <w:tcW w:w="2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66,331,138.42</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64,970,176.54</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1,596,016.62</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1,124,254.05</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0.5821</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0.5805</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0.5821</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0.5805</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-970,681.91</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22,214.11</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66,956,473.13</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66,116,644.70</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65,360,456.51</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64,992,390.65</w:t>
            </w:r>
          </w:p>
        </w:tc>
      </w:tr>
      <w:tr>
        <w:trPr>
          <w:trHeight w:val="402" w:hRule="exact"/>
        </w:trPr>
        <w:tc>
          <w:tcPr>
            <w:tcW w:w="4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1,596,016.62</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1,124,254.05</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line="240" w:lineRule="auto" w:before="0"/>
        <w:rPr>
          <w:rFonts w:ascii="宋体" w:hAnsi="宋体" w:cs="宋体" w:eastAsia="宋体" w:hint="default"/>
          <w:sz w:val="18"/>
          <w:szCs w:val="18"/>
        </w:rPr>
      </w:pPr>
    </w:p>
    <w:p>
      <w:pPr>
        <w:spacing w:before="12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12"/>
        <w:gridCol w:w="2937"/>
        <w:gridCol w:w="2710"/>
      </w:tblGrid>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233,278,085.40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240,249,355.20</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113,290,471.22</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110,224,520.01</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20,752.20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86,200.89</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9,334,848.67</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10,926,609.76</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62,349,065.69</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60,569,357.16</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-7,247,096.88</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-1,170,819.77</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937" w:type="dxa"/>
            <w:tcBorders>
              <w:top w:val="single" w:sz="4" w:space="0" w:color="000000"/>
              <w:left w:val="single" w:sz="10" w:space="0" w:color="D2D2D2"/>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91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37" w:type="dxa"/>
            <w:tcBorders>
              <w:top w:val="single" w:sz="4" w:space="0" w:color="000000"/>
              <w:left w:val="single" w:sz="22" w:space="0" w:color="D2D2D2"/>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548,015.00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486,516.00</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对联营企业和合营企业的投资收益</w:t>
            </w:r>
          </w:p>
        </w:tc>
        <w:tc>
          <w:tcPr>
            <w:tcW w:w="2937" w:type="dxa"/>
            <w:tcBorders>
              <w:top w:val="single" w:sz="4" w:space="0" w:color="000000"/>
              <w:left w:val="single" w:sz="10" w:space="0" w:color="D2D2D2"/>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9"/>
          <w:footerReference w:type="default" r:id="rId40"/>
          <w:pgSz w:w="11910" w:h="16840"/>
          <w:pgMar w:header="876"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63277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68</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3912"/>
        <w:gridCol w:w="2937"/>
        <w:gridCol w:w="2710"/>
      </w:tblGrid>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56,078,059.50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60,300,003.15</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9,275,179.20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6,491,288.60</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117,064.60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141,827.20</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117,064.60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82,652.90</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65,236,174.10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66,649,464.55</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5,101,432.93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9,746,698.48</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60,134,741.17</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56,902,766.07</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0.5277</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0.5084</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0.5277</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0.5084</w:t>
            </w: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937" w:type="dxa"/>
            <w:tcBorders>
              <w:top w:val="single" w:sz="4" w:space="0" w:color="000000"/>
              <w:left w:val="single" w:sz="10" w:space="0" w:color="D2D2D2"/>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60,134,741.17</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56,902,766.07</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line="240" w:lineRule="auto" w:before="0"/>
        <w:rPr>
          <w:rFonts w:ascii="宋体" w:hAnsi="宋体" w:cs="宋体" w:eastAsia="宋体" w:hint="default"/>
          <w:sz w:val="18"/>
          <w:szCs w:val="18"/>
        </w:rPr>
      </w:pPr>
    </w:p>
    <w:p>
      <w:pPr>
        <w:spacing w:before="12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22"/>
        <w:gridCol w:w="2964"/>
        <w:gridCol w:w="2473"/>
      </w:tblGrid>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427,262,956.76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400,947,781.51</w:t>
            </w: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7"/>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7"/>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16,318,006.70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12,246,350.88</w:t>
            </w:r>
          </w:p>
        </w:tc>
      </w:tr>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443,580,963.46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413,194,132.39</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121,015,591.28</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98,212,053.50</w:t>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1910" w:h="16840"/>
          <w:pgMar w:header="876"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3272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69</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122"/>
        <w:gridCol w:w="2964"/>
        <w:gridCol w:w="2473"/>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195,244,220.44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177,737,727.50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30,815,283.17</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24,324,463.79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30,757,953.38</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31,741,643.72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377,833,048.27</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332,015,888.51</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65,747,915.19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81,178,243.88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0"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w:t>
            </w:r>
            <w:r>
              <w:rPr>
                <w:rFonts w:ascii="宋体" w:hAnsi="宋体" w:cs="宋体" w:eastAsia="宋体" w:hint="default"/>
                <w:sz w:val="18"/>
                <w:szCs w:val="18"/>
              </w:rPr>
              <w:t> 现金净额</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48,360.00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79,767.62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48,360.00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79,767.62</w:t>
            </w:r>
          </w:p>
        </w:tc>
      </w:tr>
      <w:tr>
        <w:trPr>
          <w:trHeight w:val="714"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15,438,270.93</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117,816,554.91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23,438,270.93</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117,816,554.91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-23,389,910.93</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-117,736,787.29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18,168,500.00</w:t>
            </w: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13,148,820.00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18,110,300.00</w:t>
            </w:r>
            <w:r>
              <w:rPr>
                <w:rFonts w:ascii="Times New Roman"/>
                <w:sz w:val="18"/>
              </w:rPr>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64" w:type="dxa"/>
            <w:tcBorders>
              <w:top w:val="single" w:sz="4" w:space="0" w:color="000000"/>
              <w:left w:val="single" w:sz="10" w:space="0" w:color="D2D2D2"/>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31,317,320.00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18,110,300.00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24,070,354.00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17,307,120.00</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12,314,070.04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8,345,366.72</w:t>
            </w:r>
          </w:p>
        </w:tc>
      </w:tr>
    </w:tbl>
    <w:p>
      <w:pPr>
        <w:spacing w:after="0" w:line="240" w:lineRule="auto"/>
        <w:jc w:val="right"/>
        <w:rPr>
          <w:rFonts w:ascii="Times New Roman" w:hAnsi="Times New Roman" w:cs="Times New Roman" w:eastAsia="Times New Roman" w:hint="default"/>
          <w:sz w:val="18"/>
          <w:szCs w:val="18"/>
        </w:rPr>
        <w:sectPr>
          <w:headerReference w:type="default" r:id="rId43"/>
          <w:footerReference w:type="default" r:id="rId44"/>
          <w:pgSz w:w="11910" w:h="16840"/>
          <w:pgMar w:header="876"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212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145"/>
        <w:gridCol w:w="2952"/>
        <w:gridCol w:w="2473"/>
      </w:tblGrid>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526,524.00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467,436.00</w:t>
            </w:r>
          </w:p>
        </w:tc>
      </w:tr>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52"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36,384,424.04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25,652,486.72</w:t>
            </w:r>
          </w:p>
        </w:tc>
      </w:tr>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-5,067,104.04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-7,542,186.72</w:t>
            </w:r>
          </w:p>
        </w:tc>
      </w:tr>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110,312.67</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-4,356,121.42</w:t>
            </w:r>
          </w:p>
        </w:tc>
      </w:tr>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37,401,212.89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-48,456,851.55</w:t>
            </w:r>
          </w:p>
        </w:tc>
      </w:tr>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247,726,796.12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296,183,647.67</w:t>
            </w:r>
          </w:p>
        </w:tc>
      </w:tr>
      <w:tr>
        <w:trPr>
          <w:trHeight w:val="402" w:hRule="exact"/>
        </w:trPr>
        <w:tc>
          <w:tcPr>
            <w:tcW w:w="4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285,128,009.01</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247,726,796.12</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line="240" w:lineRule="auto" w:before="0"/>
        <w:rPr>
          <w:rFonts w:ascii="宋体" w:hAnsi="宋体" w:cs="宋体" w:eastAsia="宋体" w:hint="default"/>
          <w:sz w:val="18"/>
          <w:szCs w:val="18"/>
        </w:rPr>
      </w:pPr>
    </w:p>
    <w:p>
      <w:pPr>
        <w:spacing w:before="121"/>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12"/>
        <w:gridCol w:w="3006"/>
        <w:gridCol w:w="2641"/>
      </w:tblGrid>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231,028,991.99</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238,497,473.59</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14,287,172.30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12,545,012.55</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245,316,164.29</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251,042,486.14</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51,772,465.99</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58,603,855.08</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97,821,549.42</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89,019,286.23</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17,758,355.24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14,036,236.27</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14,943,651.10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15,394,683.19</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182,296,021.75</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177,054,060.77</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63,020,142.54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73,988,425.37</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548,015.00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486,516.00</w:t>
            </w:r>
          </w:p>
        </w:tc>
      </w:tr>
      <w:tr>
        <w:trPr>
          <w:trHeight w:val="71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w:t>
            </w:r>
            <w:r>
              <w:rPr>
                <w:rFonts w:ascii="宋体" w:hAnsi="宋体" w:cs="宋体" w:eastAsia="宋体" w:hint="default"/>
                <w:sz w:val="18"/>
                <w:szCs w:val="18"/>
              </w:rPr>
              <w:t> 的现金净额</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76,277.12</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7"/>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591,015.00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562,793.12</w:t>
            </w:r>
          </w:p>
        </w:tc>
      </w:tr>
      <w:tr>
        <w:trPr>
          <w:trHeight w:val="382"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9"/>
              <w:jc w:val="righ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2"/>
                <w:sz w:val="18"/>
                <w:szCs w:val="18"/>
              </w:rPr>
              <w:t>、</w:t>
            </w:r>
            <w:r>
              <w:rPr>
                <w:rFonts w:ascii="宋体" w:hAnsi="宋体" w:cs="宋体" w:eastAsia="宋体" w:hint="default"/>
                <w:sz w:val="18"/>
                <w:szCs w:val="18"/>
              </w:rPr>
              <w:t>无形资产和其他长期资产支付</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13,732,767.63</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115,975,994.78</w:t>
            </w:r>
          </w:p>
        </w:tc>
      </w:tr>
    </w:tbl>
    <w:p>
      <w:pPr>
        <w:spacing w:after="0" w:line="240" w:lineRule="auto"/>
        <w:jc w:val="right"/>
        <w:rPr>
          <w:rFonts w:ascii="Times New Roman" w:hAnsi="Times New Roman" w:cs="Times New Roman" w:eastAsia="Times New Roman" w:hint="default"/>
          <w:sz w:val="18"/>
          <w:szCs w:val="18"/>
        </w:rPr>
        <w:sectPr>
          <w:headerReference w:type="default" r:id="rId45"/>
          <w:footerReference w:type="default" r:id="rId46"/>
          <w:pgSz w:w="11910" w:h="16840"/>
          <w:pgMar w:header="876"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912"/>
        <w:gridCol w:w="3006"/>
        <w:gridCol w:w="2641"/>
      </w:tblGrid>
      <w:tr>
        <w:trPr>
          <w:trHeight w:val="36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21,732,767.63</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115,975,994.78</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-21,141,752.63</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-115,413,201.66</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18,168,500.00</w:t>
            </w: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18,168,500.00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11,645,294.44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7,804,065.27</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006" w:type="dxa"/>
            <w:tcBorders>
              <w:top w:val="single" w:sz="4" w:space="0" w:color="000000"/>
              <w:left w:val="single" w:sz="10" w:space="0" w:color="D2D2D2"/>
              <w:bottom w:val="single" w:sz="4" w:space="0" w:color="000000"/>
              <w:right w:val="single" w:sz="4" w:space="0" w:color="000000"/>
            </w:tcBorders>
          </w:tcPr>
          <w:p>
            <w:pP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21,645,294.44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17,804,065.27</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-3,476,794.44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-7,804,065.27</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2,375,423.54</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-4,359,781.87</w:t>
            </w:r>
          </w:p>
        </w:tc>
      </w:tr>
      <w:tr>
        <w:trPr>
          <w:trHeight w:val="404"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40,777,019.01</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-53,588,623.43</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193,057,115.59</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246,645,739.02</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233,834,134.60</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193,057,115.59</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line="240" w:lineRule="auto" w:before="0"/>
        <w:rPr>
          <w:rFonts w:ascii="宋体" w:hAnsi="宋体" w:cs="宋体" w:eastAsia="宋体" w:hint="default"/>
          <w:sz w:val="18"/>
          <w:szCs w:val="18"/>
        </w:rPr>
      </w:pPr>
    </w:p>
    <w:p>
      <w:pPr>
        <w:spacing w:before="12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47"/>
          <w:footerReference w:type="default" r:id="rId48"/>
          <w:pgSz w:w="11910" w:h="16840"/>
          <w:pgMar w:header="876" w:footer="0" w:top="1060" w:bottom="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213" w:space="5707"/>
            <w:col w:w="2010"/>
          </w:cols>
        </w:sectPr>
      </w:pPr>
    </w:p>
    <w:p>
      <w:pPr>
        <w:spacing w:line="240" w:lineRule="auto" w:before="4"/>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63263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367"/>
        <w:gridCol w:w="675"/>
        <w:gridCol w:w="686"/>
        <w:gridCol w:w="686"/>
        <w:gridCol w:w="686"/>
        <w:gridCol w:w="684"/>
        <w:gridCol w:w="684"/>
        <w:gridCol w:w="686"/>
        <w:gridCol w:w="687"/>
        <w:gridCol w:w="818"/>
        <w:gridCol w:w="893"/>
      </w:tblGrid>
      <w:tr>
        <w:trPr>
          <w:trHeight w:val="401" w:hRule="exact"/>
        </w:trPr>
        <w:tc>
          <w:tcPr>
            <w:tcW w:w="2367" w:type="dxa"/>
            <w:vMerge w:val="restart"/>
            <w:tcBorders>
              <w:top w:val="single" w:sz="4" w:space="0" w:color="000000"/>
              <w:left w:val="single" w:sz="4" w:space="0" w:color="000000"/>
              <w:right w:val="single" w:sz="4" w:space="0" w:color="000000"/>
            </w:tcBorders>
            <w:shd w:val="clear" w:color="auto" w:fill="D2D2D2"/>
          </w:tcPr>
          <w:p>
            <w:pPr/>
          </w:p>
        </w:tc>
        <w:tc>
          <w:tcPr>
            <w:tcW w:w="718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67" w:type="dxa"/>
            <w:vMerge/>
            <w:tcBorders>
              <w:left w:val="single" w:sz="4" w:space="0" w:color="000000"/>
              <w:bottom w:val="nil" w:sz="6" w:space="0" w:color="auto"/>
              <w:right w:val="single" w:sz="4" w:space="0" w:color="000000"/>
            </w:tcBorders>
            <w:shd w:val="clear" w:color="auto" w:fill="D2D2D2"/>
          </w:tcPr>
          <w:p>
            <w:pPr/>
          </w:p>
        </w:tc>
        <w:tc>
          <w:tcPr>
            <w:tcW w:w="547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55"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67" w:type="dxa"/>
            <w:vMerge/>
            <w:tcBorders>
              <w:left w:val="single" w:sz="4" w:space="0" w:color="000000"/>
              <w:bottom w:val="nil" w:sz="6" w:space="0" w:color="auto"/>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67" w:type="dxa"/>
            <w:vMerge w:val="restart"/>
            <w:tcBorders>
              <w:top w:val="nil" w:sz="6" w:space="0" w:color="auto"/>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67"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67"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vMerge w:val="restart"/>
            <w:tcBorders>
              <w:top w:val="single" w:sz="4" w:space="0" w:color="000000"/>
              <w:left w:val="single" w:sz="10" w:space="0" w:color="D2D2D2"/>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111,930,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66,114,5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08.26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23,893,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760.48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164,402,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873.88</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16,055,32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6.16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383,269,65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5.23</w:t>
            </w:r>
          </w:p>
        </w:tc>
      </w:tr>
      <w:tr>
        <w:trPr>
          <w:trHeight w:val="394" w:hRule="exact"/>
        </w:trPr>
        <w:tc>
          <w:tcPr>
            <w:tcW w:w="2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75"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75"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111,930,</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66,114,5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08.26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23,893,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760.48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164,402,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873.88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16,055,32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383,269,65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5.23</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2,030,0</w:t>
            </w:r>
          </w:p>
          <w:p>
            <w:pPr>
              <w:pStyle w:val="TableParagraph"/>
              <w:spacing w:line="240" w:lineRule="auto" w:before="102"/>
              <w:ind w:left="223"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18,640,9</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6,013,4</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74.12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48,921,6</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64.30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-970,68</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1.91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1,069,492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75,704,849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66,331,1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38.42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67,927,155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-970,68</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1.91</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-970,681.9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66,331,1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38.42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-970,68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1.91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66,956,473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2,030,0</w:t>
            </w:r>
          </w:p>
          <w:p>
            <w:pPr>
              <w:pStyle w:val="TableParagraph"/>
              <w:spacing w:line="240" w:lineRule="auto" w:before="102"/>
              <w:ind w:left="223"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16,138,5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18,168,500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2,030,0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16,138,5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18,168,500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6,013,4</w:t>
            </w:r>
          </w:p>
          <w:p>
            <w:pPr>
              <w:pStyle w:val="TableParagraph"/>
              <w:spacing w:line="240" w:lineRule="auto" w:before="103"/>
              <w:ind w:left="226" w:right="0"/>
              <w:jc w:val="center"/>
              <w:rPr>
                <w:rFonts w:ascii="Times New Roman" w:hAnsi="Times New Roman" w:cs="Times New Roman" w:eastAsia="Times New Roman" w:hint="default"/>
                <w:sz w:val="18"/>
                <w:szCs w:val="18"/>
              </w:rPr>
            </w:pPr>
            <w:r>
              <w:rPr>
                <w:rFonts w:ascii="Times New Roman"/>
                <w:sz w:val="18"/>
              </w:rPr>
              <w:t>74.12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-17,409,</w:t>
            </w:r>
          </w:p>
          <w:p>
            <w:pPr>
              <w:pStyle w:val="TableParagraph"/>
              <w:spacing w:line="240" w:lineRule="auto" w:before="103"/>
              <w:ind w:left="144" w:right="0"/>
              <w:jc w:val="center"/>
              <w:rPr>
                <w:rFonts w:ascii="Times New Roman" w:hAnsi="Times New Roman" w:cs="Times New Roman" w:eastAsia="Times New Roman" w:hint="default"/>
                <w:sz w:val="18"/>
                <w:szCs w:val="18"/>
              </w:rPr>
            </w:pPr>
            <w:r>
              <w:rPr>
                <w:rFonts w:ascii="Times New Roman"/>
                <w:sz w:val="18"/>
              </w:rPr>
              <w:t>474.12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-526,524.</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-11,922,52</w:t>
            </w:r>
          </w:p>
          <w:p>
            <w:pPr>
              <w:pStyle w:val="TableParagraph"/>
              <w:spacing w:line="240" w:lineRule="auto" w:before="103"/>
              <w:ind w:left="547" w:right="0"/>
              <w:jc w:val="left"/>
              <w:rPr>
                <w:rFonts w:ascii="Times New Roman" w:hAnsi="Times New Roman" w:cs="Times New Roman" w:eastAsia="Times New Roman" w:hint="default"/>
                <w:sz w:val="18"/>
                <w:szCs w:val="18"/>
              </w:rPr>
            </w:pPr>
            <w:r>
              <w:rPr>
                <w:rFonts w:ascii="Times New Roman"/>
                <w:sz w:val="18"/>
              </w:rPr>
              <w:t>4.00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6,013,4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74.12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-6,013,4</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74.12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-11,396,</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-11,922,52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9"/>
          <w:pgSz w:w="11910" w:h="16840"/>
          <w:pgMar w:footer="1284" w:header="876" w:top="1060" w:bottom="1480" w:left="980" w:right="0"/>
          <w:pgNumType w:start="72"/>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2,502,40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2,502,400.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113,960,</w:t>
            </w:r>
          </w:p>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84,755,4</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08.26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29,907,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234.60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213,324,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538.18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-97,495.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17,124,81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8.78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458,974,50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4.36</w:t>
            </w:r>
          </w:p>
        </w:tc>
      </w:tr>
    </w:tbl>
    <w:p>
      <w:pPr>
        <w:spacing w:before="49"/>
        <w:ind w:left="152" w:right="178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74,620,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99,526,9</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08.26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18,203,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483.87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112,584,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973.95</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850,972.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15,398,50</w:t>
            </w:r>
          </w:p>
          <w:p>
            <w:pPr>
              <w:pStyle w:val="TableParagraph"/>
              <w:spacing w:line="240" w:lineRule="auto" w:before="102"/>
              <w:ind w:left="477" w:right="0"/>
              <w:jc w:val="left"/>
              <w:rPr>
                <w:rFonts w:ascii="Times New Roman" w:hAnsi="Times New Roman" w:cs="Times New Roman" w:eastAsia="Times New Roman" w:hint="default"/>
                <w:sz w:val="18"/>
                <w:szCs w:val="18"/>
              </w:rPr>
            </w:pPr>
            <w:r>
              <w:rPr>
                <w:rFonts w:ascii="Times New Roman"/>
                <w:sz w:val="18"/>
              </w:rPr>
              <w:t>8.11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321,184,84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6.53</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74,620,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99,526,9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08.26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18,203,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483.87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112,584,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973.95</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850,972.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15,398,50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8.11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321,184,84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6.53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37,310,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-33,412,</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5,690,2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76.61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51,817,8</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99.93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22,214.1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656,818.0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62,084,808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.70</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64,970,1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76.54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1,124,254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66,094,430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22,214.1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22,214.11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64,970,1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76.54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22,214.1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1,124,254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66,116,644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5,690,2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76.61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-13,152,</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276.61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-7,929,436.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5,690,2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76.61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-5,690,2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76.61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6" w:footer="1284"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-7,462,0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-467,436.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-7,929,436.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37,310,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-37,310,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37,310,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-37,310,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3,897,60</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3,897,600.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111,930,</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66,114,5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08.26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23,893,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760.48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164,402,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873.88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16,055,32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383,269,65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5.23</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line="240" w:lineRule="auto" w:before="0"/>
        <w:rPr>
          <w:rFonts w:ascii="宋体" w:hAnsi="宋体" w:cs="宋体" w:eastAsia="宋体" w:hint="default"/>
          <w:sz w:val="18"/>
          <w:szCs w:val="18"/>
        </w:rPr>
      </w:pPr>
    </w:p>
    <w:p>
      <w:pPr>
        <w:spacing w:before="118"/>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6" w:footer="1284" w:top="1060" w:bottom="154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111,930,00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66,093,813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23,893,760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142,600,10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8.13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344,517,68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2.07</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111,930,00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66,093,813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23,893,760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142,600,10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8.13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344,517,68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2.07</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2,030,000.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18,640,900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6,013,474.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42,725,267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69,409,641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476.709991pt;width:84.8pt;height:19.7pt;mso-position-horizontal-relative:page;mso-position-vertical-relative:page;z-index:-63260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496.869995pt;width:84.8pt;height:19.6pt;mso-position-horizontal-relative:page;mso-position-vertical-relative:page;z-index:-6325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476.109985pt;width:42.65pt;height:40.950pt;mso-position-horizontal-relative:page;mso-position-vertical-relative:page;z-index:-632560" coordorigin="3615,9522" coordsize="853,819">
            <v:group style="position:absolute;left:3627;top:9534;width:2;height:394" coordorigin="3627,9534" coordsize="2,394">
              <v:shape style="position:absolute;left:3627;top:9534;width:2;height:394" coordorigin="3627,9534" coordsize="0,394" path="m3627,9534l3627,9928e" filled="false" stroked="true" strokeweight="1.2pt" strokecolor="#ffffff">
                <v:path arrowok="t"/>
              </v:shape>
            </v:group>
            <v:group style="position:absolute;left:3639;top:9534;width:829;height:394" coordorigin="3639,9534" coordsize="829,394">
              <v:shape style="position:absolute;left:3639;top:9534;width:829;height:394" coordorigin="3639,9534" coordsize="829,394" path="m3639,9928l4467,9928,4467,9534,3639,9534,3639,9928xe" filled="true" fillcolor="#ffffff" stroked="false">
                <v:path arrowok="t"/>
                <v:fill type="solid"/>
              </v:shape>
            </v:group>
            <v:group style="position:absolute;left:3627;top:9937;width:2;height:392" coordorigin="3627,9937" coordsize="2,392">
              <v:shape style="position:absolute;left:3627;top:9937;width:2;height:392" coordorigin="3627,9937" coordsize="0,392" path="m3627,9937l3627,10329e" filled="false" stroked="true" strokeweight="1.2pt" strokecolor="#ffffff">
                <v:path arrowok="t"/>
              </v:shape>
            </v:group>
            <v:group style="position:absolute;left:3639;top:9937;width:829;height:392" coordorigin="3639,9937" coordsize="829,392">
              <v:shape style="position:absolute;left:3639;top:9937;width:829;height:392" coordorigin="3639,9937" coordsize="829,392" path="m3639,10329l4467,10329,4467,9937,3639,9937,3639,1032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36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.17</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60,134,741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60,134,741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60,134,741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60,134,741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16,138,500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18,168,500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16,138,500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18,168,500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6,013,474.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-17,409,47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4.12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-11,396,00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6,013,474.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-6,013,474.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-11,396,00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-11,396,00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2,502,400.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2,502,400.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113,960,00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84,734,713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29,907,234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185,325,37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5.18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413,927,32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3.24</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1284" w:top="1060" w:bottom="1540" w:left="980" w:right="0"/>
        </w:sectPr>
      </w:pPr>
    </w:p>
    <w:p>
      <w:pPr>
        <w:spacing w:line="240" w:lineRule="auto" w:before="3"/>
        <w:rPr>
          <w:rFonts w:ascii="Times New Roman" w:hAnsi="Times New Roman" w:cs="Times New Roman" w:eastAsia="Times New Roman" w:hint="default"/>
          <w:sz w:val="29"/>
          <w:szCs w:val="29"/>
        </w:rPr>
      </w:pPr>
      <w:r>
        <w:rPr/>
        <w:pict>
          <v:shape style="position:absolute;margin-left:139.581009pt;margin-top:701.5pt;width:84.75pt;height:22.05pt;mso-position-horizontal-relative:page;mso-position-vertical-relative:page;z-index:-632512"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737.135986pt;width:84.8pt;height:19.7pt;mso-position-horizontal-relative:page;mso-position-vertical-relative:page;z-index:-6324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701.5pt;width:41.45pt;height:17.650pt;mso-position-horizontal-relative:page;mso-position-vertical-relative:page;z-index:-632464" coordorigin="3658,14030" coordsize="829,353">
            <v:shape style="position:absolute;left:3658;top:14030;width:829;height:353" coordorigin="3658,14030" coordsize="829,353" path="m3658,14383l4486,14383,4486,14030,3658,14030,3658,14383xe" filled="true" fillcolor="#ffffff" stroked="false">
              <v:path arrowok="t"/>
              <v:fill type="solid"/>
            </v:shape>
            <w10:wrap type="none"/>
          </v:group>
        </w:pict>
      </w: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99"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74,620,000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99,506,213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18,203,483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98,849,618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291,179,31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74,620,000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99,506,213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18,203,483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98,849,618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291,179,31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-33,412,40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5,690,276.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43,750,489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53,338,366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56,902,766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56,902,766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56,902,766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56,902,766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5,690,276.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-13,152,27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6.61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5,690,276.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-5,690,276.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-37,310,00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tcBorders>
              <w:top w:val="single" w:sz="4" w:space="0" w:color="000000"/>
              <w:left w:val="single" w:sz="13" w:space="0" w:color="FFFFFF"/>
              <w:bottom w:val="nil" w:sz="6" w:space="0" w:color="auto"/>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-37,310,00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96" w:type="dxa"/>
            <w:tcBorders>
              <w:top w:val="nil" w:sz="6" w:space="0" w:color="auto"/>
              <w:left w:val="single" w:sz="23" w:space="0" w:color="FFFFFF"/>
              <w:bottom w:val="nil" w:sz="6" w:space="0" w:color="auto"/>
              <w:right w:val="single" w:sz="4" w:space="0" w:color="000000"/>
            </w:tcBorders>
          </w:tcPr>
          <w:p>
            <w:pPr>
              <w:pStyle w:val="TableParagraph"/>
              <w:spacing w:line="142" w:lineRule="exact"/>
              <w:ind w:right="19"/>
              <w:jc w:val="right"/>
              <w:rPr>
                <w:rFonts w:ascii="Times New Roman" w:hAnsi="Times New Roman" w:cs="Times New Roman" w:eastAsia="Times New Roman" w:hint="default"/>
                <w:sz w:val="18"/>
                <w:szCs w:val="18"/>
              </w:rPr>
            </w:pPr>
            <w:r>
              <w:rPr>
                <w:rFonts w:ascii="Times New Roman"/>
                <w:spacing w:val="-1"/>
                <w:sz w:val="18"/>
              </w:rPr>
              <w:t>37,310,000</w:t>
            </w:r>
          </w:p>
          <w:p>
            <w:pPr>
              <w:pStyle w:val="TableParagraph"/>
              <w:spacing w:line="184" w:lineRule="exact"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tcBorders>
              <w:top w:val="nil" w:sz="6" w:space="0" w:color="auto"/>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96" w:type="dxa"/>
            <w:tcBorders>
              <w:top w:val="single" w:sz="4" w:space="0" w:color="000000"/>
              <w:left w:val="single" w:sz="23" w:space="0" w:color="FFFFFF"/>
              <w:bottom w:val="single" w:sz="4" w:space="0" w:color="000000"/>
              <w:right w:val="single" w:sz="4" w:space="0" w:color="000000"/>
            </w:tcBorders>
          </w:tcPr>
          <w:p>
            <w:pPr>
              <w:pStyle w:val="TableParagraph"/>
              <w:spacing w:line="393" w:lineRule="exact"/>
              <w:ind w:left="12"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41.45pt;height:19.7pt;mso-position-horizontal-relative:char;mso-position-vertical-relative:line" coordorigin="0,0" coordsize="829,394">
                  <v:group style="position:absolute;left:0;top:0;width:829;height:394" coordorigin="0,0" coordsize="829,394">
                    <v:shape style="position:absolute;left:0;top:0;width:829;height:394" coordorigin="0,0" coordsize="829,394" path="m0,394l828,394,828,0,0,0,0,394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1284"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3,897,600.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3,897,600.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111,930,00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66,093,813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23,893,760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142,600,10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8.13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344,517,68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2.07</w:t>
            </w:r>
          </w:p>
        </w:tc>
      </w:tr>
    </w:tbl>
    <w:p>
      <w:pPr>
        <w:spacing w:line="240" w:lineRule="auto" w:before="3"/>
        <w:rPr>
          <w:rFonts w:ascii="宋体" w:hAnsi="宋体" w:cs="宋体" w:eastAsia="宋体" w:hint="default"/>
          <w:sz w:val="20"/>
          <w:szCs w:val="20"/>
        </w:rPr>
      </w:pPr>
    </w:p>
    <w:p>
      <w:pPr>
        <w:tabs>
          <w:tab w:pos="3667" w:val="left" w:leader="none"/>
          <w:tab w:pos="7899"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法定代表人：包叔平</w:t>
        <w:tab/>
      </w:r>
      <w:r>
        <w:rPr>
          <w:rFonts w:ascii="宋体" w:hAnsi="宋体" w:cs="宋体" w:eastAsia="宋体" w:hint="default"/>
          <w:spacing w:val="-1"/>
          <w:sz w:val="18"/>
          <w:szCs w:val="18"/>
        </w:rPr>
        <w:t>主管会计工作负责人：包叔平</w:t>
        <w:tab/>
      </w:r>
      <w:r>
        <w:rPr>
          <w:rFonts w:ascii="宋体" w:hAnsi="宋体" w:cs="宋体" w:eastAsia="宋体" w:hint="default"/>
          <w:sz w:val="18"/>
          <w:szCs w:val="18"/>
        </w:rPr>
        <w:t>会计机构负责人：董樑</w:t>
      </w:r>
    </w:p>
    <w:p>
      <w:pPr>
        <w:spacing w:line="240" w:lineRule="auto" w:before="1"/>
        <w:rPr>
          <w:rFonts w:ascii="宋体" w:hAnsi="宋体" w:cs="宋体" w:eastAsia="宋体" w:hint="default"/>
          <w:sz w:val="25"/>
          <w:szCs w:val="25"/>
        </w:rPr>
      </w:pPr>
    </w:p>
    <w:p>
      <w:pPr>
        <w:pStyle w:val="Heading2"/>
        <w:spacing w:line="240" w:lineRule="auto" w:before="0"/>
        <w:ind w:right="178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spacing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上海海隆软件股份有限公司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系于</w:t>
      </w:r>
      <w:r>
        <w:rPr>
          <w:rFonts w:ascii="Times New Roman" w:hAnsi="Times New Roman" w:cs="Times New Roman" w:eastAsia="Times New Roman" w:hint="default"/>
          <w:sz w:val="21"/>
          <w:szCs w:val="21"/>
        </w:rPr>
        <w:t>2001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月经上海市人民政府以沪府体改审</w:t>
      </w:r>
    </w:p>
    <w:p>
      <w:pPr>
        <w:spacing w:line="256" w:lineRule="auto" w:before="21"/>
        <w:ind w:left="15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2001</w:t>
      </w:r>
      <w:r>
        <w:rPr>
          <w:rFonts w:ascii="宋体" w:hAnsi="宋体" w:cs="宋体" w:eastAsia="宋体" w:hint="default"/>
          <w:sz w:val="21"/>
          <w:szCs w:val="21"/>
        </w:rPr>
        <w:t>）</w:t>
      </w:r>
      <w:r>
        <w:rPr>
          <w:rFonts w:ascii="Times New Roman" w:hAnsi="Times New Roman" w:cs="Times New Roman" w:eastAsia="Times New Roman" w:hint="default"/>
          <w:sz w:val="21"/>
          <w:szCs w:val="21"/>
        </w:rPr>
        <w:t>012</w:t>
      </w:r>
      <w:r>
        <w:rPr>
          <w:rFonts w:ascii="宋体" w:hAnsi="宋体" w:cs="宋体" w:eastAsia="宋体" w:hint="default"/>
          <w:sz w:val="21"/>
          <w:szCs w:val="21"/>
        </w:rPr>
        <w:t>号文《关于同意设立上海交大欧姆龙软件股份有限公司的批复》的批准，由上海欧姆龙计算</w:t>
      </w:r>
      <w:r>
        <w:rPr>
          <w:rFonts w:ascii="宋体" w:hAnsi="宋体" w:cs="宋体" w:eastAsia="宋体" w:hint="default"/>
          <w:w w:val="100"/>
          <w:sz w:val="21"/>
          <w:szCs w:val="21"/>
        </w:rPr>
        <w:t> </w:t>
      </w:r>
      <w:r>
        <w:rPr>
          <w:rFonts w:ascii="宋体" w:hAnsi="宋体" w:cs="宋体" w:eastAsia="宋体" w:hint="default"/>
          <w:spacing w:val="-2"/>
          <w:sz w:val="21"/>
          <w:szCs w:val="21"/>
        </w:rPr>
        <w:t>机有限公司整体变更而设立的股份有限公司，设立时股本总额为</w:t>
      </w:r>
      <w:r>
        <w:rPr>
          <w:rFonts w:ascii="Times New Roman" w:hAnsi="Times New Roman" w:cs="Times New Roman" w:eastAsia="Times New Roman" w:hint="default"/>
          <w:spacing w:val="-2"/>
          <w:sz w:val="21"/>
          <w:szCs w:val="21"/>
        </w:rPr>
        <w:t>3,000</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2004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月经股东会决议向全</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股送</w:t>
      </w:r>
      <w:r>
        <w:rPr>
          <w:rFonts w:ascii="Times New Roman" w:hAnsi="Times New Roman" w:cs="Times New Roman" w:eastAsia="Times New Roman" w:hint="default"/>
          <w:sz w:val="21"/>
          <w:szCs w:val="21"/>
        </w:rPr>
        <w:t>3</w:t>
      </w:r>
      <w:r>
        <w:rPr>
          <w:rFonts w:ascii="宋体" w:hAnsi="宋体" w:cs="宋体" w:eastAsia="宋体" w:hint="default"/>
          <w:sz w:val="21"/>
          <w:szCs w:val="21"/>
        </w:rPr>
        <w:t>股，股本总额变更为</w:t>
      </w:r>
      <w:r>
        <w:rPr>
          <w:rFonts w:ascii="Times New Roman" w:hAnsi="Times New Roman" w:cs="Times New Roman" w:eastAsia="Times New Roman" w:hint="default"/>
          <w:sz w:val="21"/>
          <w:szCs w:val="21"/>
        </w:rPr>
        <w:t>3,900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月经股东会决议在前次基础上向全体股东每</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股送</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股，股本总额变更为</w:t>
      </w:r>
      <w:r>
        <w:rPr>
          <w:rFonts w:ascii="Times New Roman" w:hAnsi="Times New Roman" w:cs="Times New Roman" w:eastAsia="Times New Roman" w:hint="default"/>
          <w:spacing w:val="-2"/>
          <w:sz w:val="21"/>
          <w:szCs w:val="21"/>
        </w:rPr>
        <w:t>4,290</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月经中国证券监督管理委员会以证监发行字</w:t>
      </w:r>
      <w:r>
        <w:rPr>
          <w:rFonts w:ascii="Times New Roman" w:hAnsi="Times New Roman" w:cs="Times New Roman" w:eastAsia="Times New Roman" w:hint="default"/>
          <w:spacing w:val="-2"/>
          <w:sz w:val="21"/>
          <w:szCs w:val="21"/>
        </w:rPr>
        <w:t>[2007]413</w:t>
      </w:r>
      <w:r>
        <w:rPr>
          <w:rFonts w:ascii="宋体" w:hAnsi="宋体" w:cs="宋体" w:eastAsia="宋体" w:hint="default"/>
          <w:spacing w:val="-2"/>
          <w:sz w:val="21"/>
          <w:szCs w:val="21"/>
        </w:rPr>
        <w:t>号文</w:t>
      </w:r>
      <w:r>
        <w:rPr>
          <w:rFonts w:ascii="宋体" w:hAnsi="宋体" w:cs="宋体" w:eastAsia="宋体" w:hint="default"/>
          <w:sz w:val="21"/>
          <w:szCs w:val="21"/>
        </w:rPr>
      </w:r>
    </w:p>
    <w:p>
      <w:pPr>
        <w:spacing w:line="256" w:lineRule="auto" w:before="5"/>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《关于核准上海海隆软件股份有限公司首次公开发行股票的通知》的核准，本公司于</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月向社会公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开发行人民币普通股股票</w:t>
      </w:r>
      <w:r>
        <w:rPr>
          <w:rFonts w:ascii="Times New Roman" w:hAnsi="Times New Roman" w:cs="Times New Roman" w:eastAsia="Times New Roman" w:hint="default"/>
          <w:spacing w:val="-4"/>
          <w:sz w:val="21"/>
          <w:szCs w:val="21"/>
        </w:rPr>
        <w:t>1,450</w:t>
      </w:r>
      <w:r>
        <w:rPr>
          <w:rFonts w:ascii="宋体" w:hAnsi="宋体" w:cs="宋体" w:eastAsia="宋体" w:hint="default"/>
          <w:spacing w:val="-4"/>
          <w:sz w:val="21"/>
          <w:szCs w:val="21"/>
        </w:rPr>
        <w:t>万股，每股面值</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元，每股发行价为</w:t>
      </w:r>
      <w:r>
        <w:rPr>
          <w:rFonts w:ascii="Times New Roman" w:hAnsi="Times New Roman" w:cs="Times New Roman" w:eastAsia="Times New Roman" w:hint="default"/>
          <w:spacing w:val="-4"/>
          <w:sz w:val="21"/>
          <w:szCs w:val="21"/>
        </w:rPr>
        <w:t>10.49</w:t>
      </w:r>
      <w:r>
        <w:rPr>
          <w:rFonts w:ascii="宋体" w:hAnsi="宋体" w:cs="宋体" w:eastAsia="宋体" w:hint="default"/>
          <w:spacing w:val="-4"/>
          <w:sz w:val="21"/>
          <w:szCs w:val="21"/>
        </w:rPr>
        <w:t>元，发行后股本总额变更为</w:t>
      </w:r>
      <w:r>
        <w:rPr>
          <w:rFonts w:ascii="Times New Roman" w:hAnsi="Times New Roman" w:cs="Times New Roman" w:eastAsia="Times New Roman" w:hint="default"/>
          <w:spacing w:val="-4"/>
          <w:sz w:val="21"/>
          <w:szCs w:val="21"/>
        </w:rPr>
        <w:t>5,740</w:t>
      </w:r>
      <w:r>
        <w:rPr>
          <w:rFonts w:ascii="Times New Roman" w:hAnsi="Times New Roman" w:cs="Times New Roman" w:eastAsia="Times New Roman" w:hint="default"/>
          <w:spacing w:val="33"/>
          <w:sz w:val="21"/>
          <w:szCs w:val="21"/>
        </w:rPr>
        <w:t> </w:t>
      </w:r>
      <w:r>
        <w:rPr>
          <w:rFonts w:ascii="Times New Roman" w:hAnsi="Times New Roman" w:cs="Times New Roman" w:eastAsia="Times New Roman" w:hint="default"/>
          <w:spacing w:val="33"/>
          <w:sz w:val="21"/>
          <w:szCs w:val="21"/>
        </w:rPr>
      </w:r>
      <w:r>
        <w:rPr>
          <w:rFonts w:ascii="宋体" w:hAnsi="宋体" w:cs="宋体" w:eastAsia="宋体" w:hint="default"/>
          <w:spacing w:val="-4"/>
          <w:sz w:val="21"/>
          <w:szCs w:val="21"/>
        </w:rPr>
        <w:t>万元。本公司股票于</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日起在深圳证券交易所挂牌交易。</w:t>
      </w:r>
      <w:r>
        <w:rPr>
          <w:rFonts w:ascii="Times New Roman" w:hAnsi="Times New Roman" w:cs="Times New Roman" w:eastAsia="Times New Roman" w:hint="default"/>
          <w:spacing w:val="-4"/>
          <w:sz w:val="21"/>
          <w:szCs w:val="21"/>
        </w:rPr>
        <w:t>2008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月经股东大会决议通过以</w:t>
      </w:r>
      <w:r>
        <w:rPr>
          <w:rFonts w:ascii="Times New Roman" w:hAnsi="Times New Roman" w:cs="Times New Roman" w:eastAsia="Times New Roman" w:hint="default"/>
          <w:spacing w:val="-4"/>
          <w:sz w:val="21"/>
          <w:szCs w:val="21"/>
        </w:rPr>
        <w:t>2007</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pacing w:val="29"/>
          <w:sz w:val="21"/>
          <w:szCs w:val="21"/>
        </w:rPr>
      </w:r>
      <w:r>
        <w:rPr>
          <w:rFonts w:ascii="宋体" w:hAnsi="宋体" w:cs="宋体" w:eastAsia="宋体" w:hint="default"/>
          <w:spacing w:val="-2"/>
          <w:sz w:val="21"/>
          <w:szCs w:val="21"/>
        </w:rPr>
        <w:t>年末总股本</w:t>
      </w:r>
      <w:r>
        <w:rPr>
          <w:rFonts w:ascii="Times New Roman" w:hAnsi="Times New Roman" w:cs="Times New Roman" w:eastAsia="Times New Roman" w:hint="default"/>
          <w:spacing w:val="-2"/>
          <w:sz w:val="21"/>
          <w:szCs w:val="21"/>
        </w:rPr>
        <w:t>5,740</w:t>
      </w:r>
      <w:r>
        <w:rPr>
          <w:rFonts w:ascii="宋体" w:hAnsi="宋体" w:cs="宋体" w:eastAsia="宋体" w:hint="default"/>
          <w:spacing w:val="-2"/>
          <w:sz w:val="21"/>
          <w:szCs w:val="21"/>
        </w:rPr>
        <w:t>万股为基数，以资本公积向全体股东每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股转增</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股，股本总额变更为</w:t>
      </w:r>
      <w:r>
        <w:rPr>
          <w:rFonts w:ascii="Times New Roman" w:hAnsi="Times New Roman" w:cs="Times New Roman" w:eastAsia="Times New Roman" w:hint="default"/>
          <w:spacing w:val="-2"/>
          <w:sz w:val="21"/>
          <w:szCs w:val="21"/>
        </w:rPr>
        <w:t>7,462</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31"/>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月经股东大会决议通过以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年末总股本</w:t>
      </w:r>
      <w:r>
        <w:rPr>
          <w:rFonts w:ascii="Times New Roman" w:hAnsi="Times New Roman" w:cs="Times New Roman" w:eastAsia="Times New Roman" w:hint="default"/>
          <w:spacing w:val="-3"/>
          <w:sz w:val="21"/>
          <w:szCs w:val="21"/>
        </w:rPr>
        <w:t>7,462</w:t>
      </w:r>
      <w:r>
        <w:rPr>
          <w:rFonts w:ascii="宋体" w:hAnsi="宋体" w:cs="宋体" w:eastAsia="宋体" w:hint="default"/>
          <w:spacing w:val="-3"/>
          <w:sz w:val="21"/>
          <w:szCs w:val="21"/>
        </w:rPr>
        <w:t>万股为基数，以资本公积向全体股东每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股，股本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总额变更为</w:t>
      </w:r>
      <w:r>
        <w:rPr>
          <w:rFonts w:ascii="Times New Roman" w:hAnsi="Times New Roman" w:cs="Times New Roman" w:eastAsia="Times New Roman" w:hint="default"/>
          <w:spacing w:val="-2"/>
          <w:sz w:val="21"/>
          <w:szCs w:val="21"/>
        </w:rPr>
        <w:t>11,193</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日的股东大会上审议通过了《上海海隆软件股份有限公司限制性股票</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激励计划（草案）》及其摘要，并于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日第四届董事会第十四次会议审议通过了《关于向激励对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象授予限制性股票的议案》，增加注册资本人民币</w:t>
      </w:r>
      <w:r>
        <w:rPr>
          <w:rFonts w:ascii="Times New Roman" w:hAnsi="Times New Roman" w:cs="Times New Roman" w:eastAsia="Times New Roman" w:hint="default"/>
          <w:sz w:val="21"/>
          <w:szCs w:val="21"/>
        </w:rPr>
        <w:t>2,030,000.00</w:t>
      </w:r>
      <w:r>
        <w:rPr>
          <w:rFonts w:ascii="宋体" w:hAnsi="宋体" w:cs="宋体" w:eastAsia="宋体" w:hint="default"/>
          <w:sz w:val="21"/>
          <w:szCs w:val="21"/>
        </w:rPr>
        <w:t>元，变更后的注册资本为人民币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113,960,000.00</w:t>
      </w:r>
      <w:r>
        <w:rPr>
          <w:rFonts w:ascii="宋体" w:hAnsi="宋体" w:cs="宋体" w:eastAsia="宋体" w:hint="default"/>
          <w:sz w:val="21"/>
          <w:szCs w:val="21"/>
        </w:rPr>
        <w:t>元。</w:t>
      </w:r>
    </w:p>
    <w:p>
      <w:pPr>
        <w:spacing w:line="264" w:lineRule="auto" w:before="5"/>
        <w:ind w:left="152" w:right="1123" w:firstLine="420"/>
        <w:jc w:val="left"/>
        <w:rPr>
          <w:rFonts w:ascii="宋体" w:hAnsi="宋体" w:cs="宋体" w:eastAsia="宋体" w:hint="default"/>
          <w:sz w:val="21"/>
          <w:szCs w:val="21"/>
        </w:rPr>
      </w:pPr>
      <w:r>
        <w:rPr>
          <w:rFonts w:ascii="宋体" w:hAnsi="宋体" w:cs="宋体" w:eastAsia="宋体" w:hint="default"/>
          <w:sz w:val="21"/>
          <w:szCs w:val="21"/>
        </w:rPr>
        <w:t>本公司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年末注册资本为</w:t>
      </w:r>
      <w:r>
        <w:rPr>
          <w:rFonts w:ascii="Times New Roman" w:hAnsi="Times New Roman" w:cs="Times New Roman" w:eastAsia="Times New Roman" w:hint="default"/>
          <w:sz w:val="21"/>
          <w:szCs w:val="21"/>
        </w:rPr>
        <w:t>11,396</w:t>
      </w:r>
      <w:r>
        <w:rPr>
          <w:rFonts w:ascii="宋体" w:hAnsi="宋体" w:cs="宋体" w:eastAsia="宋体" w:hint="default"/>
          <w:sz w:val="21"/>
          <w:szCs w:val="21"/>
        </w:rPr>
        <w:t>万元，于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日取得由上海市工商行政管理局换发的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310000000003153</w:t>
      </w:r>
      <w:r>
        <w:rPr>
          <w:rFonts w:ascii="宋体" w:hAnsi="宋体" w:cs="宋体" w:eastAsia="宋体" w:hint="default"/>
          <w:sz w:val="21"/>
          <w:szCs w:val="21"/>
        </w:rPr>
        <w:t>（市局）号《企业法人营业执照》，注册地址为上海市徐汇区宜山路</w:t>
      </w:r>
      <w:r>
        <w:rPr>
          <w:rFonts w:ascii="Times New Roman" w:hAnsi="Times New Roman" w:cs="Times New Roman" w:eastAsia="Times New Roman" w:hint="default"/>
          <w:sz w:val="21"/>
          <w:szCs w:val="21"/>
        </w:rPr>
        <w:t>700</w:t>
      </w:r>
      <w:r>
        <w:rPr>
          <w:rFonts w:ascii="宋体" w:hAnsi="宋体" w:cs="宋体" w:eastAsia="宋体" w:hint="default"/>
          <w:sz w:val="21"/>
          <w:szCs w:val="21"/>
        </w:rPr>
        <w:t>号</w:t>
      </w:r>
      <w:r>
        <w:rPr>
          <w:rFonts w:ascii="Times New Roman" w:hAnsi="Times New Roman" w:cs="Times New Roman" w:eastAsia="Times New Roman" w:hint="default"/>
          <w:sz w:val="21"/>
          <w:szCs w:val="21"/>
        </w:rPr>
        <w:t>85</w:t>
      </w:r>
      <w:r>
        <w:rPr>
          <w:rFonts w:ascii="宋体" w:hAnsi="宋体" w:cs="宋体" w:eastAsia="宋体" w:hint="default"/>
          <w:sz w:val="21"/>
          <w:szCs w:val="21"/>
        </w:rPr>
        <w:t>幢</w:t>
      </w:r>
      <w:r>
        <w:rPr>
          <w:rFonts w:ascii="Times New Roman" w:hAnsi="Times New Roman" w:cs="Times New Roman" w:eastAsia="Times New Roman" w:hint="default"/>
          <w:sz w:val="21"/>
          <w:szCs w:val="21"/>
        </w:rPr>
        <w:t>6</w:t>
      </w:r>
      <w:r>
        <w:rPr>
          <w:rFonts w:ascii="宋体" w:hAnsi="宋体" w:cs="宋体" w:eastAsia="宋体" w:hint="default"/>
          <w:sz w:val="21"/>
          <w:szCs w:val="21"/>
        </w:rPr>
        <w:t>楼，经</w:t>
      </w:r>
      <w:r>
        <w:rPr>
          <w:rFonts w:ascii="宋体" w:hAnsi="宋体" w:cs="宋体" w:eastAsia="宋体" w:hint="default"/>
          <w:w w:val="100"/>
          <w:sz w:val="21"/>
          <w:szCs w:val="21"/>
        </w:rPr>
        <w:t> </w:t>
      </w:r>
      <w:r>
        <w:rPr>
          <w:rFonts w:ascii="宋体" w:hAnsi="宋体" w:cs="宋体" w:eastAsia="宋体" w:hint="default"/>
          <w:spacing w:val="-2"/>
          <w:sz w:val="21"/>
          <w:szCs w:val="21"/>
        </w:rPr>
        <w:t>营范围为计算机软、硬件系统及相关系统的集成、开发、咨询、销售及服务，经营本企业自产产品的出口</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业务和本企业所需的机械设备、零配件、原辅材料的进出口业务，本企业包括本企业控股的成员企业信息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服务业务。</w:t>
      </w:r>
    </w:p>
    <w:p>
      <w:pPr>
        <w:spacing w:line="240" w:lineRule="auto" w:before="3"/>
        <w:rPr>
          <w:rFonts w:ascii="宋体" w:hAnsi="宋体" w:cs="宋体" w:eastAsia="宋体" w:hint="default"/>
          <w:sz w:val="22"/>
          <w:szCs w:val="22"/>
        </w:rPr>
      </w:pPr>
    </w:p>
    <w:p>
      <w:pPr>
        <w:pStyle w:val="Heading2"/>
        <w:spacing w:line="240" w:lineRule="auto" w:before="0"/>
        <w:ind w:right="1780"/>
        <w:jc w:val="left"/>
        <w:rPr>
          <w:b w:val="0"/>
          <w:bCs w:val="0"/>
        </w:rPr>
      </w:pPr>
      <w:r>
        <w:rPr/>
        <w:t>四、公司主要会计政策、会计估计和前期差错</w:t>
      </w:r>
      <w:r>
        <w:rPr>
          <w:b w:val="0"/>
          <w:bCs w:val="0"/>
        </w:rPr>
      </w:r>
    </w:p>
    <w:p>
      <w:pPr>
        <w:spacing w:line="610" w:lineRule="atLeast" w:before="6"/>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基本准则》和其他各</w:t>
      </w:r>
    </w:p>
    <w:p>
      <w:pPr>
        <w:spacing w:before="21"/>
        <w:ind w:left="152" w:right="1780" w:firstLine="0"/>
        <w:jc w:val="left"/>
        <w:rPr>
          <w:rFonts w:ascii="宋体" w:hAnsi="宋体" w:cs="宋体" w:eastAsia="宋体" w:hint="default"/>
          <w:sz w:val="21"/>
          <w:szCs w:val="21"/>
        </w:rPr>
      </w:pPr>
      <w:r>
        <w:rPr>
          <w:rFonts w:ascii="宋体" w:hAnsi="宋体" w:cs="宋体" w:eastAsia="宋体" w:hint="default"/>
          <w:sz w:val="21"/>
          <w:szCs w:val="21"/>
        </w:rPr>
        <w:t>项会计准则的规定进行确认和计量，在此基础上编制财务报表。</w:t>
      </w:r>
    </w:p>
    <w:p>
      <w:pPr>
        <w:spacing w:after="0"/>
        <w:jc w:val="left"/>
        <w:rPr>
          <w:rFonts w:ascii="宋体" w:hAnsi="宋体" w:cs="宋体" w:eastAsia="宋体" w:hint="default"/>
          <w:sz w:val="21"/>
          <w:szCs w:val="21"/>
        </w:rPr>
        <w:sectPr>
          <w:pgSz w:w="11910" w:h="16840"/>
          <w:pgMar w:header="876" w:footer="1284" w:top="1060" w:bottom="154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982" w:firstLine="420"/>
        <w:jc w:val="left"/>
        <w:rPr>
          <w:rFonts w:ascii="宋体" w:hAnsi="宋体" w:cs="宋体" w:eastAsia="宋体" w:hint="default"/>
          <w:sz w:val="21"/>
          <w:szCs w:val="21"/>
        </w:rPr>
      </w:pPr>
      <w:r>
        <w:rPr>
          <w:rFonts w:ascii="宋体" w:hAnsi="宋体" w:cs="宋体" w:eastAsia="宋体" w:hint="default"/>
          <w:sz w:val="21"/>
          <w:szCs w:val="21"/>
        </w:rPr>
        <w:t>本公司所编制的财务报表符合企业会计准则的要求，真实、完整地反映了本公司的财务状况、经营成</w:t>
      </w:r>
      <w:r>
        <w:rPr>
          <w:rFonts w:ascii="宋体" w:hAnsi="宋体" w:cs="宋体" w:eastAsia="宋体" w:hint="default"/>
          <w:w w:val="100"/>
          <w:sz w:val="21"/>
          <w:szCs w:val="21"/>
        </w:rPr>
        <w:t> </w:t>
      </w:r>
      <w:r>
        <w:rPr>
          <w:rFonts w:ascii="宋体" w:hAnsi="宋体" w:cs="宋体" w:eastAsia="宋体" w:hint="default"/>
          <w:spacing w:val="-5"/>
          <w:sz w:val="21"/>
          <w:szCs w:val="21"/>
        </w:rPr>
        <w:t>果、股东权益变动和现金流量等有关信息，本公司管理层对财务报表的真实性、合法性和完整性承担责任。</w:t>
      </w:r>
    </w:p>
    <w:p>
      <w:pPr>
        <w:spacing w:line="240" w:lineRule="auto" w:before="7"/>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73" w:right="1780" w:firstLine="0"/>
        <w:jc w:val="left"/>
        <w:rPr>
          <w:rFonts w:ascii="宋体" w:hAnsi="宋体" w:cs="宋体" w:eastAsia="宋体" w:hint="default"/>
          <w:sz w:val="21"/>
          <w:szCs w:val="21"/>
        </w:rPr>
      </w:pPr>
      <w:r>
        <w:rPr>
          <w:rFonts w:ascii="宋体" w:hAnsi="宋体" w:cs="宋体" w:eastAsia="宋体" w:hint="default"/>
          <w:sz w:val="21"/>
          <w:szCs w:val="21"/>
        </w:rPr>
        <w:t>会计期间为公历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line="240" w:lineRule="auto" w:before="7"/>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3" w:right="1780" w:firstLine="0"/>
        <w:jc w:val="left"/>
        <w:rPr>
          <w:rFonts w:ascii="宋体" w:hAnsi="宋体" w:cs="宋体" w:eastAsia="宋体" w:hint="default"/>
          <w:sz w:val="21"/>
          <w:szCs w:val="21"/>
        </w:rPr>
      </w:pPr>
      <w:r>
        <w:rPr>
          <w:rFonts w:ascii="宋体" w:hAnsi="宋体" w:cs="宋体" w:eastAsia="宋体" w:hint="default"/>
          <w:sz w:val="21"/>
          <w:szCs w:val="21"/>
        </w:rPr>
        <w:t>记账本位币为人民币。</w:t>
      </w:r>
    </w:p>
    <w:p>
      <w:pPr>
        <w:spacing w:line="240" w:lineRule="auto" w:before="11"/>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参与合并的企业在合并前后均受同一方或相同的多方最终控制且该控制并非暂时性的，认定为同一控</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制下的企业合并。合并方以支付现金、转让非现金资产或承担债务方式作为合并对价的，在合并日按照取</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得被合并方所有者权益账面价值的份额作为长期股权投资的初始投资成本。长期股权投资初始投资成本与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支付的现金、转让的非现金资产以及所承担债务账面价值之间的差额，调整资本公积；资本公积不足冲减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的，调整留存收益。为进行企业合并发生的各项直接相关费用于发生时计入当期损益。</w:t>
      </w:r>
    </w:p>
    <w:p>
      <w:pPr>
        <w:spacing w:line="590" w:lineRule="atLeast" w:before="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参与合并的各方在合并前后不受同一方或相同的多方最终控制的，认定为非同一控制下的企业合并。</w:t>
      </w:r>
    </w:p>
    <w:p>
      <w:pPr>
        <w:spacing w:line="273" w:lineRule="auto" w:before="37"/>
        <w:ind w:left="152" w:right="1105" w:firstLine="0"/>
        <w:jc w:val="both"/>
        <w:rPr>
          <w:rFonts w:ascii="宋体" w:hAnsi="宋体" w:cs="宋体" w:eastAsia="宋体" w:hint="default"/>
          <w:sz w:val="21"/>
          <w:szCs w:val="21"/>
        </w:rPr>
      </w:pPr>
      <w:r>
        <w:rPr>
          <w:rFonts w:ascii="宋体" w:hAnsi="宋体" w:cs="宋体" w:eastAsia="宋体" w:hint="default"/>
          <w:spacing w:val="-2"/>
          <w:sz w:val="21"/>
          <w:szCs w:val="21"/>
        </w:rPr>
        <w:t>购买方通过一次交换交易实现的企业合并，合并成本为购买方在购买日为取得对被购买方的控制权而付出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的资产、发生或承担的负债以及发行的权益性证券的公允价值。通过多次交换交易分步实现的企业合并，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合并成本为每一单项交易成本之和。购买方为企业合并发生的审计、法律服务、评估咨询等中介费用以及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其他相关管理费用，于发生时计入当期损益；购买方作为合并对价发行的权益性证券或债务性证券的交易</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费用，计入权益性证券或债务性证券的初始确认金额。</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购买方的合并成本和购买方在合并中取得的可辨认净资产按购买日的公允价值计量。合并成本大于合</w:t>
      </w:r>
      <w:r>
        <w:rPr>
          <w:rFonts w:ascii="宋体" w:hAnsi="宋体" w:cs="宋体" w:eastAsia="宋体" w:hint="default"/>
          <w:w w:val="100"/>
          <w:sz w:val="21"/>
          <w:szCs w:val="21"/>
        </w:rPr>
        <w:t> </w:t>
      </w:r>
      <w:r>
        <w:rPr>
          <w:rFonts w:ascii="宋体" w:hAnsi="宋体" w:cs="宋体" w:eastAsia="宋体" w:hint="default"/>
          <w:spacing w:val="-2"/>
          <w:sz w:val="21"/>
          <w:szCs w:val="21"/>
        </w:rPr>
        <w:t>并中取得的被购买方于购买日可辨认净资产公允价值份额的差额，确认为商誉；合并成本小于合并中取得</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的被购买方可辨认净资产公允价值份额的差额，计入当期损益。</w:t>
      </w:r>
    </w:p>
    <w:p>
      <w:pPr>
        <w:spacing w:line="240" w:lineRule="auto" w:before="7"/>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590" w:lineRule="atLeast" w:before="25"/>
        <w:ind w:left="573" w:right="365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合并财务报表的合并范围包括本公司及子公司。</w:t>
      </w:r>
    </w:p>
    <w:p>
      <w:pPr>
        <w:spacing w:line="273" w:lineRule="auto" w:before="3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从取得子公司实际控制权之日起，本公司开始将其予以合并；从丧失实际控制权之日起停止合并。公</w:t>
      </w:r>
      <w:r>
        <w:rPr>
          <w:rFonts w:ascii="宋体" w:hAnsi="宋体" w:cs="宋体" w:eastAsia="宋体" w:hint="default"/>
          <w:w w:val="100"/>
          <w:sz w:val="21"/>
          <w:szCs w:val="21"/>
        </w:rPr>
        <w:t> </w:t>
      </w:r>
      <w:r>
        <w:rPr>
          <w:rFonts w:ascii="宋体" w:hAnsi="宋体" w:cs="宋体" w:eastAsia="宋体" w:hint="default"/>
          <w:spacing w:val="-2"/>
          <w:sz w:val="21"/>
          <w:szCs w:val="21"/>
        </w:rPr>
        <w:t>司间所有重大往来余额、交易及未实现利润在合并财务报表编制时予以抵销。子公司的股东权益中不属于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公司所拥有的部分作为少数股东权益在合并资产负债表中股东权益项下单独列示；子公司净利润中不属于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公司所拥有的部分作为少数股东损益在合并利润表中净利润项下单独列示。</w:t>
      </w:r>
    </w:p>
    <w:p>
      <w:pPr>
        <w:spacing w:before="7"/>
        <w:ind w:left="573" w:right="982" w:firstLine="0"/>
        <w:jc w:val="left"/>
        <w:rPr>
          <w:rFonts w:ascii="宋体" w:hAnsi="宋体" w:cs="宋体" w:eastAsia="宋体" w:hint="default"/>
          <w:sz w:val="21"/>
          <w:szCs w:val="21"/>
        </w:rPr>
      </w:pPr>
      <w:r>
        <w:rPr>
          <w:rFonts w:ascii="宋体" w:hAnsi="宋体" w:cs="宋体" w:eastAsia="宋体" w:hint="default"/>
          <w:sz w:val="21"/>
          <w:szCs w:val="21"/>
        </w:rPr>
        <w:t>子公司与本公司采用的会计政策或会计期间不一致的，在编制合并财务报表时，按照本公司的会计政</w:t>
      </w:r>
    </w:p>
    <w:p>
      <w:pPr>
        <w:spacing w:after="0"/>
        <w:jc w:val="left"/>
        <w:rPr>
          <w:rFonts w:ascii="宋体" w:hAnsi="宋体" w:cs="宋体" w:eastAsia="宋体" w:hint="default"/>
          <w:sz w:val="21"/>
          <w:szCs w:val="21"/>
        </w:rPr>
        <w:sectPr>
          <w:pgSz w:w="11910" w:h="16840"/>
          <w:pgMar w:header="876" w:footer="1284" w:top="1060" w:bottom="1520" w:left="980" w:right="0"/>
        </w:sectPr>
      </w:pPr>
    </w:p>
    <w:p>
      <w:pPr>
        <w:spacing w:line="240" w:lineRule="auto" w:before="10"/>
        <w:rPr>
          <w:rFonts w:ascii="宋体" w:hAnsi="宋体" w:cs="宋体" w:eastAsia="宋体" w:hint="default"/>
          <w:sz w:val="24"/>
          <w:szCs w:val="24"/>
        </w:rPr>
      </w:pPr>
    </w:p>
    <w:p>
      <w:pPr>
        <w:spacing w:line="273" w:lineRule="auto" w:before="36"/>
        <w:ind w:left="573" w:right="1123" w:hanging="421"/>
        <w:jc w:val="left"/>
        <w:rPr>
          <w:rFonts w:ascii="宋体" w:hAnsi="宋体" w:cs="宋体" w:eastAsia="宋体" w:hint="default"/>
          <w:sz w:val="21"/>
          <w:szCs w:val="21"/>
        </w:rPr>
      </w:pPr>
      <w:r>
        <w:rPr>
          <w:rFonts w:ascii="宋体" w:hAnsi="宋体" w:cs="宋体" w:eastAsia="宋体" w:hint="default"/>
          <w:sz w:val="21"/>
          <w:szCs w:val="21"/>
        </w:rPr>
        <w:t>策或会计期间对子公司财务报表进行必要的调整。</w:t>
      </w:r>
      <w:r>
        <w:rPr>
          <w:rFonts w:ascii="宋体" w:hAnsi="宋体" w:cs="宋体" w:eastAsia="宋体" w:hint="default"/>
          <w:w w:val="100"/>
          <w:sz w:val="21"/>
          <w:szCs w:val="21"/>
        </w:rPr>
        <w:t> </w:t>
      </w:r>
      <w:r>
        <w:rPr>
          <w:rFonts w:ascii="宋体" w:hAnsi="宋体" w:cs="宋体" w:eastAsia="宋体" w:hint="default"/>
          <w:spacing w:val="-2"/>
          <w:sz w:val="21"/>
          <w:szCs w:val="21"/>
        </w:rPr>
        <w:t>对于因非同一控制下企业合并取得的子公司，在编制合并财务报表时，以购买日可辨认净资产公允价</w:t>
      </w:r>
    </w:p>
    <w:p>
      <w:pPr>
        <w:spacing w:line="273" w:lineRule="auto" w:before="7"/>
        <w:ind w:left="152" w:right="982" w:firstLine="0"/>
        <w:jc w:val="left"/>
        <w:rPr>
          <w:rFonts w:ascii="宋体" w:hAnsi="宋体" w:cs="宋体" w:eastAsia="宋体" w:hint="default"/>
          <w:sz w:val="21"/>
          <w:szCs w:val="21"/>
        </w:rPr>
      </w:pPr>
      <w:r>
        <w:rPr>
          <w:rFonts w:ascii="宋体" w:hAnsi="宋体" w:cs="宋体" w:eastAsia="宋体" w:hint="default"/>
          <w:spacing w:val="-5"/>
          <w:sz w:val="21"/>
          <w:szCs w:val="21"/>
        </w:rPr>
        <w:t>值为基础对其个别财务报表进行调整；对于因同一控制下企业合并取得的子公司，在编制合并财务报表时， </w:t>
      </w:r>
      <w:r>
        <w:rPr>
          <w:rFonts w:ascii="宋体" w:hAnsi="宋体" w:cs="宋体" w:eastAsia="宋体" w:hint="default"/>
          <w:spacing w:val="-2"/>
          <w:sz w:val="21"/>
          <w:szCs w:val="21"/>
        </w:rPr>
        <w:t>视同该企业合并于报告期最早期间的期初已经发生，从报告期最早期间的期初起将其资产、负债、经营成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果和现金流量纳入合并财务报表，且其合并日前实现的净利润在合并利润表中单列项目反映。</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）对同一子公司的股权在连续两个会计年度买入再卖出，或卖出再买入的应披露相关的会计处理方法</w:t>
      </w:r>
      <w:r>
        <w:rPr>
          <w:rFonts w:ascii="宋体" w:hAnsi="宋体" w:cs="宋体" w:eastAsia="宋体" w:hint="default"/>
          <w:sz w:val="21"/>
          <w:szCs w:val="21"/>
        </w:rPr>
      </w:r>
    </w:p>
    <w:p>
      <w:pPr>
        <w:spacing w:line="590" w:lineRule="atLeast" w:before="24"/>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列示于现金流量表中的现金是指库存现金及可随时用于支付的存款，现金等价物是指持有的期限短、</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流动性强、易于转换为已知金额现金及价值变动风险很小的投资。</w:t>
      </w:r>
    </w:p>
    <w:p>
      <w:pPr>
        <w:spacing w:line="240" w:lineRule="auto" w:before="11"/>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外币业务按业务发生日的即期汇率将外币金额折算为人民币入账。</w:t>
      </w:r>
      <w:r>
        <w:rPr>
          <w:rFonts w:ascii="宋体" w:hAnsi="宋体" w:cs="宋体" w:eastAsia="宋体" w:hint="default"/>
          <w:w w:val="100"/>
          <w:sz w:val="21"/>
          <w:szCs w:val="21"/>
        </w:rPr>
        <w:t> </w:t>
      </w:r>
      <w:r>
        <w:rPr>
          <w:rFonts w:ascii="宋体" w:hAnsi="宋体" w:cs="宋体" w:eastAsia="宋体" w:hint="default"/>
          <w:spacing w:val="-2"/>
          <w:sz w:val="21"/>
          <w:szCs w:val="21"/>
        </w:rPr>
        <w:t>于资产负债表日，外币货币性项目采用资产负债表日的即期汇率折算为人民币，所产生的折算差额除</w:t>
      </w:r>
    </w:p>
    <w:p>
      <w:pPr>
        <w:spacing w:line="273" w:lineRule="auto" w:before="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了为购建或生产符合资本化条件的资产而借入的外币借款产生的汇兑差额按资本化的原则处理外，直接计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入当期损益。以历史成本计量的外币非货币性项目，于资产负债表日采用交易发生日的即期汇率折算。</w:t>
      </w:r>
    </w:p>
    <w:p>
      <w:pPr>
        <w:spacing w:line="614" w:lineRule="exact" w:before="6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以非记账本位币编制的资产负债表中的资产和负债项目，采用资产负债表日的即期汇率折算成记账本</w:t>
      </w:r>
    </w:p>
    <w:p>
      <w:pPr>
        <w:spacing w:line="219"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位币，股东权益中除未分配利润项目外，其他项目采用发生时的即期汇率折算。以非记账本位币编制的利</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润表中的收入与费用项目，采用交易发生日的即期汇率折算成记账本位币。上述折算产生的外币报表折算</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差额，在股东权益中以单独项目列示。以非记账本位币编制的现金流量表中各项目的现金流量采用现金流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量发生日的即期汇率折算成记账本位币。汇率变动对现金的影响额，在现金流量表中单独列示。</w:t>
      </w:r>
    </w:p>
    <w:p>
      <w:pPr>
        <w:spacing w:line="240" w:lineRule="auto" w:before="7"/>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金融资产于初始确认时分类为：以公允价值计量且其变动计入当期损益的金融资产、应收款项、可供</w:t>
      </w:r>
    </w:p>
    <w:p>
      <w:pPr>
        <w:spacing w:before="37"/>
        <w:ind w:left="152" w:right="1123" w:firstLine="0"/>
        <w:jc w:val="left"/>
        <w:rPr>
          <w:rFonts w:ascii="宋体" w:hAnsi="宋体" w:cs="宋体" w:eastAsia="宋体" w:hint="default"/>
          <w:sz w:val="21"/>
          <w:szCs w:val="21"/>
        </w:rPr>
      </w:pPr>
      <w:r>
        <w:rPr>
          <w:rFonts w:ascii="宋体" w:hAnsi="宋体" w:cs="宋体" w:eastAsia="宋体" w:hint="default"/>
          <w:sz w:val="21"/>
          <w:szCs w:val="21"/>
        </w:rPr>
        <w:t>出售金融资产和持有至到期投资。金融资产的分类取决于本公司对金融资产的持有意图和持有能力。</w:t>
      </w:r>
    </w:p>
    <w:p>
      <w:pPr>
        <w:spacing w:line="256" w:lineRule="auto" w:before="37"/>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以公允价值计量且其变动计入当期损益的金融资产包括持有目的为短期内出售的金融资产，该资产在</w:t>
      </w:r>
    </w:p>
    <w:p>
      <w:pPr>
        <w:spacing w:before="22"/>
        <w:ind w:left="152" w:right="1780" w:firstLine="0"/>
        <w:jc w:val="left"/>
        <w:rPr>
          <w:rFonts w:ascii="宋体" w:hAnsi="宋体" w:cs="宋体" w:eastAsia="宋体" w:hint="default"/>
          <w:sz w:val="21"/>
          <w:szCs w:val="21"/>
        </w:rPr>
      </w:pPr>
      <w:r>
        <w:rPr>
          <w:rFonts w:ascii="宋体" w:hAnsi="宋体" w:cs="宋体" w:eastAsia="宋体" w:hint="default"/>
          <w:sz w:val="21"/>
          <w:szCs w:val="21"/>
        </w:rPr>
        <w:t>资产负债表中以交易性金融资产列示。</w:t>
      </w:r>
    </w:p>
    <w:p>
      <w:pPr>
        <w:spacing w:line="256" w:lineRule="auto" w:before="37"/>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应收款项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应收款项是指在活跃市场中没有报价、回收金额固定或可确定的非衍生金融资产，包括应收账款、其</w:t>
      </w:r>
    </w:p>
    <w:p>
      <w:pPr>
        <w:spacing w:before="22"/>
        <w:ind w:left="152" w:right="1780" w:firstLine="0"/>
        <w:jc w:val="left"/>
        <w:rPr>
          <w:rFonts w:ascii="宋体" w:hAnsi="宋体" w:cs="宋体" w:eastAsia="宋体" w:hint="default"/>
          <w:sz w:val="21"/>
          <w:szCs w:val="21"/>
        </w:rPr>
      </w:pPr>
      <w:r>
        <w:rPr>
          <w:rFonts w:ascii="宋体" w:hAnsi="宋体" w:cs="宋体" w:eastAsia="宋体" w:hint="default"/>
          <w:sz w:val="21"/>
          <w:szCs w:val="21"/>
        </w:rPr>
        <w:t>他应收款和长期应收款等。</w:t>
      </w:r>
    </w:p>
    <w:p>
      <w:pPr>
        <w:spacing w:line="256" w:lineRule="auto" w:before="37"/>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2"/>
          <w:sz w:val="21"/>
          <w:szCs w:val="21"/>
        </w:rPr>
        <w:t>可供出售金融资产包括初始确认时即被指定为可供出售的非衍生金融资产及未被划分为其他类的金</w:t>
      </w:r>
    </w:p>
    <w:p>
      <w:pPr>
        <w:spacing w:before="22"/>
        <w:ind w:left="152" w:right="982" w:firstLine="0"/>
        <w:jc w:val="left"/>
        <w:rPr>
          <w:rFonts w:ascii="宋体" w:hAnsi="宋体" w:cs="宋体" w:eastAsia="宋体" w:hint="default"/>
          <w:sz w:val="21"/>
          <w:szCs w:val="21"/>
        </w:rPr>
      </w:pPr>
      <w:r>
        <w:rPr>
          <w:rFonts w:ascii="宋体" w:hAnsi="宋体" w:cs="宋体" w:eastAsia="宋体" w:hint="default"/>
          <w:sz w:val="21"/>
          <w:szCs w:val="21"/>
        </w:rPr>
        <w:t>融资产。自资产负债表日起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个月内将出售的可供出售金融资产在资产负债表中列示为一年内到期的非流</w:t>
      </w:r>
    </w:p>
    <w:p>
      <w:pPr>
        <w:spacing w:after="0"/>
        <w:jc w:val="left"/>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sz w:val="21"/>
          <w:szCs w:val="21"/>
        </w:rPr>
        <w:t>动资产。</w:t>
      </w:r>
    </w:p>
    <w:p>
      <w:pPr>
        <w:spacing w:line="256" w:lineRule="auto" w:before="37"/>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持有至到期投资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持有至到期投资是指到期日固定、回收金额固定或可确定，且管理层有明确意图和能力持有至到期的</w:t>
      </w:r>
    </w:p>
    <w:p>
      <w:pPr>
        <w:spacing w:line="256" w:lineRule="auto" w:before="22"/>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非衍生金融资产。自资产负债表日起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个月内到期的持有至到期投资在资产负债表中列示为一年内到期的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非流动资产。</w:t>
      </w:r>
    </w:p>
    <w:p>
      <w:pPr>
        <w:spacing w:before="22"/>
        <w:ind w:left="152" w:right="1780" w:firstLine="0"/>
        <w:jc w:val="left"/>
        <w:rPr>
          <w:rFonts w:ascii="宋体" w:hAnsi="宋体" w:cs="宋体" w:eastAsia="宋体" w:hint="default"/>
          <w:sz w:val="21"/>
          <w:szCs w:val="21"/>
        </w:rPr>
      </w:pPr>
      <w:r>
        <w:rPr>
          <w:rFonts w:ascii="宋体" w:hAnsi="宋体" w:cs="宋体" w:eastAsia="宋体" w:hint="default"/>
          <w:sz w:val="21"/>
          <w:szCs w:val="21"/>
        </w:rPr>
        <w:t>金融负债的分类</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）交易性金融负债</w:t>
      </w:r>
    </w:p>
    <w:p>
      <w:pPr>
        <w:spacing w:before="21"/>
        <w:ind w:left="152" w:right="178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）初始确认时指定为以公允价值计量且其变动计入当期损益的金融负债。</w:t>
      </w:r>
    </w:p>
    <w:p>
      <w:pPr>
        <w:spacing w:line="240" w:lineRule="auto" w:before="7"/>
        <w:rPr>
          <w:rFonts w:ascii="宋体" w:hAnsi="宋体" w:cs="宋体" w:eastAsia="宋体" w:hint="default"/>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w:t>
      </w:r>
    </w:p>
    <w:p>
      <w:pPr>
        <w:spacing w:line="273" w:lineRule="auto" w:before="22"/>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金融资产于本公司成为金融工具合同的一方时，按公允价值在资产负债表内确认。以公允价值计量且</w:t>
      </w:r>
      <w:r>
        <w:rPr>
          <w:rFonts w:ascii="宋体" w:hAnsi="宋体" w:cs="宋体" w:eastAsia="宋体" w:hint="default"/>
          <w:w w:val="100"/>
          <w:sz w:val="21"/>
          <w:szCs w:val="21"/>
        </w:rPr>
        <w:t> </w:t>
      </w:r>
      <w:r>
        <w:rPr>
          <w:rFonts w:ascii="宋体" w:hAnsi="宋体" w:cs="宋体" w:eastAsia="宋体" w:hint="default"/>
          <w:spacing w:val="-2"/>
          <w:sz w:val="21"/>
          <w:szCs w:val="21"/>
        </w:rPr>
        <w:t>其变动计入当期损益的金融资产，取得时发生的相关交易费用直接计入当期损益。其他金融资产的相关交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易费用计入初始确认金额。</w:t>
      </w:r>
    </w:p>
    <w:p>
      <w:pPr>
        <w:spacing w:line="273" w:lineRule="auto" w:before="7"/>
        <w:ind w:left="152" w:right="1104" w:firstLine="42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以公允价值计量且其变动计入当期损益的金融资产和可供出售金融资产按照公允价值进行后续计量，</w:t>
      </w:r>
      <w:r>
        <w:rPr>
          <w:rFonts w:ascii="宋体" w:hAnsi="宋体" w:cs="宋体" w:eastAsia="宋体" w:hint="default"/>
          <w:w w:val="100"/>
          <w:sz w:val="21"/>
          <w:szCs w:val="21"/>
        </w:rPr>
        <w:t> </w:t>
      </w:r>
      <w:r>
        <w:rPr>
          <w:rFonts w:ascii="宋体" w:hAnsi="宋体" w:cs="宋体" w:eastAsia="宋体" w:hint="default"/>
          <w:spacing w:val="-2"/>
          <w:sz w:val="21"/>
          <w:szCs w:val="21"/>
        </w:rPr>
        <w:t>但在活跃市场中没有报价且其公允价值不能可靠计量的权益工具投资，按照成本计量；应收款项以及持有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至到期投资采用实际利率法，以摊余成本计量。</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以公允价值计量且其变动计入当期损益的金融资产的公允价值变动计入公允价值变动损益；在资产持</w:t>
      </w:r>
      <w:r>
        <w:rPr>
          <w:rFonts w:ascii="宋体" w:hAnsi="宋体" w:cs="宋体" w:eastAsia="宋体" w:hint="default"/>
          <w:w w:val="100"/>
          <w:sz w:val="21"/>
          <w:szCs w:val="21"/>
        </w:rPr>
        <w:t> </w:t>
      </w:r>
      <w:r>
        <w:rPr>
          <w:rFonts w:ascii="宋体" w:hAnsi="宋体" w:cs="宋体" w:eastAsia="宋体" w:hint="default"/>
          <w:sz w:val="21"/>
          <w:szCs w:val="21"/>
        </w:rPr>
        <w:t>有期间所取得的利息或现金股利以及在处置时产生的处置损益，计入当期损益。</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除减值损失及外币货币性金融资产形成的汇兑损益外，可供出售金融资产公允价值变动计入股东权</w:t>
      </w:r>
      <w:r>
        <w:rPr>
          <w:rFonts w:ascii="宋体" w:hAnsi="宋体" w:cs="宋体" w:eastAsia="宋体" w:hint="default"/>
          <w:w w:val="100"/>
          <w:sz w:val="21"/>
          <w:szCs w:val="21"/>
        </w:rPr>
        <w:t> </w:t>
      </w:r>
      <w:r>
        <w:rPr>
          <w:rFonts w:ascii="宋体" w:hAnsi="宋体" w:cs="宋体" w:eastAsia="宋体" w:hint="default"/>
          <w:spacing w:val="-2"/>
          <w:sz w:val="21"/>
          <w:szCs w:val="21"/>
        </w:rPr>
        <w:t>益，待该金融资产终止确认时，原直接计入权益的公允价值变动累计额转入当期损益。可供出售债务工具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投资在持有期间按实际利率法计算利息，计入投资收益；可供出售权益工具投资的现金股利，于被投资单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位宣告发放股利时计入投资收益。</w:t>
      </w:r>
    </w:p>
    <w:p>
      <w:pPr>
        <w:spacing w:before="8"/>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、金融负债</w:t>
      </w:r>
    </w:p>
    <w:p>
      <w:pPr>
        <w:spacing w:line="273" w:lineRule="auto" w:before="21"/>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金融负债于本公司成为金融工具合同的一方时，按公允价值在资产负债表内确认。以公允价值计量且</w:t>
      </w:r>
      <w:r>
        <w:rPr>
          <w:rFonts w:ascii="宋体" w:hAnsi="宋体" w:cs="宋体" w:eastAsia="宋体" w:hint="default"/>
          <w:w w:val="100"/>
          <w:sz w:val="21"/>
          <w:szCs w:val="21"/>
        </w:rPr>
        <w:t> </w:t>
      </w:r>
      <w:r>
        <w:rPr>
          <w:rFonts w:ascii="宋体" w:hAnsi="宋体" w:cs="宋体" w:eastAsia="宋体" w:hint="default"/>
          <w:spacing w:val="-2"/>
          <w:sz w:val="21"/>
          <w:szCs w:val="21"/>
        </w:rPr>
        <w:t>其变动计入当期损益的金融负债，取得时发生的相关交易费用直接计入当期损益；其他金融负债的相关交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易费用计入初始确认金额。</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以公允价值计量且其变动计入当期损益的金融负债，按照公允价值后续计量，且不扣除将来结清金融</w:t>
      </w:r>
      <w:r>
        <w:rPr>
          <w:rFonts w:ascii="宋体" w:hAnsi="宋体" w:cs="宋体" w:eastAsia="宋体" w:hint="default"/>
          <w:w w:val="100"/>
          <w:sz w:val="21"/>
          <w:szCs w:val="21"/>
        </w:rPr>
        <w:t> </w:t>
      </w:r>
      <w:r>
        <w:rPr>
          <w:rFonts w:ascii="宋体" w:hAnsi="宋体" w:cs="宋体" w:eastAsia="宋体" w:hint="default"/>
          <w:sz w:val="21"/>
          <w:szCs w:val="21"/>
        </w:rPr>
        <w:t>负债时可能发生的交易费用。</w:t>
      </w:r>
    </w:p>
    <w:p>
      <w:pPr>
        <w:spacing w:before="7"/>
        <w:ind w:left="573" w:right="1780" w:firstLine="0"/>
        <w:jc w:val="left"/>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p>
      <w:pPr>
        <w:spacing w:line="590" w:lineRule="atLeast" w:before="38"/>
        <w:ind w:left="573" w:right="326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本公司的金融资产转移，包括下列两种情形：</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）将收取金融资产现金流量的权利转移给另一方；</w:t>
      </w:r>
    </w:p>
    <w:p>
      <w:pPr>
        <w:spacing w:line="256" w:lineRule="auto" w:before="21"/>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）将金融资产转移给另一方，但保留收取金融资产现金流量的权利，并承担将收取的现金流量支付给</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最终收款方的义务，同时满足下列条件：</w:t>
      </w:r>
    </w:p>
    <w:p>
      <w:pPr>
        <w:spacing w:line="256" w:lineRule="auto" w:before="22"/>
        <w:ind w:left="152" w:right="1101" w:firstLine="485"/>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．从该金融资产收到对等的现金流量时，才有义务将其支付给最终收款方。企业发生短期垫付款，</w:t>
      </w:r>
      <w:r>
        <w:rPr>
          <w:rFonts w:ascii="宋体" w:hAnsi="宋体" w:cs="宋体" w:eastAsia="宋体" w:hint="default"/>
          <w:w w:val="100"/>
          <w:sz w:val="21"/>
          <w:szCs w:val="21"/>
        </w:rPr>
        <w:t> </w:t>
      </w:r>
      <w:r>
        <w:rPr>
          <w:rFonts w:ascii="宋体" w:hAnsi="宋体" w:cs="宋体" w:eastAsia="宋体" w:hint="default"/>
          <w:sz w:val="21"/>
          <w:szCs w:val="21"/>
        </w:rPr>
        <w:t>但有权全额收回该垫付款并按照市场上同期银行贷款利率计收利息的， </w:t>
      </w:r>
      <w:r>
        <w:rPr>
          <w:rFonts w:ascii="宋体" w:hAnsi="宋体" w:cs="宋体" w:eastAsia="宋体" w:hint="default"/>
          <w:spacing w:val="37"/>
          <w:sz w:val="21"/>
          <w:szCs w:val="21"/>
        </w:rPr>
        <w:t> </w:t>
      </w:r>
      <w:r>
        <w:rPr>
          <w:rFonts w:ascii="宋体" w:hAnsi="宋体" w:cs="宋体" w:eastAsia="宋体" w:hint="default"/>
          <w:sz w:val="21"/>
          <w:szCs w:val="21"/>
        </w:rPr>
        <w:t>视同满足本条件。</w:t>
      </w:r>
    </w:p>
    <w:p>
      <w:pPr>
        <w:spacing w:line="256" w:lineRule="auto" w:before="22"/>
        <w:ind w:left="152" w:right="1174"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．根据合同约定，不能出售该金融资产或作为担保物，但可以将其作为对最终收款方支付现金流量</w:t>
      </w:r>
      <w:r>
        <w:rPr>
          <w:rFonts w:ascii="宋体" w:hAnsi="宋体" w:cs="宋体" w:eastAsia="宋体" w:hint="default"/>
          <w:w w:val="100"/>
          <w:sz w:val="21"/>
          <w:szCs w:val="21"/>
        </w:rPr>
        <w:t> </w:t>
      </w:r>
      <w:r>
        <w:rPr>
          <w:rFonts w:ascii="宋体" w:hAnsi="宋体" w:cs="宋体" w:eastAsia="宋体" w:hint="default"/>
          <w:sz w:val="21"/>
          <w:szCs w:val="21"/>
        </w:rPr>
        <w:t>的保证。</w:t>
      </w:r>
    </w:p>
    <w:p>
      <w:pPr>
        <w:spacing w:line="256" w:lineRule="auto" w:before="22"/>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．有义务将收取的现金流量及时支付给最终收款方。企业无权将该现金流量进行再投资，</w:t>
      </w:r>
      <w:r>
        <w:rPr>
          <w:rFonts w:ascii="宋体" w:hAnsi="宋体" w:cs="宋体" w:eastAsia="宋体" w:hint="default"/>
          <w:w w:val="100"/>
          <w:sz w:val="21"/>
          <w:szCs w:val="21"/>
        </w:rPr>
        <w:t> </w:t>
      </w:r>
      <w:r>
        <w:rPr>
          <w:rFonts w:ascii="宋体" w:hAnsi="宋体" w:cs="宋体" w:eastAsia="宋体" w:hint="default"/>
          <w:spacing w:val="-2"/>
          <w:sz w:val="21"/>
          <w:szCs w:val="21"/>
        </w:rPr>
        <w:t>但按照合同约定在相邻两次支付间隔期内将所收到的现金流量进行现金或现金等价物投资的除外。企</w:t>
      </w:r>
    </w:p>
    <w:p>
      <w:pPr>
        <w:spacing w:after="0" w:line="256" w:lineRule="auto"/>
        <w:jc w:val="left"/>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line="273" w:lineRule="auto" w:before="36"/>
        <w:ind w:left="573" w:right="1123" w:hanging="421"/>
        <w:jc w:val="left"/>
        <w:rPr>
          <w:rFonts w:ascii="宋体" w:hAnsi="宋体" w:cs="宋体" w:eastAsia="宋体" w:hint="default"/>
          <w:sz w:val="21"/>
          <w:szCs w:val="21"/>
        </w:rPr>
      </w:pPr>
      <w:r>
        <w:rPr>
          <w:rFonts w:ascii="宋体" w:hAnsi="宋体" w:cs="宋体" w:eastAsia="宋体" w:hint="default"/>
          <w:sz w:val="21"/>
          <w:szCs w:val="21"/>
        </w:rPr>
        <w:t>业按照合同约定进行再投资的，应当将投资收益按照合同约定支付给最终收款方。</w:t>
      </w:r>
      <w:r>
        <w:rPr>
          <w:rFonts w:ascii="宋体" w:hAnsi="宋体" w:cs="宋体" w:eastAsia="宋体" w:hint="default"/>
          <w:w w:val="100"/>
          <w:sz w:val="21"/>
          <w:szCs w:val="21"/>
        </w:rPr>
        <w:t> </w:t>
      </w:r>
      <w:r>
        <w:rPr>
          <w:rFonts w:ascii="宋体" w:hAnsi="宋体" w:cs="宋体" w:eastAsia="宋体" w:hint="default"/>
          <w:spacing w:val="-2"/>
          <w:sz w:val="21"/>
          <w:szCs w:val="21"/>
        </w:rPr>
        <w:t>已将金融资产所有权上几乎所有的风险和报酬转移给转入方的，终止确认该金融资产；保留了金融资</w:t>
      </w:r>
    </w:p>
    <w:p>
      <w:pPr>
        <w:spacing w:line="273" w:lineRule="auto" w:before="7"/>
        <w:ind w:left="152" w:right="1780" w:firstLine="0"/>
        <w:jc w:val="left"/>
        <w:rPr>
          <w:rFonts w:ascii="宋体" w:hAnsi="宋体" w:cs="宋体" w:eastAsia="宋体" w:hint="default"/>
          <w:sz w:val="21"/>
          <w:szCs w:val="21"/>
        </w:rPr>
      </w:pPr>
      <w:r>
        <w:rPr>
          <w:rFonts w:ascii="宋体" w:hAnsi="宋体" w:cs="宋体" w:eastAsia="宋体" w:hint="default"/>
          <w:sz w:val="21"/>
          <w:szCs w:val="21"/>
        </w:rPr>
        <w:t>产所有权上几乎所有的风险和报酬的，不终止确认该金融资产。</w:t>
      </w:r>
      <w:r>
        <w:rPr>
          <w:rFonts w:ascii="宋体" w:hAnsi="宋体" w:cs="宋体" w:eastAsia="宋体" w:hint="default"/>
          <w:spacing w:val="-3"/>
          <w:w w:val="100"/>
          <w:sz w:val="21"/>
          <w:szCs w:val="21"/>
        </w:rPr>
        <w:t> </w:t>
      </w:r>
      <w:r>
        <w:rPr>
          <w:rFonts w:ascii="宋体" w:hAnsi="宋体" w:cs="宋体" w:eastAsia="宋体" w:hint="default"/>
          <w:spacing w:val="-2"/>
          <w:sz w:val="21"/>
          <w:szCs w:val="21"/>
        </w:rPr>
        <w:t>既没有转移也没有保留金融资产所有权上几乎所有的风险和报酬的，分别下列情况处理：</w:t>
      </w:r>
    </w:p>
    <w:p>
      <w:pPr>
        <w:spacing w:before="7"/>
        <w:ind w:left="152" w:right="178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）放弃了对该金融资产控制的，终止确认该金融资产。</w:t>
      </w:r>
    </w:p>
    <w:p>
      <w:pPr>
        <w:spacing w:line="256" w:lineRule="auto" w:before="21"/>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）未放弃对该金融资产控制的，按照其继续涉入所转移金融资产的程度确认有关金融资产，并相应确</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认有关负债。</w:t>
      </w:r>
    </w:p>
    <w:p>
      <w:pPr>
        <w:spacing w:line="600" w:lineRule="atLeast" w:before="13"/>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金融负债的现时义务全部或部分已经解除的，终止确认该金融负债或其一部分。金融负债全部或部分</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终止确认的，将终止确认部分的账面价值与支付的对价（包括转出的非现金资产或承担的新金融负债）之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间的差额，计入当期损益。</w:t>
      </w:r>
    </w:p>
    <w:p>
      <w:pPr>
        <w:spacing w:line="590" w:lineRule="atLeast" w:before="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存在活跃市场的金融资产或金融负债，采用活跃市场中的报价确定其公允价值。金融工具不存在活跃</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市场的，采用估值技术确定其公允价值，估值技术包括参考熟悉情况并自愿交易的各方最近进行的市场交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易中使用的价格、参照实质上相同的其他金融工具的当前公允价值、现金流量折现法和期权定价模型等。</w:t>
      </w:r>
    </w:p>
    <w:p>
      <w:pPr>
        <w:spacing w:line="240" w:lineRule="auto" w:before="10"/>
        <w:rPr>
          <w:rFonts w:ascii="宋体" w:hAnsi="宋体" w:cs="宋体" w:eastAsia="宋体" w:hint="default"/>
          <w:sz w:val="23"/>
          <w:szCs w:val="23"/>
        </w:rPr>
      </w:pP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w:t>
      </w:r>
    </w:p>
    <w:p>
      <w:pPr>
        <w:spacing w:line="273" w:lineRule="auto" w:before="37"/>
        <w:ind w:left="573" w:right="1123" w:hanging="421"/>
        <w:jc w:val="left"/>
        <w:rPr>
          <w:rFonts w:ascii="宋体" w:hAnsi="宋体" w:cs="宋体" w:eastAsia="宋体" w:hint="default"/>
          <w:sz w:val="21"/>
          <w:szCs w:val="21"/>
        </w:rPr>
      </w:pPr>
      <w:r>
        <w:rPr>
          <w:rFonts w:ascii="宋体" w:hAnsi="宋体" w:cs="宋体" w:eastAsia="宋体" w:hint="default"/>
          <w:sz w:val="21"/>
          <w:szCs w:val="21"/>
        </w:rPr>
        <w:t>值进行检查，如果有客观证据表明某项金融资产发生减值的，计提减值准备。</w:t>
      </w:r>
      <w:r>
        <w:rPr>
          <w:rFonts w:ascii="宋体" w:hAnsi="宋体" w:cs="宋体" w:eastAsia="宋体" w:hint="default"/>
          <w:w w:val="100"/>
          <w:sz w:val="21"/>
          <w:szCs w:val="21"/>
        </w:rPr>
        <w:t> </w:t>
      </w:r>
      <w:r>
        <w:rPr>
          <w:rFonts w:ascii="宋体" w:hAnsi="宋体" w:cs="宋体" w:eastAsia="宋体" w:hint="default"/>
          <w:spacing w:val="-2"/>
          <w:sz w:val="21"/>
          <w:szCs w:val="21"/>
        </w:rPr>
        <w:t>以摊余成本计量的金融资产发生减值时，按预计未来现金流量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不包括尚未发生的未来信用损失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现值</w:t>
      </w:r>
      <w:r>
        <w:rPr>
          <w:rFonts w:ascii="宋体" w:hAnsi="宋体" w:cs="宋体" w:eastAsia="宋体" w:hint="default"/>
          <w:sz w:val="21"/>
          <w:szCs w:val="21"/>
        </w:rPr>
      </w:r>
    </w:p>
    <w:p>
      <w:pPr>
        <w:spacing w:line="273" w:lineRule="auto" w:before="0"/>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低于账面价值的差额，计提减值准备。如果有客观证据表明该金融资产价值已恢复，且客观上与确认该损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失后发生的事项有关，原确认的减值损失予以转回，计入当期损益。</w:t>
      </w:r>
    </w:p>
    <w:p>
      <w:pPr>
        <w:spacing w:line="271" w:lineRule="auto" w:before="48"/>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当可供出售金融资产的公允价值发生较大幅度或非暂时性下降，原直接计入股东权益的因公允价值下</w:t>
      </w:r>
      <w:r>
        <w:rPr>
          <w:rFonts w:ascii="宋体" w:hAnsi="宋体" w:cs="宋体" w:eastAsia="宋体" w:hint="default"/>
          <w:w w:val="100"/>
          <w:sz w:val="21"/>
          <w:szCs w:val="21"/>
        </w:rPr>
        <w:t> </w:t>
      </w:r>
      <w:r>
        <w:rPr>
          <w:rFonts w:ascii="宋体" w:hAnsi="宋体" w:cs="宋体" w:eastAsia="宋体" w:hint="default"/>
          <w:spacing w:val="-2"/>
          <w:sz w:val="21"/>
          <w:szCs w:val="21"/>
        </w:rPr>
        <w:t>降形成的累计损失计入减值损失。对已确认减值损失的可供出售债务工具投资，在期后公允价值上升且客</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观上与确认原减值损失确认后发生的事项有关的，原确认的减值损失予以转回，计入当期损益。对已确认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减值损失的可供出售权益工具投资，在期后公允价值上升且客观上与确认原减值损失后发生的事项有关</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的，原确认的减值损失予以转回，直接计入股东权益。在活跃市场中没有报价且其公允价值不能可靠计量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的权益工具投资发生的减值损失，如果在以后期间价值得以恢复，也不予转回。</w:t>
      </w:r>
    </w:p>
    <w:p>
      <w:pPr>
        <w:spacing w:line="240" w:lineRule="auto" w:before="10"/>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）将尚未到期的持有至到期投资重分类为可供出售金融资产的，说明持有意图或能力发生改变的依据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44"/>
        <w:ind w:left="0" w:right="1136" w:firstLine="0"/>
        <w:jc w:val="right"/>
        <w:rPr>
          <w:rFonts w:ascii="宋体" w:hAnsi="宋体" w:cs="宋体" w:eastAsia="宋体" w:hint="default"/>
          <w:sz w:val="18"/>
          <w:szCs w:val="18"/>
        </w:rPr>
      </w:pPr>
      <w:r>
        <w:rPr/>
        <w:pict>
          <v:shape style="position:absolute;margin-left:56.459999pt;margin-top:-.728284pt;width:479.2pt;height:51.8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54"/>
                    <w:gridCol w:w="4515"/>
                  </w:tblGrid>
                  <w:tr>
                    <w:trPr>
                      <w:trHeight w:val="1027"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w:t>
                        </w:r>
                        <w:r>
                          <w:rPr>
                            <w:rFonts w:ascii="宋体" w:hAnsi="宋体" w:cs="宋体" w:eastAsia="宋体" w:hint="default"/>
                            <w:spacing w:val="-92"/>
                            <w:sz w:val="18"/>
                            <w:szCs w:val="18"/>
                          </w:rPr>
                          <w:t>项</w:t>
                        </w:r>
                        <w:r>
                          <w:rPr>
                            <w:rFonts w:ascii="宋体" w:hAnsi="宋体" w:cs="宋体" w:eastAsia="宋体" w:hint="default"/>
                            <w:spacing w:val="2"/>
                            <w:sz w:val="18"/>
                            <w:szCs w:val="18"/>
                          </w:rPr>
                          <w:t>（</w:t>
                        </w:r>
                        <w:r>
                          <w:rPr>
                            <w:rFonts w:ascii="宋体" w:hAnsi="宋体" w:cs="宋体" w:eastAsia="宋体" w:hint="default"/>
                            <w:sz w:val="18"/>
                            <w:szCs w:val="18"/>
                          </w:rPr>
                          <w:t>单项金额在</w:t>
                        </w:r>
                        <w:r>
                          <w:rPr>
                            <w:rFonts w:ascii="宋体" w:hAnsi="宋体" w:cs="宋体" w:eastAsia="宋体" w:hint="default"/>
                            <w:spacing w:val="-6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万元以上</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万元），当存在客观证据表明本公司将无法按应收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款项的原有条款收回所有款项时，确认相应的坏账准备。</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6" w:footer="1284" w:top="1060" w:bottom="14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1340"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 </w:t>
            </w:r>
            <w:r>
              <w:rPr>
                <w:rFonts w:ascii="宋体" w:hAnsi="宋体" w:cs="宋体" w:eastAsia="宋体" w:hint="default"/>
                <w:spacing w:val="-2"/>
                <w:sz w:val="18"/>
                <w:szCs w:val="18"/>
              </w:rPr>
              <w:t>额，单独进行减值测试，计提坏账准备；经单独测试未发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生减值的，包括在具有类似信用风险特征的应收款项组合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中计提坏账准备。</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相同账龄的应收款项具有类似的信用风险特征</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应收保证金款项具有类似的信用风险特征</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合并报表范围内的应收款项具有类似的信用风险特征</w:t>
            </w:r>
          </w:p>
        </w:tc>
      </w:tr>
    </w:tbl>
    <w:p>
      <w:pPr>
        <w:spacing w:before="49"/>
        <w:ind w:left="152" w:right="178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17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178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17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2"/>
        <w:gridCol w:w="5639"/>
      </w:tblGrid>
      <w:tr>
        <w:trPr>
          <w:trHeight w:val="402" w:hRule="exact"/>
        </w:trPr>
        <w:tc>
          <w:tcPr>
            <w:tcW w:w="3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1025"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 量现值低于其账面价值的差额计提坏账准备；经单独测试未发现减值， 不计提坏账准备。</w:t>
            </w:r>
          </w:p>
        </w:tc>
      </w:tr>
      <w:tr>
        <w:trPr>
          <w:trHeight w:val="1027"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单独进行减值测试，若有客观证据表明发生了减值，按预计未来现金流 量现值低于其账面价值的差额计提坏账准备；经单独测试未发现减值， 不计提坏账准备。</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有确凿证据表明其可收回性存在明显差异</w:t>
            </w:r>
          </w:p>
        </w:tc>
      </w:tr>
      <w:tr>
        <w:trPr>
          <w:trHeight w:val="1027"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准备；经单独测试未发生减值的，包括在具有类似信用风险特征的应收款项组 合中计提坏账准备。</w:t>
            </w:r>
          </w:p>
        </w:tc>
      </w:tr>
    </w:tbl>
    <w:p>
      <w:pPr>
        <w:spacing w:after="0" w:line="316" w:lineRule="auto"/>
        <w:jc w:val="both"/>
        <w:rPr>
          <w:rFonts w:ascii="宋体" w:hAnsi="宋体" w:cs="宋体" w:eastAsia="宋体" w:hint="default"/>
          <w:sz w:val="18"/>
          <w:szCs w:val="18"/>
        </w:rPr>
        <w:sectPr>
          <w:pgSz w:w="11910" w:h="16840"/>
          <w:pgMar w:header="876" w:footer="1284" w:top="1060" w:bottom="1480" w:left="980" w:right="0"/>
        </w:sectPr>
      </w:pPr>
    </w:p>
    <w:p>
      <w:pPr>
        <w:spacing w:line="240" w:lineRule="auto" w:before="10"/>
        <w:rPr>
          <w:rFonts w:ascii="宋体" w:hAnsi="宋体" w:cs="宋体" w:eastAsia="宋体" w:hint="default"/>
          <w:b/>
          <w:bCs/>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6" w:lineRule="auto"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存货包括原材料、在产品、产成品和周转材料等，按成本与可变现净值孰低列示。</w:t>
      </w:r>
    </w:p>
    <w:p>
      <w:pPr>
        <w:spacing w:before="104"/>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307" w:lineRule="auto" w:before="0"/>
        <w:ind w:left="573" w:right="1123" w:hanging="421"/>
        <w:jc w:val="left"/>
        <w:rPr>
          <w:rFonts w:ascii="宋体" w:hAnsi="宋体" w:cs="宋体" w:eastAsia="宋体" w:hint="default"/>
          <w:sz w:val="21"/>
          <w:szCs w:val="21"/>
        </w:rPr>
      </w:pPr>
      <w:r>
        <w:rPr>
          <w:rFonts w:ascii="宋体" w:hAnsi="宋体" w:cs="宋体" w:eastAsia="宋体" w:hint="default"/>
          <w:sz w:val="21"/>
          <w:szCs w:val="21"/>
        </w:rPr>
        <w:t>计价方法：加权平均法</w:t>
      </w:r>
      <w:r>
        <w:rPr>
          <w:rFonts w:ascii="宋体" w:hAnsi="宋体" w:cs="宋体" w:eastAsia="宋体" w:hint="default"/>
          <w:w w:val="100"/>
          <w:sz w:val="21"/>
          <w:szCs w:val="21"/>
        </w:rPr>
        <w:t> </w:t>
      </w:r>
      <w:r>
        <w:rPr>
          <w:rFonts w:ascii="宋体" w:hAnsi="宋体" w:cs="宋体" w:eastAsia="宋体" w:hint="default"/>
          <w:spacing w:val="-2"/>
          <w:sz w:val="21"/>
          <w:szCs w:val="21"/>
        </w:rPr>
        <w:t>存货发出时的成本按加权平均法核算，产成品和在产品成本包括原材料、直接人工以及在正常生产能</w:t>
      </w:r>
    </w:p>
    <w:p>
      <w:pPr>
        <w:spacing w:line="253" w:lineRule="exact" w:before="0"/>
        <w:ind w:left="152" w:right="1780" w:firstLine="0"/>
        <w:jc w:val="left"/>
        <w:rPr>
          <w:rFonts w:ascii="宋体" w:hAnsi="宋体" w:cs="宋体" w:eastAsia="宋体" w:hint="default"/>
          <w:sz w:val="21"/>
          <w:szCs w:val="21"/>
        </w:rPr>
      </w:pPr>
      <w:r>
        <w:rPr>
          <w:rFonts w:ascii="宋体" w:hAnsi="宋体" w:cs="宋体" w:eastAsia="宋体" w:hint="default"/>
          <w:sz w:val="21"/>
          <w:szCs w:val="21"/>
        </w:rPr>
        <w:t>力下按照一定方法分配的制造费用。周转材料包括低值易耗品和包装物等。</w:t>
      </w:r>
    </w:p>
    <w:p>
      <w:pPr>
        <w:spacing w:line="600" w:lineRule="atLeast" w:before="28"/>
        <w:ind w:left="573" w:right="98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5"/>
          <w:sz w:val="21"/>
          <w:szCs w:val="21"/>
        </w:rPr>
        <w:t>存货成本高于其可变现净值的，计提存货跌价准备，计入当期损益。可变现净值，是指在日常活动中，</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存货的估计售价减去至完工时估计将要发生的成本、估计的销售费用以及相关税费后的金额。公司确定存</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货的可变现净值，以取得的确凿证据为基础，并且考虑持有存货的目的、资产负债表日后事项的影响等因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素。</w:t>
      </w:r>
    </w:p>
    <w:p>
      <w:pPr>
        <w:spacing w:line="240" w:lineRule="auto" w:before="7"/>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307" w:lineRule="auto" w:before="0"/>
        <w:ind w:left="152" w:right="6313" w:firstLine="0"/>
        <w:jc w:val="left"/>
        <w:rPr>
          <w:rFonts w:ascii="宋体" w:hAnsi="宋体" w:cs="宋体" w:eastAsia="宋体" w:hint="default"/>
          <w:sz w:val="21"/>
          <w:szCs w:val="21"/>
        </w:rPr>
      </w:pPr>
      <w:r>
        <w:rPr>
          <w:rFonts w:ascii="宋体" w:hAnsi="宋体" w:cs="宋体" w:eastAsia="宋体" w:hint="default"/>
          <w:sz w:val="21"/>
          <w:szCs w:val="21"/>
        </w:rPr>
        <w:t>盘存制度：永续盘存制</w:t>
      </w:r>
      <w:r>
        <w:rPr>
          <w:rFonts w:ascii="宋体" w:hAnsi="宋体" w:cs="宋体" w:eastAsia="宋体" w:hint="default"/>
          <w:w w:val="100"/>
          <w:sz w:val="21"/>
          <w:szCs w:val="21"/>
        </w:rPr>
        <w:t> </w:t>
      </w:r>
      <w:r>
        <w:rPr>
          <w:rFonts w:ascii="宋体" w:hAnsi="宋体" w:cs="宋体" w:eastAsia="宋体" w:hint="default"/>
          <w:spacing w:val="-2"/>
          <w:sz w:val="21"/>
          <w:szCs w:val="21"/>
        </w:rPr>
        <w:t>存货盘存制度采用永续盘存制。</w:t>
      </w:r>
    </w:p>
    <w:p>
      <w:pPr>
        <w:spacing w:line="614" w:lineRule="exact" w:before="33"/>
        <w:ind w:left="152" w:right="631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）低值易耗品和包装物的摊销方法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低值易耗品</w:t>
      </w:r>
    </w:p>
    <w:p>
      <w:pPr>
        <w:spacing w:line="257" w:lineRule="exact" w:before="0"/>
        <w:ind w:left="152" w:right="1780" w:firstLine="0"/>
        <w:jc w:val="left"/>
        <w:rPr>
          <w:rFonts w:ascii="宋体" w:hAnsi="宋体" w:cs="宋体" w:eastAsia="宋体" w:hint="default"/>
          <w:sz w:val="21"/>
          <w:szCs w:val="21"/>
        </w:rPr>
      </w:pPr>
      <w:r>
        <w:rPr>
          <w:rFonts w:ascii="宋体" w:hAnsi="宋体" w:cs="宋体" w:eastAsia="宋体" w:hint="default"/>
          <w:sz w:val="21"/>
          <w:szCs w:val="21"/>
        </w:rPr>
        <w:t>摊销方法：一次摊销法</w:t>
      </w:r>
    </w:p>
    <w:p>
      <w:pPr>
        <w:spacing w:line="307" w:lineRule="auto" w:before="78"/>
        <w:ind w:left="152" w:right="8234" w:firstLine="0"/>
        <w:jc w:val="left"/>
        <w:rPr>
          <w:rFonts w:ascii="宋体" w:hAnsi="宋体" w:cs="宋体" w:eastAsia="宋体" w:hint="default"/>
          <w:sz w:val="21"/>
          <w:szCs w:val="21"/>
        </w:rPr>
      </w:pPr>
      <w:r>
        <w:rPr>
          <w:rFonts w:ascii="宋体" w:hAnsi="宋体" w:cs="宋体" w:eastAsia="宋体" w:hint="default"/>
          <w:sz w:val="21"/>
          <w:szCs w:val="21"/>
        </w:rPr>
        <w:t>包装物</w:t>
      </w:r>
      <w:r>
        <w:rPr>
          <w:rFonts w:ascii="宋体" w:hAnsi="宋体" w:cs="宋体" w:eastAsia="宋体" w:hint="default"/>
          <w:spacing w:val="-102"/>
          <w:sz w:val="21"/>
          <w:szCs w:val="21"/>
        </w:rPr>
        <w:t> </w:t>
      </w:r>
      <w:r>
        <w:rPr>
          <w:rFonts w:ascii="宋体" w:hAnsi="宋体" w:cs="宋体" w:eastAsia="宋体" w:hint="default"/>
          <w:spacing w:val="-2"/>
          <w:sz w:val="21"/>
          <w:szCs w:val="21"/>
        </w:rPr>
        <w:t>摊销方法：一次摊销法</w:t>
      </w:r>
    </w:p>
    <w:p>
      <w:pPr>
        <w:spacing w:line="240" w:lineRule="auto" w:before="1"/>
        <w:rPr>
          <w:rFonts w:ascii="宋体" w:hAnsi="宋体" w:cs="宋体" w:eastAsia="宋体" w:hint="default"/>
          <w:sz w:val="21"/>
          <w:szCs w:val="21"/>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64"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6"/>
          <w:w w:val="100"/>
          <w:sz w:val="21"/>
          <w:szCs w:val="21"/>
        </w:rPr>
        <w:t>企业合并形成的长期股权投资，按照本附注</w:t>
      </w:r>
      <w:r>
        <w:rPr>
          <w:rFonts w:ascii="Times New Roman" w:hAnsi="Times New Roman" w:cs="Times New Roman" w:eastAsia="Times New Roman" w:hint="default"/>
          <w:spacing w:val="-6"/>
          <w:w w:val="100"/>
          <w:sz w:val="21"/>
          <w:szCs w:val="21"/>
        </w:rPr>
        <w:t>“3.3</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2"/>
          <w:w w:val="100"/>
          <w:sz w:val="21"/>
          <w:szCs w:val="21"/>
        </w:rPr>
        <w:t>同一控制下和非同一控制下企业合并的会计处理方法</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的相关内容确认初始投资成本；除企业合并形成的长期股权投资以外，其他方式取得的长期股权投资，按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照下述方法确认其初始投资成本：</w:t>
      </w:r>
    </w:p>
    <w:p>
      <w:pPr>
        <w:spacing w:before="54"/>
        <w:ind w:left="573"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）以支付现金方式取得的长期股权投资，按照实际支付的购买价款作为初始投资成本。</w:t>
      </w:r>
    </w:p>
    <w:p>
      <w:pPr>
        <w:spacing w:before="62"/>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）以发行权益性证券取得的长期股权投资，按照发行权益性证券的公允价值作为初始投资成本。</w:t>
      </w:r>
    </w:p>
    <w:p>
      <w:pPr>
        <w:spacing w:line="256" w:lineRule="auto" w:before="62"/>
        <w:ind w:left="152" w:right="1210"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）投资者投入的长期股权投资，按照投资合同或协议约定的价值作为初始投资成本，但合同或协议</w:t>
      </w:r>
      <w:r>
        <w:rPr>
          <w:rFonts w:ascii="宋体" w:hAnsi="宋体" w:cs="宋体" w:eastAsia="宋体" w:hint="default"/>
          <w:w w:val="100"/>
          <w:sz w:val="21"/>
          <w:szCs w:val="21"/>
        </w:rPr>
        <w:t> </w:t>
      </w:r>
      <w:r>
        <w:rPr>
          <w:rFonts w:ascii="宋体" w:hAnsi="宋体" w:cs="宋体" w:eastAsia="宋体" w:hint="default"/>
          <w:sz w:val="21"/>
          <w:szCs w:val="21"/>
        </w:rPr>
        <w:t>约定价值不公允的除外。</w:t>
      </w:r>
    </w:p>
    <w:p>
      <w:pPr>
        <w:spacing w:line="256" w:lineRule="auto" w:before="61"/>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）在非货币性资产交换具备商业实质和换入资产或换出资产的公允价值能够可靠计量的前提下，非</w:t>
      </w:r>
      <w:r>
        <w:rPr>
          <w:rFonts w:ascii="宋体" w:hAnsi="宋体" w:cs="宋体" w:eastAsia="宋体" w:hint="default"/>
          <w:w w:val="100"/>
          <w:sz w:val="21"/>
          <w:szCs w:val="21"/>
        </w:rPr>
        <w:t> </w:t>
      </w:r>
      <w:r>
        <w:rPr>
          <w:rFonts w:ascii="宋体" w:hAnsi="宋体" w:cs="宋体" w:eastAsia="宋体" w:hint="default"/>
          <w:spacing w:val="-2"/>
          <w:sz w:val="21"/>
          <w:szCs w:val="21"/>
        </w:rPr>
        <w:t>货币性资产交换换入的长期股权投资以换出资产的公允价值为基础确定其初始投资成本，除非有确凿证据</w:t>
      </w:r>
    </w:p>
    <w:p>
      <w:pPr>
        <w:spacing w:after="0" w:line="256" w:lineRule="auto"/>
        <w:jc w:val="both"/>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line="273" w:lineRule="auto" w:before="36"/>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表明换入资产的公允价值更加可靠；不满足上述前提的非货币性资产交换，以换出资产的账面价值和应支</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付的相关税费作为换入长期股权投资的初始投资成本。</w:t>
      </w:r>
    </w:p>
    <w:p>
      <w:pPr>
        <w:spacing w:before="48"/>
        <w:ind w:left="573"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）通过债务重组取得的长期股权投资，其初始投资成本按照公允价值为基础确定。</w:t>
      </w:r>
    </w:p>
    <w:p>
      <w:pPr>
        <w:spacing w:line="600" w:lineRule="atLeast" w:before="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公司对子公司的长期股权投资，采用成本法核算，编制合并财务报表时按照权益法进行调整。对被投</w:t>
      </w:r>
    </w:p>
    <w:p>
      <w:pPr>
        <w:spacing w:line="273" w:lineRule="auto" w:before="37"/>
        <w:ind w:left="152" w:right="982" w:firstLine="0"/>
        <w:jc w:val="left"/>
        <w:rPr>
          <w:rFonts w:ascii="宋体" w:hAnsi="宋体" w:cs="宋体" w:eastAsia="宋体" w:hint="default"/>
          <w:sz w:val="21"/>
          <w:szCs w:val="21"/>
        </w:rPr>
      </w:pPr>
      <w:r>
        <w:rPr>
          <w:rFonts w:ascii="宋体" w:hAnsi="宋体" w:cs="宋体" w:eastAsia="宋体" w:hint="default"/>
          <w:spacing w:val="-5"/>
          <w:sz w:val="21"/>
          <w:szCs w:val="21"/>
        </w:rPr>
        <w:t>资单位不具有共同控制或重大影响，并且在活跃市场中没有报价、公允价值不能可靠计量的长期股权投资，</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采用成本法核算。对被投资单位具有共同控制或重大影响的长期股权投资，采用权益法核算。</w:t>
      </w:r>
    </w:p>
    <w:p>
      <w:pPr>
        <w:spacing w:line="273" w:lineRule="auto" w:before="48"/>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采用成本法核算的长期股权投资，除取得投资时实际支付的价款或对价中包含的已宣告但尚未发放的</w:t>
      </w:r>
      <w:r>
        <w:rPr>
          <w:rFonts w:ascii="宋体" w:hAnsi="宋体" w:cs="宋体" w:eastAsia="宋体" w:hint="default"/>
          <w:w w:val="100"/>
          <w:sz w:val="21"/>
          <w:szCs w:val="21"/>
        </w:rPr>
        <w:t> </w:t>
      </w:r>
      <w:r>
        <w:rPr>
          <w:rFonts w:ascii="宋体" w:hAnsi="宋体" w:cs="宋体" w:eastAsia="宋体" w:hint="default"/>
          <w:spacing w:val="-2"/>
          <w:sz w:val="21"/>
          <w:szCs w:val="21"/>
        </w:rPr>
        <w:t>现金股利或利润外，投资企业应当按照享有被投资单位宣告发放的现金股利或利润确认投资收益。采用权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益法核算的长期股权投资，初始投资成本大于投资时应享有被投资单位可辨认净资产公允价值份额的，其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差额包含在初始投资成本中；初始投资成本小于投资时应享有被投资单位可辨认净资产公允价值份额且经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复核两者差额仍存在时，该差额计入当期损益，同时调整长期股权投资成本。</w:t>
      </w:r>
    </w:p>
    <w:p>
      <w:pPr>
        <w:spacing w:line="273" w:lineRule="auto" w:before="48"/>
        <w:ind w:left="152" w:right="1105" w:firstLine="420"/>
        <w:jc w:val="both"/>
        <w:rPr>
          <w:rFonts w:ascii="宋体" w:hAnsi="宋体" w:cs="宋体" w:eastAsia="宋体" w:hint="default"/>
          <w:sz w:val="21"/>
          <w:szCs w:val="21"/>
        </w:rPr>
      </w:pPr>
      <w:r>
        <w:rPr>
          <w:rFonts w:ascii="宋体" w:hAnsi="宋体" w:cs="宋体" w:eastAsia="宋体" w:hint="default"/>
          <w:spacing w:val="-2"/>
          <w:sz w:val="21"/>
          <w:szCs w:val="21"/>
        </w:rPr>
        <w:t>采用权益法核算时，按应享有或应分担的被投资单位的净损益份额确认当期投资损益。确认被投资单</w:t>
      </w:r>
      <w:r>
        <w:rPr>
          <w:rFonts w:ascii="宋体" w:hAnsi="宋体" w:cs="宋体" w:eastAsia="宋体" w:hint="default"/>
          <w:w w:val="100"/>
          <w:sz w:val="21"/>
          <w:szCs w:val="21"/>
        </w:rPr>
        <w:t> </w:t>
      </w:r>
      <w:r>
        <w:rPr>
          <w:rFonts w:ascii="宋体" w:hAnsi="宋体" w:cs="宋体" w:eastAsia="宋体" w:hint="default"/>
          <w:spacing w:val="-2"/>
          <w:sz w:val="21"/>
          <w:szCs w:val="21"/>
        </w:rPr>
        <w:t>位发生的净亏损，以长期股权投资的账面价值以及其他实质上构成对被投资单位净投资的长期权益减记至</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零为限，但本公司负有承担额外损失义务且符合或有事项准则所规定的预计负债确认条件的，继续确认投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资损失和预计负债。被投资单位除净损益以外股东权益的其他变动，本公司按照持股比例计算应享有或承</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担的部分直接计入资本公积。被投资单位分派的利润或现金股利于宣告分派时按照本公司应分得的部分，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相应减少长期股权投资的账面价值。本公司与被投资单位之间的交易产生的未实现损益在本公司拥有被投</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资单位的权益范围内予以抵销，惟该交易所转让的资产发生减值的，则相应的未实现损益不予抵销。</w:t>
      </w:r>
    </w:p>
    <w:p>
      <w:pPr>
        <w:spacing w:line="614" w:lineRule="exact" w:before="5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按照合同约定对某项经济活动所共有的控制，仅在与该项经济活动相关的重要财务和经营决策需要分</w:t>
      </w:r>
    </w:p>
    <w:p>
      <w:pPr>
        <w:spacing w:line="219"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享控制权的投资方一致同意时存在，则视为与其他方对被投资单位实施共同控制；对一个企业的财务和经</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营决策有参与决策的权力，但并不能够控制或者与其他方一起共同控制这些政策的制定，则视为对被投资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单位施加重大影响。</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采用成本法核算的、在活跃市场中没有报价、公允价值不能可靠计量的长期股权投资，其账面价值高</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于按照类似投资当时市场收益率对未来现金流量折现确定的现值，确认该项投资存在减值。采用权益法核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算的联营企业和合营企业以及采用成本法核算的子公司的长期股权投资，当长期股权投资的账面价值高于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可收回金额时，确认该项投资存在减值。长期股权投资存在减值迹象的，其账面价值减记至可收回金额。</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可收回金额根据长期股权投资的公允价值减去处置费用后的净额与长期股权投资预计未来现金流量的现</w:t>
      </w:r>
      <w:r>
        <w:rPr>
          <w:rFonts w:ascii="宋体" w:hAnsi="宋体" w:cs="宋体" w:eastAsia="宋体" w:hint="default"/>
          <w:w w:val="100"/>
          <w:sz w:val="21"/>
          <w:szCs w:val="21"/>
        </w:rPr>
        <w:t> </w:t>
      </w:r>
      <w:r>
        <w:rPr>
          <w:rFonts w:ascii="宋体" w:hAnsi="宋体" w:cs="宋体" w:eastAsia="宋体" w:hint="default"/>
          <w:sz w:val="21"/>
          <w:szCs w:val="21"/>
        </w:rPr>
        <w:t>值两者之间较高者确定。</w:t>
      </w:r>
    </w:p>
    <w:p>
      <w:pPr>
        <w:spacing w:line="590" w:lineRule="atLeast" w:before="8"/>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投资性房地产包括已出租持有并准备增值后转让的土地使用权以及已出租的建筑物，以实际成本进行</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初始计量。与投资性房地产有关的后续支出，在相关的经济利益很可能流入本公司且其成本能够可靠的计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量时，计入投资性房地产成本；否则，在发生时计入当期损益。</w:t>
      </w:r>
    </w:p>
    <w:p>
      <w:pPr>
        <w:spacing w:before="7"/>
        <w:ind w:left="573" w:right="982" w:firstLine="0"/>
        <w:jc w:val="left"/>
        <w:rPr>
          <w:rFonts w:ascii="宋体" w:hAnsi="宋体" w:cs="宋体" w:eastAsia="宋体" w:hint="default"/>
          <w:sz w:val="21"/>
          <w:szCs w:val="21"/>
        </w:rPr>
      </w:pPr>
      <w:r>
        <w:rPr>
          <w:rFonts w:ascii="宋体" w:hAnsi="宋体" w:cs="宋体" w:eastAsia="宋体" w:hint="default"/>
          <w:sz w:val="21"/>
          <w:szCs w:val="21"/>
        </w:rPr>
        <w:t>本公司采用成本模式对所有投资性房地产进行后续计量，按其预计使用寿命及净残值率对建筑物和土</w:t>
      </w:r>
    </w:p>
    <w:p>
      <w:pPr>
        <w:spacing w:after="0"/>
        <w:jc w:val="left"/>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sz w:val="21"/>
          <w:szCs w:val="21"/>
        </w:rPr>
        <w:t>地使用权计提折旧或摊销。投资性房地产的预计使用寿命、净残值率及年折旧</w:t>
      </w:r>
      <w:r>
        <w:rPr>
          <w:rFonts w:ascii="Times New Roman" w:hAnsi="Times New Roman" w:cs="Times New Roman" w:eastAsia="Times New Roman" w:hint="default"/>
          <w:sz w:val="21"/>
          <w:szCs w:val="21"/>
        </w:rPr>
        <w:t>(</w:t>
      </w:r>
      <w:r>
        <w:rPr>
          <w:rFonts w:ascii="宋体" w:hAnsi="宋体" w:cs="宋体" w:eastAsia="宋体" w:hint="default"/>
          <w:sz w:val="21"/>
          <w:szCs w:val="21"/>
        </w:rPr>
        <w:t>摊销</w:t>
      </w:r>
      <w:r>
        <w:rPr>
          <w:rFonts w:ascii="Times New Roman" w:hAnsi="Times New Roman" w:cs="Times New Roman" w:eastAsia="Times New Roman" w:hint="default"/>
          <w:sz w:val="21"/>
          <w:szCs w:val="21"/>
        </w:rPr>
        <w:t>)</w:t>
      </w:r>
      <w:r>
        <w:rPr>
          <w:rFonts w:ascii="宋体" w:hAnsi="宋体" w:cs="宋体" w:eastAsia="宋体" w:hint="default"/>
          <w:sz w:val="21"/>
          <w:szCs w:val="21"/>
        </w:rPr>
        <w:t>率列示如下：</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134"/>
        <w:gridCol w:w="1995"/>
        <w:gridCol w:w="2393"/>
        <w:gridCol w:w="2552"/>
      </w:tblGrid>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预计使用寿命（年）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预计净残值率（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年折旧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摊销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34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24"/>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1.9</w:t>
            </w:r>
          </w:p>
        </w:tc>
      </w:tr>
    </w:tbl>
    <w:p>
      <w:pPr>
        <w:spacing w:line="273" w:lineRule="auto" w:before="0"/>
        <w:ind w:left="152" w:right="1104" w:firstLine="420"/>
        <w:jc w:val="both"/>
        <w:rPr>
          <w:rFonts w:ascii="宋体" w:hAnsi="宋体" w:cs="宋体" w:eastAsia="宋体" w:hint="default"/>
          <w:sz w:val="21"/>
          <w:szCs w:val="21"/>
        </w:rPr>
      </w:pPr>
      <w:r>
        <w:rPr>
          <w:rFonts w:ascii="宋体" w:hAnsi="宋体" w:cs="宋体" w:eastAsia="宋体" w:hint="default"/>
          <w:spacing w:val="-2"/>
          <w:sz w:val="21"/>
          <w:szCs w:val="21"/>
        </w:rPr>
        <w:t>投资性房地产的用途改变为自用时，自改变之日起，将该投资性房地产转换为固定资产或无形资产。</w:t>
      </w:r>
      <w:r>
        <w:rPr>
          <w:rFonts w:ascii="宋体" w:hAnsi="宋体" w:cs="宋体" w:eastAsia="宋体" w:hint="default"/>
          <w:w w:val="100"/>
          <w:sz w:val="21"/>
          <w:szCs w:val="21"/>
        </w:rPr>
        <w:t> </w:t>
      </w:r>
      <w:r>
        <w:rPr>
          <w:rFonts w:ascii="宋体" w:hAnsi="宋体" w:cs="宋体" w:eastAsia="宋体" w:hint="default"/>
          <w:spacing w:val="-2"/>
          <w:sz w:val="21"/>
          <w:szCs w:val="21"/>
        </w:rPr>
        <w:t>自用房地产的用途改变为赚取租金或资本增值时，自改变之日起，将固定资产或无形资产转换为投资性房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地产。发生转换时，以转换前的账面价值作为转换后的入账价值。</w:t>
      </w:r>
    </w:p>
    <w:p>
      <w:pPr>
        <w:spacing w:line="256" w:lineRule="auto" w:before="7"/>
        <w:ind w:left="152" w:right="1174" w:firstLine="420"/>
        <w:jc w:val="both"/>
        <w:rPr>
          <w:rFonts w:ascii="宋体" w:hAnsi="宋体" w:cs="宋体" w:eastAsia="宋体" w:hint="default"/>
          <w:sz w:val="21"/>
          <w:szCs w:val="21"/>
        </w:rPr>
      </w:pPr>
      <w:r>
        <w:rPr>
          <w:rFonts w:ascii="宋体" w:hAnsi="宋体" w:cs="宋体" w:eastAsia="宋体" w:hint="default"/>
          <w:spacing w:val="-2"/>
          <w:sz w:val="21"/>
          <w:szCs w:val="21"/>
        </w:rPr>
        <w:t>对投资性房地产的预计使用寿命、预计净残值和折旧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摊销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方法于每年年度终了进行复核并作适当调</w:t>
      </w:r>
      <w:r>
        <w:rPr>
          <w:rFonts w:ascii="宋体" w:hAnsi="宋体" w:cs="宋体" w:eastAsia="宋体" w:hint="default"/>
          <w:w w:val="100"/>
          <w:sz w:val="21"/>
          <w:szCs w:val="21"/>
        </w:rPr>
        <w:t> </w:t>
      </w:r>
      <w:r>
        <w:rPr>
          <w:rFonts w:ascii="宋体" w:hAnsi="宋体" w:cs="宋体" w:eastAsia="宋体" w:hint="default"/>
          <w:sz w:val="21"/>
          <w:szCs w:val="21"/>
        </w:rPr>
        <w:t>整。</w:t>
      </w:r>
    </w:p>
    <w:p>
      <w:pPr>
        <w:spacing w:line="273" w:lineRule="auto" w:before="22"/>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当投资性房地产被处置、或者永久退出使用且预计不能从其处置中取得经济利益时，终止确认该项投</w:t>
      </w:r>
      <w:r>
        <w:rPr>
          <w:rFonts w:ascii="宋体" w:hAnsi="宋体" w:cs="宋体" w:eastAsia="宋体" w:hint="default"/>
          <w:w w:val="100"/>
          <w:sz w:val="21"/>
          <w:szCs w:val="21"/>
        </w:rPr>
        <w:t> </w:t>
      </w:r>
      <w:r>
        <w:rPr>
          <w:rFonts w:ascii="宋体" w:hAnsi="宋体" w:cs="宋体" w:eastAsia="宋体" w:hint="default"/>
          <w:spacing w:val="-2"/>
          <w:sz w:val="21"/>
          <w:szCs w:val="21"/>
        </w:rPr>
        <w:t>资性房地产。投资性房地产出售、转让、报废或毁损的处置收入扣除其账面价值和相关税费后的金额计入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当期损益。</w:t>
      </w:r>
    </w:p>
    <w:p>
      <w:pPr>
        <w:spacing w:before="7"/>
        <w:ind w:left="573" w:right="1780" w:firstLine="0"/>
        <w:jc w:val="left"/>
        <w:rPr>
          <w:rFonts w:ascii="宋体" w:hAnsi="宋体" w:cs="宋体" w:eastAsia="宋体" w:hint="default"/>
          <w:sz w:val="21"/>
          <w:szCs w:val="21"/>
        </w:rPr>
      </w:pPr>
      <w:r>
        <w:rPr>
          <w:rFonts w:ascii="宋体" w:hAnsi="宋体" w:cs="宋体" w:eastAsia="宋体" w:hint="default"/>
          <w:sz w:val="21"/>
          <w:szCs w:val="21"/>
        </w:rPr>
        <w:t>当投资性房地产的可收回金额低于其账面价值时，账面价值减记至可收回金额。</w:t>
      </w:r>
    </w:p>
    <w:p>
      <w:pPr>
        <w:spacing w:line="240" w:lineRule="auto" w:before="11"/>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590" w:lineRule="atLeast" w:before="2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固定资产是指为生产商品、提供劳务、出租或经营管理而持有的，使用寿命超过一个会计年度的有形</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资产。固定资产同时满足下列条件的，才能予以确认：</w:t>
      </w:r>
    </w:p>
    <w:p>
      <w:pPr>
        <w:spacing w:before="78"/>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62"/>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5"/>
        <w:rPr>
          <w:rFonts w:ascii="宋体" w:hAnsi="宋体" w:cs="宋体" w:eastAsia="宋体" w:hint="default"/>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6" w:lineRule="auto" w:before="0"/>
        <w:ind w:left="152" w:right="1780" w:firstLine="0"/>
        <w:jc w:val="left"/>
        <w:rPr>
          <w:rFonts w:ascii="宋体" w:hAnsi="宋体" w:cs="宋体" w:eastAsia="宋体" w:hint="default"/>
          <w:sz w:val="21"/>
          <w:szCs w:val="21"/>
        </w:rPr>
      </w:pPr>
      <w:r>
        <w:rPr/>
        <w:pict>
          <v:shape style="position:absolute;margin-left:57pt;margin-top:46.943676pt;width:478.7pt;height:80.9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18%-20%</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于每年年度终了，对固定资产的预计使用寿命、预计净残值和折旧方法进行复核并作适当调整。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23" w:firstLine="420"/>
        <w:jc w:val="left"/>
        <w:rPr>
          <w:rFonts w:ascii="宋体" w:hAnsi="宋体" w:cs="宋体" w:eastAsia="宋体" w:hint="default"/>
          <w:sz w:val="21"/>
          <w:szCs w:val="21"/>
        </w:rPr>
      </w:pPr>
      <w:r>
        <w:rPr>
          <w:rFonts w:ascii="宋体" w:hAnsi="宋体" w:cs="宋体" w:eastAsia="宋体" w:hint="default"/>
          <w:sz w:val="21"/>
          <w:szCs w:val="21"/>
        </w:rPr>
        <w:t>当固定资产的公允价值减去处置费用后的净额和资产预计未来现金流量的现值均低于固定资产账面</w:t>
      </w:r>
      <w:r>
        <w:rPr>
          <w:rFonts w:ascii="宋体" w:hAnsi="宋体" w:cs="宋体" w:eastAsia="宋体" w:hint="default"/>
          <w:w w:val="100"/>
          <w:sz w:val="21"/>
          <w:szCs w:val="21"/>
        </w:rPr>
        <w:t> </w:t>
      </w:r>
      <w:r>
        <w:rPr>
          <w:rFonts w:ascii="宋体" w:hAnsi="宋体" w:cs="宋体" w:eastAsia="宋体" w:hint="default"/>
          <w:spacing w:val="-2"/>
          <w:sz w:val="21"/>
          <w:szCs w:val="21"/>
        </w:rPr>
        <w:t>价值时，确认固定资产存在减值迹象。固定资产存在减值迹象的，其账面价值减记至可收回金额。可收回</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金额根据固定资产的公允价值减去处置费用后的净额与固定资产预计未来现金流量的现值两者之间较高</w:t>
      </w:r>
      <w:r>
        <w:rPr>
          <w:rFonts w:ascii="宋体" w:hAnsi="宋体" w:cs="宋体" w:eastAsia="宋体" w:hint="default"/>
          <w:w w:val="100"/>
          <w:sz w:val="21"/>
          <w:szCs w:val="21"/>
        </w:rPr>
        <w:t> </w:t>
      </w:r>
      <w:r>
        <w:rPr>
          <w:rFonts w:ascii="宋体" w:hAnsi="宋体" w:cs="宋体" w:eastAsia="宋体" w:hint="default"/>
          <w:sz w:val="21"/>
          <w:szCs w:val="21"/>
        </w:rPr>
        <w:t>者确定。</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符合持有待售条件的固定资产，以账面价值与公允价值减去处置费用孰低的金额列示。公允价值减去</w:t>
      </w:r>
      <w:r>
        <w:rPr>
          <w:rFonts w:ascii="宋体" w:hAnsi="宋体" w:cs="宋体" w:eastAsia="宋体" w:hint="default"/>
          <w:w w:val="100"/>
          <w:sz w:val="21"/>
          <w:szCs w:val="21"/>
        </w:rPr>
        <w:t> </w:t>
      </w:r>
      <w:r>
        <w:rPr>
          <w:rFonts w:ascii="宋体" w:hAnsi="宋体" w:cs="宋体" w:eastAsia="宋体" w:hint="default"/>
          <w:sz w:val="21"/>
          <w:szCs w:val="21"/>
        </w:rPr>
        <w:t>处置费用低于原账面价值的金额，确认为资产减值损失。</w:t>
      </w:r>
    </w:p>
    <w:p>
      <w:pPr>
        <w:spacing w:after="0" w:line="273" w:lineRule="auto"/>
        <w:jc w:val="left"/>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506" w:lineRule="auto" w:before="0"/>
        <w:ind w:left="573" w:right="631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在建工程按实际发生的成本计量。</w:t>
      </w:r>
    </w:p>
    <w:p>
      <w:pPr>
        <w:spacing w:before="101"/>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实际成本包括建筑费用、其他为使在建工程达到预定可使用状态所发生的必要支出以及在资产达到预</w:t>
      </w:r>
      <w:r>
        <w:rPr>
          <w:rFonts w:ascii="宋体" w:hAnsi="宋体" w:cs="宋体" w:eastAsia="宋体" w:hint="default"/>
          <w:w w:val="100"/>
          <w:sz w:val="21"/>
          <w:szCs w:val="21"/>
        </w:rPr>
        <w:t> </w:t>
      </w:r>
      <w:r>
        <w:rPr>
          <w:rFonts w:ascii="宋体" w:hAnsi="宋体" w:cs="宋体" w:eastAsia="宋体" w:hint="default"/>
          <w:sz w:val="21"/>
          <w:szCs w:val="21"/>
        </w:rPr>
        <w:t>定可使用状态之前所发生的符合资本化条件的借款费用。</w:t>
      </w:r>
    </w:p>
    <w:p>
      <w:pPr>
        <w:spacing w:line="240" w:lineRule="auto" w:before="7"/>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73" w:right="1780" w:firstLine="0"/>
        <w:jc w:val="left"/>
        <w:rPr>
          <w:rFonts w:ascii="宋体" w:hAnsi="宋体" w:cs="宋体" w:eastAsia="宋体" w:hint="default"/>
          <w:sz w:val="21"/>
          <w:szCs w:val="21"/>
        </w:rPr>
      </w:pPr>
      <w:r>
        <w:rPr>
          <w:rFonts w:ascii="宋体" w:hAnsi="宋体" w:cs="宋体" w:eastAsia="宋体" w:hint="default"/>
          <w:spacing w:val="-2"/>
          <w:sz w:val="21"/>
          <w:szCs w:val="21"/>
        </w:rPr>
        <w:t>在建工程在达到预定可使用状态时，转入固定资产并自次月起开始计提折旧。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当在建工程的可收回金额低于其账面价值时，账面价值减记至可收回金额。</w:t>
      </w:r>
    </w:p>
    <w:p>
      <w:pPr>
        <w:spacing w:line="240" w:lineRule="auto" w:before="7"/>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发生的可直接归属于需要经过相当长时间的购建活动才能达到预定可使用状态之固定资产的购建的</w:t>
      </w:r>
    </w:p>
    <w:p>
      <w:pPr>
        <w:spacing w:line="273" w:lineRule="auto" w:before="37"/>
        <w:ind w:left="152" w:right="982" w:firstLine="0"/>
        <w:jc w:val="left"/>
        <w:rPr>
          <w:rFonts w:ascii="宋体" w:hAnsi="宋体" w:cs="宋体" w:eastAsia="宋体" w:hint="default"/>
          <w:sz w:val="21"/>
          <w:szCs w:val="21"/>
        </w:rPr>
      </w:pPr>
      <w:r>
        <w:rPr>
          <w:rFonts w:ascii="宋体" w:hAnsi="宋体" w:cs="宋体" w:eastAsia="宋体" w:hint="default"/>
          <w:spacing w:val="-5"/>
          <w:sz w:val="21"/>
          <w:szCs w:val="21"/>
        </w:rPr>
        <w:t>借款费用，在资产支出及借款费用已经发生、为使资产达到预定可使用状态所必要的购建活动已经开始时，</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开始资本化并计入该资产的成本。当购建的资产达到预定可使用状态时停止资本化，其后发生的借款费用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计入当期损益。</w:t>
      </w:r>
    </w:p>
    <w:p>
      <w:pPr>
        <w:spacing w:line="612" w:lineRule="exact" w:before="63"/>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在资本化期间内，专门借款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指为购建或者生产符合资本化条件的资产而专门借入的款项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以专门借款</w:t>
      </w:r>
    </w:p>
    <w:p>
      <w:pPr>
        <w:spacing w:line="219"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当期实际发生的利息费用，减去将尚未动用的借款资金存入银行取得的利息收入或进行暂时性投资取得的</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投资收益后确定应予资本化的利息金额。</w:t>
      </w:r>
    </w:p>
    <w:p>
      <w:pPr>
        <w:spacing w:line="610" w:lineRule="atLeast" w:before="1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如果资产的购建活动发生非正常中断，并且中断时间连续超过</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个月，暂停借款费用的资本化，直至</w:t>
      </w:r>
    </w:p>
    <w:p>
      <w:pPr>
        <w:spacing w:before="22"/>
        <w:ind w:left="152" w:right="1780" w:firstLine="0"/>
        <w:jc w:val="left"/>
        <w:rPr>
          <w:rFonts w:ascii="宋体" w:hAnsi="宋体" w:cs="宋体" w:eastAsia="宋体" w:hint="default"/>
          <w:sz w:val="21"/>
          <w:szCs w:val="21"/>
        </w:rPr>
      </w:pPr>
      <w:r>
        <w:rPr>
          <w:rFonts w:ascii="宋体" w:hAnsi="宋体" w:cs="宋体" w:eastAsia="宋体" w:hint="default"/>
          <w:sz w:val="21"/>
          <w:szCs w:val="21"/>
        </w:rPr>
        <w:t>资产的购建活动重新开始。</w:t>
      </w:r>
    </w:p>
    <w:p>
      <w:pPr>
        <w:spacing w:line="240" w:lineRule="auto" w:before="3"/>
        <w:rPr>
          <w:rFonts w:ascii="宋体" w:hAnsi="宋体" w:cs="宋体" w:eastAsia="宋体" w:hint="default"/>
          <w:sz w:val="25"/>
          <w:szCs w:val="25"/>
        </w:rPr>
      </w:pPr>
    </w:p>
    <w:p>
      <w:pPr>
        <w:spacing w:line="610" w:lineRule="atLeast" w:before="0"/>
        <w:ind w:left="585" w:right="1123" w:hanging="43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z w:val="21"/>
          <w:szCs w:val="21"/>
        </w:rPr>
        <w:t>一般借款则根据累计资产支出超过专门借款部分的资产支出加权平均数乘以所占用一般借款的资</w:t>
      </w:r>
    </w:p>
    <w:p>
      <w:pPr>
        <w:spacing w:line="273" w:lineRule="auto" w:before="37"/>
        <w:ind w:left="164" w:right="1460" w:firstLine="0"/>
        <w:jc w:val="both"/>
        <w:rPr>
          <w:rFonts w:ascii="宋体" w:hAnsi="宋体" w:cs="宋体" w:eastAsia="宋体" w:hint="default"/>
          <w:sz w:val="21"/>
          <w:szCs w:val="21"/>
        </w:rPr>
      </w:pPr>
      <w:r>
        <w:rPr>
          <w:rFonts w:ascii="宋体" w:hAnsi="宋体" w:cs="宋体" w:eastAsia="宋体" w:hint="default"/>
          <w:spacing w:val="-2"/>
          <w:sz w:val="21"/>
          <w:szCs w:val="21"/>
        </w:rPr>
        <w:t>本化率，计算确定一般借款应予资本化的利息金额。资本化率根据一般借款加权平均利率计算确定。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借款存在折价或者溢价的，按照实际利率法确定每一会计期间应摊销的折价或者溢价金额，调整每期</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利息金额。</w:t>
      </w:r>
    </w:p>
    <w:p>
      <w:pPr>
        <w:spacing w:after="0" w:line="273" w:lineRule="auto"/>
        <w:jc w:val="both"/>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590" w:lineRule="atLeast" w:before="2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无形资产包括高尔夫权证、外购软件、专利权等。无形资产以实际成本计量。当无形资产的公允价值</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减去处置费用后的净额和资产预计未来现金流量的现值均低于无形资产账面价值时，确认无形资产存在减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值迹象。无形资产存在减值迹象的，其账面价值减记至可收回金额。可收回金额根据无形资产的公允价值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减去处置费用后的净额与无形资产预计未来现金流量的现值两者之间较高者确定。</w:t>
      </w:r>
    </w:p>
    <w:p>
      <w:pPr>
        <w:spacing w:line="240" w:lineRule="auto" w:before="7"/>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590" w:lineRule="atLeast" w:before="2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对使用寿命有限的无形资产的预计使用寿命及摊销方法于每年年度终了进行复核并作适当调整，对使</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用寿命不确定的无形资产，于每一个会计期间对该无形资产使用寿命进行复核，进行减值测试并做适当调</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整。</w:t>
      </w:r>
    </w:p>
    <w:p>
      <w:pPr>
        <w:spacing w:line="240" w:lineRule="auto" w:before="7"/>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590" w:lineRule="atLeast" w:before="2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根据内部研究开发项目支出的性质以及研发活动最终形成无形资产是否具有较大不确定性，分为研究</w:t>
      </w:r>
    </w:p>
    <w:p>
      <w:pPr>
        <w:spacing w:line="273" w:lineRule="auto" w:before="37"/>
        <w:ind w:left="573" w:right="982" w:hanging="421"/>
        <w:jc w:val="left"/>
        <w:rPr>
          <w:rFonts w:ascii="宋体" w:hAnsi="宋体" w:cs="宋体" w:eastAsia="宋体" w:hint="default"/>
          <w:sz w:val="21"/>
          <w:szCs w:val="21"/>
        </w:rPr>
      </w:pPr>
      <w:r>
        <w:rPr>
          <w:rFonts w:ascii="宋体" w:hAnsi="宋体" w:cs="宋体" w:eastAsia="宋体" w:hint="default"/>
          <w:sz w:val="21"/>
          <w:szCs w:val="21"/>
        </w:rPr>
        <w:t>阶段支出和开发阶段支出。</w:t>
      </w:r>
      <w:r>
        <w:rPr>
          <w:rFonts w:ascii="宋体" w:hAnsi="宋体" w:cs="宋体" w:eastAsia="宋体" w:hint="default"/>
          <w:w w:val="100"/>
          <w:sz w:val="21"/>
          <w:szCs w:val="21"/>
        </w:rPr>
        <w:t> </w:t>
      </w:r>
      <w:r>
        <w:rPr>
          <w:rFonts w:ascii="宋体" w:hAnsi="宋体" w:cs="宋体" w:eastAsia="宋体" w:hint="default"/>
          <w:spacing w:val="-5"/>
          <w:sz w:val="21"/>
          <w:szCs w:val="21"/>
        </w:rPr>
        <w:t>研究阶段的支出，于发生时计入当期损益；开发阶段的支出，同时满足下列条件的，确认为无形资产：</w:t>
      </w:r>
    </w:p>
    <w:p>
      <w:pPr>
        <w:spacing w:line="256" w:lineRule="auto" w:before="8"/>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完成该无形资产以使其能够使用或出售在技术上具有可行性；</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Times New Roman" w:hAnsi="Times New Roman" w:cs="Times New Roman" w:eastAsia="Times New Roman" w:hint="default"/>
          <w:sz w:val="21"/>
          <w:szCs w:val="21"/>
        </w:rPr>
        <w:t>(2)</w:t>
      </w:r>
      <w:r>
        <w:rPr>
          <w:rFonts w:ascii="宋体" w:hAnsi="宋体" w:cs="宋体" w:eastAsia="宋体" w:hint="default"/>
          <w:sz w:val="21"/>
          <w:szCs w:val="21"/>
        </w:rPr>
        <w:t>管理层具有完成该无形资产并使用或出售的意图；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能够证明该无形资产将如何产生经济利益；</w:t>
      </w:r>
    </w:p>
    <w:p>
      <w:pPr>
        <w:spacing w:line="256" w:lineRule="auto" w:before="5"/>
        <w:ind w:left="152" w:right="982" w:firstLine="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有足够的技术、财务资源和其他资源支持，以完成该无形资产的开发，并有能力使用或出售该无形资产；</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p>
      <w:pPr>
        <w:spacing w:line="273" w:lineRule="auto" w:before="5"/>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不满足上述条件的开发阶段的支出，于发生时计入当期损益。前期已计入损益的开发支出不在以后期</w:t>
      </w:r>
      <w:r>
        <w:rPr>
          <w:rFonts w:ascii="宋体" w:hAnsi="宋体" w:cs="宋体" w:eastAsia="宋体" w:hint="default"/>
          <w:w w:val="100"/>
          <w:sz w:val="21"/>
          <w:szCs w:val="21"/>
        </w:rPr>
        <w:t> </w:t>
      </w:r>
      <w:r>
        <w:rPr>
          <w:rFonts w:ascii="宋体" w:hAnsi="宋体" w:cs="宋体" w:eastAsia="宋体" w:hint="default"/>
          <w:spacing w:val="-2"/>
          <w:sz w:val="21"/>
          <w:szCs w:val="21"/>
        </w:rPr>
        <w:t>间确认为资产。已资本化的开发阶段的支出在资产负债表上列示为开发支出，自该项目达到预定可使用状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态之日起转为无形资产。</w:t>
      </w:r>
    </w:p>
    <w:p>
      <w:pPr>
        <w:spacing w:before="7"/>
        <w:ind w:left="573" w:right="1780" w:firstLine="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w:t>
      </w:r>
    </w:p>
    <w:p>
      <w:pPr>
        <w:spacing w:line="240" w:lineRule="auto" w:before="10"/>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590" w:lineRule="atLeast" w:before="25"/>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长期待摊费用包括经营租入固定资产改良及其他已经发生但应由本期和以后各期负担的分摊期限在</w:t>
      </w:r>
    </w:p>
    <w:p>
      <w:pPr>
        <w:spacing w:before="37"/>
        <w:ind w:left="152" w:right="1123" w:firstLine="0"/>
        <w:jc w:val="left"/>
        <w:rPr>
          <w:rFonts w:ascii="宋体" w:hAnsi="宋体" w:cs="宋体" w:eastAsia="宋体" w:hint="default"/>
          <w:sz w:val="21"/>
          <w:szCs w:val="21"/>
        </w:rPr>
      </w:pPr>
      <w:r>
        <w:rPr>
          <w:rFonts w:ascii="宋体" w:hAnsi="宋体" w:cs="宋体" w:eastAsia="宋体" w:hint="default"/>
          <w:sz w:val="21"/>
          <w:szCs w:val="21"/>
        </w:rPr>
        <w:t>一年以上的各项费用，按预计受益期间分期平均摊销，并以实际支出减去累计摊销后的净额列示。</w:t>
      </w:r>
    </w:p>
    <w:p>
      <w:pPr>
        <w:spacing w:after="0"/>
        <w:jc w:val="left"/>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590" w:lineRule="atLeast" w:before="2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对因产品质量保证、亏损合同等形成的现时义务，其履行很可能导致经济利益的流出，在该义务的金</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额能够可靠计量时，确认为预计负债。对于未来经营亏损，不确认预计负债。</w:t>
      </w:r>
    </w:p>
    <w:p>
      <w:pPr>
        <w:spacing w:line="600" w:lineRule="atLeast" w:before="2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预计负债按照履行相关现时义务所需支出的最佳估计数进行初始计量，并综合考虑与或有事项有关的</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风险、不确定性和货币时间价值等因素。货币时间价值影响重大的，通过对相关未来现金流出进行折现后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确定最佳估计数；因随着时间推移所进行的折现还原而导致的预计负债账面价值的增加金额，确认为利息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费用。</w:t>
      </w:r>
    </w:p>
    <w:p>
      <w:pPr>
        <w:spacing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506" w:lineRule="auto" w:before="0"/>
        <w:ind w:left="573" w:right="178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根据结算方式分为以权益结算的涉及职工的股份支付、以现金结算的涉及职工的股份支付</w:t>
      </w:r>
    </w:p>
    <w:p>
      <w:pPr>
        <w:spacing w:line="506" w:lineRule="auto" w:before="101"/>
        <w:ind w:left="573" w:right="178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本公司授予的限制性股票公允价值采用估值技术予以确定，一般参考二级市场的股票价格。</w:t>
      </w:r>
    </w:p>
    <w:p>
      <w:pPr>
        <w:spacing w:before="104"/>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在等待期内的每个资产负债表日，根据最新取得的可行权职工人数变动等后续信息做出最佳估计，修</w:t>
      </w:r>
      <w:r>
        <w:rPr>
          <w:rFonts w:ascii="宋体" w:hAnsi="宋体" w:cs="宋体" w:eastAsia="宋体" w:hint="default"/>
          <w:w w:val="100"/>
          <w:sz w:val="21"/>
          <w:szCs w:val="21"/>
        </w:rPr>
        <w:t> </w:t>
      </w:r>
      <w:r>
        <w:rPr>
          <w:rFonts w:ascii="宋体" w:hAnsi="宋体" w:cs="宋体" w:eastAsia="宋体" w:hint="default"/>
          <w:sz w:val="21"/>
          <w:szCs w:val="21"/>
        </w:rPr>
        <w:t>正预计可行权的权益工具数量。</w:t>
      </w:r>
    </w:p>
    <w:p>
      <w:pPr>
        <w:spacing w:line="614" w:lineRule="exact" w:before="5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以权益结算的涉及职工的股份支付，授予后立即可行权的，按照授予日权益工具的公允价值计入成本</w:t>
      </w:r>
    </w:p>
    <w:p>
      <w:pPr>
        <w:spacing w:line="219"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费用和资本公积；授予后须完成等待期内的服务或达到规定业绩条件才可行权的，在等待期内的每个资产</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负债表日，以对可行权权益工具数量的最佳估计为基础，按照权益工具授予日的公允价值，将当期取得的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服务计入相关成本或费用和资本公积。</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以现金结算的涉及职工的股份支付，授予后立即可行权的，按照授予日本公司承担负债的公允价值计</w:t>
      </w:r>
      <w:r>
        <w:rPr>
          <w:rFonts w:ascii="宋体" w:hAnsi="宋体" w:cs="宋体" w:eastAsia="宋体" w:hint="default"/>
          <w:w w:val="100"/>
          <w:sz w:val="21"/>
          <w:szCs w:val="21"/>
        </w:rPr>
        <w:t> </w:t>
      </w:r>
      <w:r>
        <w:rPr>
          <w:rFonts w:ascii="宋体" w:hAnsi="宋体" w:cs="宋体" w:eastAsia="宋体" w:hint="default"/>
          <w:spacing w:val="-2"/>
          <w:sz w:val="21"/>
          <w:szCs w:val="21"/>
        </w:rPr>
        <w:t>入相关成本或费用和相应负债；授予后须完成等待期内的服务或达到规定业绩条件才可行权的，在等待期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内的每个资产负债表日，以对可行权情况的最佳估计为基础，按照本公司承担负债的公允价值金额，将当</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期取得的服务计入相关成本或费用和相应负债。</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公司股份支付计划发生修改或终止的，激励对象根据激励计划获授但未解锁的股票由公司按照授予价</w:t>
      </w:r>
      <w:r>
        <w:rPr>
          <w:rFonts w:ascii="宋体" w:hAnsi="宋体" w:cs="宋体" w:eastAsia="宋体" w:hint="default"/>
          <w:w w:val="100"/>
          <w:sz w:val="21"/>
          <w:szCs w:val="21"/>
        </w:rPr>
        <w:t> </w:t>
      </w:r>
      <w:r>
        <w:rPr>
          <w:rFonts w:ascii="宋体" w:hAnsi="宋体" w:cs="宋体" w:eastAsia="宋体" w:hint="default"/>
          <w:sz w:val="21"/>
          <w:szCs w:val="21"/>
        </w:rPr>
        <w:t>格回购注销。</w:t>
      </w:r>
    </w:p>
    <w:p>
      <w:pPr>
        <w:spacing w:after="0" w:line="273" w:lineRule="auto"/>
        <w:jc w:val="both"/>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、收入</w:t>
      </w:r>
      <w:r>
        <w:rPr>
          <w:rFonts w:ascii="宋体" w:hAnsi="宋体" w:cs="宋体" w:eastAsia="宋体" w:hint="default"/>
          <w:sz w:val="21"/>
          <w:szCs w:val="21"/>
        </w:rPr>
      </w:r>
    </w:p>
    <w:p>
      <w:pPr>
        <w:spacing w:line="590" w:lineRule="atLeast" w:before="2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商品销售在商品所有权上的主要风险和报酬已转移给买方，本公司不再对该商品实施继续管理权和实</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际控制权，与交易相关的经济利益很可能流入企业，并且与销售该商品相关的收入和成本能够可靠地计量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时，确认营业收入的实现。</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让渡资产使用权取得的利息收入和使用费收入，在与交易相关的经济利益能够流入企业，且收入的金</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额能够可靠地计量时，确认收入的实现。</w:t>
      </w:r>
    </w:p>
    <w:p>
      <w:pPr>
        <w:spacing w:line="590" w:lineRule="atLeast" w:before="3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提供的劳务在同一会计年度开始并完成的，在劳务已经提供，收到价款或取得收取价款的证据时，确</w:t>
      </w:r>
    </w:p>
    <w:p>
      <w:pPr>
        <w:spacing w:before="37"/>
        <w:ind w:left="152" w:right="1780" w:firstLine="0"/>
        <w:jc w:val="left"/>
        <w:rPr>
          <w:rFonts w:ascii="宋体" w:hAnsi="宋体" w:cs="宋体" w:eastAsia="宋体" w:hint="default"/>
          <w:sz w:val="21"/>
          <w:szCs w:val="21"/>
        </w:rPr>
      </w:pPr>
      <w:r>
        <w:rPr>
          <w:rFonts w:ascii="宋体" w:hAnsi="宋体" w:cs="宋体" w:eastAsia="宋体" w:hint="default"/>
          <w:sz w:val="21"/>
          <w:szCs w:val="21"/>
        </w:rPr>
        <w:t>认营业收入的实现。</w:t>
      </w:r>
    </w:p>
    <w:p>
      <w:pPr>
        <w:spacing w:line="600" w:lineRule="atLeast" w:before="2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劳务的开始和完成分属不同会计年度的，在劳务合同的总收入、劳务的完成程度能够可靠地确定，与</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交易相关的价款能够流入，已经发生的成本和为完成劳务将要发生的成本能够可靠地计量时，按完工百分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比法确认营业收入的实现；长期合同工程在合同结果已经能够合理地预见时，按结账时已完成工程进度的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百分比法确认营业收入的实现。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政府补助，是指公司从政府无偿取得货币性资产或非货币性资产，但不包括政府作为公司所有者投入</w:t>
      </w:r>
      <w:r>
        <w:rPr>
          <w:rFonts w:ascii="宋体" w:hAnsi="宋体" w:cs="宋体" w:eastAsia="宋体" w:hint="default"/>
          <w:w w:val="100"/>
          <w:sz w:val="21"/>
          <w:szCs w:val="21"/>
        </w:rPr>
        <w:t> </w:t>
      </w:r>
      <w:r>
        <w:rPr>
          <w:rFonts w:ascii="宋体" w:hAnsi="宋体" w:cs="宋体" w:eastAsia="宋体" w:hint="default"/>
          <w:spacing w:val="-2"/>
          <w:sz w:val="21"/>
          <w:szCs w:val="21"/>
        </w:rPr>
        <w:t>的资本。政府补助分为与资产相关的政府补助和与收益相关的政府补助。与资产相关的政府补助，是指公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司取得的、用于购建或以其他方式形成长期资产的政府补助。与收益相关的政府补助，是指除与资产相关</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的政府补助之外的政府补助。</w:t>
      </w:r>
    </w:p>
    <w:p>
      <w:pPr>
        <w:spacing w:line="616" w:lineRule="exact" w:before="5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与资产相关的政府补助，应当确认为递延收益，并在相关资产使用寿命内平均分配，计入当期损益。</w:t>
      </w:r>
    </w:p>
    <w:p>
      <w:pPr>
        <w:spacing w:line="218" w:lineRule="exact" w:before="0"/>
        <w:ind w:left="152" w:right="982" w:firstLine="0"/>
        <w:jc w:val="left"/>
        <w:rPr>
          <w:rFonts w:ascii="宋体" w:hAnsi="宋体" w:cs="宋体" w:eastAsia="宋体" w:hint="default"/>
          <w:sz w:val="21"/>
          <w:szCs w:val="21"/>
        </w:rPr>
      </w:pPr>
      <w:r>
        <w:rPr>
          <w:rFonts w:ascii="宋体" w:hAnsi="宋体" w:cs="宋体" w:eastAsia="宋体" w:hint="default"/>
          <w:sz w:val="21"/>
          <w:szCs w:val="21"/>
        </w:rPr>
        <w:t>按照名义金额计量的政府补助，直接计入当期损益。与收益相关的政府补助，用于补偿公司以后期间的相</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关费用或损失的，确认为递延收益，并在确认相关费用的期间，计入当期损益；用于补偿公司已发生的相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关费用或损失的，直接计入当期损益。</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政府补助为货币性资产的，按照收到或应收的金额计量。政府补助为非货币性资产的，按照公允价值</w:t>
      </w:r>
      <w:r>
        <w:rPr>
          <w:rFonts w:ascii="宋体" w:hAnsi="宋体" w:cs="宋体" w:eastAsia="宋体" w:hint="default"/>
          <w:w w:val="100"/>
          <w:sz w:val="21"/>
          <w:szCs w:val="21"/>
        </w:rPr>
        <w:t> </w:t>
      </w:r>
      <w:r>
        <w:rPr>
          <w:rFonts w:ascii="宋体" w:hAnsi="宋体" w:cs="宋体" w:eastAsia="宋体" w:hint="default"/>
          <w:sz w:val="21"/>
          <w:szCs w:val="21"/>
        </w:rPr>
        <w:t>计量；公允价值不能可靠取得的，按照名义金额计量。</w:t>
      </w:r>
    </w:p>
    <w:p>
      <w:pPr>
        <w:spacing w:after="0" w:line="273" w:lineRule="auto"/>
        <w:jc w:val="both"/>
        <w:rPr>
          <w:rFonts w:ascii="宋体" w:hAnsi="宋体" w:cs="宋体" w:eastAsia="宋体" w:hint="default"/>
          <w:sz w:val="21"/>
          <w:szCs w:val="21"/>
        </w:rPr>
        <w:sectPr>
          <w:pgSz w:w="11910" w:h="16840"/>
          <w:pgMar w:header="876" w:footer="1284" w:top="1060" w:bottom="148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610" w:lineRule="atLeast" w:before="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包括应纳税暂时</w:t>
      </w:r>
    </w:p>
    <w:p>
      <w:pPr>
        <w:spacing w:line="266" w:lineRule="auto" w:before="21"/>
        <w:ind w:left="152" w:right="1123" w:firstLine="0"/>
        <w:jc w:val="left"/>
        <w:rPr>
          <w:rFonts w:ascii="宋体" w:hAnsi="宋体" w:cs="宋体" w:eastAsia="宋体" w:hint="default"/>
          <w:sz w:val="21"/>
          <w:szCs w:val="21"/>
        </w:rPr>
      </w:pPr>
      <w:r>
        <w:rPr>
          <w:rFonts w:ascii="宋体" w:hAnsi="宋体" w:cs="宋体" w:eastAsia="宋体" w:hint="default"/>
          <w:sz w:val="21"/>
          <w:szCs w:val="21"/>
        </w:rPr>
        <w:t>性差异和可抵扣暂时性差异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计算确认。对于按照税法规定能够于以后年度抵减应纳税所得额的可抵扣亏</w:t>
      </w:r>
      <w:r>
        <w:rPr>
          <w:rFonts w:ascii="宋体" w:hAnsi="宋体" w:cs="宋体" w:eastAsia="宋体" w:hint="default"/>
          <w:w w:val="100"/>
          <w:sz w:val="21"/>
          <w:szCs w:val="21"/>
        </w:rPr>
        <w:t> </w:t>
      </w:r>
      <w:r>
        <w:rPr>
          <w:rFonts w:ascii="宋体" w:hAnsi="宋体" w:cs="宋体" w:eastAsia="宋体" w:hint="default"/>
          <w:spacing w:val="-2"/>
          <w:sz w:val="21"/>
          <w:szCs w:val="21"/>
        </w:rPr>
        <w:t>损，视同可抵扣暂时性差异。对于商誉的初始确认产生的暂时性差异，不确认相应的递延所得税负债。对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于既不影响会计利润也不影响应纳税所得额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或可抵扣亏损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的非企业合并的交易中产生的资产或负债的初</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sz w:val="21"/>
          <w:szCs w:val="21"/>
        </w:rPr>
        <w:t>始确认形成的暂时性差异，不确认相应的递延所得税资产和递延所得税负债。于资产负债表日，递延所得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税资产和递延所得税负债，按照预期收回该资产或清偿该负债期间的适用税率计量。递延所得税资产的确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认以本公司很可能取得用来抵扣可抵扣暂时性差异、可抵扣亏损和税款抵减的应纳税所得额为限。</w:t>
      </w:r>
    </w:p>
    <w:p>
      <w:pPr>
        <w:spacing w:line="600" w:lineRule="atLeast" w:before="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对子公司、联营企业及合营企业投资相关的暂时性差异产生的递延所得税资产和递延所得税负债，予</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以确认。但本公司能够控制暂时性差异转回的时间且该暂时性差异在可预见的未来很可能不会转回的，不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予确认。</w:t>
      </w:r>
    </w:p>
    <w:p>
      <w:pPr>
        <w:spacing w:line="240" w:lineRule="auto" w:before="4"/>
        <w:rPr>
          <w:rFonts w:ascii="宋体" w:hAnsi="宋体" w:cs="宋体" w:eastAsia="宋体" w:hint="default"/>
          <w:sz w:val="23"/>
          <w:szCs w:val="23"/>
        </w:rPr>
      </w:pPr>
    </w:p>
    <w:p>
      <w:pPr>
        <w:spacing w:line="516" w:lineRule="auto" w:before="0"/>
        <w:ind w:left="152" w:right="63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本报告期主要会计政策、会计估计无重大变更</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z w:val="21"/>
          <w:szCs w:val="21"/>
        </w:rPr>
        <w:t>本报告期未发现前期会计差错</w:t>
      </w:r>
    </w:p>
    <w:p>
      <w:pPr>
        <w:pStyle w:val="Heading2"/>
        <w:spacing w:line="240" w:lineRule="auto" w:before="68"/>
        <w:ind w:right="178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5"/>
        <w:gridCol w:w="3651"/>
        <w:gridCol w:w="2401"/>
      </w:tblGrid>
      <w:tr>
        <w:trPr>
          <w:trHeight w:val="401"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51" w:type="dxa"/>
            <w:vMerge w:val="restart"/>
            <w:tcBorders>
              <w:top w:val="single" w:sz="4" w:space="0" w:color="000000"/>
              <w:left w:val="single" w:sz="10" w:space="0" w:color="D2D2D2"/>
              <w:right w:val="single" w:sz="4" w:space="0" w:color="000000"/>
            </w:tcBorders>
          </w:tcPr>
          <w:p>
            <w:pPr>
              <w:pStyle w:val="TableParagraph"/>
              <w:spacing w:line="309" w:lineRule="auto" w:before="49"/>
              <w:ind w:left="16" w:right="13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 适用税率扣除当期允计抵扣的进项税后的余 额计算</w:t>
            </w:r>
            <w:r>
              <w:rPr>
                <w:rFonts w:ascii="Times New Roman" w:hAnsi="Times New Roman" w:cs="Times New Roman" w:eastAsia="Times New Roman" w:hint="default"/>
                <w:sz w:val="18"/>
                <w:szCs w:val="18"/>
              </w:rPr>
              <w:t>)</w:t>
            </w:r>
          </w:p>
        </w:tc>
        <w:tc>
          <w:tcPr>
            <w:tcW w:w="24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4" w:hRule="exact"/>
        </w:trPr>
        <w:tc>
          <w:tcPr>
            <w:tcW w:w="3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51" w:type="dxa"/>
            <w:vMerge/>
            <w:tcBorders>
              <w:left w:val="single" w:sz="10" w:space="0" w:color="D2D2D2"/>
              <w:right w:val="single" w:sz="4" w:space="0" w:color="000000"/>
            </w:tcBorders>
          </w:tcPr>
          <w:p>
            <w:pPr/>
          </w:p>
        </w:tc>
        <w:tc>
          <w:tcPr>
            <w:tcW w:w="2401" w:type="dxa"/>
            <w:vMerge/>
            <w:tcBorders>
              <w:left w:val="single" w:sz="4" w:space="0" w:color="000000"/>
              <w:right w:val="single" w:sz="4" w:space="0" w:color="000000"/>
            </w:tcBorders>
          </w:tcPr>
          <w:p>
            <w:pPr/>
          </w:p>
        </w:tc>
      </w:tr>
      <w:tr>
        <w:trPr>
          <w:trHeight w:val="317" w:hRule="exact"/>
        </w:trPr>
        <w:tc>
          <w:tcPr>
            <w:tcW w:w="3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51" w:type="dxa"/>
            <w:vMerge/>
            <w:tcBorders>
              <w:left w:val="single" w:sz="10" w:space="0" w:color="D2D2D2"/>
              <w:bottom w:val="single" w:sz="4" w:space="0" w:color="000000"/>
              <w:right w:val="single" w:sz="4" w:space="0" w:color="000000"/>
            </w:tcBorders>
          </w:tcPr>
          <w:p>
            <w:pPr/>
          </w:p>
        </w:tc>
        <w:tc>
          <w:tcPr>
            <w:tcW w:w="2401" w:type="dxa"/>
            <w:vMerge/>
            <w:tcBorders>
              <w:left w:val="single" w:sz="4" w:space="0" w:color="000000"/>
              <w:bottom w:val="single" w:sz="4" w:space="0" w:color="000000"/>
              <w:right w:val="single" w:sz="4" w:space="0" w:color="000000"/>
            </w:tcBorders>
          </w:tcPr>
          <w:p>
            <w:pPr/>
          </w:p>
        </w:tc>
      </w:tr>
      <w:tr>
        <w:trPr>
          <w:trHeight w:val="317" w:hRule="exact"/>
        </w:trPr>
        <w:tc>
          <w:tcPr>
            <w:tcW w:w="3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51" w:type="dxa"/>
            <w:vMerge w:val="restart"/>
            <w:tcBorders>
              <w:top w:val="single" w:sz="4" w:space="0" w:color="000000"/>
              <w:left w:val="single" w:sz="10" w:space="0" w:color="D2D2D2"/>
              <w:right w:val="single" w:sz="4" w:space="0" w:color="000000"/>
            </w:tcBorders>
          </w:tcPr>
          <w:p>
            <w:pPr>
              <w:pStyle w:val="TableParagraph"/>
              <w:spacing w:line="319"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应纳税销售额（日本地区消费税，应纳税额按 应纳税消费额乘以适用税率扣除当期允许抵 扣的进项税后的余额计算）</w:t>
            </w:r>
          </w:p>
        </w:tc>
        <w:tc>
          <w:tcPr>
            <w:tcW w:w="24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3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651" w:type="dxa"/>
            <w:vMerge/>
            <w:tcBorders>
              <w:left w:val="single" w:sz="10" w:space="0" w:color="D2D2D2"/>
              <w:right w:val="single" w:sz="4" w:space="0" w:color="000000"/>
            </w:tcBorders>
          </w:tcPr>
          <w:p>
            <w:pPr/>
          </w:p>
        </w:tc>
        <w:tc>
          <w:tcPr>
            <w:tcW w:w="2401" w:type="dxa"/>
            <w:vMerge/>
            <w:tcBorders>
              <w:left w:val="single" w:sz="4" w:space="0" w:color="000000"/>
              <w:right w:val="single" w:sz="4" w:space="0" w:color="000000"/>
            </w:tcBorders>
          </w:tcPr>
          <w:p>
            <w:pPr/>
          </w:p>
        </w:tc>
      </w:tr>
      <w:tr>
        <w:trPr>
          <w:trHeight w:val="317" w:hRule="exact"/>
        </w:trPr>
        <w:tc>
          <w:tcPr>
            <w:tcW w:w="3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51" w:type="dxa"/>
            <w:vMerge/>
            <w:tcBorders>
              <w:left w:val="single" w:sz="10" w:space="0" w:color="D2D2D2"/>
              <w:bottom w:val="single" w:sz="4" w:space="0" w:color="000000"/>
              <w:right w:val="single" w:sz="4" w:space="0" w:color="000000"/>
            </w:tcBorders>
          </w:tcPr>
          <w:p>
            <w:pPr/>
          </w:p>
        </w:tc>
        <w:tc>
          <w:tcPr>
            <w:tcW w:w="2401" w:type="dxa"/>
            <w:vMerge/>
            <w:tcBorders>
              <w:left w:val="single" w:sz="4" w:space="0" w:color="000000"/>
              <w:bottom w:val="single" w:sz="4" w:space="0" w:color="000000"/>
              <w:right w:val="single" w:sz="4" w:space="0" w:color="000000"/>
            </w:tcBorders>
          </w:tcPr>
          <w:p>
            <w:pP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应纳营业税、增值税</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38.64%</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1284" w:top="1060" w:bottom="1480" w:left="980" w:right="0"/>
        </w:sectPr>
      </w:pPr>
    </w:p>
    <w:p>
      <w:pPr>
        <w:spacing w:line="240" w:lineRule="auto" w:before="10"/>
        <w:rPr>
          <w:rFonts w:ascii="宋体" w:hAnsi="宋体" w:cs="宋体" w:eastAsia="宋体" w:hint="default"/>
          <w:b/>
          <w:bCs/>
          <w:sz w:val="24"/>
          <w:szCs w:val="24"/>
        </w:rPr>
      </w:pPr>
      <w:r>
        <w:rPr/>
        <w:pict>
          <v:group style="position:absolute;margin-left:460.320007pt;margin-top:764.919983pt;width:135pt;height:77pt;mso-position-horizontal-relative:page;mso-position-vertical-relative:page;z-index:-63236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91</w:t>
                    </w:r>
                  </w:p>
                </w:txbxContent>
              </v:textbox>
              <w10:wrap type="none"/>
            </v:shape>
            <w10:wrap type="none"/>
          </v:group>
        </w:pict>
      </w: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1128" w:firstLine="420"/>
        <w:jc w:val="left"/>
        <w:rPr>
          <w:rFonts w:ascii="宋体" w:hAnsi="宋体" w:cs="宋体" w:eastAsia="宋体" w:hint="default"/>
          <w:sz w:val="21"/>
          <w:szCs w:val="21"/>
        </w:rPr>
      </w:pPr>
      <w:r>
        <w:rPr>
          <w:rFonts w:ascii="宋体" w:hAnsi="宋体" w:cs="宋体" w:eastAsia="宋体" w:hint="default"/>
          <w:sz w:val="21"/>
          <w:szCs w:val="21"/>
        </w:rPr>
        <w:t>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月，本公司取得由国家发展和改革委员会、工业和信息化部、财政部、商务部和国家税务</w:t>
      </w:r>
      <w:r>
        <w:rPr>
          <w:rFonts w:ascii="宋体" w:hAnsi="宋体" w:cs="宋体" w:eastAsia="宋体" w:hint="default"/>
          <w:w w:val="100"/>
          <w:sz w:val="21"/>
          <w:szCs w:val="21"/>
        </w:rPr>
        <w:t> </w:t>
      </w:r>
      <w:r>
        <w:rPr>
          <w:rFonts w:ascii="宋体" w:hAnsi="宋体" w:cs="宋体" w:eastAsia="宋体" w:hint="default"/>
          <w:spacing w:val="-3"/>
          <w:sz w:val="21"/>
          <w:szCs w:val="21"/>
        </w:rPr>
        <w:t>总局颁发的编号为</w:t>
      </w:r>
      <w:r>
        <w:rPr>
          <w:rFonts w:ascii="Times New Roman" w:hAnsi="Times New Roman" w:cs="Times New Roman" w:eastAsia="Times New Roman" w:hint="default"/>
          <w:spacing w:val="-3"/>
          <w:sz w:val="21"/>
          <w:szCs w:val="21"/>
        </w:rPr>
        <w:t>R-2011-088</w:t>
      </w:r>
      <w:r>
        <w:rPr>
          <w:rFonts w:ascii="宋体" w:hAnsi="宋体" w:cs="宋体" w:eastAsia="宋体" w:hint="default"/>
          <w:spacing w:val="-3"/>
          <w:sz w:val="21"/>
          <w:szCs w:val="21"/>
        </w:rPr>
        <w:t>号《国家规划布局内重点软件企业证书》，认定本公司为</w:t>
      </w:r>
      <w:r>
        <w:rPr>
          <w:rFonts w:ascii="Times New Roman" w:hAnsi="Times New Roman" w:cs="Times New Roman" w:eastAsia="Times New Roman" w:hint="default"/>
          <w:spacing w:val="-3"/>
          <w:sz w:val="21"/>
          <w:szCs w:val="21"/>
        </w:rPr>
        <w:t>2011-2012</w:t>
      </w:r>
      <w:r>
        <w:rPr>
          <w:rFonts w:ascii="宋体" w:hAnsi="宋体" w:cs="宋体" w:eastAsia="宋体" w:hint="default"/>
          <w:spacing w:val="-3"/>
          <w:sz w:val="21"/>
          <w:szCs w:val="21"/>
        </w:rPr>
        <w:t>年度国家</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规划布局内重点软件企业；</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年度本公司企业所得税减按</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的税率征收。</w:t>
      </w:r>
    </w:p>
    <w:p>
      <w:pPr>
        <w:spacing w:before="5"/>
        <w:ind w:left="573" w:right="1123" w:firstLine="0"/>
        <w:jc w:val="left"/>
        <w:rPr>
          <w:rFonts w:ascii="宋体" w:hAnsi="宋体" w:cs="宋体" w:eastAsia="宋体" w:hint="default"/>
          <w:sz w:val="21"/>
          <w:szCs w:val="21"/>
        </w:rPr>
      </w:pPr>
      <w:r>
        <w:rPr>
          <w:rFonts w:ascii="宋体" w:hAnsi="宋体" w:cs="宋体" w:eastAsia="宋体" w:hint="default"/>
          <w:sz w:val="21"/>
          <w:szCs w:val="21"/>
        </w:rPr>
        <w:t>本公司之子公司江苏海隆软件技术有限公司于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日被认定为软件企业（证书编号为苏</w:t>
      </w:r>
    </w:p>
    <w:p>
      <w:pPr>
        <w:spacing w:line="256" w:lineRule="auto" w:before="21"/>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R-2011-0077</w:t>
      </w:r>
      <w:r>
        <w:rPr>
          <w:rFonts w:ascii="宋体" w:hAnsi="宋体" w:cs="宋体" w:eastAsia="宋体" w:hint="default"/>
          <w:sz w:val="21"/>
          <w:szCs w:val="21"/>
        </w:rPr>
        <w:t>），自获利年度起，享受企业所得税</w:t>
      </w:r>
      <w:r>
        <w:rPr>
          <w:rFonts w:ascii="Times New Roman" w:hAnsi="Times New Roman" w:cs="Times New Roman" w:eastAsia="Times New Roman" w:hint="default"/>
          <w:sz w:val="21"/>
          <w:szCs w:val="21"/>
        </w:rPr>
        <w:t>“</w:t>
      </w:r>
      <w:r>
        <w:rPr>
          <w:rFonts w:ascii="宋体" w:hAnsi="宋体" w:cs="宋体" w:eastAsia="宋体" w:hint="default"/>
          <w:sz w:val="21"/>
          <w:szCs w:val="21"/>
        </w:rPr>
        <w:t>两免三减半</w:t>
      </w:r>
      <w:r>
        <w:rPr>
          <w:rFonts w:ascii="Times New Roman" w:hAnsi="Times New Roman" w:cs="Times New Roman" w:eastAsia="Times New Roman" w:hint="default"/>
          <w:sz w:val="21"/>
          <w:szCs w:val="21"/>
        </w:rPr>
        <w:t>”</w:t>
      </w:r>
      <w:r>
        <w:rPr>
          <w:rFonts w:ascii="宋体" w:hAnsi="宋体" w:cs="宋体" w:eastAsia="宋体" w:hint="default"/>
          <w:sz w:val="21"/>
          <w:szCs w:val="21"/>
        </w:rPr>
        <w:t>优惠政策，</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年度免征企业所得税。</w:t>
      </w:r>
      <w:r>
        <w:rPr>
          <w:rFonts w:ascii="宋体" w:hAnsi="宋体" w:cs="宋体" w:eastAsia="宋体" w:hint="default"/>
          <w:w w:val="100"/>
          <w:sz w:val="21"/>
          <w:szCs w:val="21"/>
        </w:rPr>
        <w:t> </w:t>
      </w:r>
      <w:r>
        <w:rPr>
          <w:rFonts w:ascii="宋体" w:hAnsi="宋体" w:cs="宋体" w:eastAsia="宋体" w:hint="default"/>
          <w:spacing w:val="-2"/>
          <w:sz w:val="21"/>
          <w:szCs w:val="21"/>
        </w:rPr>
        <w:t>本公司之子公司上海华钟计算机软件开发有限公司和上海海隆宜通信息技术有限公司企业所得税按</w:t>
      </w:r>
    </w:p>
    <w:p>
      <w:pPr>
        <w:spacing w:line="256" w:lineRule="auto" w:before="22"/>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的税率征收。</w:t>
      </w:r>
      <w:r>
        <w:rPr>
          <w:rFonts w:ascii="宋体" w:hAnsi="宋体" w:cs="宋体" w:eastAsia="宋体" w:hint="default"/>
          <w:w w:val="100"/>
          <w:sz w:val="21"/>
          <w:szCs w:val="21"/>
        </w:rPr>
        <w:t> </w:t>
      </w:r>
      <w:r>
        <w:rPr>
          <w:rFonts w:ascii="宋体" w:hAnsi="宋体" w:cs="宋体" w:eastAsia="宋体" w:hint="default"/>
          <w:spacing w:val="-2"/>
          <w:sz w:val="21"/>
          <w:szCs w:val="21"/>
        </w:rPr>
        <w:t>本公司之子公司日本海隆株式会社注册地为日本国，该公司企业所得税按当地税法规定，应纳企业所</w:t>
      </w:r>
    </w:p>
    <w:p>
      <w:pPr>
        <w:spacing w:line="484" w:lineRule="auto" w:before="22"/>
        <w:ind w:left="152" w:right="6362" w:firstLine="0"/>
        <w:jc w:val="left"/>
        <w:rPr>
          <w:rFonts w:ascii="宋体" w:hAnsi="宋体" w:cs="宋体" w:eastAsia="宋体" w:hint="default"/>
          <w:sz w:val="21"/>
          <w:szCs w:val="21"/>
        </w:rPr>
      </w:pPr>
      <w:r>
        <w:rPr>
          <w:rFonts w:ascii="宋体" w:hAnsi="宋体" w:cs="宋体" w:eastAsia="宋体" w:hint="default"/>
          <w:sz w:val="21"/>
          <w:szCs w:val="21"/>
        </w:rPr>
        <w:t>得税税率</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宋体" w:hAnsi="宋体" w:cs="宋体" w:eastAsia="宋体" w:hint="default"/>
          <w:sz w:val="21"/>
          <w:szCs w:val="21"/>
        </w:rPr>
        <w:t>为</w:t>
      </w:r>
      <w:r>
        <w:rPr>
          <w:rFonts w:ascii="Times New Roman" w:hAnsi="Times New Roman" w:cs="Times New Roman" w:eastAsia="Times New Roman" w:hint="default"/>
          <w:sz w:val="21"/>
          <w:szCs w:val="21"/>
        </w:rPr>
        <w:t>38.64%</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年度为</w:t>
      </w:r>
      <w:r>
        <w:rPr>
          <w:rFonts w:ascii="Times New Roman" w:hAnsi="Times New Roman" w:cs="Times New Roman" w:eastAsia="Times New Roman" w:hint="default"/>
          <w:sz w:val="21"/>
          <w:szCs w:val="21"/>
        </w:rPr>
        <w:t>42.05%)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8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027"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日本海 隆株式 会社</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日本东 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软件设 计开发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3,756,8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19.40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上海海 隆宜通 通信技 术有限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中国上 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软件设 计开发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6" w:right="0"/>
              <w:jc w:val="center"/>
              <w:rPr>
                <w:rFonts w:ascii="Times New Roman" w:hAnsi="Times New Roman" w:cs="Times New Roman" w:eastAsia="Times New Roman" w:hint="default"/>
                <w:sz w:val="18"/>
                <w:szCs w:val="18"/>
              </w:rPr>
            </w:pPr>
            <w:r>
              <w:rPr>
                <w:rFonts w:ascii="Times New Roman"/>
                <w:sz w:val="18"/>
              </w:rPr>
              <w:t>4,125,0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6" w:right="0"/>
              <w:jc w:val="center"/>
              <w:rPr>
                <w:rFonts w:ascii="Times New Roman" w:hAnsi="Times New Roman" w:cs="Times New Roman" w:eastAsia="Times New Roman" w:hint="default"/>
                <w:sz w:val="18"/>
                <w:szCs w:val="18"/>
              </w:rPr>
            </w:pPr>
            <w:r>
              <w:rPr>
                <w:rFonts w:ascii="Times New Roman"/>
                <w:sz w:val="18"/>
              </w:rPr>
              <w:t>1,233,9</w:t>
            </w:r>
          </w:p>
          <w:p>
            <w:pPr>
              <w:pStyle w:val="TableParagraph"/>
              <w:spacing w:line="240" w:lineRule="auto" w:before="102"/>
              <w:ind w:left="222" w:right="0"/>
              <w:jc w:val="center"/>
              <w:rPr>
                <w:rFonts w:ascii="Times New Roman" w:hAnsi="Times New Roman" w:cs="Times New Roman" w:eastAsia="Times New Roman" w:hint="default"/>
                <w:sz w:val="18"/>
                <w:szCs w:val="18"/>
              </w:rPr>
            </w:pPr>
            <w:r>
              <w:rPr>
                <w:rFonts w:ascii="Times New Roman"/>
                <w:sz w:val="18"/>
              </w:rPr>
              <w:t>60.87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5" w:right="0"/>
              <w:jc w:val="left"/>
              <w:rPr>
                <w:rFonts w:ascii="Times New Roman" w:hAnsi="Times New Roman" w:cs="Times New Roman" w:eastAsia="Times New Roman" w:hint="default"/>
                <w:sz w:val="18"/>
                <w:szCs w:val="18"/>
              </w:rPr>
            </w:pPr>
            <w:r>
              <w:rPr>
                <w:rFonts w:ascii="Times New Roman"/>
                <w:sz w:val="18"/>
              </w:rPr>
              <w:t>-453,63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8.44</w:t>
            </w: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0"/>
          <w:footerReference w:type="default" r:id="rId51"/>
          <w:pgSz w:w="11910" w:h="16840"/>
          <w:pgMar w:header="876"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江苏海 隆软件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中国南 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软件设 计开发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）非同一控制下企业合并取得的子公司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51"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上海华 钟计算 机软件 开发有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中国上 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both"/>
              <w:rPr>
                <w:rFonts w:ascii="宋体" w:hAnsi="宋体" w:cs="宋体" w:eastAsia="宋体" w:hint="default"/>
                <w:sz w:val="18"/>
                <w:szCs w:val="18"/>
              </w:rPr>
            </w:pPr>
            <w:r>
              <w:rPr>
                <w:rFonts w:ascii="宋体" w:hAnsi="宋体" w:cs="宋体" w:eastAsia="宋体" w:hint="default"/>
                <w:sz w:val="18"/>
                <w:szCs w:val="18"/>
              </w:rPr>
              <w:t>硬件、 软件开 发销售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2,690,5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42.61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15,890,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857.91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2,049,6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55.06</w:t>
            </w: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487" w:lineRule="auto" w:before="36"/>
        <w:ind w:left="152" w:right="631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2"/>
        <w:ind w:left="0" w:right="1131" w:firstLine="0"/>
        <w:jc w:val="right"/>
        <w:rPr>
          <w:rFonts w:ascii="宋体" w:hAnsi="宋体" w:cs="宋体" w:eastAsia="宋体" w:hint="default"/>
          <w:sz w:val="18"/>
          <w:szCs w:val="18"/>
        </w:rPr>
      </w:pPr>
      <w:r>
        <w:rPr/>
        <w:pict>
          <v:group style="position:absolute;margin-left:460.320007pt;margin-top:73.511711pt;width:135pt;height:77pt;mso-position-horizontal-relative:page;mso-position-vertical-relative:paragraph;z-index:2488" coordorigin="9206,1470" coordsize="2700,1540">
            <v:shape style="position:absolute;left:9206;top:1470;width:2700;height:1540" type="#_x0000_t75" stroked="false">
              <v:imagedata r:id="rId14" o:title=""/>
            </v:shape>
            <v:shape style="position:absolute;left:10593;top:183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92</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2"/>
        <w:gridCol w:w="1327"/>
        <w:gridCol w:w="932"/>
        <w:gridCol w:w="1596"/>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bl>
    <w:p>
      <w:pPr>
        <w:spacing w:after="0" w:line="240" w:lineRule="auto"/>
        <w:jc w:val="left"/>
        <w:rPr>
          <w:rFonts w:ascii="宋体" w:hAnsi="宋体" w:cs="宋体" w:eastAsia="宋体" w:hint="default"/>
          <w:sz w:val="18"/>
          <w:szCs w:val="18"/>
        </w:rPr>
        <w:sectPr>
          <w:headerReference w:type="default" r:id="rId52"/>
          <w:footerReference w:type="default" r:id="rId53"/>
          <w:pgSz w:w="11910" w:h="16840"/>
          <w:pgMar w:header="876"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360,885.55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187,888.23</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151,029.21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71,036.49</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2,872,816.00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209,856.34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1,440,782.00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116,851.74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284,767,123.46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247,538,907.89</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226,965,298.37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200,298,680.16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705.72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5,869.90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2,043,402.17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12,843,804.34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1,330,431.75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8,382,917.41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615,369,832.00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44,952,150.85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479,110,641.00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38,857,310.32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285,128,009.01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247,726,796.12</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53"/>
        <w:gridCol w:w="907"/>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1"/>
                <w:sz w:val="18"/>
              </w:rPr>
              <w:t>36,236,068.</w:t>
            </w:r>
          </w:p>
          <w:p>
            <w:pPr>
              <w:pStyle w:val="TableParagraph"/>
              <w:spacing w:line="240" w:lineRule="auto" w:before="103"/>
              <w:ind w:right="41"/>
              <w:jc w:val="right"/>
              <w:rPr>
                <w:rFonts w:ascii="Times New Roman" w:hAnsi="Times New Roman" w:cs="Times New Roman" w:eastAsia="Times New Roman" w:hint="default"/>
                <w:sz w:val="18"/>
                <w:szCs w:val="18"/>
              </w:rPr>
            </w:pPr>
            <w:r>
              <w:rPr>
                <w:rFonts w:ascii="Times New Roman"/>
                <w:sz w:val="18"/>
              </w:rPr>
              <w:t>06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30,849,85</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1"/>
                <w:sz w:val="18"/>
              </w:rPr>
              <w:t>36,236,068.</w:t>
            </w:r>
          </w:p>
          <w:p>
            <w:pPr>
              <w:pStyle w:val="TableParagraph"/>
              <w:spacing w:line="240" w:lineRule="auto" w:before="105"/>
              <w:ind w:right="41"/>
              <w:jc w:val="right"/>
              <w:rPr>
                <w:rFonts w:ascii="Times New Roman" w:hAnsi="Times New Roman" w:cs="Times New Roman" w:eastAsia="Times New Roman" w:hint="default"/>
                <w:sz w:val="18"/>
                <w:szCs w:val="18"/>
              </w:rPr>
            </w:pPr>
            <w:r>
              <w:rPr>
                <w:rFonts w:ascii="Times New Roman"/>
                <w:sz w:val="18"/>
              </w:rPr>
              <w:t>06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30,849,85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1"/>
                <w:sz w:val="18"/>
              </w:rPr>
              <w:t>36,236,068.</w:t>
            </w:r>
          </w:p>
          <w:p>
            <w:pPr>
              <w:pStyle w:val="TableParagraph"/>
              <w:spacing w:line="240" w:lineRule="auto" w:before="102"/>
              <w:ind w:right="41"/>
              <w:jc w:val="right"/>
              <w:rPr>
                <w:rFonts w:ascii="Times New Roman" w:hAnsi="Times New Roman" w:cs="Times New Roman" w:eastAsia="Times New Roman" w:hint="default"/>
                <w:sz w:val="18"/>
                <w:szCs w:val="18"/>
              </w:rPr>
            </w:pPr>
            <w:r>
              <w:rPr>
                <w:rFonts w:ascii="Times New Roman"/>
                <w:sz w:val="18"/>
              </w:rPr>
              <w:t>06</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30,849,85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54"/>
          <w:footerReference w:type="default" r:id="rId55"/>
          <w:pgSz w:w="11910" w:h="16840"/>
          <w:pgMar w:header="876" w:footer="0" w:top="1060" w:bottom="0" w:left="980" w:right="0"/>
        </w:sectPr>
      </w:pPr>
    </w:p>
    <w:p>
      <w:pPr>
        <w:spacing w:line="307" w:lineRule="auto" w:before="28"/>
        <w:ind w:left="152" w:right="0" w:firstLine="0"/>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期末无单项金额重大并单项计提坏账准备的应收账款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组合中，按账龄分析法计提坏账准备的应收账款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988" w:space="3841"/>
            <w:col w:w="2101"/>
          </w:cols>
        </w:sectPr>
      </w:pPr>
    </w:p>
    <w:p>
      <w:pPr>
        <w:spacing w:line="240" w:lineRule="auto" w:before="3"/>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63227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93</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36,236,068.06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30,849,856.34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36,236,068.06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30,849,856.34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36,236,068.06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30,849,856.34</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line="307" w:lineRule="auto" w:before="36"/>
        <w:ind w:left="152" w:right="1780" w:firstLine="0"/>
        <w:jc w:val="left"/>
        <w:rPr>
          <w:rFonts w:ascii="宋体" w:hAnsi="宋体" w:cs="宋体" w:eastAsia="宋体" w:hint="default"/>
          <w:sz w:val="21"/>
          <w:szCs w:val="21"/>
        </w:rPr>
      </w:pPr>
      <w:r>
        <w:rPr>
          <w:rFonts w:ascii="宋体" w:hAnsi="宋体" w:cs="宋体" w:eastAsia="宋体" w:hint="default"/>
          <w:sz w:val="21"/>
          <w:szCs w:val="21"/>
        </w:rPr>
        <w:t>组合中，无采用余额百分比法计提坏账准备的应收账款</w:t>
      </w:r>
      <w:r>
        <w:rPr>
          <w:rFonts w:ascii="宋体" w:hAnsi="宋体" w:cs="宋体" w:eastAsia="宋体" w:hint="default"/>
          <w:w w:val="100"/>
          <w:sz w:val="21"/>
          <w:szCs w:val="21"/>
        </w:rPr>
        <w:t> </w:t>
      </w:r>
      <w:r>
        <w:rPr>
          <w:rFonts w:ascii="宋体" w:hAnsi="宋体" w:cs="宋体" w:eastAsia="宋体" w:hint="default"/>
          <w:sz w:val="21"/>
          <w:szCs w:val="21"/>
        </w:rPr>
        <w:t>组合中，无采用其他方法计提坏账准备的应收账款</w:t>
      </w:r>
      <w:r>
        <w:rPr>
          <w:rFonts w:ascii="宋体" w:hAnsi="宋体" w:cs="宋体" w:eastAsia="宋体" w:hint="default"/>
          <w:w w:val="100"/>
          <w:sz w:val="21"/>
          <w:szCs w:val="21"/>
        </w:rPr>
        <w:t> </w:t>
      </w:r>
      <w:r>
        <w:rPr>
          <w:rFonts w:ascii="宋体" w:hAnsi="宋体" w:cs="宋体" w:eastAsia="宋体" w:hint="default"/>
          <w:spacing w:val="-2"/>
          <w:sz w:val="21"/>
          <w:szCs w:val="21"/>
        </w:rPr>
        <w:t>期末无单项金额虽不重大但单项计提坏账准备的应收账款</w:t>
      </w:r>
    </w:p>
    <w:p>
      <w:pPr>
        <w:spacing w:line="240" w:lineRule="auto" w:before="4"/>
        <w:rPr>
          <w:rFonts w:ascii="宋体" w:hAnsi="宋体" w:cs="宋体" w:eastAsia="宋体" w:hint="default"/>
          <w:sz w:val="21"/>
          <w:szCs w:val="21"/>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）本报告期应收账款中无持有公司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1913"/>
        <w:gridCol w:w="1916"/>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野村综合研究所株式会社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8,590,486.06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23.71%</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电通国际信息服务株式会社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4,947,354.31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13.65%</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瑞穗情报技术开发株式会社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3,839,406.13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日本欧姆龙软件株式会社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3,625,323.61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数据株式会社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2,619,515.59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23,622,085.70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65.19%</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日本欧姆龙株式会社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483,257.49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483,257.49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2,946,345.83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51.32%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1,025,309.54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28.87%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2,794,383.49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48.68%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325,969.26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2,525,802.94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71.13%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353,494.48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5,740,729.32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325,969.26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3,551,112.48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353,494.48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9.95%</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5,740,729.32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325,969.26</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3,551,112.48</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353,494.48</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w:t>
      </w:r>
    </w:p>
    <w:p>
      <w:pPr>
        <w:spacing w:after="0"/>
        <w:jc w:val="left"/>
        <w:rPr>
          <w:rFonts w:ascii="宋体" w:hAnsi="宋体" w:cs="宋体" w:eastAsia="宋体" w:hint="default"/>
          <w:sz w:val="21"/>
          <w:szCs w:val="21"/>
        </w:rPr>
        <w:sectPr>
          <w:footerReference w:type="default" r:id="rId56"/>
          <w:pgSz w:w="11910" w:h="16840"/>
          <w:pgMar w:footer="1256" w:header="876" w:top="1060" w:bottom="1440" w:left="980" w:right="0"/>
          <w:pgNumType w:start="94"/>
        </w:sectPr>
      </w:pPr>
    </w:p>
    <w:p>
      <w:pPr>
        <w:spacing w:line="240" w:lineRule="auto" w:before="10"/>
        <w:rPr>
          <w:rFonts w:ascii="宋体" w:hAnsi="宋体" w:cs="宋体" w:eastAsia="宋体" w:hint="default"/>
          <w:sz w:val="24"/>
          <w:szCs w:val="24"/>
        </w:rPr>
      </w:pPr>
    </w:p>
    <w:p>
      <w:pPr>
        <w:spacing w:line="256" w:lineRule="auto" w:before="36"/>
        <w:ind w:left="152" w:right="1123" w:firstLine="420"/>
        <w:jc w:val="left"/>
        <w:rPr>
          <w:rFonts w:ascii="宋体" w:hAnsi="宋体" w:cs="宋体" w:eastAsia="宋体" w:hint="default"/>
          <w:sz w:val="21"/>
          <w:szCs w:val="21"/>
        </w:rPr>
      </w:pPr>
      <w:r>
        <w:rPr>
          <w:rFonts w:ascii="宋体" w:hAnsi="宋体" w:cs="宋体" w:eastAsia="宋体" w:hint="default"/>
          <w:spacing w:val="-3"/>
          <w:sz w:val="21"/>
          <w:szCs w:val="21"/>
        </w:rPr>
        <w:t>其他应收款年末数比年初数增加</w:t>
      </w:r>
      <w:r>
        <w:rPr>
          <w:rFonts w:ascii="Times New Roman" w:hAnsi="Times New Roman" w:cs="Times New Roman" w:eastAsia="Times New Roman" w:hint="default"/>
          <w:spacing w:val="-3"/>
          <w:sz w:val="21"/>
          <w:szCs w:val="21"/>
        </w:rPr>
        <w:t>2,217,142.06</w:t>
      </w:r>
      <w:r>
        <w:rPr>
          <w:rFonts w:ascii="宋体" w:hAnsi="宋体" w:cs="宋体" w:eastAsia="宋体" w:hint="default"/>
          <w:spacing w:val="-3"/>
          <w:sz w:val="21"/>
          <w:szCs w:val="21"/>
        </w:rPr>
        <w:t>元，增加比例为</w:t>
      </w:r>
      <w:r>
        <w:rPr>
          <w:rFonts w:ascii="Times New Roman" w:hAnsi="Times New Roman" w:cs="Times New Roman" w:eastAsia="Times New Roman" w:hint="default"/>
          <w:spacing w:val="-3"/>
          <w:sz w:val="21"/>
          <w:szCs w:val="21"/>
        </w:rPr>
        <w:t>69.34%</w:t>
      </w:r>
      <w:r>
        <w:rPr>
          <w:rFonts w:ascii="宋体" w:hAnsi="宋体" w:cs="宋体" w:eastAsia="宋体" w:hint="default"/>
          <w:spacing w:val="-3"/>
          <w:sz w:val="21"/>
          <w:szCs w:val="21"/>
        </w:rPr>
        <w:t>，主要原因为：本年扩大租房面积</w:t>
      </w:r>
      <w:r>
        <w:rPr>
          <w:rFonts w:ascii="宋体" w:hAnsi="宋体" w:cs="宋体" w:eastAsia="宋体" w:hint="default"/>
          <w:w w:val="100"/>
          <w:sz w:val="21"/>
          <w:szCs w:val="21"/>
        </w:rPr>
        <w:t> </w:t>
      </w:r>
      <w:r>
        <w:rPr>
          <w:rFonts w:ascii="宋体" w:hAnsi="宋体" w:cs="宋体" w:eastAsia="宋体" w:hint="default"/>
          <w:sz w:val="21"/>
          <w:szCs w:val="21"/>
        </w:rPr>
        <w:t>导致的租房押金增加以及员工借款增加所致。</w:t>
      </w:r>
    </w:p>
    <w:p>
      <w:pPr>
        <w:spacing w:line="307" w:lineRule="auto" w:before="63"/>
        <w:ind w:left="152" w:right="1780" w:firstLine="0"/>
        <w:jc w:val="left"/>
        <w:rPr>
          <w:rFonts w:ascii="宋体" w:hAnsi="宋体" w:cs="宋体" w:eastAsia="宋体" w:hint="default"/>
          <w:sz w:val="21"/>
          <w:szCs w:val="21"/>
        </w:rPr>
      </w:pPr>
      <w:r>
        <w:rPr>
          <w:rFonts w:ascii="宋体" w:hAnsi="宋体" w:cs="宋体" w:eastAsia="宋体" w:hint="default"/>
          <w:spacing w:val="-2"/>
          <w:sz w:val="21"/>
          <w:szCs w:val="21"/>
        </w:rPr>
        <w:t>期末无单项金额重大并单项计提坏账准备的其他应收款</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组合中，采用账龄分析法计提坏账准备的其他应收款</w:t>
      </w:r>
    </w:p>
    <w:p>
      <w:pPr>
        <w:spacing w:before="4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2,946,345.83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1,025,309.54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2,946,345.83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1,025,309.54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2,946,345.83</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1,025,309.54</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256" w:top="1060" w:bottom="1440" w:left="980" w:right="0"/>
        </w:sectPr>
      </w:pPr>
    </w:p>
    <w:p>
      <w:pPr>
        <w:spacing w:line="307" w:lineRule="auto"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组合中，无采用余额百分比法计提坏账准备的其他应收款</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组合中，采用其他方法计提坏账准备的其他应收款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410" w:space="3419"/>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61"/>
        <w:gridCol w:w="2856"/>
        <w:gridCol w:w="2753"/>
      </w:tblGrid>
      <w:tr>
        <w:trPr>
          <w:trHeight w:val="402"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2,794,383.49</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325,969.26</w:t>
            </w:r>
          </w:p>
        </w:tc>
      </w:tr>
      <w:tr>
        <w:trPr>
          <w:trHeight w:val="404"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2,794,383.49</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325,969.26</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期末无单项金额虽不重大但单项计提坏账准备的其他应收款</w:t>
      </w:r>
    </w:p>
    <w:p>
      <w:pPr>
        <w:spacing w:line="240" w:lineRule="auto" w:before="8"/>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）本报告期其他应收款中无持有公司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418"/>
        <w:gridCol w:w="1349"/>
        <w:gridCol w:w="1913"/>
        <w:gridCol w:w="1916"/>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上海邮通物业管理有限公司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381,666.16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上海邮通物业管理有限公司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679,880.00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11.84%</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上海邮通物业管理有限公司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606,984.00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10.57%</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日本阳光开拓者不动产株式会社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80,224.75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日本阳光开拓者不动产株式会社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278,432.98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周先生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都市再生机构（日本独立行政法人）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都市再生机构（日本独立行政法人）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109,376.27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7"/>
        <w:gridCol w:w="1418"/>
        <w:gridCol w:w="1349"/>
        <w:gridCol w:w="1913"/>
        <w:gridCol w:w="1916"/>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陈先生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60"/>
              <w:jc w:val="right"/>
              <w:rPr>
                <w:rFonts w:ascii="宋体" w:hAnsi="宋体" w:cs="宋体" w:eastAsia="宋体" w:hint="default"/>
                <w:sz w:val="18"/>
                <w:szCs w:val="18"/>
              </w:rPr>
            </w:pPr>
            <w:r>
              <w:rPr>
                <w:rFonts w:ascii="宋体" w:hAnsi="宋体" w:cs="宋体" w:eastAsia="宋体" w:hint="default"/>
                <w:sz w:val="18"/>
                <w:szCs w:val="18"/>
              </w:rPr>
              <w:t>公司员工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38"/>
              <w:jc w:val="right"/>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2,478,213.12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43.16%</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1,403,550.09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1,102,725.78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1,403,550.09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1,102,725.78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560"/>
        <w:gridCol w:w="1349"/>
        <w:gridCol w:w="1913"/>
        <w:gridCol w:w="1916"/>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上海邮通物业管理有限公司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LEO </w:t>
            </w:r>
            <w:r>
              <w:rPr>
                <w:rFonts w:ascii="Times New Roman" w:hAnsi="Times New Roman" w:cs="Times New Roman" w:eastAsia="Times New Roman" w:hint="default"/>
                <w:spacing w:val="-4"/>
                <w:sz w:val="18"/>
                <w:szCs w:val="18"/>
              </w:rPr>
              <w:t>PALACE</w:t>
            </w:r>
            <w:r>
              <w:rPr>
                <w:rFonts w:ascii="Times New Roman" w:hAnsi="Times New Roman" w:cs="Times New Roman" w:eastAsia="Times New Roman" w:hint="default"/>
                <w:sz w:val="18"/>
                <w:szCs w:val="18"/>
              </w:rPr>
              <w:t> 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155,896.06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日本吉住新都心月租公寓株式会社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151,751.99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加濑仓库株式会社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67,274.48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868,219.53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506" w:lineRule="auto"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）本报告期预付款项中持有本公司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本报告期预付账款中无持公司</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％以上（含</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％）表决权股份的股东单位欠款及关联方欠款。</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before="65"/>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8"/>
        <w:gridCol w:w="1473"/>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4,359,809.29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4,359,809.29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1,362,966.71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1,362,966.71</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4,359,809.29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4,359,809.29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1,362,966.71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1,362,966.71</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256" w:top="1060" w:bottom="14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63222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97</w:t>
                    </w:r>
                  </w:p>
                </w:txbxContent>
              </v:textbox>
              <w10:wrap type="none"/>
            </v:shape>
            <w10:wrap type="none"/>
          </v:group>
        </w:pict>
      </w: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4"/>
      </w:tblGrid>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248,700.00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248,700.00</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248,700.00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248,700.00</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上海艾云 慧信创业 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）向投资企业转移资金的能力受到限制的有关情况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307" w:lineRule="auto" w:before="0"/>
        <w:ind w:left="573" w:right="1123" w:hanging="421"/>
        <w:jc w:val="left"/>
        <w:rPr>
          <w:rFonts w:ascii="宋体" w:hAnsi="宋体" w:cs="宋体" w:eastAsia="宋体" w:hint="default"/>
          <w:sz w:val="21"/>
          <w:szCs w:val="21"/>
        </w:rPr>
      </w:pPr>
      <w:r>
        <w:rPr>
          <w:rFonts w:ascii="宋体" w:hAnsi="宋体" w:cs="宋体" w:eastAsia="宋体" w:hint="default"/>
          <w:sz w:val="21"/>
          <w:szCs w:val="21"/>
        </w:rPr>
        <w:t>长期股权投资的说明</w:t>
      </w:r>
      <w:r>
        <w:rPr>
          <w:rFonts w:ascii="宋体" w:hAnsi="宋体" w:cs="宋体" w:eastAsia="宋体" w:hint="default"/>
          <w:w w:val="100"/>
          <w:sz w:val="21"/>
          <w:szCs w:val="21"/>
        </w:rPr>
        <w:t> </w:t>
      </w:r>
      <w:r>
        <w:rPr>
          <w:rFonts w:ascii="宋体" w:hAnsi="宋体" w:cs="宋体" w:eastAsia="宋体" w:hint="default"/>
          <w:spacing w:val="-2"/>
          <w:sz w:val="21"/>
          <w:szCs w:val="21"/>
        </w:rPr>
        <w:t>长期股权投资年末数比年初数增加</w:t>
      </w:r>
      <w:r>
        <w:rPr>
          <w:rFonts w:ascii="Times New Roman" w:hAnsi="Times New Roman" w:cs="Times New Roman" w:eastAsia="Times New Roman" w:hint="default"/>
          <w:spacing w:val="-2"/>
          <w:sz w:val="21"/>
          <w:szCs w:val="21"/>
        </w:rPr>
        <w:t>8,000,000.00</w:t>
      </w:r>
      <w:r>
        <w:rPr>
          <w:rFonts w:ascii="宋体" w:hAnsi="宋体" w:cs="宋体" w:eastAsia="宋体" w:hint="default"/>
          <w:spacing w:val="-2"/>
          <w:sz w:val="21"/>
          <w:szCs w:val="21"/>
        </w:rPr>
        <w:t>元，增加比例为</w:t>
      </w:r>
      <w:r>
        <w:rPr>
          <w:rFonts w:ascii="Times New Roman" w:hAnsi="Times New Roman" w:cs="Times New Roman" w:eastAsia="Times New Roman" w:hint="default"/>
          <w:spacing w:val="-2"/>
          <w:sz w:val="21"/>
          <w:szCs w:val="21"/>
        </w:rPr>
        <w:t>100.00%</w:t>
      </w:r>
      <w:r>
        <w:rPr>
          <w:rFonts w:ascii="宋体" w:hAnsi="宋体" w:cs="宋体" w:eastAsia="宋体" w:hint="default"/>
          <w:spacing w:val="-2"/>
          <w:sz w:val="21"/>
          <w:szCs w:val="21"/>
        </w:rPr>
        <w:t>，增加原因为：本年新增被投</w:t>
      </w:r>
    </w:p>
    <w:p>
      <w:pPr>
        <w:spacing w:line="231" w:lineRule="exact" w:before="0"/>
        <w:ind w:left="152" w:right="1780" w:firstLine="0"/>
        <w:jc w:val="left"/>
        <w:rPr>
          <w:rFonts w:ascii="宋体" w:hAnsi="宋体" w:cs="宋体" w:eastAsia="宋体" w:hint="default"/>
          <w:sz w:val="21"/>
          <w:szCs w:val="21"/>
        </w:rPr>
      </w:pPr>
      <w:r>
        <w:rPr>
          <w:rFonts w:ascii="宋体" w:hAnsi="宋体" w:cs="宋体" w:eastAsia="宋体" w:hint="default"/>
          <w:sz w:val="21"/>
          <w:szCs w:val="21"/>
        </w:rPr>
        <w:t>资公司上海艾云慧信创业投资有限公司股权所致。</w:t>
      </w:r>
    </w:p>
    <w:p>
      <w:pPr>
        <w:spacing w:line="240" w:lineRule="auto" w:before="10"/>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2921"/>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138,684,754.15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4,637,143.51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3,142,707.69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140,179,189.97</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117,860,446.02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117,860,446.02</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8,767,436.60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2,349,581.00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514,299.00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10,602,718.60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12,056,871.53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2,287,562.51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2,628,408.69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11,716,025.35</w:t>
            </w:r>
          </w:p>
        </w:tc>
      </w:tr>
    </w:tbl>
    <w:p>
      <w:pPr>
        <w:spacing w:after="0" w:line="240" w:lineRule="auto"/>
        <w:jc w:val="right"/>
        <w:rPr>
          <w:rFonts w:ascii="Times New Roman" w:hAnsi="Times New Roman" w:cs="Times New Roman" w:eastAsia="Times New Roman" w:hint="default"/>
          <w:sz w:val="18"/>
          <w:szCs w:val="18"/>
        </w:rPr>
        <w:sectPr>
          <w:headerReference w:type="default" r:id="rId57"/>
          <w:footerReference w:type="default" r:id="rId58"/>
          <w:pgSz w:w="11910" w:h="16840"/>
          <w:pgMar w:header="876"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15,565,665.70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5,354,115.00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2,981,618.56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17,938,162.14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4,680,381.85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2,583,499.56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7,263,881.41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5,356,759.82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1,292,290.44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488,583.60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6,160,466.66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5,528,524.03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1,478,325.00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2,493,034.96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4,513,814.07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123,119,088.45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122,241,027.83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113,180,064.17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110,596,564.61</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3,410,676.78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4,442,251.94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6,528,347.50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7,202,211.28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123,119,088.45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122,241,027.83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113,180,064.17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110,596,564.61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3,410,676.78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4,442,251.94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6,528,347.50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7,202,211.28</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3"/>
          <w:sz w:val="21"/>
          <w:szCs w:val="21"/>
        </w:rPr>
        <w:t> </w:t>
      </w:r>
      <w:r>
        <w:rPr>
          <w:rFonts w:ascii="宋体" w:hAnsi="宋体" w:cs="宋体" w:eastAsia="宋体" w:hint="default"/>
          <w:sz w:val="21"/>
          <w:szCs w:val="21"/>
        </w:rPr>
        <w:t>5,354,115.00</w:t>
      </w:r>
      <w:r>
        <w:rPr>
          <w:rFonts w:ascii="宋体" w:hAnsi="宋体" w:cs="宋体" w:eastAsia="宋体" w:hint="default"/>
          <w:spacing w:val="-56"/>
          <w:sz w:val="21"/>
          <w:szCs w:val="21"/>
        </w:rPr>
        <w:t> </w:t>
      </w:r>
      <w:r>
        <w:rPr>
          <w:rFonts w:ascii="宋体" w:hAnsi="宋体" w:cs="宋体" w:eastAsia="宋体" w:hint="default"/>
          <w:sz w:val="21"/>
          <w:szCs w:val="21"/>
        </w:rPr>
        <w:t>元；本期由在建工程转入固定资产原价为</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8"/>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4"/>
        <w:gridCol w:w="4795"/>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5,423,380.18</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13,213,837.22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9,638,888.85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629,930.98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22,222,795.09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1,365,275.65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944,355.59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541,130.00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1,768,501.24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1,996,252.19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88,800.98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1,907,451.21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6,785,159.81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6,785,159.81</w:t>
            </w:r>
          </w:p>
        </w:tc>
      </w:tr>
    </w:tbl>
    <w:p>
      <w:pPr>
        <w:spacing w:after="0" w:line="240" w:lineRule="auto"/>
        <w:jc w:val="right"/>
        <w:rPr>
          <w:rFonts w:ascii="Times New Roman" w:hAnsi="Times New Roman" w:cs="Times New Roman" w:eastAsia="Times New Roman" w:hint="default"/>
          <w:sz w:val="18"/>
          <w:szCs w:val="18"/>
        </w:rPr>
        <w:sectPr>
          <w:footerReference w:type="default" r:id="rId59"/>
          <w:pgSz w:w="11910" w:h="16840"/>
          <w:pgMar w:footer="1340" w:header="876" w:top="1060" w:bottom="1540" w:left="980" w:right="0"/>
          <w:pgNumType w:start="98"/>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3,067,149.57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8,694,533.26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11,761,682.83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3,705,201.06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2,706,061.86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541,130.00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5,870,132.92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676,974.98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300,873.32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541,130.00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436,718.30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2,159,200.37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1,357,031.96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3,516,232.33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869,025.71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1,048,156.58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1,917,182.29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9,508,636.16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6,932,826.99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88,800.98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16,352,662.17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688,300.67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1,331,782.94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1,996,252.19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1,907,451.21</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4,625,959.44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3,268,927.48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2,198,123.86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9,844,500.54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9,508,636.16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6,932,826.99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88,800.98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16,352,662.17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688,300.67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1,331,782.94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1,996,252.19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1,907,451.21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4,625,959.44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3,268,927.48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2,198,123.86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9,844,500.54</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2,706,061.86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轨道交通站务设备 嵌入式软件项目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3,194,138.72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5,500,394.54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8,694,533.26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轨道交通票务智能 仿真检证系统软件</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3,398,671.76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3,398,671.76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3,194,138.72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8,899,066.30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8,694,533.26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3,398,671.76</w:t>
            </w:r>
          </w:p>
        </w:tc>
      </w:tr>
    </w:tbl>
    <w:p>
      <w:pPr>
        <w:spacing w:line="307" w:lineRule="auto" w:before="28"/>
        <w:ind w:left="152" w:right="3777" w:firstLine="0"/>
        <w:jc w:val="left"/>
        <w:rPr>
          <w:rFonts w:ascii="宋体" w:hAnsi="宋体" w:cs="宋体" w:eastAsia="宋体" w:hint="default"/>
          <w:sz w:val="21"/>
          <w:szCs w:val="21"/>
        </w:rPr>
      </w:pPr>
      <w:r>
        <w:rPr>
          <w:rFonts w:ascii="宋体" w:hAnsi="宋体" w:cs="宋体" w:eastAsia="宋体" w:hint="default"/>
          <w:sz w:val="21"/>
          <w:szCs w:val="21"/>
        </w:rPr>
        <w:t>本期开发支出占本期研究开发项目支出总额的比例</w:t>
      </w:r>
      <w:r>
        <w:rPr>
          <w:rFonts w:ascii="宋体" w:hAnsi="宋体" w:cs="宋体" w:eastAsia="宋体" w:hint="default"/>
          <w:spacing w:val="-56"/>
          <w:sz w:val="21"/>
          <w:szCs w:val="21"/>
        </w:rPr>
        <w:t> </w:t>
      </w:r>
      <w:r>
        <w:rPr>
          <w:rFonts w:ascii="宋体" w:hAnsi="宋体" w:cs="宋体" w:eastAsia="宋体" w:hint="default"/>
          <w:sz w:val="21"/>
          <w:szCs w:val="21"/>
        </w:rPr>
        <w:t>32.97%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通过公司内部研发形成的无形资产占无形资产期末账面价值的比例</w:t>
      </w:r>
      <w:r>
        <w:rPr>
          <w:rFonts w:ascii="宋体" w:hAnsi="宋体" w:cs="宋体" w:eastAsia="宋体" w:hint="default"/>
          <w:spacing w:val="7"/>
          <w:sz w:val="21"/>
          <w:szCs w:val="21"/>
        </w:rPr>
        <w:t> </w:t>
      </w:r>
      <w:r>
        <w:rPr>
          <w:rFonts w:ascii="宋体" w:hAnsi="宋体" w:cs="宋体" w:eastAsia="宋体" w:hint="default"/>
          <w:spacing w:val="-1"/>
          <w:sz w:val="21"/>
          <w:szCs w:val="21"/>
        </w:rPr>
        <w:t>80.19%</w:t>
      </w:r>
      <w:r>
        <w:rPr>
          <w:rFonts w:ascii="宋体" w:hAnsi="宋体" w:cs="宋体" w:eastAsia="宋体" w:hint="default"/>
          <w:spacing w:val="-1"/>
          <w:sz w:val="21"/>
          <w:szCs w:val="21"/>
        </w:rPr>
        <w:t>。</w:t>
      </w:r>
    </w:p>
    <w:p>
      <w:pPr>
        <w:spacing w:after="0" w:line="307" w:lineRule="auto"/>
        <w:jc w:val="left"/>
        <w:rPr>
          <w:rFonts w:ascii="宋体" w:hAnsi="宋体" w:cs="宋体" w:eastAsia="宋体" w:hint="default"/>
          <w:sz w:val="21"/>
          <w:szCs w:val="21"/>
        </w:rPr>
        <w:sectPr>
          <w:pgSz w:w="11910" w:h="16840"/>
          <w:pgMar w:header="876"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上海华钟计算机软件开发有限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146,337.55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146,337.55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1,655,442.06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1,655,442.06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1,655,442.06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1,801,779.61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1,801,779.61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1,655,442.06</w:t>
            </w:r>
          </w:p>
        </w:tc>
      </w:tr>
    </w:tbl>
    <w:p>
      <w:pPr>
        <w:spacing w:line="256" w:lineRule="auto"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上述上海华钟计算机软件开发有限公司商誉系</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年内本公司以货币资金增资该公司</w:t>
      </w:r>
      <w:r>
        <w:rPr>
          <w:rFonts w:ascii="Times New Roman" w:hAnsi="Times New Roman" w:cs="Times New Roman" w:eastAsia="Times New Roman" w:hint="default"/>
          <w:sz w:val="21"/>
          <w:szCs w:val="21"/>
        </w:rPr>
        <w:t>676,326.53</w:t>
      </w:r>
      <w:r>
        <w:rPr>
          <w:rFonts w:ascii="宋体" w:hAnsi="宋体" w:cs="宋体" w:eastAsia="宋体" w:hint="default"/>
          <w:sz w:val="21"/>
          <w:szCs w:val="21"/>
        </w:rPr>
        <w:t>元，股权</w:t>
      </w:r>
      <w:r>
        <w:rPr>
          <w:rFonts w:ascii="宋体" w:hAnsi="宋体" w:cs="宋体" w:eastAsia="宋体" w:hint="default"/>
          <w:w w:val="100"/>
          <w:sz w:val="21"/>
          <w:szCs w:val="21"/>
        </w:rPr>
        <w:t> </w:t>
      </w:r>
      <w:r>
        <w:rPr>
          <w:rFonts w:ascii="宋体" w:hAnsi="宋体" w:cs="宋体" w:eastAsia="宋体" w:hint="default"/>
          <w:spacing w:val="-3"/>
          <w:sz w:val="21"/>
          <w:szCs w:val="21"/>
        </w:rPr>
        <w:t>比例由原先的</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增加到</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，合并成本（货币资金增资溢价金额）</w:t>
      </w:r>
      <w:r>
        <w:rPr>
          <w:rFonts w:ascii="Times New Roman" w:hAnsi="Times New Roman" w:cs="Times New Roman" w:eastAsia="Times New Roman" w:hint="default"/>
          <w:spacing w:val="-3"/>
          <w:sz w:val="21"/>
          <w:szCs w:val="21"/>
        </w:rPr>
        <w:t>331,400.00</w:t>
      </w:r>
      <w:r>
        <w:rPr>
          <w:rFonts w:ascii="宋体" w:hAnsi="宋体" w:cs="宋体" w:eastAsia="宋体" w:hint="default"/>
          <w:spacing w:val="-3"/>
          <w:sz w:val="21"/>
          <w:szCs w:val="21"/>
        </w:rPr>
        <w:t>元大于合并日取得该公司可</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辨认净资产公允价值</w:t>
      </w:r>
      <w:r>
        <w:rPr>
          <w:rFonts w:ascii="Times New Roman" w:hAnsi="Times New Roman" w:cs="Times New Roman" w:eastAsia="Times New Roman" w:hint="default"/>
          <w:sz w:val="21"/>
          <w:szCs w:val="21"/>
        </w:rPr>
        <w:t>1%</w:t>
      </w:r>
      <w:r>
        <w:rPr>
          <w:rFonts w:ascii="宋体" w:hAnsi="宋体" w:cs="宋体" w:eastAsia="宋体" w:hint="default"/>
          <w:sz w:val="21"/>
          <w:szCs w:val="21"/>
        </w:rPr>
        <w:t>份额</w:t>
      </w:r>
      <w:r>
        <w:rPr>
          <w:rFonts w:ascii="Times New Roman" w:hAnsi="Times New Roman" w:cs="Times New Roman" w:eastAsia="Times New Roman" w:hint="default"/>
          <w:sz w:val="21"/>
          <w:szCs w:val="21"/>
        </w:rPr>
        <w:t>185,062.45</w:t>
      </w:r>
      <w:r>
        <w:rPr>
          <w:rFonts w:ascii="宋体" w:hAnsi="宋体" w:cs="宋体" w:eastAsia="宋体" w:hint="default"/>
          <w:sz w:val="21"/>
          <w:szCs w:val="21"/>
        </w:rPr>
        <w:t>元的差额所致。</w:t>
      </w:r>
    </w:p>
    <w:p>
      <w:pPr>
        <w:spacing w:line="240" w:lineRule="auto" w:before="4"/>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经营性租入固定 资产改良支出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3,545,415.90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321,276.58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988,351.96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2,878,340.52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9,436.00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3,561,523.90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321,276.58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995,023.96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2,887,776.52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78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1,194,982.31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948,615.87</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1,194,982.31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948,615.87</w:t>
            </w:r>
          </w:p>
        </w:tc>
      </w:tr>
    </w:tbl>
    <w:p>
      <w:pPr>
        <w:spacing w:before="49"/>
        <w:ind w:left="152" w:right="178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429,982.33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432,366.33</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3,350,366.60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3,362,097.16</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999,580.31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4,779,929.24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3,794,463.49</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0"/>
          <w:pgSz w:w="11910" w:h="16840"/>
          <w:pgMar w:footer="1340" w:header="876" w:top="1060" w:bottom="154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353,494.48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7,578.83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35,104.05</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325,969.26</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1,655,442.06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1,655,442.06</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2,008,936.54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7,578.83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35,104.05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1,981,411.32</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3,944,646.00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4,866,180.00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3,944,646.00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14,866,180.00</w:t>
            </w:r>
          </w:p>
        </w:tc>
      </w:tr>
    </w:tbl>
    <w:p>
      <w:pPr>
        <w:spacing w:line="307" w:lineRule="auto" w:before="28"/>
        <w:ind w:left="152" w:right="3268" w:firstLine="0"/>
        <w:jc w:val="left"/>
        <w:rPr>
          <w:rFonts w:ascii="宋体" w:hAnsi="宋体" w:cs="宋体" w:eastAsia="宋体" w:hint="default"/>
          <w:sz w:val="21"/>
          <w:szCs w:val="21"/>
        </w:rPr>
      </w:pPr>
      <w:r>
        <w:rPr>
          <w:rFonts w:ascii="宋体" w:hAnsi="宋体" w:cs="宋体" w:eastAsia="宋体" w:hint="default"/>
          <w:sz w:val="21"/>
          <w:szCs w:val="21"/>
        </w:rPr>
        <w:t>短期借款分类的说明</w:t>
      </w:r>
      <w:r>
        <w:rPr>
          <w:rFonts w:ascii="宋体" w:hAnsi="宋体" w:cs="宋体" w:eastAsia="宋体" w:hint="default"/>
          <w:w w:val="100"/>
          <w:sz w:val="21"/>
          <w:szCs w:val="21"/>
        </w:rPr>
        <w:t> </w:t>
      </w:r>
      <w:r>
        <w:rPr>
          <w:rFonts w:ascii="宋体" w:hAnsi="宋体" w:cs="宋体" w:eastAsia="宋体" w:hint="default"/>
          <w:spacing w:val="-2"/>
          <w:sz w:val="21"/>
          <w:szCs w:val="21"/>
        </w:rPr>
        <w:t>年末保证借款系自然人股东包叔平先生提供个人连带责任的保证担保。</w:t>
      </w:r>
    </w:p>
    <w:p>
      <w:pPr>
        <w:spacing w:line="269" w:lineRule="exact"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年末保证借款系本公司下属子公司日本海隆株式会社日币借款，借款本金为</w:t>
      </w:r>
      <w:r>
        <w:rPr>
          <w:rFonts w:ascii="Times New Roman" w:hAnsi="Times New Roman" w:cs="Times New Roman" w:eastAsia="Times New Roman" w:hint="default"/>
          <w:sz w:val="21"/>
          <w:szCs w:val="21"/>
        </w:rPr>
        <w:t>5,400</w:t>
      </w:r>
      <w:r>
        <w:rPr>
          <w:rFonts w:ascii="宋体" w:hAnsi="宋体" w:cs="宋体" w:eastAsia="宋体" w:hint="default"/>
          <w:sz w:val="21"/>
          <w:szCs w:val="21"/>
        </w:rPr>
        <w:t>万日元，折算汇率</w:t>
      </w:r>
    </w:p>
    <w:p>
      <w:pPr>
        <w:spacing w:before="21"/>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0.073049</w:t>
      </w:r>
      <w:r>
        <w:rPr>
          <w:rFonts w:ascii="宋体" w:hAnsi="宋体" w:cs="宋体" w:eastAsia="宋体" w:hint="default"/>
          <w:sz w:val="21"/>
          <w:szCs w:val="21"/>
        </w:rPr>
        <w:t>，折合人民币</w:t>
      </w:r>
      <w:r>
        <w:rPr>
          <w:rFonts w:ascii="Times New Roman" w:hAnsi="Times New Roman" w:cs="Times New Roman" w:eastAsia="Times New Roman" w:hint="default"/>
          <w:sz w:val="21"/>
          <w:szCs w:val="21"/>
        </w:rPr>
        <w:t>3,944,646.00</w:t>
      </w:r>
      <w:r>
        <w:rPr>
          <w:rFonts w:ascii="宋体" w:hAnsi="宋体" w:cs="宋体" w:eastAsia="宋体" w:hint="default"/>
          <w:sz w:val="21"/>
          <w:szCs w:val="21"/>
        </w:rPr>
        <w:t>元。</w:t>
      </w:r>
    </w:p>
    <w:p>
      <w:pPr>
        <w:spacing w:before="21"/>
        <w:ind w:left="152" w:right="1123" w:firstLine="0"/>
        <w:jc w:val="left"/>
        <w:rPr>
          <w:rFonts w:ascii="宋体" w:hAnsi="宋体" w:cs="宋体" w:eastAsia="宋体" w:hint="default"/>
          <w:sz w:val="21"/>
          <w:szCs w:val="21"/>
        </w:rPr>
      </w:pPr>
      <w:r>
        <w:rPr>
          <w:rFonts w:ascii="宋体" w:hAnsi="宋体" w:cs="宋体" w:eastAsia="宋体" w:hint="default"/>
          <w:sz w:val="21"/>
          <w:szCs w:val="21"/>
        </w:rPr>
        <w:t>短期借款年末数比年初数减少</w:t>
      </w:r>
      <w:r>
        <w:rPr>
          <w:rFonts w:ascii="Times New Roman" w:hAnsi="Times New Roman" w:cs="Times New Roman" w:eastAsia="Times New Roman" w:hint="default"/>
          <w:sz w:val="21"/>
          <w:szCs w:val="21"/>
        </w:rPr>
        <w:t>10,921,534.00</w:t>
      </w:r>
      <w:r>
        <w:rPr>
          <w:rFonts w:ascii="宋体" w:hAnsi="宋体" w:cs="宋体" w:eastAsia="宋体" w:hint="default"/>
          <w:sz w:val="21"/>
          <w:szCs w:val="21"/>
        </w:rPr>
        <w:t>元，减少比例为</w:t>
      </w:r>
      <w:r>
        <w:rPr>
          <w:rFonts w:ascii="Times New Roman" w:hAnsi="Times New Roman" w:cs="Times New Roman" w:eastAsia="Times New Roman" w:hint="default"/>
          <w:sz w:val="21"/>
          <w:szCs w:val="21"/>
        </w:rPr>
        <w:t>73.47%</w:t>
      </w:r>
      <w:r>
        <w:rPr>
          <w:rFonts w:ascii="宋体" w:hAnsi="宋体" w:cs="宋体" w:eastAsia="宋体" w:hint="default"/>
          <w:sz w:val="21"/>
          <w:szCs w:val="21"/>
        </w:rPr>
        <w:t>，主要原因为：本年归还借款所致。</w:t>
      </w:r>
    </w:p>
    <w:p>
      <w:pPr>
        <w:spacing w:line="240" w:lineRule="auto" w:before="7"/>
        <w:rPr>
          <w:rFonts w:ascii="宋体" w:hAnsi="宋体" w:cs="宋体" w:eastAsia="宋体" w:hint="default"/>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1,368,015.38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2,207,983.10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1,368,015.38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2,207,983.10</w:t>
            </w:r>
          </w:p>
        </w:tc>
      </w:tr>
    </w:tbl>
    <w:p>
      <w:pPr>
        <w:spacing w:after="0" w:line="240" w:lineRule="auto"/>
        <w:jc w:val="right"/>
        <w:rPr>
          <w:rFonts w:ascii="Times New Roman" w:hAnsi="Times New Roman" w:cs="Times New Roman" w:eastAsia="Times New Roman" w:hint="default"/>
          <w:sz w:val="18"/>
          <w:szCs w:val="18"/>
        </w:rPr>
        <w:sectPr>
          <w:footerReference w:type="default" r:id="rId61"/>
          <w:pgSz w:w="11910" w:h="16840"/>
          <w:pgMar w:footer="1340" w:header="876" w:top="1060" w:bottom="1540" w:left="980" w:right="0"/>
          <w:pgNumType w:start="101"/>
        </w:sectPr>
      </w:pPr>
    </w:p>
    <w:p>
      <w:pPr>
        <w:spacing w:line="240" w:lineRule="auto" w:before="10"/>
        <w:rPr>
          <w:rFonts w:ascii="宋体" w:hAnsi="宋体" w:cs="宋体" w:eastAsia="宋体" w:hint="default"/>
          <w:sz w:val="24"/>
          <w:szCs w:val="24"/>
        </w:rPr>
      </w:pPr>
    </w:p>
    <w:p>
      <w:pPr>
        <w:spacing w:line="506" w:lineRule="auto" w:before="36"/>
        <w:ind w:left="152" w:right="253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）本报告期应付账款中无应付持有公司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、预收账款</w:t>
      </w:r>
      <w:r>
        <w:rPr>
          <w:rFonts w:ascii="宋体" w:hAnsi="宋体" w:cs="宋体" w:eastAsia="宋体" w:hint="default"/>
          <w:sz w:val="21"/>
          <w:szCs w:val="21"/>
        </w:rPr>
      </w:r>
    </w:p>
    <w:p>
      <w:pPr>
        <w:spacing w:before="63"/>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6,142,772.76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969,036.67</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6,142,772.76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969,036.67</w:t>
            </w:r>
          </w:p>
        </w:tc>
      </w:tr>
    </w:tbl>
    <w:p>
      <w:pPr>
        <w:spacing w:line="240" w:lineRule="auto" w:before="3"/>
        <w:rPr>
          <w:rFonts w:ascii="宋体" w:hAnsi="宋体" w:cs="宋体" w:eastAsia="宋体" w:hint="default"/>
          <w:sz w:val="19"/>
          <w:szCs w:val="19"/>
        </w:rPr>
      </w:pPr>
    </w:p>
    <w:p>
      <w:pPr>
        <w:spacing w:line="506" w:lineRule="auto" w:before="36"/>
        <w:ind w:left="152" w:right="253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）本报告期预收账款中无预收持有公司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before="8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7,146,409.52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163,008,449.76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163,170,282.28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6,984,577.00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3,183,582.48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34,892,126.79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35,123,365.75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2,952,343.52</w:t>
            </w:r>
          </w:p>
        </w:tc>
      </w:tr>
      <w:tr>
        <w:trPr>
          <w:trHeight w:val="7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924,692.00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9,703,056.25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9,794,517.41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833,230.84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2,013,980.66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22,763,439.12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22,875,646.42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1,901,773.36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168,606.76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1,640,363.57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1,660,419.03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148,551.30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29,061.03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298,265.88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300,842.41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26,484.50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47,242.03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487,001.97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491,940.48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42,303.52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405,038.00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10,344,371.00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10,031,666.00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717,743.00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927,871.52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927,871.52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10,735,030.00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209,172,819.07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209,253,185.55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10,654,663.52</w:t>
            </w:r>
          </w:p>
        </w:tc>
      </w:tr>
    </w:tbl>
    <w:p>
      <w:pPr>
        <w:spacing w:before="29"/>
        <w:ind w:left="152" w:right="1780"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w:t>
      </w:r>
      <w:r>
        <w:rPr>
          <w:rFonts w:ascii="宋体" w:hAnsi="宋体" w:cs="宋体" w:eastAsia="宋体" w:hint="default"/>
          <w:spacing w:val="-52"/>
          <w:sz w:val="21"/>
          <w:szCs w:val="21"/>
        </w:rPr>
        <w:t> </w:t>
      </w: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83" w:lineRule="auto" w:before="75"/>
        <w:ind w:left="152" w:right="1123" w:firstLine="0"/>
        <w:jc w:val="left"/>
        <w:rPr>
          <w:rFonts w:ascii="宋体" w:hAnsi="宋体" w:cs="宋体" w:eastAsia="宋体"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46"/>
          <w:sz w:val="21"/>
          <w:szCs w:val="21"/>
        </w:rPr>
        <w:t> </w:t>
      </w:r>
      <w:r>
        <w:rPr>
          <w:rFonts w:ascii="宋体" w:hAnsi="宋体" w:cs="宋体" w:eastAsia="宋体" w:hint="default"/>
          <w:sz w:val="21"/>
          <w:szCs w:val="21"/>
        </w:rPr>
        <w:t>927,871.52</w:t>
      </w:r>
      <w:r>
        <w:rPr>
          <w:rFonts w:ascii="宋体" w:hAnsi="宋体" w:cs="宋体" w:eastAsia="宋体" w:hint="default"/>
          <w:spacing w:val="-48"/>
          <w:sz w:val="21"/>
          <w:szCs w:val="21"/>
        </w:rPr>
        <w:t> </w:t>
      </w:r>
      <w:r>
        <w:rPr>
          <w:rFonts w:ascii="宋体" w:hAnsi="宋体" w:cs="宋体" w:eastAsia="宋体" w:hint="default"/>
          <w:spacing w:val="-5"/>
          <w:sz w:val="21"/>
          <w:szCs w:val="21"/>
        </w:rPr>
        <w:t>元，非货币性福利金额</w:t>
      </w:r>
      <w:r>
        <w:rPr>
          <w:rFonts w:ascii="宋体" w:hAnsi="宋体" w:cs="宋体" w:eastAsia="宋体" w:hint="default"/>
          <w:spacing w:val="-48"/>
          <w:sz w:val="21"/>
          <w:szCs w:val="21"/>
        </w:rPr>
        <w:t> </w:t>
      </w:r>
      <w:r>
        <w:rPr>
          <w:rFonts w:ascii="宋体" w:hAnsi="宋体" w:cs="宋体" w:eastAsia="宋体" w:hint="default"/>
          <w:sz w:val="21"/>
          <w:szCs w:val="21"/>
        </w:rPr>
        <w:t>0.00</w:t>
      </w:r>
      <w:r>
        <w:rPr>
          <w:rFonts w:ascii="宋体" w:hAnsi="宋体" w:cs="宋体" w:eastAsia="宋体" w:hint="default"/>
          <w:spacing w:val="-50"/>
          <w:sz w:val="21"/>
          <w:szCs w:val="21"/>
        </w:rPr>
        <w:t> </w:t>
      </w:r>
      <w:r>
        <w:rPr>
          <w:rFonts w:ascii="宋体" w:hAnsi="宋体" w:cs="宋体" w:eastAsia="宋体" w:hint="default"/>
          <w:spacing w:val="-5"/>
          <w:sz w:val="21"/>
          <w:szCs w:val="21"/>
        </w:rPr>
        <w:t>元，因解除劳动关系给予补偿</w:t>
      </w:r>
      <w:r>
        <w:rPr>
          <w:rFonts w:ascii="宋体" w:hAnsi="宋体" w:cs="宋体" w:eastAsia="宋体" w:hint="default"/>
          <w:spacing w:val="-46"/>
          <w:sz w:val="21"/>
          <w:szCs w:val="21"/>
        </w:rPr>
        <w:t> </w:t>
      </w:r>
      <w:r>
        <w:rPr>
          <w:rFonts w:ascii="宋体" w:hAnsi="宋体" w:cs="宋体" w:eastAsia="宋体" w:hint="default"/>
          <w:sz w:val="21"/>
          <w:szCs w:val="21"/>
        </w:rPr>
        <w:t>0.00</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2"/>
          <w:sz w:val="21"/>
          <w:szCs w:val="21"/>
        </w:rPr>
        <w:t>应付职工薪酬预计发放时间、金额等安排：年末余额未本公司及下属公司计提的年终奖和社会保险费，将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于下一会计期间支付。</w:t>
      </w:r>
    </w:p>
    <w:p>
      <w:pPr>
        <w:spacing w:line="240" w:lineRule="auto" w:before="9"/>
        <w:rPr>
          <w:rFonts w:ascii="宋体" w:hAnsi="宋体" w:cs="宋体" w:eastAsia="宋体" w:hint="default"/>
          <w:sz w:val="22"/>
          <w:szCs w:val="22"/>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-680,364.39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-304,780.99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1,014,314.22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3,137,595.92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107,662.46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2,732,322.83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7,628,629.29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993,684.79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951,324.36</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1,346.88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19,406.94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39,276.00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13,848.88</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2,606.32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4,062,407.22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11,595,569.18</w:t>
            </w:r>
          </w:p>
        </w:tc>
      </w:tr>
    </w:tbl>
    <w:p>
      <w:pPr>
        <w:spacing w:before="28"/>
        <w:ind w:left="152" w:right="0" w:firstLine="0"/>
        <w:jc w:val="both"/>
        <w:rPr>
          <w:rFonts w:ascii="宋体" w:hAnsi="宋体" w:cs="宋体" w:eastAsia="宋体" w:hint="default"/>
          <w:sz w:val="21"/>
          <w:szCs w:val="21"/>
        </w:rPr>
      </w:pPr>
      <w:r>
        <w:rPr>
          <w:rFonts w:ascii="宋体" w:hAnsi="宋体" w:cs="宋体" w:eastAsia="宋体" w:hint="default"/>
          <w:sz w:val="21"/>
          <w:szCs w:val="21"/>
        </w:rPr>
        <w:t>应交税费说明</w:t>
      </w:r>
    </w:p>
    <w:p>
      <w:pPr>
        <w:spacing w:line="256" w:lineRule="auto" w:before="75"/>
        <w:ind w:left="152" w:right="1126" w:firstLine="0"/>
        <w:jc w:val="both"/>
        <w:rPr>
          <w:rFonts w:ascii="宋体" w:hAnsi="宋体" w:cs="宋体" w:eastAsia="宋体" w:hint="default"/>
          <w:sz w:val="21"/>
          <w:szCs w:val="21"/>
        </w:rPr>
      </w:pPr>
      <w:r>
        <w:rPr>
          <w:rFonts w:ascii="宋体" w:hAnsi="宋体" w:cs="宋体" w:eastAsia="宋体" w:hint="default"/>
          <w:spacing w:val="-3"/>
          <w:sz w:val="21"/>
          <w:szCs w:val="21"/>
        </w:rPr>
        <w:t>应交税费年末数比年初数减少</w:t>
      </w:r>
      <w:r>
        <w:rPr>
          <w:rFonts w:ascii="Times New Roman" w:hAnsi="Times New Roman" w:cs="Times New Roman" w:eastAsia="Times New Roman" w:hint="default"/>
          <w:spacing w:val="-3"/>
          <w:sz w:val="21"/>
          <w:szCs w:val="21"/>
        </w:rPr>
        <w:t>7,533,161.96</w:t>
      </w:r>
      <w:r>
        <w:rPr>
          <w:rFonts w:ascii="宋体" w:hAnsi="宋体" w:cs="宋体" w:eastAsia="宋体" w:hint="default"/>
          <w:spacing w:val="-3"/>
          <w:sz w:val="21"/>
          <w:szCs w:val="21"/>
        </w:rPr>
        <w:t>元，减少比例为</w:t>
      </w:r>
      <w:r>
        <w:rPr>
          <w:rFonts w:ascii="Times New Roman" w:hAnsi="Times New Roman" w:cs="Times New Roman" w:eastAsia="Times New Roman" w:hint="default"/>
          <w:spacing w:val="-3"/>
          <w:sz w:val="21"/>
          <w:szCs w:val="21"/>
        </w:rPr>
        <w:t>64.97%</w:t>
      </w:r>
      <w:r>
        <w:rPr>
          <w:rFonts w:ascii="宋体" w:hAnsi="宋体" w:cs="宋体" w:eastAsia="宋体" w:hint="default"/>
          <w:spacing w:val="-3"/>
          <w:sz w:val="21"/>
          <w:szCs w:val="21"/>
        </w:rPr>
        <w:t>，主要原因为：年末应交企业所得税余额</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大幅减少所致，上年末本公司作为高新技术企业所得税按</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计缴，本年末公司作为国家布局内重点软件</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企业所得税减按</w:t>
      </w:r>
      <w:r>
        <w:rPr>
          <w:rFonts w:ascii="Times New Roman" w:hAnsi="Times New Roman" w:cs="Times New Roman" w:eastAsia="Times New Roman" w:hint="default"/>
          <w:sz w:val="21"/>
          <w:szCs w:val="21"/>
        </w:rPr>
        <w:t>10%</w:t>
      </w:r>
      <w:r>
        <w:rPr>
          <w:rFonts w:ascii="宋体" w:hAnsi="宋体" w:cs="宋体" w:eastAsia="宋体" w:hint="default"/>
          <w:sz w:val="21"/>
          <w:szCs w:val="21"/>
        </w:rPr>
        <w:t>计缴，企业所得税率减少导致企业应交所得税金额大幅减少。</w:t>
      </w:r>
    </w:p>
    <w:p>
      <w:pPr>
        <w:spacing w:line="240" w:lineRule="auto" w:before="4"/>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57"/>
      </w:tblGrid>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个人现金股利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应付股利的说明</w:t>
      </w:r>
    </w:p>
    <w:p>
      <w:pPr>
        <w:spacing w:line="256" w:lineRule="auto" w:before="75"/>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应付股利年末数比年初数增加</w:t>
      </w:r>
      <w:r>
        <w:rPr>
          <w:rFonts w:ascii="Times New Roman" w:hAnsi="Times New Roman" w:cs="Times New Roman" w:eastAsia="Times New Roman" w:hint="default"/>
          <w:spacing w:val="-2"/>
          <w:sz w:val="21"/>
          <w:szCs w:val="21"/>
        </w:rPr>
        <w:t>203,000.00</w:t>
      </w:r>
      <w:r>
        <w:rPr>
          <w:rFonts w:ascii="宋体" w:hAnsi="宋体" w:cs="宋体" w:eastAsia="宋体" w:hint="default"/>
          <w:spacing w:val="-2"/>
          <w:sz w:val="21"/>
          <w:szCs w:val="21"/>
        </w:rPr>
        <w:t>元，增加比例为</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，增加原因为：本公司代管的股权激励对象</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因限制性股票所分配的现金股利增加所致。</w:t>
      </w:r>
    </w:p>
    <w:p>
      <w:pPr>
        <w:spacing w:line="240" w:lineRule="auto" w:before="8"/>
        <w:rPr>
          <w:rFonts w:ascii="宋体" w:hAnsi="宋体" w:cs="宋体" w:eastAsia="宋体" w:hint="default"/>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467,363.10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374,933.55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467,363.10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374,933.55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340" w:top="1060" w:bottom="1540" w:left="980" w:right="0"/>
        </w:sectPr>
      </w:pPr>
    </w:p>
    <w:p>
      <w:pPr>
        <w:spacing w:line="240" w:lineRule="auto" w:before="10"/>
        <w:rPr>
          <w:rFonts w:ascii="宋体" w:hAnsi="宋体" w:cs="宋体" w:eastAsia="宋体" w:hint="default"/>
          <w:sz w:val="24"/>
          <w:szCs w:val="24"/>
        </w:rPr>
      </w:pPr>
    </w:p>
    <w:p>
      <w:pPr>
        <w:spacing w:line="506" w:lineRule="auto" w:before="36"/>
        <w:ind w:left="152" w:right="232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）本报告期其他应付款中无应付持有公司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、股本</w:t>
      </w:r>
      <w:r>
        <w:rPr>
          <w:rFonts w:ascii="宋体" w:hAnsi="宋体" w:cs="宋体" w:eastAsia="宋体" w:hint="default"/>
          <w:sz w:val="21"/>
          <w:szCs w:val="21"/>
        </w:rPr>
      </w:r>
    </w:p>
    <w:p>
      <w:pPr>
        <w:spacing w:before="8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111,930,000.00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2,030,000.00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2,030,000.00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113,960,000.00</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股本变动情况说明</w:t>
      </w:r>
    </w:p>
    <w:p>
      <w:pPr>
        <w:spacing w:line="256" w:lineRule="auto" w:before="78"/>
        <w:ind w:left="152" w:right="1123"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日股东大会决议，本公司向激励对象定向发行限制性股票人民币普通股</w:t>
      </w:r>
      <w:r>
        <w:rPr>
          <w:rFonts w:ascii="Times New Roman" w:hAnsi="Times New Roman" w:cs="Times New Roman" w:eastAsia="Times New Roman" w:hint="default"/>
          <w:sz w:val="21"/>
          <w:szCs w:val="21"/>
        </w:rPr>
        <w:t>203</w:t>
      </w:r>
      <w:r>
        <w:rPr>
          <w:rFonts w:ascii="宋体" w:hAnsi="宋体" w:cs="宋体" w:eastAsia="宋体" w:hint="default"/>
          <w:sz w:val="21"/>
          <w:szCs w:val="21"/>
        </w:rPr>
        <w:t>万股，每股发</w:t>
      </w:r>
      <w:r>
        <w:rPr>
          <w:rFonts w:ascii="宋体" w:hAnsi="宋体" w:cs="宋体" w:eastAsia="宋体" w:hint="default"/>
          <w:w w:val="100"/>
          <w:sz w:val="21"/>
          <w:szCs w:val="21"/>
        </w:rPr>
        <w:t> </w:t>
      </w:r>
      <w:r>
        <w:rPr>
          <w:rFonts w:ascii="宋体" w:hAnsi="宋体" w:cs="宋体" w:eastAsia="宋体" w:hint="default"/>
          <w:spacing w:val="-2"/>
          <w:sz w:val="21"/>
          <w:szCs w:val="21"/>
        </w:rPr>
        <w:t>行价为人民币</w:t>
      </w:r>
      <w:r>
        <w:rPr>
          <w:rFonts w:ascii="Times New Roman" w:hAnsi="Times New Roman" w:cs="Times New Roman" w:eastAsia="Times New Roman" w:hint="default"/>
          <w:spacing w:val="-2"/>
          <w:sz w:val="21"/>
          <w:szCs w:val="21"/>
        </w:rPr>
        <w:t>8.95</w:t>
      </w:r>
      <w:r>
        <w:rPr>
          <w:rFonts w:ascii="宋体" w:hAnsi="宋体" w:cs="宋体" w:eastAsia="宋体" w:hint="default"/>
          <w:spacing w:val="-2"/>
          <w:sz w:val="21"/>
          <w:szCs w:val="21"/>
        </w:rPr>
        <w:t>元，应认缴股款人民币</w:t>
      </w:r>
      <w:r>
        <w:rPr>
          <w:rFonts w:ascii="Times New Roman" w:hAnsi="Times New Roman" w:cs="Times New Roman" w:eastAsia="Times New Roman" w:hint="default"/>
          <w:spacing w:val="-2"/>
          <w:sz w:val="21"/>
          <w:szCs w:val="21"/>
        </w:rPr>
        <w:t>18,168,500.00</w:t>
      </w:r>
      <w:r>
        <w:rPr>
          <w:rFonts w:ascii="宋体" w:hAnsi="宋体" w:cs="宋体" w:eastAsia="宋体" w:hint="default"/>
          <w:spacing w:val="-2"/>
          <w:sz w:val="21"/>
          <w:szCs w:val="21"/>
        </w:rPr>
        <w:t>元，其中新增注册资本为人民币</w:t>
      </w:r>
      <w:r>
        <w:rPr>
          <w:rFonts w:ascii="Times New Roman" w:hAnsi="Times New Roman" w:cs="Times New Roman" w:eastAsia="Times New Roman" w:hint="default"/>
          <w:spacing w:val="-2"/>
          <w:sz w:val="21"/>
          <w:szCs w:val="21"/>
        </w:rPr>
        <w:t>203</w:t>
      </w:r>
      <w:r>
        <w:rPr>
          <w:rFonts w:ascii="宋体" w:hAnsi="宋体" w:cs="宋体" w:eastAsia="宋体" w:hint="default"/>
          <w:spacing w:val="-2"/>
          <w:sz w:val="21"/>
          <w:szCs w:val="21"/>
        </w:rPr>
        <w:t>万元；上述股本</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已于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日经上海众华沪银会计师事务所沪众会验字（</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）第</w:t>
      </w:r>
      <w:r>
        <w:rPr>
          <w:rFonts w:ascii="Times New Roman" w:hAnsi="Times New Roman" w:cs="Times New Roman" w:eastAsia="Times New Roman" w:hint="default"/>
          <w:spacing w:val="-2"/>
          <w:sz w:val="21"/>
          <w:szCs w:val="21"/>
        </w:rPr>
        <w:t>0943</w:t>
      </w:r>
      <w:r>
        <w:rPr>
          <w:rFonts w:ascii="宋体" w:hAnsi="宋体" w:cs="宋体" w:eastAsia="宋体" w:hint="default"/>
          <w:spacing w:val="-2"/>
          <w:sz w:val="21"/>
          <w:szCs w:val="21"/>
        </w:rPr>
        <w:t>号验资报告验证确认，年末股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本与注册资本一致。</w:t>
      </w:r>
    </w:p>
    <w:p>
      <w:pPr>
        <w:spacing w:line="240" w:lineRule="auto" w:before="8"/>
        <w:rPr>
          <w:rFonts w:ascii="宋体" w:hAnsi="宋体" w:cs="宋体" w:eastAsia="宋体" w:hint="default"/>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4"/>
        <w:gridCol w:w="1861"/>
        <w:gridCol w:w="1992"/>
        <w:gridCol w:w="1729"/>
        <w:gridCol w:w="1594"/>
      </w:tblGrid>
      <w:tr>
        <w:trPr>
          <w:trHeight w:val="401" w:hRule="exact"/>
        </w:trPr>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62,129,800.00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16,138,500.00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78,268,300.00</w:t>
            </w:r>
          </w:p>
        </w:tc>
      </w:tr>
      <w:tr>
        <w:trPr>
          <w:trHeight w:val="401" w:hRule="exact"/>
        </w:trPr>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3,984,708.26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2,502,400.00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6,487,108.26</w:t>
            </w:r>
          </w:p>
        </w:tc>
      </w:tr>
      <w:tr>
        <w:trPr>
          <w:trHeight w:val="403" w:hRule="exact"/>
        </w:trPr>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66,114,508.26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18,640,900.00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84,755,408.26</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资本公积说明</w:t>
      </w:r>
    </w:p>
    <w:p>
      <w:pPr>
        <w:spacing w:before="75"/>
        <w:ind w:left="152" w:right="1123" w:firstLine="0"/>
        <w:jc w:val="left"/>
        <w:rPr>
          <w:rFonts w:ascii="宋体" w:hAnsi="宋体" w:cs="宋体" w:eastAsia="宋体" w:hint="default"/>
          <w:sz w:val="21"/>
          <w:szCs w:val="21"/>
        </w:rPr>
      </w:pPr>
      <w:r>
        <w:rPr>
          <w:rFonts w:ascii="宋体" w:hAnsi="宋体" w:cs="宋体" w:eastAsia="宋体" w:hint="default"/>
          <w:sz w:val="21"/>
          <w:szCs w:val="21"/>
        </w:rPr>
        <w:t>本年资本公积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资本溢价增加</w:t>
      </w:r>
      <w:r>
        <w:rPr>
          <w:rFonts w:ascii="Times New Roman" w:hAnsi="Times New Roman" w:cs="Times New Roman" w:eastAsia="Times New Roman" w:hint="default"/>
          <w:sz w:val="21"/>
          <w:szCs w:val="21"/>
        </w:rPr>
        <w:t>16,138,500.00</w:t>
      </w:r>
      <w:r>
        <w:rPr>
          <w:rFonts w:ascii="宋体" w:hAnsi="宋体" w:cs="宋体" w:eastAsia="宋体" w:hint="default"/>
          <w:sz w:val="21"/>
          <w:szCs w:val="21"/>
        </w:rPr>
        <w:t>元系根据</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日股东大会决议，新增注册资本人民币</w:t>
      </w:r>
    </w:p>
    <w:p>
      <w:pPr>
        <w:spacing w:before="21"/>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2,030,000.00</w:t>
      </w:r>
      <w:r>
        <w:rPr>
          <w:rFonts w:ascii="宋体" w:hAnsi="宋体" w:cs="宋体" w:eastAsia="宋体" w:hint="default"/>
          <w:sz w:val="21"/>
          <w:szCs w:val="21"/>
        </w:rPr>
        <w:t>元，股东出资额溢价投入部分为人民币</w:t>
      </w:r>
      <w:r>
        <w:rPr>
          <w:rFonts w:ascii="Times New Roman" w:hAnsi="Times New Roman" w:cs="Times New Roman" w:eastAsia="Times New Roman" w:hint="default"/>
          <w:sz w:val="21"/>
          <w:szCs w:val="21"/>
        </w:rPr>
        <w:t>16,138,500.00</w:t>
      </w:r>
      <w:r>
        <w:rPr>
          <w:rFonts w:ascii="宋体" w:hAnsi="宋体" w:cs="宋体" w:eastAsia="宋体" w:hint="default"/>
          <w:sz w:val="21"/>
          <w:szCs w:val="21"/>
        </w:rPr>
        <w:t>元，全部计入资本公积。</w:t>
      </w:r>
    </w:p>
    <w:p>
      <w:pPr>
        <w:spacing w:line="256" w:lineRule="auto" w:before="21"/>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本年资本公积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其他资本公积增加</w:t>
      </w:r>
      <w:r>
        <w:rPr>
          <w:rFonts w:ascii="Times New Roman" w:hAnsi="Times New Roman" w:cs="Times New Roman" w:eastAsia="Times New Roman" w:hint="default"/>
          <w:spacing w:val="-2"/>
          <w:sz w:val="21"/>
          <w:szCs w:val="21"/>
        </w:rPr>
        <w:t>2,502,400.00</w:t>
      </w:r>
      <w:r>
        <w:rPr>
          <w:rFonts w:ascii="宋体" w:hAnsi="宋体" w:cs="宋体" w:eastAsia="宋体" w:hint="default"/>
          <w:spacing w:val="-2"/>
          <w:sz w:val="21"/>
          <w:szCs w:val="21"/>
        </w:rPr>
        <w:t>元系根据本年制定的“限制性股票激励计划”，按照股份支</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付准则确认的本期股权激励费用对应增加的资本公积。</w:t>
      </w:r>
    </w:p>
    <w:p>
      <w:pPr>
        <w:spacing w:line="240" w:lineRule="auto" w:before="8"/>
        <w:rPr>
          <w:rFonts w:ascii="宋体" w:hAnsi="宋体" w:cs="宋体" w:eastAsia="宋体" w:hint="default"/>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23,893,760.48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6,013,474.12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29,907,234.60</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23,893,760.48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6,013,474.12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29,907,234.60</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盈余公积说明</w:t>
      </w:r>
    </w:p>
    <w:p>
      <w:pPr>
        <w:spacing w:line="256" w:lineRule="auto" w:before="78"/>
        <w:ind w:left="152" w:right="1159" w:firstLine="0"/>
        <w:jc w:val="left"/>
        <w:rPr>
          <w:rFonts w:ascii="宋体" w:hAnsi="宋体" w:cs="宋体" w:eastAsia="宋体" w:hint="default"/>
          <w:sz w:val="21"/>
          <w:szCs w:val="21"/>
        </w:rPr>
      </w:pPr>
      <w:r>
        <w:rPr>
          <w:rFonts w:ascii="宋体" w:hAnsi="宋体" w:cs="宋体" w:eastAsia="宋体" w:hint="default"/>
          <w:sz w:val="21"/>
          <w:szCs w:val="21"/>
        </w:rPr>
        <w:t>盈余公积年末数比年初数增加</w:t>
      </w:r>
      <w:r>
        <w:rPr>
          <w:rFonts w:ascii="Times New Roman" w:hAnsi="Times New Roman" w:cs="Times New Roman" w:eastAsia="Times New Roman" w:hint="default"/>
          <w:sz w:val="21"/>
          <w:szCs w:val="21"/>
        </w:rPr>
        <w:t>6,013,474.12</w:t>
      </w:r>
      <w:r>
        <w:rPr>
          <w:rFonts w:ascii="宋体" w:hAnsi="宋体" w:cs="宋体" w:eastAsia="宋体" w:hint="default"/>
          <w:sz w:val="21"/>
          <w:szCs w:val="21"/>
        </w:rPr>
        <w:t>元，增加比例为</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25.17%</w:t>
      </w:r>
      <w:r>
        <w:rPr>
          <w:rFonts w:ascii="宋体" w:hAnsi="宋体" w:cs="宋体" w:eastAsia="宋体" w:hint="default"/>
          <w:sz w:val="21"/>
          <w:szCs w:val="21"/>
        </w:rPr>
        <w:t>，主要原因为：本公司按本年净利润计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Times New Roman" w:hAnsi="Times New Roman" w:cs="Times New Roman" w:eastAsia="Times New Roman" w:hint="default"/>
          <w:sz w:val="21"/>
          <w:szCs w:val="21"/>
        </w:rPr>
        <w:t>10%</w:t>
      </w:r>
      <w:r>
        <w:rPr>
          <w:rFonts w:ascii="宋体" w:hAnsi="宋体" w:cs="宋体" w:eastAsia="宋体" w:hint="default"/>
          <w:sz w:val="21"/>
          <w:szCs w:val="21"/>
        </w:rPr>
        <w:t>法定盈余公积所致。</w:t>
      </w:r>
    </w:p>
    <w:p>
      <w:pPr>
        <w:spacing w:line="240" w:lineRule="auto" w:before="4"/>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6"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164,402,873.88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164,402,873.88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66,331,138.42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6,013,474.12</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11,396,000.00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213,324,538.18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409,851,443.22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390,264,616.77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434,775.00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244,660,909.51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216,833,044.56</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409,851,443.22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244,526,917.57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390,264,616.77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216,639,834.63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409,851,443.22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244,526,917.57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390,264,616.77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216,639,834.63</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358,309,267.18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204,114,128.74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352,782,734.61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187,738,705.84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51,542,176.04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40,412,788.83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37,481,882.16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28,901,128.79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409,851,443.22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244,526,917.57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390,264,616.77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216,639,834.63</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317,501,743.60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176,094,022.63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311,668,271.80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159,033,129.49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16,564,894.06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9,571,473.07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12,680,282.12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7,821,001.93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75,784,805.56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58,861,421.87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65,916,062.85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49,785,703.21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409,851,443.22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244,526,917.57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390,264,616.77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216,639,834.63</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第一名客户</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89,407,218.03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第二名客户</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55,374,194.57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第三名客户</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42,345,434.39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第四名客户</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37,447,994.55</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第五名客户</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28,634,512.00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253,209,353.53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61.71%</w:t>
            </w:r>
          </w:p>
        </w:tc>
      </w:tr>
    </w:tbl>
    <w:p>
      <w:pPr>
        <w:spacing w:before="49"/>
        <w:ind w:left="152" w:right="178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2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47,511.50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482,510.48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145,671.02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108,318.38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104,063.92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77,356.21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20,246.52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52,321.88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317,492.96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720,506.95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营业税金及附加的说明</w:t>
      </w:r>
    </w:p>
    <w:p>
      <w:pPr>
        <w:spacing w:line="256" w:lineRule="auto" w:before="75"/>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营业税金及附加本年发生数比上年发生数减少</w:t>
      </w:r>
      <w:r>
        <w:rPr>
          <w:rFonts w:ascii="Times New Roman" w:hAnsi="Times New Roman" w:cs="Times New Roman" w:eastAsia="Times New Roman" w:hint="default"/>
          <w:spacing w:val="-2"/>
          <w:sz w:val="21"/>
          <w:szCs w:val="21"/>
        </w:rPr>
        <w:t>403,013.99</w:t>
      </w:r>
      <w:r>
        <w:rPr>
          <w:rFonts w:ascii="宋体" w:hAnsi="宋体" w:cs="宋体" w:eastAsia="宋体" w:hint="default"/>
          <w:spacing w:val="-2"/>
          <w:sz w:val="21"/>
          <w:szCs w:val="21"/>
        </w:rPr>
        <w:t>元，减少比例为</w:t>
      </w:r>
      <w:r>
        <w:rPr>
          <w:rFonts w:ascii="Times New Roman" w:hAnsi="Times New Roman" w:cs="Times New Roman" w:eastAsia="Times New Roman" w:hint="default"/>
          <w:spacing w:val="-2"/>
          <w:sz w:val="21"/>
          <w:szCs w:val="21"/>
        </w:rPr>
        <w:t>55.93%</w:t>
      </w:r>
      <w:r>
        <w:rPr>
          <w:rFonts w:ascii="宋体" w:hAnsi="宋体" w:cs="宋体" w:eastAsia="宋体" w:hint="default"/>
          <w:spacing w:val="-2"/>
          <w:sz w:val="21"/>
          <w:szCs w:val="21"/>
        </w:rPr>
        <w:t>，主要原因为：本期营业</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税改增值税导致营业税减少。</w:t>
      </w:r>
    </w:p>
    <w:p>
      <w:pPr>
        <w:spacing w:after="0" w:line="256" w:lineRule="auto"/>
        <w:jc w:val="left"/>
        <w:rPr>
          <w:rFonts w:ascii="宋体" w:hAnsi="宋体" w:cs="宋体" w:eastAsia="宋体" w:hint="default"/>
          <w:sz w:val="21"/>
          <w:szCs w:val="21"/>
        </w:rPr>
        <w:sectPr>
          <w:pgSz w:w="11910" w:h="16840"/>
          <w:pgMar w:header="876"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632176"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w:t>
                    </w:r>
                  </w:p>
                </w:txbxContent>
              </v:textbox>
              <w10:wrap type="none"/>
            </v:shape>
            <w10:wrap type="none"/>
          </v:group>
        </w:pict>
      </w: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11,364,740.58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11,934,184.36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689,572.84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344,478.50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1,750,132.82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1,652,651.44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1,075,635.90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1,385,552.37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133,038.90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152,501.00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221,643.56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313,002.33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347,504.91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458,811.67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179,536.09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189,328.04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媒体宣传费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9,629.63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155,268.58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429,886.53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16,092,993.61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17,048,357.14</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50,438,561.26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42,943,819.59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3,211,251.19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3,022,646.26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1,052,222.08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1,741,996.55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255,570.51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263,924.46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236,996.52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289,514.11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309,670.66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378,962.07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1,157,512.64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622,887.98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362,378.26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20,496,362.48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22,675,678.46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712,394.43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630,962.50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2,544,079.14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2,546,773.49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230,097.63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2,420,927.12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2,737,035.92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1,605,045.23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1,420,756.62</w:t>
            </w:r>
          </w:p>
        </w:tc>
      </w:tr>
    </w:tbl>
    <w:p>
      <w:pPr>
        <w:spacing w:after="0" w:line="240" w:lineRule="auto"/>
        <w:jc w:val="right"/>
        <w:rPr>
          <w:rFonts w:ascii="Times New Roman" w:hAnsi="Times New Roman" w:cs="Times New Roman" w:eastAsia="Times New Roman" w:hint="default"/>
          <w:sz w:val="18"/>
          <w:szCs w:val="18"/>
        </w:rPr>
        <w:sectPr>
          <w:headerReference w:type="default" r:id="rId62"/>
          <w:footerReference w:type="default" r:id="rId63"/>
          <w:pgSz w:w="11910" w:h="16840"/>
          <w:pgMar w:header="876"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264,778.83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395,210.46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203,276.22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149,334.00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213,765.26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344,338.37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1,504,694.24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221,152.17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2,502,400.00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3,897,600.00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457,146.13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333,929.77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90,399,834.68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85,356,898.67</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-4,620,457.45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-5,624,324.04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-1,241,932.99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4,130,128.70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120,804.54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145,502.66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-5,741,585.90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-1,348,692.68</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7,578.83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-149,020.03</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7,578.83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-149,020.03</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footerReference w:type="default" r:id="rId64"/>
          <w:pgSz w:w="11910" w:h="16840"/>
          <w:pgMar w:footer="1340" w:header="876" w:top="1060" w:bottom="1540" w:left="980" w:right="0"/>
          <w:pgNumType w:start="108"/>
        </w:sectPr>
      </w:pPr>
    </w:p>
    <w:p>
      <w:pPr>
        <w:spacing w:before="36"/>
        <w:ind w:left="152" w:right="-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）营业外收入情况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2158" w:space="6671"/>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22,644.60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51,348.60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22,644.60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22,644.60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51,348.60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22,644.60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10,794,300.00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6,941,321.00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10,794,300.00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违约金、罚款收入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88,694.60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125,140.00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88,694.60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10,905,647.81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7,118,032.28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10,905,647.81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0"/>
        <w:rPr>
          <w:rFonts w:ascii="宋体" w:hAnsi="宋体" w:cs="宋体" w:eastAsia="宋体" w:hint="default"/>
          <w:b/>
          <w:bCs/>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商标、专利权等财政补贴</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服务外包发展资金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2,101,900.00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外包发展资金及外包人才培训资金</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收到上海市科学技术委员会拨付的 科技发展基金</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小巨人工程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服务贸易专项资金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1,285,300.00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2,147,600.00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软件及信息服务出口贴息资金</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领军人才专项资金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软件企业能力成熟度自助资金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软件开发项目扶持资金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1,139,421.00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软件开发扶持资金</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10,794,300.00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6,941,321.00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营业外收入说明</w:t>
      </w:r>
    </w:p>
    <w:p>
      <w:pPr>
        <w:spacing w:line="256" w:lineRule="auto" w:before="78"/>
        <w:ind w:left="152" w:right="1123" w:firstLine="0"/>
        <w:jc w:val="left"/>
        <w:rPr>
          <w:rFonts w:ascii="宋体" w:hAnsi="宋体" w:cs="宋体" w:eastAsia="宋体" w:hint="default"/>
          <w:sz w:val="21"/>
          <w:szCs w:val="21"/>
        </w:rPr>
      </w:pPr>
      <w:r>
        <w:rPr>
          <w:rFonts w:ascii="宋体" w:hAnsi="宋体" w:cs="宋体" w:eastAsia="宋体" w:hint="default"/>
          <w:spacing w:val="-3"/>
          <w:sz w:val="21"/>
          <w:szCs w:val="21"/>
        </w:rPr>
        <w:t>营业外收入本年发生数比上年发生数增加</w:t>
      </w:r>
      <w:r>
        <w:rPr>
          <w:rFonts w:ascii="Times New Roman" w:hAnsi="Times New Roman" w:cs="Times New Roman" w:eastAsia="Times New Roman" w:hint="default"/>
          <w:spacing w:val="-3"/>
          <w:sz w:val="21"/>
          <w:szCs w:val="21"/>
        </w:rPr>
        <w:t>3,787,615.53</w:t>
      </w:r>
      <w:r>
        <w:rPr>
          <w:rFonts w:ascii="宋体" w:hAnsi="宋体" w:cs="宋体" w:eastAsia="宋体" w:hint="default"/>
          <w:spacing w:val="-3"/>
          <w:sz w:val="21"/>
          <w:szCs w:val="21"/>
        </w:rPr>
        <w:t>元，增加比例为</w:t>
      </w:r>
      <w:r>
        <w:rPr>
          <w:rFonts w:ascii="Times New Roman" w:hAnsi="Times New Roman" w:cs="Times New Roman" w:eastAsia="Times New Roman" w:hint="default"/>
          <w:spacing w:val="-3"/>
          <w:sz w:val="21"/>
          <w:szCs w:val="21"/>
        </w:rPr>
        <w:t>53.21%</w:t>
      </w:r>
      <w:r>
        <w:rPr>
          <w:rFonts w:ascii="宋体" w:hAnsi="宋体" w:cs="宋体" w:eastAsia="宋体" w:hint="default"/>
          <w:spacing w:val="-3"/>
          <w:sz w:val="21"/>
          <w:szCs w:val="21"/>
        </w:rPr>
        <w:t>，主要原因为：本年取得较多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政府补贴所致。</w:t>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6" w:footer="1340" w:top="1060" w:bottom="1540" w:left="980" w:right="0"/>
        </w:sectPr>
      </w:pPr>
    </w:p>
    <w:p>
      <w:pPr>
        <w:spacing w:before="36"/>
        <w:ind w:left="152" w:right="-1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32</w:t>
      </w:r>
      <w:r>
        <w:rPr>
          <w:rFonts w:ascii="宋体" w:hAnsi="宋体" w:cs="宋体" w:eastAsia="宋体" w:hint="default"/>
          <w:b/>
          <w:bCs/>
          <w:spacing w:val="-1"/>
          <w:sz w:val="21"/>
          <w:szCs w:val="21"/>
        </w:rPr>
        <w:t>、营业外支出</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1630" w:space="7199"/>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0"/>
        <w:gridCol w:w="2002"/>
        <w:gridCol w:w="2002"/>
        <w:gridCol w:w="2597"/>
      </w:tblGrid>
      <w:tr>
        <w:trPr>
          <w:trHeight w:val="401" w:hRule="exact"/>
        </w:trPr>
        <w:tc>
          <w:tcPr>
            <w:tcW w:w="2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130,203.40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140,478.26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130,203.40</w:t>
            </w:r>
          </w:p>
        </w:tc>
      </w:tr>
      <w:tr>
        <w:trPr>
          <w:trHeight w:val="401" w:hRule="exact"/>
        </w:trPr>
        <w:tc>
          <w:tcPr>
            <w:tcW w:w="2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130,203.40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140,478.26</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130,203.40</w:t>
            </w:r>
          </w:p>
        </w:tc>
      </w:tr>
      <w:tr>
        <w:trPr>
          <w:trHeight w:val="403" w:hRule="exact"/>
        </w:trPr>
        <w:tc>
          <w:tcPr>
            <w:tcW w:w="2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02" w:type="dxa"/>
            <w:tcBorders>
              <w:top w:val="single" w:sz="4" w:space="0" w:color="000000"/>
              <w:left w:val="single" w:sz="13" w:space="0" w:color="D2D2D2"/>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c>
          <w:tcPr>
            <w:tcW w:w="2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罚款滞纳金支出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11,078.20</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10,519.22</w:t>
            </w:r>
          </w:p>
        </w:tc>
        <w:tc>
          <w:tcPr>
            <w:tcW w:w="2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130,403.40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167,075.68</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130,403.40</w:t>
            </w:r>
          </w:p>
        </w:tc>
      </w:tr>
    </w:tbl>
    <w:p>
      <w:pPr>
        <w:spacing w:line="283" w:lineRule="auto" w:before="28"/>
        <w:ind w:left="152" w:right="1123" w:firstLine="0"/>
        <w:jc w:val="left"/>
        <w:rPr>
          <w:rFonts w:ascii="宋体" w:hAnsi="宋体" w:cs="宋体" w:eastAsia="宋体" w:hint="default"/>
          <w:sz w:val="21"/>
          <w:szCs w:val="21"/>
        </w:rPr>
      </w:pPr>
      <w:r>
        <w:rPr>
          <w:rFonts w:ascii="宋体" w:hAnsi="宋体" w:cs="宋体" w:eastAsia="宋体" w:hint="default"/>
          <w:sz w:val="21"/>
          <w:szCs w:val="21"/>
        </w:rPr>
        <w:t>营业外支出说明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营业外支出本年数比上年数减少</w:t>
      </w:r>
      <w:r>
        <w:rPr>
          <w:rFonts w:ascii="Times New Roman" w:hAnsi="Times New Roman" w:cs="Times New Roman" w:eastAsia="Times New Roman" w:hint="default"/>
          <w:spacing w:val="-2"/>
          <w:sz w:val="21"/>
          <w:szCs w:val="21"/>
        </w:rPr>
        <w:t>36,672.28</w:t>
      </w:r>
      <w:r>
        <w:rPr>
          <w:rFonts w:ascii="宋体" w:hAnsi="宋体" w:cs="宋体" w:eastAsia="宋体" w:hint="default"/>
          <w:spacing w:val="-2"/>
          <w:sz w:val="21"/>
          <w:szCs w:val="21"/>
        </w:rPr>
        <w:t>元，减少比例为</w:t>
      </w:r>
      <w:r>
        <w:rPr>
          <w:rFonts w:ascii="Times New Roman" w:hAnsi="Times New Roman" w:cs="Times New Roman" w:eastAsia="Times New Roman" w:hint="default"/>
          <w:spacing w:val="-2"/>
          <w:sz w:val="21"/>
          <w:szCs w:val="21"/>
        </w:rPr>
        <w:t>21.95%</w:t>
      </w:r>
      <w:r>
        <w:rPr>
          <w:rFonts w:ascii="宋体" w:hAnsi="宋体" w:cs="宋体" w:eastAsia="宋体" w:hint="default"/>
          <w:spacing w:val="-2"/>
          <w:sz w:val="21"/>
          <w:szCs w:val="21"/>
        </w:rPr>
        <w:t>，主要原因为：固定资产处置损失减少所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致。</w:t>
      </w:r>
    </w:p>
    <w:p>
      <w:pPr>
        <w:spacing w:before="119"/>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before="16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7,435,783.90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13,074,823.17</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7,435,783.90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13,094,823.17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5212"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年度每股收益：</w:t>
      </w:r>
      <w:r>
        <w:rPr>
          <w:rFonts w:ascii="宋体" w:hAnsi="宋体" w:cs="宋体" w:eastAsia="宋体" w:hint="default"/>
          <w:w w:val="100"/>
          <w:sz w:val="21"/>
          <w:szCs w:val="21"/>
        </w:rPr>
        <w:t> </w:t>
      </w:r>
      <w:r>
        <w:rPr>
          <w:rFonts w:ascii="宋体" w:hAnsi="宋体" w:cs="宋体" w:eastAsia="宋体" w:hint="default"/>
          <w:spacing w:val="-2"/>
          <w:sz w:val="21"/>
          <w:szCs w:val="21"/>
        </w:rPr>
        <w:t>归属于公司普通股股东的净利润基本每股收益：</w:t>
      </w:r>
      <w:r>
        <w:rPr>
          <w:rFonts w:ascii="宋体" w:hAnsi="宋体" w:cs="宋体" w:eastAsia="宋体" w:hint="default"/>
          <w:spacing w:val="-2"/>
          <w:sz w:val="21"/>
          <w:szCs w:val="21"/>
        </w:rPr>
        <w:t>0.58</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归属于公司普通股股东的净利润稀释每股收益：</w:t>
      </w:r>
      <w:r>
        <w:rPr>
          <w:rFonts w:ascii="宋体" w:hAnsi="宋体" w:cs="宋体" w:eastAsia="宋体" w:hint="default"/>
          <w:spacing w:val="-2"/>
          <w:sz w:val="21"/>
          <w:szCs w:val="21"/>
        </w:rPr>
        <w:t>0.58</w:t>
      </w:r>
    </w:p>
    <w:p>
      <w:pPr>
        <w:spacing w:line="273" w:lineRule="auto" w:before="7"/>
        <w:ind w:left="152" w:right="3931" w:firstLine="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扣除非经常性损益后归属于公司普通股股东的净利润基本每股收益：</w:t>
      </w:r>
      <w:r>
        <w:rPr>
          <w:rFonts w:ascii="宋体" w:hAnsi="宋体" w:cs="宋体" w:eastAsia="宋体" w:hint="default"/>
          <w:spacing w:val="-2"/>
          <w:sz w:val="21"/>
          <w:szCs w:val="21"/>
        </w:rPr>
        <w:t> </w:t>
      </w:r>
      <w:r>
        <w:rPr>
          <w:rFonts w:ascii="宋体" w:hAnsi="宋体" w:cs="宋体" w:eastAsia="宋体" w:hint="default"/>
          <w:sz w:val="21"/>
          <w:szCs w:val="21"/>
        </w:rPr>
        <w:t>0.50</w:t>
      </w:r>
      <w:r>
        <w:rPr>
          <w:rFonts w:ascii="宋体" w:hAnsi="宋体" w:cs="宋体" w:eastAsia="宋体" w:hint="default"/>
          <w:w w:val="100"/>
          <w:sz w:val="21"/>
          <w:szCs w:val="21"/>
        </w:rPr>
        <w:t> </w:t>
      </w:r>
      <w:r>
        <w:rPr>
          <w:rFonts w:ascii="宋体" w:hAnsi="宋体" w:cs="宋体" w:eastAsia="宋体" w:hint="default"/>
          <w:sz w:val="21"/>
          <w:szCs w:val="21"/>
        </w:rPr>
        <w:t>扣除非经常性损益后归属于公司普通股股东的净利润稀释每股收益：</w:t>
      </w:r>
      <w:r>
        <w:rPr>
          <w:rFonts w:ascii="宋体" w:hAnsi="宋体" w:cs="宋体" w:eastAsia="宋体" w:hint="default"/>
          <w:sz w:val="21"/>
          <w:szCs w:val="21"/>
        </w:rPr>
        <w:t>0.50</w:t>
      </w:r>
      <w:r>
        <w:rPr>
          <w:rFonts w:ascii="宋体" w:hAnsi="宋体" w:cs="宋体" w:eastAsia="宋体" w:hint="default"/>
          <w:w w:val="100"/>
          <w:sz w:val="21"/>
          <w:szCs w:val="21"/>
        </w:rPr>
        <w:t> </w:t>
      </w:r>
      <w:r>
        <w:rPr>
          <w:rFonts w:ascii="宋体" w:hAnsi="宋体" w:cs="宋体" w:eastAsia="宋体" w:hint="default"/>
          <w:sz w:val="21"/>
          <w:szCs w:val="21"/>
        </w:rPr>
        <w:t>2011</w:t>
      </w:r>
      <w:r>
        <w:rPr>
          <w:rFonts w:ascii="宋体" w:hAnsi="宋体" w:cs="宋体" w:eastAsia="宋体" w:hint="default"/>
          <w:sz w:val="21"/>
          <w:szCs w:val="21"/>
        </w:rPr>
        <w:t>年度每股收益：</w:t>
      </w:r>
    </w:p>
    <w:p>
      <w:pPr>
        <w:spacing w:line="273" w:lineRule="auto" w:before="7"/>
        <w:ind w:left="152" w:right="3931"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归属于公司普通股股东的净利润基本每股收益：</w:t>
      </w:r>
      <w:r>
        <w:rPr>
          <w:rFonts w:ascii="宋体" w:hAnsi="宋体" w:cs="宋体" w:eastAsia="宋体" w:hint="default"/>
          <w:sz w:val="21"/>
          <w:szCs w:val="21"/>
        </w:rPr>
        <w:t>0.58</w:t>
      </w:r>
      <w:r>
        <w:rPr>
          <w:rFonts w:ascii="宋体" w:hAnsi="宋体" w:cs="宋体" w:eastAsia="宋体" w:hint="default"/>
          <w:w w:val="100"/>
          <w:sz w:val="21"/>
          <w:szCs w:val="21"/>
        </w:rPr>
        <w:t> </w:t>
      </w:r>
      <w:r>
        <w:rPr>
          <w:rFonts w:ascii="宋体" w:hAnsi="宋体" w:cs="宋体" w:eastAsia="宋体" w:hint="default"/>
          <w:sz w:val="21"/>
          <w:szCs w:val="21"/>
        </w:rPr>
        <w:t>归属于公司普通股股东的净利润稀释每股收益：</w:t>
      </w:r>
      <w:r>
        <w:rPr>
          <w:rFonts w:ascii="宋体" w:hAnsi="宋体" w:cs="宋体" w:eastAsia="宋体" w:hint="default"/>
          <w:sz w:val="21"/>
          <w:szCs w:val="21"/>
        </w:rPr>
        <w:t>0.58</w:t>
      </w:r>
      <w:r>
        <w:rPr>
          <w:rFonts w:ascii="宋体" w:hAnsi="宋体" w:cs="宋体" w:eastAsia="宋体" w:hint="default"/>
          <w:w w:val="100"/>
          <w:sz w:val="21"/>
          <w:szCs w:val="21"/>
        </w:rPr>
        <w:t> </w:t>
      </w:r>
      <w:r>
        <w:rPr>
          <w:rFonts w:ascii="宋体" w:hAnsi="宋体" w:cs="宋体" w:eastAsia="宋体" w:hint="default"/>
          <w:sz w:val="21"/>
          <w:szCs w:val="21"/>
        </w:rPr>
        <w:t>扣除非经常性损益后归属于公司普通股股东的净利润基本每股收益：</w:t>
      </w:r>
      <w:r>
        <w:rPr>
          <w:rFonts w:ascii="宋体" w:hAnsi="宋体" w:cs="宋体" w:eastAsia="宋体" w:hint="default"/>
          <w:spacing w:val="-2"/>
          <w:sz w:val="21"/>
          <w:szCs w:val="21"/>
        </w:rPr>
        <w:t> </w:t>
      </w:r>
      <w:r>
        <w:rPr>
          <w:rFonts w:ascii="宋体" w:hAnsi="宋体" w:cs="宋体" w:eastAsia="宋体" w:hint="default"/>
          <w:sz w:val="21"/>
          <w:szCs w:val="21"/>
        </w:rPr>
        <w:t>0.53</w:t>
      </w:r>
      <w:r>
        <w:rPr>
          <w:rFonts w:ascii="宋体" w:hAnsi="宋体" w:cs="宋体" w:eastAsia="宋体" w:hint="default"/>
          <w:w w:val="100"/>
          <w:sz w:val="21"/>
          <w:szCs w:val="21"/>
        </w:rPr>
        <w:t> </w:t>
      </w:r>
      <w:r>
        <w:rPr>
          <w:rFonts w:ascii="宋体" w:hAnsi="宋体" w:cs="宋体" w:eastAsia="宋体" w:hint="default"/>
          <w:sz w:val="21"/>
          <w:szCs w:val="21"/>
        </w:rPr>
        <w:t>扣除非经常性损益后归属于公司普通股股东的净利润稀释每股收益：</w:t>
      </w:r>
      <w:r>
        <w:rPr>
          <w:rFonts w:ascii="宋体" w:hAnsi="宋体" w:cs="宋体" w:eastAsia="宋体" w:hint="default"/>
          <w:sz w:val="21"/>
          <w:szCs w:val="21"/>
        </w:rPr>
        <w:t>0.53</w:t>
      </w:r>
    </w:p>
    <w:p>
      <w:pPr>
        <w:spacing w:line="240" w:lineRule="auto" w:before="6"/>
        <w:rPr>
          <w:rFonts w:ascii="宋体" w:hAnsi="宋体" w:cs="宋体" w:eastAsia="宋体" w:hint="default"/>
          <w:sz w:val="24"/>
          <w:szCs w:val="24"/>
        </w:rPr>
      </w:pPr>
    </w:p>
    <w:p>
      <w:pPr>
        <w:spacing w:line="273" w:lineRule="auto" w:before="0"/>
        <w:ind w:left="152" w:right="6313" w:firstLine="0"/>
        <w:jc w:val="left"/>
        <w:rPr>
          <w:rFonts w:ascii="宋体" w:hAnsi="宋体" w:cs="宋体" w:eastAsia="宋体" w:hint="default"/>
          <w:sz w:val="21"/>
          <w:szCs w:val="21"/>
        </w:rPr>
      </w:pPr>
      <w:r>
        <w:rPr>
          <w:rFonts w:ascii="宋体" w:hAnsi="宋体" w:cs="宋体" w:eastAsia="宋体" w:hint="default"/>
          <w:spacing w:val="-2"/>
          <w:sz w:val="21"/>
          <w:szCs w:val="21"/>
        </w:rPr>
        <w:t>上述数据采用以下计算公式计算而得：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基本每股收益</w:t>
      </w:r>
      <w:r>
        <w:rPr>
          <w:rFonts w:ascii="宋体" w:hAnsi="宋体" w:cs="宋体" w:eastAsia="宋体" w:hint="default"/>
          <w:sz w:val="21"/>
          <w:szCs w:val="21"/>
        </w:rPr>
        <w:t>=P0</w:t>
      </w:r>
      <w:r>
        <w:rPr>
          <w:rFonts w:ascii="宋体" w:hAnsi="宋体" w:cs="宋体" w:eastAsia="宋体" w:hint="default"/>
          <w:sz w:val="21"/>
          <w:szCs w:val="21"/>
        </w:rPr>
        <w:t>÷</w:t>
      </w:r>
      <w:r>
        <w:rPr>
          <w:rFonts w:ascii="宋体" w:hAnsi="宋体" w:cs="宋体" w:eastAsia="宋体" w:hint="default"/>
          <w:sz w:val="21"/>
          <w:szCs w:val="21"/>
        </w:rPr>
        <w:t>S</w:t>
      </w:r>
    </w:p>
    <w:p>
      <w:pPr>
        <w:spacing w:before="7"/>
        <w:ind w:left="575" w:right="1780" w:firstLine="0"/>
        <w:jc w:val="left"/>
        <w:rPr>
          <w:rFonts w:ascii="宋体" w:hAnsi="宋体" w:cs="宋体" w:eastAsia="宋体" w:hint="default"/>
          <w:sz w:val="21"/>
          <w:szCs w:val="21"/>
        </w:rPr>
      </w:pPr>
      <w:r>
        <w:rPr>
          <w:rFonts w:ascii="宋体" w:hAnsi="宋体" w:cs="宋体" w:eastAsia="宋体" w:hint="default"/>
          <w:sz w:val="21"/>
          <w:szCs w:val="21"/>
        </w:rPr>
        <w:t>S= S0</w:t>
      </w:r>
      <w:r>
        <w:rPr>
          <w:rFonts w:ascii="宋体" w:hAnsi="宋体" w:cs="宋体" w:eastAsia="宋体" w:hint="default"/>
          <w:sz w:val="21"/>
          <w:szCs w:val="21"/>
        </w:rPr>
        <w:t>＋</w:t>
      </w:r>
      <w:r>
        <w:rPr>
          <w:rFonts w:ascii="宋体" w:hAnsi="宋体" w:cs="宋体" w:eastAsia="宋体" w:hint="default"/>
          <w:sz w:val="21"/>
          <w:szCs w:val="21"/>
        </w:rPr>
        <w:t>S1</w:t>
      </w:r>
      <w:r>
        <w:rPr>
          <w:rFonts w:ascii="宋体" w:hAnsi="宋体" w:cs="宋体" w:eastAsia="宋体" w:hint="default"/>
          <w:sz w:val="21"/>
          <w:szCs w:val="21"/>
        </w:rPr>
        <w:t>＋</w:t>
      </w:r>
      <w:r>
        <w:rPr>
          <w:rFonts w:ascii="宋体" w:hAnsi="宋体" w:cs="宋体" w:eastAsia="宋体" w:hint="default"/>
          <w:sz w:val="21"/>
          <w:szCs w:val="21"/>
        </w:rPr>
        <w:t>Si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M0-Sk</w:t>
      </w:r>
    </w:p>
    <w:p>
      <w:pPr>
        <w:spacing w:line="273" w:lineRule="auto" w:before="37"/>
        <w:ind w:left="152" w:right="1123" w:firstLine="422"/>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P0</w:t>
      </w:r>
      <w:r>
        <w:rPr>
          <w:rFonts w:ascii="宋体" w:hAnsi="宋体" w:cs="宋体" w:eastAsia="宋体" w:hint="default"/>
          <w:sz w:val="21"/>
          <w:szCs w:val="21"/>
        </w:rPr>
        <w:t>为归属于公司普通股股东的净利润或扣除非经常性损益后归属于普通股股东的净利润；</w:t>
      </w:r>
      <w:r>
        <w:rPr>
          <w:rFonts w:ascii="宋体" w:hAnsi="宋体" w:cs="宋体" w:eastAsia="宋体" w:hint="default"/>
          <w:sz w:val="21"/>
          <w:szCs w:val="21"/>
        </w:rPr>
        <w:t>S</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pacing w:val="-2"/>
          <w:sz w:val="21"/>
          <w:szCs w:val="21"/>
        </w:rPr>
        <w:t>发行在外的普通股加权平均数；</w:t>
      </w:r>
      <w:r>
        <w:rPr>
          <w:rFonts w:ascii="宋体" w:hAnsi="宋体" w:cs="宋体" w:eastAsia="宋体" w:hint="default"/>
          <w:spacing w:val="-2"/>
          <w:sz w:val="21"/>
          <w:szCs w:val="21"/>
        </w:rPr>
        <w:t>S0</w:t>
      </w:r>
      <w:r>
        <w:rPr>
          <w:rFonts w:ascii="宋体" w:hAnsi="宋体" w:cs="宋体" w:eastAsia="宋体" w:hint="default"/>
          <w:spacing w:val="-2"/>
          <w:sz w:val="21"/>
          <w:szCs w:val="21"/>
        </w:rPr>
        <w:t>为期初股份总数；</w:t>
      </w:r>
      <w:r>
        <w:rPr>
          <w:rFonts w:ascii="宋体" w:hAnsi="宋体" w:cs="宋体" w:eastAsia="宋体" w:hint="default"/>
          <w:spacing w:val="-2"/>
          <w:sz w:val="21"/>
          <w:szCs w:val="21"/>
        </w:rPr>
        <w:t>S1</w:t>
      </w:r>
      <w:r>
        <w:rPr>
          <w:rFonts w:ascii="宋体" w:hAnsi="宋体" w:cs="宋体" w:eastAsia="宋体" w:hint="default"/>
          <w:spacing w:val="-2"/>
          <w:sz w:val="21"/>
          <w:szCs w:val="21"/>
        </w:rPr>
        <w:t>为报告期因公积金转增股本或股票股利分配等增加</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股份数；</w:t>
      </w:r>
      <w:r>
        <w:rPr>
          <w:rFonts w:ascii="宋体" w:hAnsi="宋体" w:cs="宋体" w:eastAsia="宋体" w:hint="default"/>
          <w:spacing w:val="-2"/>
          <w:sz w:val="21"/>
          <w:szCs w:val="21"/>
        </w:rPr>
        <w:t>Si</w:t>
      </w:r>
      <w:r>
        <w:rPr>
          <w:rFonts w:ascii="宋体" w:hAnsi="宋体" w:cs="宋体" w:eastAsia="宋体" w:hint="default"/>
          <w:spacing w:val="-2"/>
          <w:sz w:val="21"/>
          <w:szCs w:val="21"/>
        </w:rPr>
        <w:t>为报告期因发行新股或债转股等增加股份数；</w:t>
      </w:r>
      <w:r>
        <w:rPr>
          <w:rFonts w:ascii="宋体" w:hAnsi="宋体" w:cs="宋体" w:eastAsia="宋体" w:hint="default"/>
          <w:spacing w:val="-2"/>
          <w:sz w:val="21"/>
          <w:szCs w:val="21"/>
        </w:rPr>
        <w:t>Sj</w:t>
      </w:r>
      <w:r>
        <w:rPr>
          <w:rFonts w:ascii="宋体" w:hAnsi="宋体" w:cs="宋体" w:eastAsia="宋体" w:hint="default"/>
          <w:spacing w:val="-2"/>
          <w:sz w:val="21"/>
          <w:szCs w:val="21"/>
        </w:rPr>
        <w:t>为报告期因回购等减少股份数；</w:t>
      </w:r>
      <w:r>
        <w:rPr>
          <w:rFonts w:ascii="宋体" w:hAnsi="宋体" w:cs="宋体" w:eastAsia="宋体" w:hint="default"/>
          <w:spacing w:val="-2"/>
          <w:sz w:val="21"/>
          <w:szCs w:val="21"/>
        </w:rPr>
        <w:t>Sk</w:t>
      </w:r>
      <w:r>
        <w:rPr>
          <w:rFonts w:ascii="宋体" w:hAnsi="宋体" w:cs="宋体" w:eastAsia="宋体" w:hint="default"/>
          <w:spacing w:val="-2"/>
          <w:sz w:val="21"/>
          <w:szCs w:val="21"/>
        </w:rPr>
        <w:t>为报告期缩</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股数；</w:t>
      </w:r>
      <w:r>
        <w:rPr>
          <w:rFonts w:ascii="宋体" w:hAnsi="宋体" w:cs="宋体" w:eastAsia="宋体" w:hint="default"/>
          <w:spacing w:val="-2"/>
          <w:sz w:val="21"/>
          <w:szCs w:val="21"/>
        </w:rPr>
        <w:t>M0</w:t>
      </w:r>
      <w:r>
        <w:rPr>
          <w:rFonts w:ascii="宋体" w:hAnsi="宋体" w:cs="宋体" w:eastAsia="宋体" w:hint="default"/>
          <w:spacing w:val="-2"/>
          <w:sz w:val="21"/>
          <w:szCs w:val="21"/>
        </w:rPr>
        <w:t>报告期月份数；</w:t>
      </w:r>
      <w:r>
        <w:rPr>
          <w:rFonts w:ascii="宋体" w:hAnsi="宋体" w:cs="宋体" w:eastAsia="宋体" w:hint="default"/>
          <w:spacing w:val="-2"/>
          <w:sz w:val="21"/>
          <w:szCs w:val="21"/>
        </w:rPr>
        <w:t>Mi</w:t>
      </w:r>
      <w:r>
        <w:rPr>
          <w:rFonts w:ascii="宋体" w:hAnsi="宋体" w:cs="宋体" w:eastAsia="宋体" w:hint="default"/>
          <w:spacing w:val="-2"/>
          <w:sz w:val="21"/>
          <w:szCs w:val="21"/>
        </w:rPr>
        <w:t>为增加股份次月起至报告期期末的累计月数；</w:t>
      </w:r>
      <w:r>
        <w:rPr>
          <w:rFonts w:ascii="宋体" w:hAnsi="宋体" w:cs="宋体" w:eastAsia="宋体" w:hint="default"/>
          <w:spacing w:val="-2"/>
          <w:sz w:val="21"/>
          <w:szCs w:val="21"/>
        </w:rPr>
        <w:t>Mj</w:t>
      </w:r>
      <w:r>
        <w:rPr>
          <w:rFonts w:ascii="宋体" w:hAnsi="宋体" w:cs="宋体" w:eastAsia="宋体" w:hint="default"/>
          <w:spacing w:val="-2"/>
          <w:sz w:val="21"/>
          <w:szCs w:val="21"/>
        </w:rPr>
        <w:t>为减少股份次月起至报告期期</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末的累计月数。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公司若存在发行可转换债券、股份期权、认股权证等稀释性潜在普通股情况下，稀释每股收益可参照如下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公式计算：</w:t>
      </w:r>
    </w:p>
    <w:p>
      <w:pPr>
        <w:spacing w:line="273" w:lineRule="auto" w:before="7"/>
        <w:ind w:left="152" w:right="1123" w:firstLine="422"/>
        <w:jc w:val="left"/>
        <w:rPr>
          <w:rFonts w:ascii="宋体" w:hAnsi="宋体" w:cs="宋体" w:eastAsia="宋体" w:hint="default"/>
          <w:sz w:val="21"/>
          <w:szCs w:val="21"/>
        </w:rPr>
      </w:pPr>
      <w:r>
        <w:rPr>
          <w:rFonts w:ascii="宋体" w:hAnsi="宋体" w:cs="宋体" w:eastAsia="宋体" w:hint="default"/>
          <w:spacing w:val="-2"/>
          <w:sz w:val="21"/>
          <w:szCs w:val="21"/>
        </w:rPr>
        <w:t>稀释每股收益</w:t>
      </w:r>
      <w:r>
        <w:rPr>
          <w:rFonts w:ascii="宋体" w:hAnsi="宋体" w:cs="宋体" w:eastAsia="宋体" w:hint="default"/>
          <w:spacing w:val="-2"/>
          <w:sz w:val="21"/>
          <w:szCs w:val="21"/>
        </w:rPr>
        <w:t>=P1/(S0</w:t>
      </w:r>
      <w:r>
        <w:rPr>
          <w:rFonts w:ascii="宋体" w:hAnsi="宋体" w:cs="宋体" w:eastAsia="宋体" w:hint="default"/>
          <w:spacing w:val="-2"/>
          <w:sz w:val="21"/>
          <w:szCs w:val="21"/>
        </w:rPr>
        <w:t>＋</w:t>
      </w:r>
      <w:r>
        <w:rPr>
          <w:rFonts w:ascii="宋体" w:hAnsi="宋体" w:cs="宋体" w:eastAsia="宋体" w:hint="default"/>
          <w:spacing w:val="-2"/>
          <w:sz w:val="21"/>
          <w:szCs w:val="21"/>
        </w:rPr>
        <w:t>S1</w:t>
      </w:r>
      <w:r>
        <w:rPr>
          <w:rFonts w:ascii="宋体" w:hAnsi="宋体" w:cs="宋体" w:eastAsia="宋体" w:hint="default"/>
          <w:spacing w:val="-2"/>
          <w:sz w:val="21"/>
          <w:szCs w:val="21"/>
        </w:rPr>
        <w:t>＋</w:t>
      </w:r>
      <w:r>
        <w:rPr>
          <w:rFonts w:ascii="宋体" w:hAnsi="宋体" w:cs="宋体" w:eastAsia="宋体" w:hint="default"/>
          <w:spacing w:val="-2"/>
          <w:sz w:val="21"/>
          <w:szCs w:val="21"/>
        </w:rPr>
        <w:t>Si</w:t>
      </w:r>
      <w:r>
        <w:rPr>
          <w:rFonts w:ascii="宋体" w:hAnsi="宋体" w:cs="宋体" w:eastAsia="宋体" w:hint="default"/>
          <w:spacing w:val="-2"/>
          <w:sz w:val="21"/>
          <w:szCs w:val="21"/>
        </w:rPr>
        <w:t>×</w:t>
      </w:r>
      <w:r>
        <w:rPr>
          <w:rFonts w:ascii="宋体" w:hAnsi="宋体" w:cs="宋体" w:eastAsia="宋体" w:hint="default"/>
          <w:spacing w:val="-2"/>
          <w:sz w:val="21"/>
          <w:szCs w:val="21"/>
        </w:rPr>
        <w:t>Mi</w:t>
      </w:r>
      <w:r>
        <w:rPr>
          <w:rFonts w:ascii="宋体" w:hAnsi="宋体" w:cs="宋体" w:eastAsia="宋体" w:hint="default"/>
          <w:spacing w:val="-2"/>
          <w:sz w:val="21"/>
          <w:szCs w:val="21"/>
        </w:rPr>
        <w:t>÷</w:t>
      </w:r>
      <w:r>
        <w:rPr>
          <w:rFonts w:ascii="宋体" w:hAnsi="宋体" w:cs="宋体" w:eastAsia="宋体" w:hint="default"/>
          <w:spacing w:val="-2"/>
          <w:sz w:val="21"/>
          <w:szCs w:val="21"/>
        </w:rPr>
        <w:t>M0</w:t>
      </w:r>
      <w:r>
        <w:rPr>
          <w:rFonts w:ascii="宋体" w:hAnsi="宋体" w:cs="宋体" w:eastAsia="宋体" w:hint="default"/>
          <w:spacing w:val="-2"/>
          <w:sz w:val="21"/>
          <w:szCs w:val="21"/>
        </w:rPr>
        <w:t>–</w:t>
      </w:r>
      <w:r>
        <w:rPr>
          <w:rFonts w:ascii="宋体" w:hAnsi="宋体" w:cs="宋体" w:eastAsia="宋体" w:hint="default"/>
          <w:spacing w:val="-2"/>
          <w:sz w:val="21"/>
          <w:szCs w:val="21"/>
        </w:rPr>
        <w:t>Sj</w:t>
      </w:r>
      <w:r>
        <w:rPr>
          <w:rFonts w:ascii="宋体" w:hAnsi="宋体" w:cs="宋体" w:eastAsia="宋体" w:hint="default"/>
          <w:spacing w:val="-2"/>
          <w:sz w:val="21"/>
          <w:szCs w:val="21"/>
        </w:rPr>
        <w:t>×</w:t>
      </w:r>
      <w:r>
        <w:rPr>
          <w:rFonts w:ascii="宋体" w:hAnsi="宋体" w:cs="宋体" w:eastAsia="宋体" w:hint="default"/>
          <w:spacing w:val="-2"/>
          <w:sz w:val="21"/>
          <w:szCs w:val="21"/>
        </w:rPr>
        <w:t>Mj</w:t>
      </w:r>
      <w:r>
        <w:rPr>
          <w:rFonts w:ascii="宋体" w:hAnsi="宋体" w:cs="宋体" w:eastAsia="宋体" w:hint="default"/>
          <w:spacing w:val="-2"/>
          <w:sz w:val="21"/>
          <w:szCs w:val="21"/>
        </w:rPr>
        <w:t>÷</w:t>
      </w:r>
      <w:r>
        <w:rPr>
          <w:rFonts w:ascii="宋体" w:hAnsi="宋体" w:cs="宋体" w:eastAsia="宋体" w:hint="default"/>
          <w:spacing w:val="-2"/>
          <w:sz w:val="21"/>
          <w:szCs w:val="21"/>
        </w:rPr>
        <w:t>M0</w:t>
      </w:r>
      <w:r>
        <w:rPr>
          <w:rFonts w:ascii="宋体" w:hAnsi="宋体" w:cs="宋体" w:eastAsia="宋体" w:hint="default"/>
          <w:spacing w:val="-2"/>
          <w:sz w:val="21"/>
          <w:szCs w:val="21"/>
        </w:rPr>
        <w:t>–</w:t>
      </w:r>
      <w:r>
        <w:rPr>
          <w:rFonts w:ascii="宋体" w:hAnsi="宋体" w:cs="宋体" w:eastAsia="宋体" w:hint="default"/>
          <w:spacing w:val="-2"/>
          <w:sz w:val="21"/>
          <w:szCs w:val="21"/>
        </w:rPr>
        <w:t>Sk+</w:t>
      </w:r>
      <w:r>
        <w:rPr>
          <w:rFonts w:ascii="宋体" w:hAnsi="宋体" w:cs="宋体" w:eastAsia="宋体" w:hint="default"/>
          <w:spacing w:val="-2"/>
          <w:sz w:val="21"/>
          <w:szCs w:val="21"/>
        </w:rPr>
        <w:t>认股权证、股份期权、可转换债券等增加</w:t>
      </w:r>
      <w:r>
        <w:rPr>
          <w:rFonts w:ascii="宋体" w:hAnsi="宋体" w:cs="宋体" w:eastAsia="宋体" w:hint="default"/>
          <w:w w:val="100"/>
          <w:sz w:val="21"/>
          <w:szCs w:val="21"/>
        </w:rPr>
        <w:t> </w:t>
      </w:r>
      <w:r>
        <w:rPr>
          <w:rFonts w:ascii="宋体" w:hAnsi="宋体" w:cs="宋体" w:eastAsia="宋体" w:hint="default"/>
          <w:sz w:val="21"/>
          <w:szCs w:val="21"/>
        </w:rPr>
        <w:t>的普通股加权平均数</w:t>
      </w:r>
      <w:r>
        <w:rPr>
          <w:rFonts w:ascii="宋体" w:hAnsi="宋体" w:cs="宋体" w:eastAsia="宋体" w:hint="default"/>
          <w:sz w:val="21"/>
          <w:szCs w:val="21"/>
        </w:rPr>
        <w:t>)</w:t>
      </w:r>
    </w:p>
    <w:p>
      <w:pPr>
        <w:spacing w:line="273" w:lineRule="auto" w:before="7"/>
        <w:ind w:left="152" w:right="1104" w:firstLine="422"/>
        <w:jc w:val="both"/>
        <w:rPr>
          <w:rFonts w:ascii="宋体" w:hAnsi="宋体" w:cs="宋体" w:eastAsia="宋体" w:hint="default"/>
          <w:sz w:val="21"/>
          <w:szCs w:val="21"/>
        </w:rPr>
      </w:pPr>
      <w:r>
        <w:rPr>
          <w:rFonts w:ascii="宋体" w:hAnsi="宋体" w:cs="宋体" w:eastAsia="宋体" w:hint="default"/>
          <w:spacing w:val="-2"/>
          <w:sz w:val="21"/>
          <w:szCs w:val="21"/>
        </w:rPr>
        <w:t>其中，</w:t>
      </w:r>
      <w:r>
        <w:rPr>
          <w:rFonts w:ascii="宋体" w:hAnsi="宋体" w:cs="宋体" w:eastAsia="宋体" w:hint="default"/>
          <w:spacing w:val="-2"/>
          <w:sz w:val="21"/>
          <w:szCs w:val="21"/>
        </w:rPr>
        <w:t>P1</w:t>
      </w:r>
      <w:r>
        <w:rPr>
          <w:rFonts w:ascii="宋体" w:hAnsi="宋体" w:cs="宋体" w:eastAsia="宋体" w:hint="default"/>
          <w:spacing w:val="-2"/>
          <w:sz w:val="21"/>
          <w:szCs w:val="21"/>
        </w:rPr>
        <w:t>为归属于公司普通股股东的净利润或扣除非经常性损益后归属于公司普通股股东的净利润，</w:t>
      </w:r>
      <w:r>
        <w:rPr>
          <w:rFonts w:ascii="宋体" w:hAnsi="宋体" w:cs="宋体" w:eastAsia="宋体" w:hint="default"/>
          <w:w w:val="100"/>
          <w:sz w:val="21"/>
          <w:szCs w:val="21"/>
        </w:rPr>
        <w:t> </w:t>
      </w:r>
      <w:r>
        <w:rPr>
          <w:rFonts w:ascii="宋体" w:hAnsi="宋体" w:cs="宋体" w:eastAsia="宋体" w:hint="default"/>
          <w:spacing w:val="-2"/>
          <w:sz w:val="21"/>
          <w:szCs w:val="21"/>
        </w:rPr>
        <w:t>并考虑稀释性潜在普通股对其影响，按《企业会计准则》及有关规定进行调整。公司在计算稀释每股收益</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时，应考虑所有稀释性潜在普通股对归属于公司普通股股东的净利润或扣除非经常性损益后归属于公司普</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通股股东的净利润和加权平均股数的影响，按照其稀释程度从大到小的顺序计入稀释每股收益，直至稀释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每股收益达到最小值。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-970,681.91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22,214.11</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-970,681.91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22,214.11</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-970,681.91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22,214.11</w:t>
            </w:r>
          </w:p>
        </w:tc>
      </w:tr>
    </w:tbl>
    <w:p>
      <w:pPr>
        <w:spacing w:after="0" w:line="240" w:lineRule="auto"/>
        <w:jc w:val="right"/>
        <w:rPr>
          <w:rFonts w:ascii="Times New Roman" w:hAnsi="Times New Roman" w:cs="Times New Roman" w:eastAsia="Times New Roman" w:hint="default"/>
          <w:sz w:val="18"/>
          <w:szCs w:val="18"/>
        </w:rPr>
        <w:sectPr>
          <w:footerReference w:type="default" r:id="rId65"/>
          <w:pgSz w:w="11910" w:h="16840"/>
          <w:pgMar w:footer="1285" w:header="876" w:top="1060" w:bottom="1480" w:left="980" w:right="0"/>
          <w:pgNumType w:start="11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政府补贴及专项拨款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10,794,300.00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5,215,003.49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88,703.21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其他经营性往来收入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16,318,006.70</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4,327,787.37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23,677,988.84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120,804.54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其他经营性往来支出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2,631,172.63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30,757,953.38</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76"/>
        <w:gridCol w:w="2083"/>
        <w:gridCol w:w="1800"/>
      </w:tblGrid>
      <w:tr>
        <w:trPr>
          <w:trHeight w:val="401"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67,927,155.04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66,094,430.59</w:t>
            </w:r>
          </w:p>
        </w:tc>
      </w:tr>
      <w:tr>
        <w:trPr>
          <w:trHeight w:val="40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7,578.83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-149,020.03</w:t>
            </w:r>
          </w:p>
        </w:tc>
      </w:tr>
      <w:tr>
        <w:trPr>
          <w:trHeight w:val="401"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5,354,115.00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6,082,892.14</w:t>
            </w:r>
          </w:p>
        </w:tc>
      </w:tr>
      <w:tr>
        <w:trPr>
          <w:trHeight w:val="40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2,706,061.86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1,714,047.98</w:t>
            </w:r>
          </w:p>
        </w:tc>
      </w:tr>
      <w:tr>
        <w:trPr>
          <w:trHeight w:val="401"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995,023.96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849,143.24</w:t>
            </w:r>
          </w:p>
        </w:tc>
      </w:tr>
      <w:tr>
        <w:trPr>
          <w:trHeight w:val="40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107,558.80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89,129.66</w:t>
            </w:r>
          </w:p>
        </w:tc>
      </w:tr>
      <w:tr>
        <w:trPr>
          <w:trHeight w:val="401"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-958,239.50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4,751,293.05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285"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676"/>
        <w:gridCol w:w="2083"/>
        <w:gridCol w:w="1800"/>
      </w:tblGrid>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3" w:type="dxa"/>
            <w:tcBorders>
              <w:top w:val="single" w:sz="4" w:space="0" w:color="000000"/>
              <w:left w:val="single" w:sz="12" w:space="0" w:color="D2D2D2"/>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-2,996,842.58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-4,999.22</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-10,397,473.58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-5,766,708.83</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500,577.36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3,600,435.30</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2,502,400.00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3,897,600.00</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65,747,915.19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81,178,243.88</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285,128,009.01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247,726,796.12</w:t>
            </w:r>
          </w:p>
        </w:tc>
      </w:tr>
      <w:tr>
        <w:trPr>
          <w:trHeight w:val="40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247,726,796.12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296,183,647.67</w:t>
            </w:r>
          </w:p>
        </w:tc>
      </w:tr>
      <w:tr>
        <w:trPr>
          <w:trHeight w:val="40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37,401,212.89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-48,456,851.55</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6"/>
        <w:gridCol w:w="2525"/>
        <w:gridCol w:w="2657"/>
      </w:tblGrid>
      <w:tr>
        <w:trPr>
          <w:trHeight w:val="402" w:hRule="exact"/>
        </w:trPr>
        <w:tc>
          <w:tcPr>
            <w:tcW w:w="4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285,128,009.01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247,726,796.12</w:t>
            </w:r>
          </w:p>
        </w:tc>
      </w:tr>
      <w:tr>
        <w:trPr>
          <w:trHeight w:val="402" w:hRule="exact"/>
        </w:trPr>
        <w:tc>
          <w:tcPr>
            <w:tcW w:w="4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360,885.55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187,888.23</w:t>
            </w:r>
          </w:p>
        </w:tc>
      </w:tr>
      <w:tr>
        <w:trPr>
          <w:trHeight w:val="402" w:hRule="exact"/>
        </w:trPr>
        <w:tc>
          <w:tcPr>
            <w:tcW w:w="4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284,767,123.46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247,538,907.89</w:t>
            </w:r>
          </w:p>
        </w:tc>
      </w:tr>
      <w:tr>
        <w:trPr>
          <w:trHeight w:val="404" w:hRule="exact"/>
        </w:trPr>
        <w:tc>
          <w:tcPr>
            <w:tcW w:w="4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285,128,009.01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247,726,796.12</w:t>
            </w:r>
          </w:p>
        </w:tc>
      </w:tr>
    </w:tbl>
    <w:p>
      <w:pPr>
        <w:spacing w:line="240" w:lineRule="auto" w:before="1"/>
        <w:rPr>
          <w:rFonts w:ascii="宋体" w:hAnsi="宋体" w:cs="宋体" w:eastAsia="宋体" w:hint="default"/>
          <w:sz w:val="18"/>
          <w:szCs w:val="18"/>
        </w:rPr>
      </w:pPr>
    </w:p>
    <w:p>
      <w:pPr>
        <w:pStyle w:val="Heading2"/>
        <w:spacing w:line="240" w:lineRule="auto"/>
        <w:ind w:right="1780"/>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982" w:firstLine="0"/>
        <w:jc w:val="left"/>
        <w:rPr>
          <w:rFonts w:ascii="宋体" w:hAnsi="宋体" w:cs="宋体" w:eastAsia="宋体" w:hint="default"/>
          <w:sz w:val="21"/>
          <w:szCs w:val="21"/>
        </w:rPr>
      </w:pPr>
      <w:r>
        <w:rPr>
          <w:rFonts w:ascii="宋体" w:hAnsi="宋体" w:cs="宋体" w:eastAsia="宋体" w:hint="default"/>
          <w:spacing w:val="-4"/>
          <w:sz w:val="21"/>
          <w:szCs w:val="21"/>
        </w:rPr>
        <w:t>本公司无控股公司，实际控制人为自然人包叔平先生，现任本公司董事长兼总经理，截止</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w:t>
      </w:r>
      <w:r>
        <w:rPr>
          <w:rFonts w:ascii="宋体" w:hAnsi="宋体" w:cs="宋体" w:eastAsia="宋体" w:hint="default"/>
          <w:spacing w:val="-36"/>
          <w:sz w:val="21"/>
          <w:szCs w:val="21"/>
        </w:rPr>
        <w:t> </w:t>
      </w:r>
      <w:r>
        <w:rPr>
          <w:rFonts w:ascii="宋体" w:hAnsi="宋体" w:cs="宋体" w:eastAsia="宋体" w:hint="default"/>
          <w:sz w:val="21"/>
          <w:szCs w:val="21"/>
        </w:rPr>
        <w:t>包叔平先生本人及其接受其他股东的授权委托实际拥有本公司</w:t>
      </w:r>
      <w:r>
        <w:rPr>
          <w:rFonts w:ascii="Times New Roman" w:hAnsi="Times New Roman" w:cs="Times New Roman" w:eastAsia="Times New Roman" w:hint="default"/>
          <w:sz w:val="21"/>
          <w:szCs w:val="21"/>
        </w:rPr>
        <w:t>29.46%</w:t>
      </w:r>
      <w:r>
        <w:rPr>
          <w:rFonts w:ascii="宋体" w:hAnsi="宋体" w:cs="宋体" w:eastAsia="宋体" w:hint="default"/>
          <w:sz w:val="21"/>
          <w:szCs w:val="21"/>
        </w:rPr>
        <w:t>的表决权。</w:t>
      </w:r>
    </w:p>
    <w:p>
      <w:pPr>
        <w:spacing w:line="240" w:lineRule="auto" w:before="4"/>
        <w:rPr>
          <w:rFonts w:ascii="宋体" w:hAnsi="宋体" w:cs="宋体" w:eastAsia="宋体" w:hint="default"/>
          <w:sz w:val="23"/>
          <w:szCs w:val="23"/>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1205"/>
        <w:gridCol w:w="850"/>
        <w:gridCol w:w="994"/>
        <w:gridCol w:w="850"/>
        <w:gridCol w:w="1274"/>
        <w:gridCol w:w="711"/>
        <w:gridCol w:w="811"/>
        <w:gridCol w:w="962"/>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80"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7" w:right="38"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6"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日本海隆株 式会社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日本东京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日元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上海华钟计 算机软件开 发有限公司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（中外合资）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1"/>
              <w:jc w:val="center"/>
              <w:rPr>
                <w:rFonts w:ascii="宋体" w:hAnsi="宋体" w:cs="宋体" w:eastAsia="宋体" w:hint="default"/>
                <w:sz w:val="18"/>
                <w:szCs w:val="18"/>
              </w:rPr>
            </w:pPr>
            <w:r>
              <w:rPr>
                <w:rFonts w:ascii="宋体" w:hAnsi="宋体" w:cs="宋体" w:eastAsia="宋体" w:hint="default"/>
                <w:sz w:val="18"/>
                <w:szCs w:val="18"/>
              </w:rPr>
              <w:t>中国上海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小林明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60720052-7</w:t>
            </w:r>
          </w:p>
        </w:tc>
      </w:tr>
    </w:tbl>
    <w:p>
      <w:pPr>
        <w:spacing w:after="0" w:line="240" w:lineRule="auto"/>
        <w:jc w:val="left"/>
        <w:rPr>
          <w:rFonts w:ascii="Times New Roman" w:hAnsi="Times New Roman" w:cs="Times New Roman" w:eastAsia="Times New Roman" w:hint="default"/>
          <w:sz w:val="18"/>
          <w:szCs w:val="18"/>
        </w:rPr>
        <w:sectPr>
          <w:pgSz w:w="11910" w:h="16840"/>
          <w:pgMar w:header="876" w:footer="1285"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1205"/>
        <w:gridCol w:w="850"/>
        <w:gridCol w:w="994"/>
        <w:gridCol w:w="850"/>
        <w:gridCol w:w="1274"/>
        <w:gridCol w:w="711"/>
        <w:gridCol w:w="811"/>
        <w:gridCol w:w="962"/>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江苏海隆软 件技术有限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1"/>
              <w:jc w:val="center"/>
              <w:rPr>
                <w:rFonts w:ascii="宋体" w:hAnsi="宋体" w:cs="宋体" w:eastAsia="宋体" w:hint="default"/>
                <w:sz w:val="18"/>
                <w:szCs w:val="18"/>
              </w:rPr>
            </w:pPr>
            <w:r>
              <w:rPr>
                <w:rFonts w:ascii="宋体" w:hAnsi="宋体" w:cs="宋体" w:eastAsia="宋体" w:hint="default"/>
                <w:sz w:val="18"/>
                <w:szCs w:val="18"/>
              </w:rPr>
              <w:t>中国南京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55554760-8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上海海隆宜 通信息技术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有限责任公司</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（中外合资）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1"/>
              <w:jc w:val="center"/>
              <w:rPr>
                <w:rFonts w:ascii="宋体" w:hAnsi="宋体" w:cs="宋体" w:eastAsia="宋体" w:hint="default"/>
                <w:sz w:val="18"/>
                <w:szCs w:val="18"/>
              </w:rPr>
            </w:pPr>
            <w:r>
              <w:rPr>
                <w:rFonts w:ascii="宋体" w:hAnsi="宋体" w:cs="宋体" w:eastAsia="宋体" w:hint="default"/>
                <w:sz w:val="18"/>
                <w:szCs w:val="18"/>
              </w:rPr>
              <w:t>中国上海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 </w:t>
            </w:r>
            <w:r>
              <w:rPr>
                <w:rFonts w:ascii="宋体" w:hAnsi="宋体" w:cs="宋体" w:eastAsia="宋体" w:hint="default"/>
                <w:sz w:val="18"/>
                <w:szCs w:val="18"/>
              </w:rPr>
              <w:t>万</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55598323-1</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日本欧姆龙株式会社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17.62%</w:t>
            </w:r>
            <w:r>
              <w:rPr>
                <w:rFonts w:ascii="宋体" w:hAnsi="宋体" w:cs="宋体" w:eastAsia="宋体" w:hint="default"/>
                <w:sz w:val="18"/>
                <w:szCs w:val="18"/>
              </w:rPr>
              <w:t>的股东的实际控制人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欧姆龙（中国）有限公司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17.62%</w:t>
            </w:r>
            <w:r>
              <w:rPr>
                <w:rFonts w:ascii="宋体" w:hAnsi="宋体" w:cs="宋体" w:eastAsia="宋体" w:hint="default"/>
                <w:sz w:val="18"/>
                <w:szCs w:val="18"/>
              </w:rPr>
              <w:t>的股东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10177435-5</w:t>
            </w:r>
          </w:p>
        </w:tc>
      </w:tr>
    </w:tbl>
    <w:p>
      <w:pPr>
        <w:spacing w:before="49"/>
        <w:ind w:left="152" w:right="178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spacing w:before="12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6" w:footer="1285" w:top="1060" w:bottom="1540" w:left="980" w:right="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出售商品、提供劳务情况表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2676" w:space="6153"/>
            <w:col w:w="210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40" w:firstLine="0"/>
        <w:jc w:val="right"/>
        <w:rPr>
          <w:rFonts w:ascii="宋体" w:hAnsi="宋体" w:cs="宋体" w:eastAsia="宋体" w:hint="default"/>
          <w:sz w:val="18"/>
          <w:szCs w:val="18"/>
        </w:rPr>
      </w:pPr>
      <w:r>
        <w:rPr/>
        <w:pict>
          <v:shape style="position:absolute;margin-left:409.630005pt;margin-top:3.711722pt;width:85.5pt;height:15.6pt;mso-position-horizontal-relative:page;mso-position-vertical-relative:paragraph;z-index:-63215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48279pt;width:479.1pt;height:112.2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4"/>
                    <w:gridCol w:w="1340"/>
                    <w:gridCol w:w="1462"/>
                    <w:gridCol w:w="1594"/>
                    <w:gridCol w:w="797"/>
                    <w:gridCol w:w="340"/>
                    <w:gridCol w:w="1254"/>
                    <w:gridCol w:w="797"/>
                  </w:tblGrid>
                  <w:tr>
                    <w:trPr>
                      <w:trHeight w:val="402"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日本欧姆龙株式会社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销售软件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参照市场价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13,311,587.96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7" w:right="0"/>
                          <w:jc w:val="left"/>
                          <w:rPr>
                            <w:rFonts w:ascii="Times New Roman" w:hAnsi="Times New Roman" w:cs="Times New Roman" w:eastAsia="Times New Roman" w:hint="default"/>
                            <w:sz w:val="18"/>
                            <w:szCs w:val="18"/>
                          </w:rPr>
                        </w:pPr>
                        <w:r>
                          <w:rPr>
                            <w:rFonts w:ascii="Times New Roman"/>
                            <w:sz w:val="18"/>
                          </w:rPr>
                          <w:t>4,803,519.05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欧姆龙（中国）有限公司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销售软件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参照市场价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181,353.01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亿日元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68" w:lineRule="auto" w:before="0"/>
        <w:ind w:right="7154"/>
        <w:jc w:val="left"/>
      </w:pPr>
      <w:r>
        <w:rPr/>
        <w:t>关联担保情况说明 担保金额为</w:t>
      </w:r>
      <w:r>
        <w:rPr>
          <w:rFonts w:ascii="宋体" w:hAnsi="宋体" w:cs="宋体" w:eastAsia="宋体" w:hint="default"/>
        </w:rPr>
        <w:t>2</w:t>
      </w:r>
      <w:r>
        <w:rPr/>
        <w:t>亿日元</w:t>
      </w:r>
    </w:p>
    <w:p>
      <w:pPr>
        <w:spacing w:line="240" w:lineRule="auto" w:before="9"/>
        <w:rPr>
          <w:rFonts w:ascii="宋体" w:hAnsi="宋体" w:cs="宋体" w:eastAsia="宋体" w:hint="default"/>
          <w:sz w:val="22"/>
          <w:szCs w:val="22"/>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540" w:left="980" w:right="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上市公司应收关联方款项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2467" w:space="6362"/>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1882"/>
        <w:gridCol w:w="1462"/>
        <w:gridCol w:w="1463"/>
        <w:gridCol w:w="1459"/>
        <w:gridCol w:w="1459"/>
      </w:tblGrid>
      <w:tr>
        <w:trPr>
          <w:trHeight w:val="402" w:hRule="exact"/>
        </w:trPr>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882"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日本欧姆龙株式会社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483,257.49</w:t>
            </w:r>
          </w:p>
        </w:tc>
        <w:tc>
          <w:tcPr>
            <w:tcW w:w="146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1780"/>
        <w:jc w:val="left"/>
        <w:rPr>
          <w:b w:val="0"/>
          <w:bCs w:val="0"/>
        </w:rPr>
      </w:pPr>
      <w:r>
        <w:rPr/>
        <w:t>九、股份支付</w:t>
      </w:r>
      <w:r>
        <w:rPr>
          <w:b w:val="0"/>
          <w:bCs w:val="0"/>
        </w:rPr>
      </w:r>
    </w:p>
    <w:p>
      <w:pPr>
        <w:spacing w:line="240" w:lineRule="auto" w:before="9"/>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96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截止本报告期末，本公司股权激励授予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名员工共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万股限制性股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票，授予日为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日，授予价格为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股，首期授予的限</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制性股票自授予日满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个月为解锁期。在解锁期内若达到</w:t>
            </w:r>
          </w:p>
          <w:p>
            <w:pPr>
              <w:pStyle w:val="TableParagraph"/>
              <w:spacing w:line="300" w:lineRule="auto" w:before="63"/>
              <w:ind w:left="23" w:right="48"/>
              <w:jc w:val="both"/>
              <w:rPr>
                <w:rFonts w:ascii="宋体" w:hAnsi="宋体" w:cs="宋体" w:eastAsia="宋体" w:hint="default"/>
                <w:sz w:val="18"/>
                <w:szCs w:val="18"/>
              </w:rPr>
            </w:pPr>
            <w:r>
              <w:rPr>
                <w:rFonts w:ascii="宋体" w:hAnsi="宋体" w:cs="宋体" w:eastAsia="宋体" w:hint="default"/>
                <w:sz w:val="18"/>
                <w:szCs w:val="18"/>
              </w:rPr>
              <w:t>本计划规定的限制性股票的解锁条件，激励对象可分别在授予日起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个月后分三期申请解锁所获授的限制性股票总量的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307" w:lineRule="auto" w:before="28"/>
        <w:ind w:left="573" w:right="1123" w:hanging="421"/>
        <w:jc w:val="left"/>
        <w:rPr>
          <w:rFonts w:ascii="宋体" w:hAnsi="宋体" w:cs="宋体" w:eastAsia="宋体" w:hint="default"/>
          <w:sz w:val="21"/>
          <w:szCs w:val="21"/>
        </w:rPr>
      </w:pPr>
      <w:r>
        <w:rPr>
          <w:rFonts w:ascii="宋体" w:hAnsi="宋体" w:cs="宋体" w:eastAsia="宋体" w:hint="default"/>
          <w:sz w:val="21"/>
          <w:szCs w:val="21"/>
        </w:rPr>
        <w:t>股份支付情况的说明</w:t>
      </w:r>
      <w:r>
        <w:rPr>
          <w:rFonts w:ascii="宋体" w:hAnsi="宋体" w:cs="宋体" w:eastAsia="宋体" w:hint="default"/>
          <w:w w:val="100"/>
          <w:sz w:val="21"/>
          <w:szCs w:val="21"/>
        </w:rPr>
        <w:t> </w:t>
      </w:r>
      <w:r>
        <w:rPr>
          <w:rFonts w:ascii="宋体" w:hAnsi="宋体" w:cs="宋体" w:eastAsia="宋体" w:hint="default"/>
          <w:spacing w:val="-2"/>
          <w:sz w:val="21"/>
          <w:szCs w:val="21"/>
        </w:rPr>
        <w:t>本公司于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日第四届董事会第九次会议审议通过了《上海海隆软件股份有限公司限制性股</w:t>
      </w:r>
    </w:p>
    <w:p>
      <w:pPr>
        <w:spacing w:line="247" w:lineRule="exact" w:before="0"/>
        <w:ind w:left="152" w:right="1123" w:firstLine="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票激励计划（草案）》，于</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27</w:t>
      </w:r>
      <w:r>
        <w:rPr>
          <w:rFonts w:ascii="宋体" w:hAnsi="宋体" w:cs="宋体" w:eastAsia="宋体" w:hint="default"/>
          <w:spacing w:val="-4"/>
          <w:sz w:val="21"/>
          <w:szCs w:val="21"/>
        </w:rPr>
        <w:t>日将草案报送中国证监会备案，中国证监会对该备案无异议；</w:t>
      </w:r>
      <w:r>
        <w:rPr>
          <w:rFonts w:ascii="Times New Roman" w:hAnsi="Times New Roman" w:cs="Times New Roman" w:eastAsia="Times New Roman" w:hint="default"/>
          <w:spacing w:val="-4"/>
          <w:sz w:val="21"/>
          <w:szCs w:val="21"/>
        </w:rPr>
        <w:t>2012</w:t>
      </w:r>
    </w:p>
    <w:p>
      <w:pPr>
        <w:spacing w:before="21"/>
        <w:ind w:left="152" w:right="98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年第一次临时股东大会批准通过了《上海海隆软件股份有限公司限制性股票激励计划</w:t>
      </w:r>
    </w:p>
    <w:p>
      <w:pPr>
        <w:spacing w:line="261" w:lineRule="auto" w:before="21"/>
        <w:ind w:left="152" w:right="1023" w:firstLine="0"/>
        <w:jc w:val="left"/>
        <w:rPr>
          <w:rFonts w:ascii="宋体" w:hAnsi="宋体" w:cs="宋体" w:eastAsia="宋体" w:hint="default"/>
          <w:sz w:val="21"/>
          <w:szCs w:val="21"/>
        </w:rPr>
      </w:pPr>
      <w:r>
        <w:rPr>
          <w:rFonts w:ascii="宋体" w:hAnsi="宋体" w:cs="宋体" w:eastAsia="宋体" w:hint="default"/>
          <w:sz w:val="21"/>
          <w:szCs w:val="21"/>
        </w:rPr>
        <w:t>（草案）》及其摘要，同意发行</w:t>
      </w:r>
      <w:r>
        <w:rPr>
          <w:rFonts w:ascii="Times New Roman" w:hAnsi="Times New Roman" w:cs="Times New Roman" w:eastAsia="Times New Roman" w:hint="default"/>
          <w:sz w:val="21"/>
          <w:szCs w:val="21"/>
        </w:rPr>
        <w:t>225</w:t>
      </w:r>
      <w:r>
        <w:rPr>
          <w:rFonts w:ascii="宋体" w:hAnsi="宋体" w:cs="宋体" w:eastAsia="宋体" w:hint="default"/>
          <w:sz w:val="21"/>
          <w:szCs w:val="21"/>
        </w:rPr>
        <w:t>万股限制性股票，其中首次授予对公司经营业绩和未来发展有直接影</w:t>
      </w:r>
      <w:r>
        <w:rPr>
          <w:rFonts w:ascii="宋体" w:hAnsi="宋体" w:cs="宋体" w:eastAsia="宋体" w:hint="default"/>
          <w:w w:val="100"/>
          <w:sz w:val="21"/>
          <w:szCs w:val="21"/>
        </w:rPr>
        <w:t> </w:t>
      </w:r>
      <w:r>
        <w:rPr>
          <w:rFonts w:ascii="宋体" w:hAnsi="宋体" w:cs="宋体" w:eastAsia="宋体" w:hint="default"/>
          <w:spacing w:val="-3"/>
          <w:sz w:val="21"/>
          <w:szCs w:val="21"/>
        </w:rPr>
        <w:t>响的董事、高级管理人员、核心经营管理</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技术人员等</w:t>
      </w:r>
      <w:r>
        <w:rPr>
          <w:rFonts w:ascii="Times New Roman" w:hAnsi="Times New Roman" w:cs="Times New Roman" w:eastAsia="Times New Roman" w:hint="default"/>
          <w:spacing w:val="-3"/>
          <w:sz w:val="21"/>
          <w:szCs w:val="21"/>
        </w:rPr>
        <w:t>52</w:t>
      </w:r>
      <w:r>
        <w:rPr>
          <w:rFonts w:ascii="宋体" w:hAnsi="宋体" w:cs="宋体" w:eastAsia="宋体" w:hint="default"/>
          <w:spacing w:val="-3"/>
          <w:sz w:val="21"/>
          <w:szCs w:val="21"/>
        </w:rPr>
        <w:t>人共</w:t>
      </w:r>
      <w:r>
        <w:rPr>
          <w:rFonts w:ascii="Times New Roman" w:hAnsi="Times New Roman" w:cs="Times New Roman" w:eastAsia="Times New Roman" w:hint="default"/>
          <w:spacing w:val="-3"/>
          <w:sz w:val="21"/>
          <w:szCs w:val="21"/>
        </w:rPr>
        <w:t>203</w:t>
      </w:r>
      <w:r>
        <w:rPr>
          <w:rFonts w:ascii="宋体" w:hAnsi="宋体" w:cs="宋体" w:eastAsia="宋体" w:hint="default"/>
          <w:spacing w:val="-3"/>
          <w:sz w:val="21"/>
          <w:szCs w:val="21"/>
        </w:rPr>
        <w:t>万股限制性股票，授予日为</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日，</w:t>
      </w:r>
      <w:r>
        <w:rPr>
          <w:rFonts w:ascii="宋体" w:hAnsi="宋体" w:cs="宋体" w:eastAsia="宋体" w:hint="default"/>
          <w:spacing w:val="-42"/>
          <w:sz w:val="21"/>
          <w:szCs w:val="21"/>
        </w:rPr>
        <w:t> </w:t>
      </w:r>
      <w:r>
        <w:rPr>
          <w:rFonts w:ascii="宋体" w:hAnsi="宋体" w:cs="宋体" w:eastAsia="宋体" w:hint="default"/>
          <w:sz w:val="21"/>
          <w:szCs w:val="21"/>
        </w:rPr>
        <w:t>授予价格为</w:t>
      </w:r>
      <w:r>
        <w:rPr>
          <w:rFonts w:ascii="Times New Roman" w:hAnsi="Times New Roman" w:cs="Times New Roman" w:eastAsia="Times New Roman" w:hint="default"/>
          <w:sz w:val="21"/>
          <w:szCs w:val="21"/>
        </w:rPr>
        <w:t>8.95</w:t>
      </w:r>
      <w:r>
        <w:rPr>
          <w:rFonts w:ascii="宋体" w:hAnsi="宋体" w:cs="宋体" w:eastAsia="宋体" w:hint="default"/>
          <w:sz w:val="21"/>
          <w:szCs w:val="21"/>
        </w:rPr>
        <w:t>元。该激励方案计划有效期为自首期限制性股票授予日起计算的</w:t>
      </w:r>
      <w:r>
        <w:rPr>
          <w:rFonts w:ascii="Times New Roman" w:hAnsi="Times New Roman" w:cs="Times New Roman" w:eastAsia="Times New Roman" w:hint="default"/>
          <w:sz w:val="21"/>
          <w:szCs w:val="21"/>
        </w:rPr>
        <w:t>60</w:t>
      </w:r>
      <w:r>
        <w:rPr>
          <w:rFonts w:ascii="宋体" w:hAnsi="宋体" w:cs="宋体" w:eastAsia="宋体" w:hint="default"/>
          <w:sz w:val="21"/>
          <w:szCs w:val="21"/>
        </w:rPr>
        <w:t>个月（包括预留股份在</w:t>
      </w:r>
      <w:r>
        <w:rPr>
          <w:rFonts w:ascii="宋体" w:hAnsi="宋体" w:cs="宋体" w:eastAsia="宋体" w:hint="default"/>
          <w:w w:val="100"/>
          <w:sz w:val="21"/>
          <w:szCs w:val="21"/>
        </w:rPr>
        <w:t> </w:t>
      </w:r>
      <w:r>
        <w:rPr>
          <w:rFonts w:ascii="宋体" w:hAnsi="宋体" w:cs="宋体" w:eastAsia="宋体" w:hint="default"/>
          <w:sz w:val="21"/>
          <w:szCs w:val="21"/>
        </w:rPr>
        <w:t>内的全部股份解锁完毕所需的最长期间）与实施授予的限制性股票全部解锁完毕或回购注销完毕之较早</w:t>
      </w:r>
      <w:r>
        <w:rPr>
          <w:rFonts w:ascii="宋体" w:hAnsi="宋体" w:cs="宋体" w:eastAsia="宋体" w:hint="default"/>
          <w:w w:val="100"/>
          <w:sz w:val="21"/>
          <w:szCs w:val="21"/>
        </w:rPr>
        <w:t> </w:t>
      </w:r>
      <w:r>
        <w:rPr>
          <w:rFonts w:ascii="宋体" w:hAnsi="宋体" w:cs="宋体" w:eastAsia="宋体" w:hint="default"/>
          <w:spacing w:val="-2"/>
          <w:sz w:val="21"/>
          <w:szCs w:val="21"/>
        </w:rPr>
        <w:t>者。自激励对象获授相应限制性股票之日（授予日）起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个月内为锁定期。锁定期内，激励对象根据本计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5"/>
          <w:sz w:val="21"/>
          <w:szCs w:val="21"/>
        </w:rPr>
        <w:t>划获授的限制性股票予以锁定，不得转让。首期授予的限制性股票自授予日满</w:t>
      </w:r>
      <w:r>
        <w:rPr>
          <w:rFonts w:ascii="Times New Roman" w:hAnsi="Times New Roman" w:cs="Times New Roman" w:eastAsia="Times New Roman" w:hint="default"/>
          <w:spacing w:val="-5"/>
          <w:sz w:val="21"/>
          <w:szCs w:val="21"/>
        </w:rPr>
        <w:t>12</w:t>
      </w:r>
      <w:r>
        <w:rPr>
          <w:rFonts w:ascii="宋体" w:hAnsi="宋体" w:cs="宋体" w:eastAsia="宋体" w:hint="default"/>
          <w:spacing w:val="-5"/>
          <w:sz w:val="21"/>
          <w:szCs w:val="21"/>
        </w:rPr>
        <w:t>个月起至</w:t>
      </w:r>
      <w:r>
        <w:rPr>
          <w:rFonts w:ascii="Times New Roman" w:hAnsi="Times New Roman" w:cs="Times New Roman" w:eastAsia="Times New Roman" w:hint="default"/>
          <w:spacing w:val="-5"/>
          <w:sz w:val="21"/>
          <w:szCs w:val="21"/>
        </w:rPr>
        <w:t>48</w:t>
      </w:r>
      <w:r>
        <w:rPr>
          <w:rFonts w:ascii="宋体" w:hAnsi="宋体" w:cs="宋体" w:eastAsia="宋体" w:hint="default"/>
          <w:spacing w:val="-5"/>
          <w:sz w:val="21"/>
          <w:szCs w:val="21"/>
        </w:rPr>
        <w:t>个月为解锁期。</w:t>
      </w:r>
      <w:r>
        <w:rPr>
          <w:rFonts w:ascii="宋体" w:hAnsi="宋体" w:cs="宋体" w:eastAsia="宋体" w:hint="default"/>
          <w:spacing w:val="-2"/>
          <w:sz w:val="21"/>
          <w:szCs w:val="21"/>
        </w:rPr>
        <w:t> </w:t>
      </w:r>
      <w:r>
        <w:rPr>
          <w:rFonts w:ascii="宋体" w:hAnsi="宋体" w:cs="宋体" w:eastAsia="宋体" w:hint="default"/>
          <w:spacing w:val="-2"/>
          <w:sz w:val="21"/>
          <w:szCs w:val="21"/>
        </w:rPr>
        <w:t>在解锁期内若达到本计划规定的限制性股票的解锁条件，激励对象可分别在授予日起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个月、</w:t>
      </w:r>
      <w:r>
        <w:rPr>
          <w:rFonts w:ascii="Times New Roman" w:hAnsi="Times New Roman" w:cs="Times New Roman" w:eastAsia="Times New Roman" w:hint="default"/>
          <w:spacing w:val="-2"/>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个月后分三期申请解锁所获授的限制性股票总量的</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和</w:t>
      </w:r>
      <w:r>
        <w:rPr>
          <w:rFonts w:ascii="Times New Roman" w:hAnsi="Times New Roman" w:cs="Times New Roman" w:eastAsia="Times New Roman" w:hint="default"/>
          <w:sz w:val="21"/>
          <w:szCs w:val="21"/>
        </w:rPr>
        <w:t>40%</w:t>
      </w:r>
      <w:r>
        <w:rPr>
          <w:rFonts w:ascii="宋体" w:hAnsi="宋体" w:cs="宋体" w:eastAsia="宋体" w:hint="default"/>
          <w:sz w:val="21"/>
          <w:szCs w:val="21"/>
        </w:rPr>
        <w:t>。如本公司业绩考核达不到规定的解</w:t>
      </w:r>
      <w:r>
        <w:rPr>
          <w:rFonts w:ascii="宋体" w:hAnsi="宋体" w:cs="宋体" w:eastAsia="宋体" w:hint="default"/>
          <w:w w:val="100"/>
          <w:sz w:val="21"/>
          <w:szCs w:val="21"/>
        </w:rPr>
        <w:t> </w:t>
      </w:r>
      <w:r>
        <w:rPr>
          <w:rFonts w:ascii="宋体" w:hAnsi="宋体" w:cs="宋体" w:eastAsia="宋体" w:hint="default"/>
          <w:spacing w:val="-5"/>
          <w:sz w:val="21"/>
          <w:szCs w:val="21"/>
        </w:rPr>
        <w:t>锁条件，则该年度应予解锁的限制性股票不得解锁，本公司将以授予价格回购后注销未能解锁的标的股票。</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本计划首期授予激励对象的限制性股票分三期解锁，本计划在</w:t>
      </w:r>
      <w:r>
        <w:rPr>
          <w:rFonts w:ascii="Times New Roman" w:hAnsi="Times New Roman" w:cs="Times New Roman" w:eastAsia="Times New Roman" w:hint="default"/>
          <w:sz w:val="21"/>
          <w:szCs w:val="21"/>
        </w:rPr>
        <w:t>2011-2013</w:t>
      </w:r>
      <w:r>
        <w:rPr>
          <w:rFonts w:ascii="宋体" w:hAnsi="宋体" w:cs="宋体" w:eastAsia="宋体" w:hint="default"/>
          <w:sz w:val="21"/>
          <w:szCs w:val="21"/>
        </w:rPr>
        <w:t>年的</w:t>
      </w:r>
      <w:r>
        <w:rPr>
          <w:rFonts w:ascii="Times New Roman" w:hAnsi="Times New Roman" w:cs="Times New Roman" w:eastAsia="Times New Roman" w:hint="default"/>
          <w:sz w:val="21"/>
          <w:szCs w:val="21"/>
        </w:rPr>
        <w:t>3</w:t>
      </w:r>
      <w:r>
        <w:rPr>
          <w:rFonts w:ascii="宋体" w:hAnsi="宋体" w:cs="宋体" w:eastAsia="宋体" w:hint="default"/>
          <w:sz w:val="21"/>
          <w:szCs w:val="21"/>
        </w:rPr>
        <w:t>个会计年度中，分年度进行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绩效考核并解锁，每个会计年度考核一次。在解锁期内满足本计划的解锁条件的，激励对象可以申请股票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解除锁定并上市流通。各年度绩效考核目标如下所示：</w:t>
      </w:r>
    </w:p>
    <w:p>
      <w:pPr>
        <w:spacing w:line="256" w:lineRule="auto" w:before="18"/>
        <w:ind w:left="152" w:right="112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）第一次解锁条件：以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年度净利润为基准，</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年度的净利润增长率不低于</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，且</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年度的加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权平均净资产收益率不低于</w:t>
      </w:r>
      <w:r>
        <w:rPr>
          <w:rFonts w:ascii="Times New Roman" w:hAnsi="Times New Roman" w:cs="Times New Roman" w:eastAsia="Times New Roman" w:hint="default"/>
          <w:sz w:val="21"/>
          <w:szCs w:val="21"/>
        </w:rPr>
        <w:t>16%</w:t>
      </w:r>
      <w:r>
        <w:rPr>
          <w:rFonts w:ascii="宋体" w:hAnsi="宋体" w:cs="宋体" w:eastAsia="宋体" w:hint="default"/>
          <w:sz w:val="21"/>
          <w:szCs w:val="21"/>
        </w:rPr>
        <w:t>；</w:t>
      </w:r>
    </w:p>
    <w:p>
      <w:pPr>
        <w:spacing w:line="256" w:lineRule="auto" w:before="5"/>
        <w:ind w:left="152" w:right="112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）第二次解锁条件：以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年度净利润为基准，</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年度的净利润增长率不低于</w:t>
      </w:r>
      <w:r>
        <w:rPr>
          <w:rFonts w:ascii="Times New Roman" w:hAnsi="Times New Roman" w:cs="Times New Roman" w:eastAsia="Times New Roman" w:hint="default"/>
          <w:spacing w:val="-3"/>
          <w:sz w:val="21"/>
          <w:szCs w:val="21"/>
        </w:rPr>
        <w:t>70%</w:t>
      </w:r>
      <w:r>
        <w:rPr>
          <w:rFonts w:ascii="宋体" w:hAnsi="宋体" w:cs="宋体" w:eastAsia="宋体" w:hint="default"/>
          <w:spacing w:val="-3"/>
          <w:sz w:val="21"/>
          <w:szCs w:val="21"/>
        </w:rPr>
        <w:t>，且</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年度的加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权平均净资产收益率不低于</w:t>
      </w:r>
      <w:r>
        <w:rPr>
          <w:rFonts w:ascii="Times New Roman" w:hAnsi="Times New Roman" w:cs="Times New Roman" w:eastAsia="Times New Roman" w:hint="default"/>
          <w:sz w:val="21"/>
          <w:szCs w:val="21"/>
        </w:rPr>
        <w:t>17%</w:t>
      </w:r>
      <w:r>
        <w:rPr>
          <w:rFonts w:ascii="宋体" w:hAnsi="宋体" w:cs="宋体" w:eastAsia="宋体" w:hint="default"/>
          <w:sz w:val="21"/>
          <w:szCs w:val="21"/>
        </w:rPr>
        <w:t>；</w:t>
      </w:r>
    </w:p>
    <w:p>
      <w:pPr>
        <w:spacing w:line="256" w:lineRule="auto" w:before="5"/>
        <w:ind w:left="152" w:right="112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）第三次解锁条件：以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年度净利润为基准，</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年度的净利润增长率不低于</w:t>
      </w:r>
      <w:r>
        <w:rPr>
          <w:rFonts w:ascii="Times New Roman" w:hAnsi="Times New Roman" w:cs="Times New Roman" w:eastAsia="Times New Roman" w:hint="default"/>
          <w:spacing w:val="-3"/>
          <w:sz w:val="21"/>
          <w:szCs w:val="21"/>
        </w:rPr>
        <w:t>90%</w:t>
      </w:r>
      <w:r>
        <w:rPr>
          <w:rFonts w:ascii="宋体" w:hAnsi="宋体" w:cs="宋体" w:eastAsia="宋体" w:hint="default"/>
          <w:spacing w:val="-3"/>
          <w:sz w:val="21"/>
          <w:szCs w:val="21"/>
        </w:rPr>
        <w:t>；且</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年度的加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权平均净资产收益率不低于</w:t>
      </w:r>
      <w:r>
        <w:rPr>
          <w:rFonts w:ascii="Times New Roman" w:hAnsi="Times New Roman" w:cs="Times New Roman" w:eastAsia="Times New Roman" w:hint="default"/>
          <w:sz w:val="21"/>
          <w:szCs w:val="21"/>
        </w:rPr>
        <w:t>18%</w:t>
      </w:r>
      <w:r>
        <w:rPr>
          <w:rFonts w:ascii="宋体" w:hAnsi="宋体" w:cs="宋体" w:eastAsia="宋体" w:hint="default"/>
          <w:sz w:val="21"/>
          <w:szCs w:val="21"/>
        </w:rPr>
        <w:t>。</w:t>
      </w:r>
    </w:p>
    <w:p>
      <w:pPr>
        <w:spacing w:after="0" w:line="256" w:lineRule="auto"/>
        <w:jc w:val="left"/>
        <w:rPr>
          <w:rFonts w:ascii="宋体" w:hAnsi="宋体" w:cs="宋体" w:eastAsia="宋体" w:hint="default"/>
          <w:sz w:val="21"/>
          <w:szCs w:val="21"/>
        </w:rPr>
        <w:sectPr>
          <w:pgSz w:w="11910" w:h="16840"/>
          <w:pgMar w:header="876" w:footer="1285" w:top="1060" w:bottom="1480" w:left="980" w:right="0"/>
        </w:sectPr>
      </w:pPr>
    </w:p>
    <w:p>
      <w:pPr>
        <w:spacing w:line="240" w:lineRule="auto" w:before="7"/>
        <w:rPr>
          <w:rFonts w:ascii="宋体" w:hAnsi="宋体" w:cs="宋体" w:eastAsia="宋体" w:hint="default"/>
          <w:sz w:val="25"/>
          <w:szCs w:val="25"/>
        </w:rPr>
      </w:pPr>
    </w:p>
    <w:p>
      <w:pPr>
        <w:spacing w:line="273" w:lineRule="auto" w:before="36"/>
        <w:ind w:left="164" w:right="1123" w:firstLine="0"/>
        <w:jc w:val="left"/>
        <w:rPr>
          <w:rFonts w:ascii="宋体" w:hAnsi="宋体" w:cs="宋体" w:eastAsia="宋体" w:hint="default"/>
          <w:sz w:val="21"/>
          <w:szCs w:val="21"/>
        </w:rPr>
      </w:pPr>
      <w:r>
        <w:rPr>
          <w:rFonts w:ascii="宋体" w:hAnsi="宋体" w:cs="宋体" w:eastAsia="宋体" w:hint="default"/>
          <w:spacing w:val="-1"/>
          <w:sz w:val="21"/>
          <w:szCs w:val="21"/>
        </w:rPr>
        <w:t>以上净资产收益率与净利润指标均以归属于上市公司股东的净利润与扣除非经常性损益的归属于上市公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司股东的净利润二者孰低作为计算依据。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授予日前一交易日本公司二级市场股票收盘价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根据在职人员对应的权益工具估计</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6,400,000.00</w:t>
            </w:r>
          </w:p>
        </w:tc>
      </w:tr>
    </w:tbl>
    <w:p>
      <w:pPr>
        <w:spacing w:line="316" w:lineRule="auto" w:before="28"/>
        <w:ind w:left="585" w:right="1123" w:hanging="433"/>
        <w:jc w:val="left"/>
        <w:rPr>
          <w:rFonts w:ascii="宋体" w:hAnsi="宋体" w:cs="宋体" w:eastAsia="宋体" w:hint="default"/>
          <w:sz w:val="21"/>
          <w:szCs w:val="21"/>
        </w:rPr>
      </w:pPr>
      <w:r>
        <w:rPr>
          <w:rFonts w:ascii="宋体" w:hAnsi="宋体" w:cs="宋体" w:eastAsia="宋体" w:hint="default"/>
          <w:sz w:val="21"/>
          <w:szCs w:val="21"/>
        </w:rPr>
        <w:t>以权益结算的股份支付的说明</w:t>
      </w:r>
      <w:r>
        <w:rPr>
          <w:rFonts w:ascii="宋体" w:hAnsi="宋体" w:cs="宋体" w:eastAsia="宋体" w:hint="default"/>
          <w:w w:val="100"/>
          <w:sz w:val="21"/>
          <w:szCs w:val="21"/>
        </w:rPr>
        <w:t> </w:t>
      </w:r>
      <w:r>
        <w:rPr>
          <w:rFonts w:ascii="宋体" w:hAnsi="宋体" w:cs="宋体" w:eastAsia="宋体" w:hint="default"/>
          <w:spacing w:val="-1"/>
          <w:sz w:val="21"/>
          <w:szCs w:val="21"/>
        </w:rPr>
        <w:t>授予日权益工具公允价值的确定方法为授予日前一交易日本公司二级市场股票收盘价，对可行权权</w:t>
      </w:r>
    </w:p>
    <w:p>
      <w:pPr>
        <w:spacing w:line="261" w:lineRule="exact" w:before="0"/>
        <w:ind w:left="164" w:right="0" w:firstLine="0"/>
        <w:jc w:val="both"/>
        <w:rPr>
          <w:rFonts w:ascii="宋体" w:hAnsi="宋体" w:cs="宋体" w:eastAsia="宋体" w:hint="default"/>
          <w:sz w:val="21"/>
          <w:szCs w:val="21"/>
        </w:rPr>
      </w:pPr>
      <w:r>
        <w:rPr>
          <w:rFonts w:ascii="宋体" w:hAnsi="宋体" w:cs="宋体" w:eastAsia="宋体" w:hint="default"/>
          <w:spacing w:val="-3"/>
          <w:sz w:val="21"/>
          <w:szCs w:val="21"/>
        </w:rPr>
        <w:t>益工具数量的最佳估计的确定方法为根据在职人员对应的权益工具估计。</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年内有一名激励对象离职，</w:t>
      </w:r>
    </w:p>
    <w:p>
      <w:pPr>
        <w:spacing w:line="256" w:lineRule="auto" w:before="21"/>
        <w:ind w:left="152" w:right="1272" w:firstLine="12"/>
        <w:jc w:val="both"/>
        <w:rPr>
          <w:rFonts w:ascii="宋体" w:hAnsi="宋体" w:cs="宋体" w:eastAsia="宋体" w:hint="default"/>
          <w:sz w:val="21"/>
          <w:szCs w:val="21"/>
        </w:rPr>
      </w:pPr>
      <w:r>
        <w:rPr>
          <w:rFonts w:ascii="宋体" w:hAnsi="宋体" w:cs="宋体" w:eastAsia="宋体" w:hint="default"/>
          <w:spacing w:val="-5"/>
          <w:w w:val="100"/>
          <w:sz w:val="21"/>
          <w:szCs w:val="21"/>
        </w:rPr>
        <w:t>已不符合激励条件，本公司将对该激励对象的限制性股票尚未解锁部分全部进行回购注销；本公司于</w:t>
      </w:r>
      <w:r>
        <w:rPr>
          <w:rFonts w:ascii="Times New Roman" w:hAnsi="Times New Roman" w:cs="Times New Roman" w:eastAsia="Times New Roman" w:hint="default"/>
          <w:spacing w:val="-5"/>
          <w:w w:val="100"/>
          <w:sz w:val="21"/>
          <w:szCs w:val="21"/>
        </w:rPr>
        <w:t>2012</w:t>
      </w:r>
      <w:r>
        <w:rPr>
          <w:rFonts w:ascii="Times New Roman" w:hAnsi="Times New Roman" w:cs="Times New Roman" w:eastAsia="Times New Roman" w:hint="default"/>
          <w:w w:val="100"/>
          <w:sz w:val="21"/>
          <w:szCs w:val="21"/>
        </w:rPr>
        <w:t>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日授予的首次限制性股票激励计划的对象将由</w:t>
      </w:r>
      <w:r>
        <w:rPr>
          <w:rFonts w:ascii="Times New Roman" w:hAnsi="Times New Roman" w:cs="Times New Roman" w:eastAsia="Times New Roman" w:hint="default"/>
          <w:spacing w:val="-1"/>
          <w:sz w:val="21"/>
          <w:szCs w:val="21"/>
        </w:rPr>
        <w:t>52</w:t>
      </w:r>
      <w:r>
        <w:rPr>
          <w:rFonts w:ascii="宋体" w:hAnsi="宋体" w:cs="宋体" w:eastAsia="宋体" w:hint="default"/>
          <w:spacing w:val="-1"/>
          <w:sz w:val="21"/>
          <w:szCs w:val="21"/>
        </w:rPr>
        <w:t>名变更为</w:t>
      </w:r>
      <w:r>
        <w:rPr>
          <w:rFonts w:ascii="Times New Roman" w:hAnsi="Times New Roman" w:cs="Times New Roman" w:eastAsia="Times New Roman" w:hint="default"/>
          <w:spacing w:val="-1"/>
          <w:sz w:val="21"/>
          <w:szCs w:val="21"/>
        </w:rPr>
        <w:t>51</w:t>
      </w:r>
      <w:r>
        <w:rPr>
          <w:rFonts w:ascii="宋体" w:hAnsi="宋体" w:cs="宋体" w:eastAsia="宋体" w:hint="default"/>
          <w:spacing w:val="-1"/>
          <w:sz w:val="21"/>
          <w:szCs w:val="21"/>
        </w:rPr>
        <w:t>名，共授予股份</w:t>
      </w:r>
      <w:r>
        <w:rPr>
          <w:rFonts w:ascii="Times New Roman" w:hAnsi="Times New Roman" w:cs="Times New Roman" w:eastAsia="Times New Roman" w:hint="default"/>
          <w:spacing w:val="-1"/>
          <w:sz w:val="21"/>
          <w:szCs w:val="21"/>
        </w:rPr>
        <w:t>2,000,000</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宋体" w:hAnsi="宋体" w:cs="宋体" w:eastAsia="宋体" w:hint="default"/>
          <w:spacing w:val="-24"/>
          <w:sz w:val="21"/>
          <w:szCs w:val="21"/>
        </w:rPr>
        <w:t> </w:t>
      </w:r>
      <w:r>
        <w:rPr>
          <w:rFonts w:ascii="宋体" w:hAnsi="宋体" w:cs="宋体" w:eastAsia="宋体" w:hint="default"/>
          <w:spacing w:val="-3"/>
          <w:sz w:val="21"/>
          <w:szCs w:val="21"/>
        </w:rPr>
        <w:t>末资本公积中以权益结算的股份支付的累计金额为</w:t>
      </w:r>
      <w:r>
        <w:rPr>
          <w:rFonts w:ascii="Times New Roman" w:hAnsi="Times New Roman" w:cs="Times New Roman" w:eastAsia="Times New Roman" w:hint="default"/>
          <w:spacing w:val="-3"/>
          <w:sz w:val="21"/>
          <w:szCs w:val="21"/>
        </w:rPr>
        <w:t>640</w:t>
      </w:r>
      <w:r>
        <w:rPr>
          <w:rFonts w:ascii="宋体" w:hAnsi="宋体" w:cs="宋体" w:eastAsia="宋体" w:hint="default"/>
          <w:spacing w:val="-3"/>
          <w:sz w:val="21"/>
          <w:szCs w:val="21"/>
        </w:rPr>
        <w:t>万元，当期以权益结算的股份支付确认的费用总额</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为</w:t>
      </w:r>
      <w:r>
        <w:rPr>
          <w:rFonts w:ascii="Times New Roman" w:hAnsi="Times New Roman" w:cs="Times New Roman" w:eastAsia="Times New Roman" w:hint="default"/>
          <w:sz w:val="21"/>
          <w:szCs w:val="21"/>
        </w:rPr>
        <w:t>250.24</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年度以权益结算的股份支付确认的费用总额为</w:t>
      </w:r>
      <w:r>
        <w:rPr>
          <w:rFonts w:ascii="Times New Roman" w:hAnsi="Times New Roman" w:cs="Times New Roman" w:eastAsia="Times New Roman" w:hint="default"/>
          <w:sz w:val="21"/>
          <w:szCs w:val="21"/>
        </w:rPr>
        <w:t>389.76</w:t>
      </w:r>
      <w:r>
        <w:rPr>
          <w:rFonts w:ascii="宋体" w:hAnsi="宋体" w:cs="宋体" w:eastAsia="宋体" w:hint="default"/>
          <w:sz w:val="21"/>
          <w:szCs w:val="21"/>
        </w:rPr>
        <w:t>万元）。</w:t>
      </w:r>
    </w:p>
    <w:p>
      <w:pPr>
        <w:spacing w:line="240" w:lineRule="auto" w:before="1"/>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、以股份支付服务情况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line="508" w:lineRule="auto" w:before="36"/>
        <w:ind w:left="152" w:right="6313"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本公司本年未对股份支付方案进行修改、终止。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4"/>
          <w:szCs w:val="24"/>
        </w:rPr>
        <w:t>十、或有事项</w:t>
      </w:r>
      <w:r>
        <w:rPr>
          <w:rFonts w:ascii="宋体" w:hAnsi="宋体" w:cs="宋体" w:eastAsia="宋体" w:hint="default"/>
          <w:sz w:val="24"/>
          <w:szCs w:val="24"/>
        </w:rPr>
      </w:r>
    </w:p>
    <w:p>
      <w:pPr>
        <w:spacing w:before="54"/>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、截至报告期末，公司不存在未决诉讼或仲裁形成的或有负债及其财务影响</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6" w:lineRule="auto"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、无为其他单位提供债务担保形成的或有负债及其财务影响</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日，本公司未发生影响本财务报表阅读和理解的重大或有事项。</w:t>
      </w:r>
    </w:p>
    <w:p>
      <w:pPr>
        <w:spacing w:after="0" w:line="506" w:lineRule="auto"/>
        <w:jc w:val="left"/>
        <w:rPr>
          <w:rFonts w:ascii="宋体" w:hAnsi="宋体" w:cs="宋体" w:eastAsia="宋体" w:hint="default"/>
          <w:sz w:val="21"/>
          <w:szCs w:val="21"/>
        </w:rPr>
        <w:sectPr>
          <w:pgSz w:w="11910" w:h="16840"/>
          <w:pgMar w:header="876" w:footer="1285" w:top="1060" w:bottom="1480" w:left="980" w:right="0"/>
        </w:sectPr>
      </w:pPr>
    </w:p>
    <w:p>
      <w:pPr>
        <w:spacing w:line="240" w:lineRule="auto" w:before="8"/>
        <w:rPr>
          <w:rFonts w:ascii="宋体" w:hAnsi="宋体" w:cs="宋体" w:eastAsia="宋体" w:hint="default"/>
          <w:sz w:val="23"/>
          <w:szCs w:val="23"/>
        </w:rPr>
      </w:pPr>
      <w:r>
        <w:rPr/>
        <w:pict>
          <v:group style="position:absolute;margin-left:460.320007pt;margin-top:764.919983pt;width:135pt;height:77pt;mso-position-horizontal-relative:page;mso-position-vertical-relative:page;z-index:-632080" coordorigin="9206,15298" coordsize="2700,1540">
            <v:shape style="position:absolute;left:9206;top:15298;width:2700;height:1540" type="#_x0000_t75" stroked="false">
              <v:imagedata r:id="rId14"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116</w:t>
                    </w:r>
                  </w:p>
                </w:txbxContent>
              </v:textbox>
              <w10:wrap type="none"/>
            </v:shape>
            <w10:wrap type="none"/>
          </v:group>
        </w:pict>
      </w:r>
    </w:p>
    <w:p>
      <w:pPr>
        <w:pStyle w:val="Heading2"/>
        <w:spacing w:line="240" w:lineRule="auto"/>
        <w:ind w:right="1780"/>
        <w:jc w:val="left"/>
        <w:rPr>
          <w:b w:val="0"/>
          <w:bCs w:val="0"/>
        </w:rPr>
      </w:pPr>
      <w:r>
        <w:rPr/>
        <w:t>十一、承诺事项</w:t>
      </w:r>
      <w:r>
        <w:rPr>
          <w:b w:val="0"/>
          <w:bCs w:val="0"/>
        </w:rPr>
      </w:r>
    </w:p>
    <w:p>
      <w:pPr>
        <w:spacing w:line="240" w:lineRule="auto" w:before="12"/>
        <w:rPr>
          <w:rFonts w:ascii="宋体" w:hAnsi="宋体" w:cs="宋体" w:eastAsia="宋体" w:hint="default"/>
          <w:b/>
          <w:bCs/>
          <w:sz w:val="24"/>
          <w:szCs w:val="24"/>
        </w:rPr>
      </w:pPr>
    </w:p>
    <w:p>
      <w:pPr>
        <w:spacing w:line="494" w:lineRule="auto" w:before="0"/>
        <w:ind w:left="152" w:right="1780"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日，本公司未发生影响本财务报表阅读和理解的重大承诺事项。</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b/>
          <w:bCs/>
          <w:sz w:val="24"/>
          <w:szCs w:val="24"/>
        </w:rPr>
        <w:t>十二、资产负债表日后事项</w:t>
      </w:r>
      <w:r>
        <w:rPr>
          <w:rFonts w:ascii="宋体" w:hAnsi="宋体" w:cs="宋体" w:eastAsia="宋体" w:hint="default"/>
          <w:sz w:val="24"/>
          <w:szCs w:val="24"/>
        </w:rPr>
      </w:r>
    </w:p>
    <w:p>
      <w:pPr>
        <w:spacing w:before="71"/>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、无重要的资产负债表日后事项说明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24" w:hRule="exact"/>
        </w:trPr>
        <w:tc>
          <w:tcPr>
            <w:tcW w:w="4783"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20" w:space="0" w:color="FFFFFF"/>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11,396,000.00</w:t>
            </w:r>
          </w:p>
        </w:tc>
      </w:tr>
      <w:tr>
        <w:trPr>
          <w:trHeight w:val="383" w:hRule="exact"/>
        </w:trPr>
        <w:tc>
          <w:tcPr>
            <w:tcW w:w="4783" w:type="dxa"/>
            <w:tcBorders>
              <w:top w:val="single" w:sz="20"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20" w:space="0" w:color="FFFFFF"/>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尚需经股东大会批准</w:t>
            </w:r>
          </w:p>
        </w:tc>
      </w:tr>
    </w:tbl>
    <w:p>
      <w:pPr>
        <w:spacing w:line="240" w:lineRule="auto" w:before="3"/>
        <w:rPr>
          <w:rFonts w:ascii="宋体" w:hAnsi="宋体" w:cs="宋体" w:eastAsia="宋体" w:hint="default"/>
          <w:sz w:val="19"/>
          <w:szCs w:val="19"/>
        </w:rPr>
      </w:pPr>
    </w:p>
    <w:p>
      <w:pPr>
        <w:spacing w:line="496" w:lineRule="auto" w:before="36"/>
        <w:ind w:left="152" w:right="1123"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8</w:t>
      </w:r>
      <w:r>
        <w:rPr>
          <w:rFonts w:ascii="宋体" w:hAnsi="宋体" w:cs="宋体" w:eastAsia="宋体" w:hint="default"/>
          <w:spacing w:val="-2"/>
          <w:sz w:val="21"/>
          <w:szCs w:val="21"/>
        </w:rPr>
        <w:t>日，除以上事项外本公司未发生影响本财务报表阅读和理解的重大资产负债表日后事项。</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b/>
          <w:bCs/>
          <w:sz w:val="24"/>
          <w:szCs w:val="24"/>
        </w:rPr>
        <w:t>十三、其他重要事项</w:t>
      </w:r>
      <w:r>
        <w:rPr>
          <w:rFonts w:ascii="宋体" w:hAnsi="宋体" w:cs="宋体" w:eastAsia="宋体" w:hint="default"/>
          <w:b/>
          <w:bCs/>
          <w:w w:val="99"/>
          <w:sz w:val="24"/>
          <w:szCs w:val="24"/>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日，本公司未发生重大债务重组等其他影响本财务报表阅读和理解的其他重要事项。</w:t>
      </w:r>
      <w:r>
        <w:rPr>
          <w:rFonts w:ascii="宋体" w:hAnsi="宋体" w:cs="宋体" w:eastAsia="宋体" w:hint="default"/>
          <w:w w:val="100"/>
          <w:sz w:val="21"/>
          <w:szCs w:val="21"/>
        </w:rPr>
        <w:t> </w:t>
      </w:r>
      <w:r>
        <w:rPr>
          <w:rFonts w:ascii="宋体" w:hAnsi="宋体" w:cs="宋体" w:eastAsia="宋体" w:hint="default"/>
          <w:b/>
          <w:bCs/>
          <w:sz w:val="24"/>
          <w:szCs w:val="24"/>
        </w:rPr>
        <w:t>十四、母公司财务报表主要项目注释</w:t>
      </w:r>
      <w:r>
        <w:rPr>
          <w:rFonts w:ascii="宋体" w:hAnsi="宋体" w:cs="宋体" w:eastAsia="宋体" w:hint="default"/>
          <w:sz w:val="24"/>
          <w:szCs w:val="24"/>
        </w:rPr>
      </w:r>
    </w:p>
    <w:p>
      <w:pPr>
        <w:spacing w:before="6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6,605,863.67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3,648,812.94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合并报表范围内应收款 项组合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20,268,624.86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20,282,126.64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84.75%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26,874,488.53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23,930,939.58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26,874,488.53</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23,930,939.58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66"/>
          <w:footerReference w:type="default" r:id="rId67"/>
          <w:pgSz w:w="11910" w:h="16840"/>
          <w:pgMar w:header="876" w:footer="0" w:top="1060" w:bottom="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68"/>
          <w:footerReference w:type="default" r:id="rId69"/>
          <w:pgSz w:w="11910" w:h="16840"/>
          <w:pgMar w:header="876" w:footer="0" w:top="1060" w:bottom="0" w:left="980" w:right="0"/>
        </w:sectPr>
      </w:pPr>
    </w:p>
    <w:p>
      <w:pPr>
        <w:spacing w:line="307" w:lineRule="auto"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期末无单项金额重大并单项计提坏账准备的应收账款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组合中，采用账龄分析法计提坏账准备的应收账款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988" w:space="3841"/>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5"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6,605,863.67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3,648,812.94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6,605,863.67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3,648,812.94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6,605,863.67</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3,648,812.94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307" w:lineRule="auto"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组合中，无采用余额百分比法计提坏账准备的应收账款</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组合中，采用其他方法计提坏账准备的应收账款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199" w:space="3630"/>
            <w:col w:w="2101"/>
          </w:cols>
        </w:sectPr>
      </w:pPr>
    </w:p>
    <w:p>
      <w:pPr>
        <w:spacing w:line="240" w:lineRule="auto" w:before="3"/>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632032" coordorigin="9206,15298" coordsize="2700,1540">
            <v:shape style="position:absolute;left:9206;top:15298;width:2700;height:1540" type="#_x0000_t75" stroked="false">
              <v:imagedata r:id="rId14"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117</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061"/>
        <w:gridCol w:w="3255"/>
        <w:gridCol w:w="3255"/>
      </w:tblGrid>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合并报表范围内组合</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20,268,624.86</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20,268,624.86</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期末无单项金额虽不重大但单项计提坏账准备的应收账款</w:t>
      </w:r>
    </w:p>
    <w:p>
      <w:pPr>
        <w:spacing w:line="240" w:lineRule="auto" w:before="8"/>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）本报告期应收账款中无持有公司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20,268,624.86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75.42%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日本欧姆龙软件株式会 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3,433,689.79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上海普天邮通科技股份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1,347,400.00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精工电子有限公司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1,104,500.88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青岛永旺东泰商业有限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658,388.00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26,812,603.53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02"/>
              <w:jc w:val="righ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3" w:right="0"/>
              <w:jc w:val="left"/>
              <w:rPr>
                <w:rFonts w:ascii="Times New Roman" w:hAnsi="Times New Roman" w:cs="Times New Roman" w:eastAsia="Times New Roman" w:hint="default"/>
                <w:sz w:val="18"/>
                <w:szCs w:val="18"/>
              </w:rPr>
            </w:pPr>
            <w:r>
              <w:rPr>
                <w:rFonts w:ascii="Times New Roman"/>
                <w:sz w:val="18"/>
              </w:rPr>
              <w:t>20,268,624.86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75.42%</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4"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449,633.44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335,208.70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940,966.16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930,530.00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1,390,599.60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1,265,738.70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1,390,599.60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1,265,738.70</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70"/>
          <w:pgSz w:w="11910" w:h="16840"/>
          <w:pgMar w:footer="1340" w:header="876" w:top="1060" w:bottom="1540" w:left="980" w:right="0"/>
          <w:pgNumType w:start="118"/>
        </w:sectPr>
      </w:pPr>
    </w:p>
    <w:p>
      <w:pPr>
        <w:spacing w:line="307" w:lineRule="auto" w:before="28"/>
        <w:ind w:left="152" w:right="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期末无单项金额重大并单项计提坏账准备的其他应收款</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组合中，采用账龄分析法计提坏账准备的其他应收款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199" w:space="3630"/>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449,633.44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335,208.70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449,633.44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335,208.70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449,633.44</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335,208.70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304" w:lineRule="auto"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组合中，无采用余额百分比法计提坏账准备的其他应收款</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组合中，采用其他方法计提坏账准备的其他应收款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5410" w:space="3419"/>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961"/>
        <w:gridCol w:w="2856"/>
        <w:gridCol w:w="2753"/>
      </w:tblGrid>
      <w:tr>
        <w:trPr>
          <w:trHeight w:val="401"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940,966.16</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940,966.16</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28"/>
        <w:ind w:left="152" w:right="1780" w:firstLine="0"/>
        <w:jc w:val="left"/>
        <w:rPr>
          <w:rFonts w:ascii="宋体" w:hAnsi="宋体" w:cs="宋体" w:eastAsia="宋体" w:hint="default"/>
          <w:sz w:val="21"/>
          <w:szCs w:val="21"/>
        </w:rPr>
      </w:pPr>
      <w:r>
        <w:rPr>
          <w:rFonts w:ascii="宋体" w:hAnsi="宋体" w:cs="宋体" w:eastAsia="宋体" w:hint="default"/>
          <w:sz w:val="21"/>
          <w:szCs w:val="21"/>
        </w:rPr>
        <w:t>期末无单项金额虽不重大但单项计提坏账准备的其他应收款</w:t>
      </w:r>
    </w:p>
    <w:p>
      <w:pPr>
        <w:spacing w:line="240" w:lineRule="auto" w:before="8"/>
        <w:rPr>
          <w:rFonts w:ascii="宋体" w:hAnsi="宋体" w:cs="宋体" w:eastAsia="宋体" w:hint="default"/>
          <w:sz w:val="25"/>
          <w:szCs w:val="25"/>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）本报告期其他应收款中无持有公司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上海邮通物业管理有限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39.55%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上海邮通物业管理有限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223,530.00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上海邮通物业管理有限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158,136.16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信用卡保证金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蔡先生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39,446.46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王先生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32,872.05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陈先生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32,872.05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1,086,856.72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78.16%</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日本海隆 株式会社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3,756,819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3,756,819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3,756,819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1,655,442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上海华钟 计算机软 件有限公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2,690,542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2,690,542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江苏海隆 软件技术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上海海隆 宜通信息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上海艾云 慧信创业 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28,572,36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20,572,36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28,572,36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2.01</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1,655,442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548,015.0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232,804,610.40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239,814,580.20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473,475.00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434,775.00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233,278,085.40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240,249,355.20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113,290,471.22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110,224,520.01</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232,804,610.40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113,156,479.28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239,814,580.20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110,031,310.08</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232,804,610.40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113,156,479.28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239,814,580.20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110,031,310.08</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229,954,322.09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112,003,427.94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236,463,799.87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108,264,376.51</w:t>
            </w:r>
          </w:p>
        </w:tc>
      </w:tr>
    </w:tbl>
    <w:p>
      <w:pPr>
        <w:spacing w:after="0" w:line="240" w:lineRule="auto"/>
        <w:jc w:val="left"/>
        <w:rPr>
          <w:rFonts w:ascii="Times New Roman" w:hAnsi="Times New Roman" w:cs="Times New Roman" w:eastAsia="Times New Roman" w:hint="default"/>
          <w:sz w:val="18"/>
          <w:szCs w:val="18"/>
        </w:rPr>
        <w:sectPr>
          <w:footerReference w:type="default" r:id="rId71"/>
          <w:pgSz w:w="11910" w:h="16840"/>
          <w:pgMar w:footer="1340" w:header="876" w:top="1060" w:bottom="1540" w:left="980" w:right="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2,850,288.31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1,153,051.34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3,350,780.33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1,766,933.57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232,804,610.40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113,156,479.28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239,814,580.20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110,031,310.08</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日本国</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209,808,828.88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100,732,245.33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220,530,505.85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98,622,001.32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16,564,894.06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9,571,473.07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12,680,282.12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7,821,001.93</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6,430,887.46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2,852,760.88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6,603,792.23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3,588,306.83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232,804,610.40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113,156,479.28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239,814,580.20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110,031,310.08</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第一名客户</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146,019,223.18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62.59%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第二名客户</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25,030,515.14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10.73%</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第三名客户</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17,675,128.37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第四名客户</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15,324,283.93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第五名客户</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10,107,923.99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214,157,074.61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91.8%</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548,015.00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486,516.00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548,015.00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486,516.00</w:t>
            </w: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after="0" w:line="240" w:lineRule="auto"/>
        <w:jc w:val="left"/>
        <w:rPr>
          <w:rFonts w:ascii="宋体" w:hAnsi="宋体" w:cs="宋体" w:eastAsia="宋体" w:hint="default"/>
          <w:sz w:val="18"/>
          <w:szCs w:val="18"/>
        </w:rPr>
        <w:sectPr>
          <w:pgSz w:w="11910" w:h="16840"/>
          <w:pgMar w:header="876"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327"/>
        <w:gridCol w:w="1728"/>
        <w:gridCol w:w="1594"/>
        <w:gridCol w:w="2921"/>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上海华钟计算机软件有限公司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548,015.00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486,516.00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60,134,741.17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56,902,766.07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4,321,277.05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5,235,209.50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2,639,808.49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1,700,984.38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437,541.72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344,768.16</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99,780.00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75,478.60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-1,923,129.10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4,701,847.14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-548,015.00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-486,516.00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-3,068,409.85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523,691.92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-1,575,851.94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1,272,595.60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2,502,400.00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3,897,600.00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63,020,142.54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73,988,425.37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233,834,134.60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193,057,115.59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193,057,115.59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246,645,739.02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40,777,019.04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-53,588,623.43</w:t>
            </w:r>
          </w:p>
        </w:tc>
      </w:tr>
    </w:tbl>
    <w:p>
      <w:pPr>
        <w:spacing w:line="240" w:lineRule="auto" w:before="1"/>
        <w:rPr>
          <w:rFonts w:ascii="宋体" w:hAnsi="宋体" w:cs="宋体" w:eastAsia="宋体" w:hint="default"/>
          <w:sz w:val="18"/>
          <w:szCs w:val="18"/>
        </w:rPr>
      </w:pPr>
    </w:p>
    <w:p>
      <w:pPr>
        <w:pStyle w:val="Heading2"/>
        <w:spacing w:line="240" w:lineRule="auto"/>
        <w:ind w:right="1780"/>
        <w:jc w:val="left"/>
        <w:rPr>
          <w:b w:val="0"/>
          <w:bCs w:val="0"/>
        </w:rPr>
      </w:pPr>
      <w:r>
        <w:rPr/>
        <w:t>十五、补充资料</w:t>
      </w:r>
      <w:r>
        <w:rPr>
          <w:b w:val="0"/>
          <w:bCs w:val="0"/>
        </w:rPr>
      </w:r>
    </w:p>
    <w:p>
      <w:pPr>
        <w:spacing w:line="240" w:lineRule="auto" w:before="12"/>
        <w:rPr>
          <w:rFonts w:ascii="宋体" w:hAnsi="宋体" w:cs="宋体" w:eastAsia="宋体" w:hint="default"/>
          <w:b/>
          <w:bCs/>
          <w:sz w:val="24"/>
          <w:szCs w:val="24"/>
        </w:rPr>
      </w:pPr>
    </w:p>
    <w:p>
      <w:pPr>
        <w:spacing w:before="0"/>
        <w:ind w:left="152" w:right="1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0.58</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340" w:top="1060" w:bottom="1540" w:left="980" w:right="0"/>
        </w:sectPr>
      </w:pPr>
    </w:p>
    <w:p>
      <w:pPr>
        <w:spacing w:line="240" w:lineRule="auto" w:before="10"/>
        <w:rPr>
          <w:rFonts w:ascii="宋体" w:hAnsi="宋体" w:cs="宋体" w:eastAsia="宋体" w:hint="default"/>
          <w:sz w:val="24"/>
          <w:szCs w:val="24"/>
        </w:rPr>
      </w:pPr>
    </w:p>
    <w:p>
      <w:pPr>
        <w:spacing w:before="36"/>
        <w:ind w:left="2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1783"/>
        <w:gridCol w:w="1677"/>
        <w:gridCol w:w="1595"/>
        <w:gridCol w:w="1072"/>
        <w:gridCol w:w="3359"/>
      </w:tblGrid>
      <w:tr>
        <w:trPr>
          <w:trHeight w:val="595"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报表项目</w:t>
            </w:r>
            <w:r>
              <w:rPr>
                <w:rFonts w:ascii="宋体" w:hAnsi="宋体" w:cs="宋体" w:eastAsia="宋体" w:hint="default"/>
                <w:sz w:val="21"/>
                <w:szCs w:val="21"/>
              </w:rPr>
            </w:r>
          </w:p>
        </w:tc>
        <w:tc>
          <w:tcPr>
            <w:tcW w:w="1677" w:type="dxa"/>
            <w:tcBorders>
              <w:top w:val="nil" w:sz="6" w:space="0" w:color="auto"/>
              <w:left w:val="nil" w:sz="6" w:space="0" w:color="auto"/>
              <w:bottom w:val="nil" w:sz="6" w:space="0" w:color="auto"/>
              <w:right w:val="nil" w:sz="6" w:space="0" w:color="auto"/>
            </w:tcBorders>
          </w:tcPr>
          <w:p>
            <w:pPr>
              <w:pStyle w:val="TableParagraph"/>
              <w:spacing w:line="227" w:lineRule="exact"/>
              <w:ind w:left="373" w:right="0" w:hanging="3"/>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年末余额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40" w:lineRule="auto" w:before="21"/>
              <w:ind w:left="37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95" w:type="dxa"/>
            <w:tcBorders>
              <w:top w:val="nil" w:sz="6" w:space="0" w:color="auto"/>
              <w:left w:val="nil" w:sz="6" w:space="0" w:color="auto"/>
              <w:bottom w:val="nil" w:sz="6" w:space="0" w:color="auto"/>
              <w:right w:val="nil" w:sz="6" w:space="0" w:color="auto"/>
            </w:tcBorders>
          </w:tcPr>
          <w:p>
            <w:pPr>
              <w:pStyle w:val="TableParagraph"/>
              <w:spacing w:line="227" w:lineRule="exact"/>
              <w:ind w:left="31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年初余额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40" w:lineRule="auto" w:before="21"/>
              <w:ind w:left="31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072" w:type="dxa"/>
            <w:tcBorders>
              <w:top w:val="nil" w:sz="6" w:space="0" w:color="auto"/>
              <w:left w:val="nil" w:sz="6" w:space="0" w:color="auto"/>
              <w:bottom w:val="nil" w:sz="6" w:space="0" w:color="auto"/>
              <w:right w:val="nil" w:sz="6" w:space="0" w:color="auto"/>
            </w:tcBorders>
          </w:tcPr>
          <w:p>
            <w:pPr>
              <w:pStyle w:val="TableParagraph"/>
              <w:spacing w:line="211"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变动比率</w:t>
            </w:r>
            <w:r>
              <w:rPr>
                <w:rFonts w:ascii="宋体" w:hAnsi="宋体" w:cs="宋体" w:eastAsia="宋体" w:hint="default"/>
                <w:sz w:val="21"/>
                <w:szCs w:val="21"/>
              </w:rPr>
            </w:r>
          </w:p>
          <w:p>
            <w:pPr>
              <w:pStyle w:val="TableParagraph"/>
              <w:spacing w:line="240" w:lineRule="auto" w:before="37"/>
              <w:ind w:left="42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3359" w:type="dxa"/>
            <w:tcBorders>
              <w:top w:val="nil" w:sz="6" w:space="0" w:color="auto"/>
              <w:left w:val="nil" w:sz="6" w:space="0" w:color="auto"/>
              <w:bottom w:val="nil" w:sz="6" w:space="0" w:color="auto"/>
              <w:right w:val="nil" w:sz="6" w:space="0" w:color="auto"/>
            </w:tcBorders>
          </w:tcPr>
          <w:p>
            <w:pPr>
              <w:pStyle w:val="TableParagraph"/>
              <w:spacing w:line="211" w:lineRule="exact"/>
              <w:ind w:left="731"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628"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7"/>
              <w:jc w:val="right"/>
              <w:rPr>
                <w:rFonts w:ascii="Times New Roman" w:hAnsi="Times New Roman" w:cs="Times New Roman" w:eastAsia="Times New Roman" w:hint="default"/>
                <w:sz w:val="18"/>
                <w:szCs w:val="18"/>
              </w:rPr>
            </w:pPr>
            <w:r>
              <w:rPr>
                <w:rFonts w:ascii="Times New Roman"/>
                <w:spacing w:val="-1"/>
                <w:sz w:val="18"/>
              </w:rPr>
              <w:t>5,414,760.06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2"/>
              <w:jc w:val="right"/>
              <w:rPr>
                <w:rFonts w:ascii="Times New Roman" w:hAnsi="Times New Roman" w:cs="Times New Roman" w:eastAsia="Times New Roman" w:hint="default"/>
                <w:sz w:val="18"/>
                <w:szCs w:val="18"/>
              </w:rPr>
            </w:pPr>
            <w:r>
              <w:rPr>
                <w:rFonts w:ascii="Times New Roman"/>
                <w:spacing w:val="-1"/>
                <w:sz w:val="18"/>
              </w:rPr>
              <w:t>3,197,618.00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sz w:val="18"/>
              </w:rPr>
              <w:t>69.34</w:t>
            </w:r>
          </w:p>
        </w:tc>
        <w:tc>
          <w:tcPr>
            <w:tcW w:w="3359" w:type="dxa"/>
            <w:tcBorders>
              <w:top w:val="nil" w:sz="6" w:space="0" w:color="auto"/>
              <w:left w:val="nil" w:sz="6" w:space="0" w:color="auto"/>
              <w:bottom w:val="nil" w:sz="6" w:space="0" w:color="auto"/>
              <w:right w:val="nil" w:sz="6" w:space="0" w:color="auto"/>
            </w:tcBorders>
          </w:tcPr>
          <w:p>
            <w:pPr>
              <w:pStyle w:val="TableParagraph"/>
              <w:spacing w:line="316" w:lineRule="auto" w:before="5"/>
              <w:ind w:left="9" w:right="201"/>
              <w:jc w:val="left"/>
              <w:rPr>
                <w:rFonts w:ascii="宋体" w:hAnsi="宋体" w:cs="宋体" w:eastAsia="宋体" w:hint="default"/>
                <w:sz w:val="18"/>
                <w:szCs w:val="18"/>
              </w:rPr>
            </w:pPr>
            <w:r>
              <w:rPr>
                <w:rFonts w:ascii="宋体" w:hAnsi="宋体" w:cs="宋体" w:eastAsia="宋体" w:hint="default"/>
                <w:spacing w:val="4"/>
                <w:sz w:val="18"/>
                <w:szCs w:val="18"/>
              </w:rPr>
              <w:t>本年扩大租房面积导致的租房押金增加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以及员工借款增加所致。</w:t>
            </w:r>
          </w:p>
        </w:tc>
      </w:tr>
      <w:tr>
        <w:trPr>
          <w:trHeight w:val="64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pacing w:val="-1"/>
                <w:sz w:val="18"/>
              </w:rPr>
              <w:t>4,359,809.29</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pacing w:val="-1"/>
                <w:sz w:val="18"/>
              </w:rPr>
              <w:t>1,362,966.71</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219.88</w:t>
            </w:r>
          </w:p>
        </w:tc>
        <w:tc>
          <w:tcPr>
            <w:tcW w:w="3359" w:type="dxa"/>
            <w:tcBorders>
              <w:top w:val="nil" w:sz="6" w:space="0" w:color="auto"/>
              <w:left w:val="nil" w:sz="6" w:space="0" w:color="auto"/>
              <w:bottom w:val="nil" w:sz="6" w:space="0" w:color="auto"/>
              <w:right w:val="nil" w:sz="6" w:space="0" w:color="auto"/>
            </w:tcBorders>
          </w:tcPr>
          <w:p>
            <w:pPr>
              <w:pStyle w:val="TableParagraph"/>
              <w:spacing w:line="316" w:lineRule="auto" w:before="20"/>
              <w:ind w:left="9" w:right="201"/>
              <w:jc w:val="left"/>
              <w:rPr>
                <w:rFonts w:ascii="宋体" w:hAnsi="宋体" w:cs="宋体" w:eastAsia="宋体" w:hint="default"/>
                <w:sz w:val="18"/>
                <w:szCs w:val="18"/>
              </w:rPr>
            </w:pPr>
            <w:r>
              <w:rPr>
                <w:rFonts w:ascii="宋体" w:hAnsi="宋体" w:cs="宋体" w:eastAsia="宋体" w:hint="default"/>
                <w:spacing w:val="4"/>
                <w:sz w:val="18"/>
                <w:szCs w:val="18"/>
              </w:rPr>
              <w:t>子公司上海华钟计算机软件开发有限公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司待安装调试项目增加所致。</w:t>
            </w:r>
          </w:p>
        </w:tc>
      </w:tr>
      <w:tr>
        <w:trPr>
          <w:trHeight w:val="64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7"/>
              <w:jc w:val="right"/>
              <w:rPr>
                <w:rFonts w:ascii="Times New Roman" w:hAnsi="Times New Roman" w:cs="Times New Roman" w:eastAsia="Times New Roman" w:hint="default"/>
                <w:sz w:val="18"/>
                <w:szCs w:val="18"/>
              </w:rPr>
            </w:pPr>
            <w:r>
              <w:rPr>
                <w:rFonts w:ascii="Times New Roman"/>
                <w:spacing w:val="-1"/>
                <w:sz w:val="18"/>
              </w:rPr>
              <w:t>8,000,000.00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100.00</w:t>
            </w:r>
          </w:p>
        </w:tc>
        <w:tc>
          <w:tcPr>
            <w:tcW w:w="3359" w:type="dxa"/>
            <w:tcBorders>
              <w:top w:val="nil" w:sz="6" w:space="0" w:color="auto"/>
              <w:left w:val="nil" w:sz="6" w:space="0" w:color="auto"/>
              <w:bottom w:val="nil" w:sz="6" w:space="0" w:color="auto"/>
              <w:right w:val="nil" w:sz="6" w:space="0" w:color="auto"/>
            </w:tcBorders>
          </w:tcPr>
          <w:p>
            <w:pPr>
              <w:pStyle w:val="TableParagraph"/>
              <w:spacing w:line="316" w:lineRule="auto" w:before="21"/>
              <w:ind w:left="9" w:right="201"/>
              <w:jc w:val="left"/>
              <w:rPr>
                <w:rFonts w:ascii="宋体" w:hAnsi="宋体" w:cs="宋体" w:eastAsia="宋体" w:hint="default"/>
                <w:sz w:val="18"/>
                <w:szCs w:val="18"/>
              </w:rPr>
            </w:pPr>
            <w:r>
              <w:rPr>
                <w:rFonts w:ascii="宋体" w:hAnsi="宋体" w:cs="宋体" w:eastAsia="宋体" w:hint="default"/>
                <w:spacing w:val="4"/>
                <w:sz w:val="18"/>
                <w:szCs w:val="18"/>
              </w:rPr>
              <w:t>本年新增被投资公司上海艾云慧信创业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投资有限公司股权所致。</w:t>
            </w:r>
          </w:p>
        </w:tc>
      </w:tr>
      <w:tr>
        <w:trPr>
          <w:trHeight w:val="95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pacing w:val="-1"/>
                <w:sz w:val="18"/>
              </w:rPr>
              <w:t>16,352,662.17</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pacing w:val="-1"/>
                <w:sz w:val="18"/>
              </w:rPr>
              <w:t>9,508,636.16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71.98</w:t>
            </w:r>
          </w:p>
        </w:tc>
        <w:tc>
          <w:tcPr>
            <w:tcW w:w="3359" w:type="dxa"/>
            <w:tcBorders>
              <w:top w:val="nil" w:sz="6" w:space="0" w:color="auto"/>
              <w:left w:val="nil" w:sz="6" w:space="0" w:color="auto"/>
              <w:bottom w:val="nil" w:sz="6" w:space="0" w:color="auto"/>
              <w:right w:val="nil" w:sz="6" w:space="0" w:color="auto"/>
            </w:tcBorders>
          </w:tcPr>
          <w:p>
            <w:pPr>
              <w:pStyle w:val="TableParagraph"/>
              <w:spacing w:line="319" w:lineRule="auto" w:before="20"/>
              <w:ind w:left="9" w:right="201"/>
              <w:jc w:val="both"/>
              <w:rPr>
                <w:rFonts w:ascii="宋体" w:hAnsi="宋体" w:cs="宋体" w:eastAsia="宋体" w:hint="default"/>
                <w:sz w:val="18"/>
                <w:szCs w:val="18"/>
              </w:rPr>
            </w:pPr>
            <w:r>
              <w:rPr>
                <w:rFonts w:ascii="宋体" w:hAnsi="宋体" w:cs="宋体" w:eastAsia="宋体" w:hint="default"/>
                <w:spacing w:val="4"/>
                <w:sz w:val="18"/>
                <w:szCs w:val="18"/>
              </w:rPr>
              <w:t>本年嵌入式系统软件项目下的轨道交通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站务设备嵌入式软件项目开发完成，从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开发支出转入无形资产所致。</w:t>
            </w:r>
          </w:p>
        </w:tc>
      </w:tr>
      <w:tr>
        <w:trPr>
          <w:trHeight w:val="337"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pacing w:val="-1"/>
                <w:sz w:val="18"/>
              </w:rPr>
              <w:t>3,944,646.00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pacing w:val="-1"/>
                <w:sz w:val="18"/>
              </w:rPr>
              <w:t>14,866,180.00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-73.47</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本年归还借款所致。</w:t>
            </w:r>
          </w:p>
        </w:tc>
      </w:tr>
      <w:tr>
        <w:trPr>
          <w:trHeight w:val="332"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7"/>
              <w:jc w:val="right"/>
              <w:rPr>
                <w:rFonts w:ascii="Times New Roman" w:hAnsi="Times New Roman" w:cs="Times New Roman" w:eastAsia="Times New Roman" w:hint="default"/>
                <w:sz w:val="18"/>
                <w:szCs w:val="18"/>
              </w:rPr>
            </w:pPr>
            <w:r>
              <w:rPr>
                <w:rFonts w:ascii="Times New Roman"/>
                <w:spacing w:val="-1"/>
                <w:sz w:val="18"/>
              </w:rPr>
              <w:t>1,368,015.38</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3"/>
              <w:jc w:val="right"/>
              <w:rPr>
                <w:rFonts w:ascii="Times New Roman" w:hAnsi="Times New Roman" w:cs="Times New Roman" w:eastAsia="Times New Roman" w:hint="default"/>
                <w:sz w:val="18"/>
                <w:szCs w:val="18"/>
              </w:rPr>
            </w:pPr>
            <w:r>
              <w:rPr>
                <w:rFonts w:ascii="Times New Roman"/>
                <w:spacing w:val="-1"/>
                <w:sz w:val="18"/>
              </w:rPr>
              <w:t>2,207,983.10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sz w:val="18"/>
              </w:rPr>
              <w:t>-38.04</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本年支付货款较多所致。</w:t>
            </w:r>
          </w:p>
        </w:tc>
      </w:tr>
      <w:tr>
        <w:trPr>
          <w:trHeight w:val="95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7"/>
              <w:jc w:val="right"/>
              <w:rPr>
                <w:rFonts w:ascii="Times New Roman" w:hAnsi="Times New Roman" w:cs="Times New Roman" w:eastAsia="Times New Roman" w:hint="default"/>
                <w:sz w:val="18"/>
                <w:szCs w:val="18"/>
              </w:rPr>
            </w:pPr>
            <w:r>
              <w:rPr>
                <w:rFonts w:ascii="Times New Roman"/>
                <w:spacing w:val="-1"/>
                <w:sz w:val="18"/>
              </w:rPr>
              <w:t>6,142,772.76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Times New Roman" w:hAnsi="Times New Roman" w:cs="Times New Roman" w:eastAsia="Times New Roman" w:hint="default"/>
                <w:sz w:val="18"/>
                <w:szCs w:val="18"/>
              </w:rPr>
            </w:pPr>
            <w:r>
              <w:rPr>
                <w:rFonts w:ascii="Times New Roman"/>
                <w:spacing w:val="-1"/>
                <w:sz w:val="18"/>
              </w:rPr>
              <w:t>969,036.67</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533.91</w:t>
            </w:r>
          </w:p>
        </w:tc>
        <w:tc>
          <w:tcPr>
            <w:tcW w:w="3359" w:type="dxa"/>
            <w:tcBorders>
              <w:top w:val="nil" w:sz="6" w:space="0" w:color="auto"/>
              <w:left w:val="nil" w:sz="6" w:space="0" w:color="auto"/>
              <w:bottom w:val="nil" w:sz="6" w:space="0" w:color="auto"/>
              <w:right w:val="nil" w:sz="6" w:space="0" w:color="auto"/>
            </w:tcBorders>
          </w:tcPr>
          <w:p>
            <w:pPr>
              <w:pStyle w:val="TableParagraph"/>
              <w:spacing w:line="316" w:lineRule="auto" w:before="15"/>
              <w:ind w:left="9" w:right="201"/>
              <w:jc w:val="both"/>
              <w:rPr>
                <w:rFonts w:ascii="宋体" w:hAnsi="宋体" w:cs="宋体" w:eastAsia="宋体" w:hint="default"/>
                <w:sz w:val="18"/>
                <w:szCs w:val="18"/>
              </w:rPr>
            </w:pPr>
            <w:r>
              <w:rPr>
                <w:rFonts w:ascii="宋体" w:hAnsi="宋体" w:cs="宋体" w:eastAsia="宋体" w:hint="default"/>
                <w:spacing w:val="4"/>
                <w:sz w:val="18"/>
                <w:szCs w:val="18"/>
              </w:rPr>
              <w:t>子公司上海华钟计算机软件开发有限公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司较上年末签约预收客户的计算机系统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服务款项增加所致。</w:t>
            </w:r>
          </w:p>
        </w:tc>
      </w:tr>
      <w:tr>
        <w:trPr>
          <w:trHeight w:val="1893"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pacing w:val="-1"/>
                <w:sz w:val="18"/>
              </w:rPr>
              <w:t>4,062,407.22</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pacing w:val="-1"/>
                <w:sz w:val="18"/>
              </w:rPr>
              <w:t>11,595,569.18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-64.97</w:t>
            </w:r>
          </w:p>
        </w:tc>
        <w:tc>
          <w:tcPr>
            <w:tcW w:w="3359" w:type="dxa"/>
            <w:tcBorders>
              <w:top w:val="nil" w:sz="6" w:space="0" w:color="auto"/>
              <w:left w:val="nil" w:sz="6" w:space="0" w:color="auto"/>
              <w:bottom w:val="nil" w:sz="6" w:space="0" w:color="auto"/>
              <w:right w:val="nil" w:sz="6" w:space="0" w:color="auto"/>
            </w:tcBorders>
          </w:tcPr>
          <w:p>
            <w:pPr>
              <w:pStyle w:val="TableParagraph"/>
              <w:spacing w:line="312" w:lineRule="auto" w:before="20"/>
              <w:ind w:left="9" w:right="201"/>
              <w:jc w:val="both"/>
              <w:rPr>
                <w:rFonts w:ascii="宋体" w:hAnsi="宋体" w:cs="宋体" w:eastAsia="宋体" w:hint="default"/>
                <w:sz w:val="18"/>
                <w:szCs w:val="18"/>
              </w:rPr>
            </w:pPr>
            <w:r>
              <w:rPr>
                <w:rFonts w:ascii="宋体" w:hAnsi="宋体" w:cs="宋体" w:eastAsia="宋体" w:hint="default"/>
                <w:spacing w:val="4"/>
                <w:sz w:val="18"/>
                <w:szCs w:val="18"/>
              </w:rPr>
              <w:t>年末应交所得税余额大幅减少所致，上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年末本公司作为高新技术企业所得税按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计缴，本年末公司作为国家布局内重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点软件企业所得税减按</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计缴，企业所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得税率减少导致企业应交所得税金额大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幅的减少。</w:t>
            </w:r>
          </w:p>
        </w:tc>
      </w:tr>
      <w:tr>
        <w:trPr>
          <w:trHeight w:val="64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7"/>
              <w:jc w:val="right"/>
              <w:rPr>
                <w:rFonts w:ascii="Times New Roman" w:hAnsi="Times New Roman" w:cs="Times New Roman" w:eastAsia="Times New Roman" w:hint="default"/>
                <w:sz w:val="18"/>
                <w:szCs w:val="18"/>
              </w:rPr>
            </w:pPr>
            <w:r>
              <w:rPr>
                <w:rFonts w:ascii="Times New Roman"/>
                <w:spacing w:val="-1"/>
                <w:sz w:val="18"/>
              </w:rPr>
              <w:t>203,000.00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100.00</w:t>
            </w:r>
          </w:p>
        </w:tc>
        <w:tc>
          <w:tcPr>
            <w:tcW w:w="3359" w:type="dxa"/>
            <w:tcBorders>
              <w:top w:val="nil" w:sz="6" w:space="0" w:color="auto"/>
              <w:left w:val="nil" w:sz="6" w:space="0" w:color="auto"/>
              <w:bottom w:val="nil" w:sz="6" w:space="0" w:color="auto"/>
              <w:right w:val="nil" w:sz="6" w:space="0" w:color="auto"/>
            </w:tcBorders>
          </w:tcPr>
          <w:p>
            <w:pPr>
              <w:pStyle w:val="TableParagraph"/>
              <w:spacing w:line="316" w:lineRule="auto" w:before="21"/>
              <w:ind w:left="9" w:right="201"/>
              <w:jc w:val="left"/>
              <w:rPr>
                <w:rFonts w:ascii="宋体" w:hAnsi="宋体" w:cs="宋体" w:eastAsia="宋体" w:hint="default"/>
                <w:sz w:val="18"/>
                <w:szCs w:val="18"/>
              </w:rPr>
            </w:pPr>
            <w:r>
              <w:rPr>
                <w:rFonts w:ascii="宋体" w:hAnsi="宋体" w:cs="宋体" w:eastAsia="宋体" w:hint="default"/>
                <w:spacing w:val="4"/>
                <w:sz w:val="18"/>
                <w:szCs w:val="18"/>
              </w:rPr>
              <w:t>本公司代管的股权激励对象因限制性股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票所分配的现金股利增加所致。</w:t>
            </w:r>
          </w:p>
        </w:tc>
      </w:tr>
      <w:tr>
        <w:trPr>
          <w:trHeight w:val="33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pacing w:val="-1"/>
                <w:sz w:val="18"/>
              </w:rPr>
              <w:t>467,363.10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5"/>
              <w:jc w:val="right"/>
              <w:rPr>
                <w:rFonts w:ascii="Times New Roman" w:hAnsi="Times New Roman" w:cs="Times New Roman" w:eastAsia="Times New Roman" w:hint="default"/>
                <w:sz w:val="18"/>
                <w:szCs w:val="18"/>
              </w:rPr>
            </w:pPr>
            <w:r>
              <w:rPr>
                <w:rFonts w:ascii="Times New Roman"/>
                <w:spacing w:val="-1"/>
                <w:sz w:val="18"/>
              </w:rPr>
              <w:t>374,933.55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24.65</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员工代垫的出差费用增加所致。</w:t>
            </w:r>
          </w:p>
        </w:tc>
      </w:tr>
      <w:tr>
        <w:trPr>
          <w:trHeight w:val="639"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7"/>
              <w:jc w:val="right"/>
              <w:rPr>
                <w:rFonts w:ascii="Times New Roman" w:hAnsi="Times New Roman" w:cs="Times New Roman" w:eastAsia="Times New Roman" w:hint="default"/>
                <w:sz w:val="18"/>
                <w:szCs w:val="18"/>
              </w:rPr>
            </w:pPr>
            <w:r>
              <w:rPr>
                <w:rFonts w:ascii="Times New Roman"/>
                <w:spacing w:val="-1"/>
                <w:sz w:val="18"/>
              </w:rPr>
              <w:t>84,755,408.26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3"/>
              <w:jc w:val="right"/>
              <w:rPr>
                <w:rFonts w:ascii="Times New Roman" w:hAnsi="Times New Roman" w:cs="Times New Roman" w:eastAsia="Times New Roman" w:hint="default"/>
                <w:sz w:val="18"/>
                <w:szCs w:val="18"/>
              </w:rPr>
            </w:pPr>
            <w:r>
              <w:rPr>
                <w:rFonts w:ascii="Times New Roman"/>
                <w:spacing w:val="-1"/>
                <w:sz w:val="18"/>
              </w:rPr>
              <w:t>66,114,508.26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z w:val="18"/>
              </w:rPr>
              <w:t>28.19</w:t>
            </w:r>
          </w:p>
        </w:tc>
        <w:tc>
          <w:tcPr>
            <w:tcW w:w="3359" w:type="dxa"/>
            <w:tcBorders>
              <w:top w:val="nil" w:sz="6" w:space="0" w:color="auto"/>
              <w:left w:val="nil" w:sz="6" w:space="0" w:color="auto"/>
              <w:bottom w:val="nil" w:sz="6" w:space="0" w:color="auto"/>
              <w:right w:val="nil" w:sz="6" w:space="0" w:color="auto"/>
            </w:tcBorders>
          </w:tcPr>
          <w:p>
            <w:pPr>
              <w:pStyle w:val="TableParagraph"/>
              <w:spacing w:line="316" w:lineRule="auto" w:before="15"/>
              <w:ind w:left="9" w:right="201"/>
              <w:jc w:val="left"/>
              <w:rPr>
                <w:rFonts w:ascii="宋体" w:hAnsi="宋体" w:cs="宋体" w:eastAsia="宋体" w:hint="default"/>
                <w:sz w:val="18"/>
                <w:szCs w:val="18"/>
              </w:rPr>
            </w:pPr>
            <w:r>
              <w:rPr>
                <w:rFonts w:ascii="宋体" w:hAnsi="宋体" w:cs="宋体" w:eastAsia="宋体" w:hint="default"/>
                <w:spacing w:val="4"/>
                <w:sz w:val="18"/>
                <w:szCs w:val="18"/>
              </w:rPr>
              <w:t>本年新增股本溢价及股权激励费用对应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增加所致。</w:t>
            </w:r>
          </w:p>
        </w:tc>
      </w:tr>
      <w:tr>
        <w:trPr>
          <w:trHeight w:val="644"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7"/>
              <w:jc w:val="right"/>
              <w:rPr>
                <w:rFonts w:ascii="Times New Roman" w:hAnsi="Times New Roman" w:cs="Times New Roman" w:eastAsia="Times New Roman" w:hint="default"/>
                <w:sz w:val="18"/>
                <w:szCs w:val="18"/>
              </w:rPr>
            </w:pPr>
            <w:r>
              <w:rPr>
                <w:rFonts w:ascii="Times New Roman"/>
                <w:spacing w:val="-1"/>
                <w:sz w:val="18"/>
              </w:rPr>
              <w:t>29,90,234.60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2"/>
              <w:jc w:val="right"/>
              <w:rPr>
                <w:rFonts w:ascii="Times New Roman" w:hAnsi="Times New Roman" w:cs="Times New Roman" w:eastAsia="Times New Roman" w:hint="default"/>
                <w:sz w:val="18"/>
                <w:szCs w:val="18"/>
              </w:rPr>
            </w:pPr>
            <w:r>
              <w:rPr>
                <w:rFonts w:ascii="Times New Roman"/>
                <w:spacing w:val="-1"/>
                <w:sz w:val="18"/>
              </w:rPr>
              <w:t>23,893,760.48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z w:val="18"/>
              </w:rPr>
              <w:t>25.17</w:t>
            </w:r>
          </w:p>
        </w:tc>
        <w:tc>
          <w:tcPr>
            <w:tcW w:w="3359" w:type="dxa"/>
            <w:tcBorders>
              <w:top w:val="nil" w:sz="6" w:space="0" w:color="auto"/>
              <w:left w:val="nil" w:sz="6" w:space="0" w:color="auto"/>
              <w:bottom w:val="nil" w:sz="6" w:space="0" w:color="auto"/>
              <w:right w:val="nil" w:sz="6" w:space="0" w:color="auto"/>
            </w:tcBorders>
          </w:tcPr>
          <w:p>
            <w:pPr>
              <w:pStyle w:val="TableParagraph"/>
              <w:spacing w:line="300" w:lineRule="auto" w:before="21"/>
              <w:ind w:left="9" w:right="199"/>
              <w:jc w:val="left"/>
              <w:rPr>
                <w:rFonts w:ascii="宋体" w:hAnsi="宋体" w:cs="宋体" w:eastAsia="宋体" w:hint="default"/>
                <w:sz w:val="18"/>
                <w:szCs w:val="18"/>
              </w:rPr>
            </w:pPr>
            <w:r>
              <w:rPr>
                <w:rFonts w:ascii="宋体" w:hAnsi="宋体" w:cs="宋体" w:eastAsia="宋体" w:hint="default"/>
                <w:spacing w:val="6"/>
                <w:sz w:val="18"/>
                <w:szCs w:val="18"/>
              </w:rPr>
              <w:t>本公司按本年净利润计提</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法定盈余</w:t>
            </w:r>
            <w:r>
              <w:rPr>
                <w:rFonts w:ascii="宋体" w:hAnsi="宋体" w:cs="宋体" w:eastAsia="宋体" w:hint="default"/>
                <w:spacing w:val="-83"/>
                <w:sz w:val="18"/>
                <w:szCs w:val="18"/>
              </w:rPr>
              <w:t> </w:t>
            </w:r>
            <w:r>
              <w:rPr>
                <w:rFonts w:ascii="宋体" w:hAnsi="宋体" w:cs="宋体" w:eastAsia="宋体" w:hint="default"/>
                <w:sz w:val="18"/>
                <w:szCs w:val="18"/>
              </w:rPr>
              <w:t>公积所致。</w:t>
            </w:r>
          </w:p>
        </w:tc>
      </w:tr>
      <w:tr>
        <w:trPr>
          <w:trHeight w:val="33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pacing w:val="-1"/>
                <w:sz w:val="18"/>
              </w:rPr>
              <w:t>317,492.96</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2"/>
              <w:jc w:val="right"/>
              <w:rPr>
                <w:rFonts w:ascii="Times New Roman" w:hAnsi="Times New Roman" w:cs="Times New Roman" w:eastAsia="Times New Roman" w:hint="default"/>
                <w:sz w:val="18"/>
                <w:szCs w:val="18"/>
              </w:rPr>
            </w:pPr>
            <w:r>
              <w:rPr>
                <w:rFonts w:ascii="Times New Roman"/>
                <w:spacing w:val="-1"/>
                <w:sz w:val="18"/>
              </w:rPr>
              <w:t>720,506.95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-55.93</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本年营业税改增值税导致营业税减少。</w:t>
            </w:r>
          </w:p>
        </w:tc>
      </w:tr>
      <w:tr>
        <w:trPr>
          <w:trHeight w:val="332"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7"/>
              <w:jc w:val="right"/>
              <w:rPr>
                <w:rFonts w:ascii="Times New Roman" w:hAnsi="Times New Roman" w:cs="Times New Roman" w:eastAsia="Times New Roman" w:hint="default"/>
                <w:sz w:val="18"/>
                <w:szCs w:val="18"/>
              </w:rPr>
            </w:pPr>
            <w:r>
              <w:rPr>
                <w:rFonts w:ascii="Times New Roman"/>
                <w:spacing w:val="-1"/>
                <w:sz w:val="18"/>
              </w:rPr>
              <w:t>-5,741,585.90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3"/>
              <w:jc w:val="right"/>
              <w:rPr>
                <w:rFonts w:ascii="Times New Roman" w:hAnsi="Times New Roman" w:cs="Times New Roman" w:eastAsia="Times New Roman" w:hint="default"/>
                <w:sz w:val="18"/>
                <w:szCs w:val="18"/>
              </w:rPr>
            </w:pPr>
            <w:r>
              <w:rPr>
                <w:rFonts w:ascii="Times New Roman"/>
                <w:spacing w:val="-1"/>
                <w:sz w:val="18"/>
              </w:rPr>
              <w:t>-1,348,692.68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-325.71</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本年汇兑损失减少所致。</w:t>
            </w:r>
          </w:p>
        </w:tc>
      </w:tr>
      <w:tr>
        <w:trPr>
          <w:trHeight w:val="333"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7"/>
              <w:jc w:val="right"/>
              <w:rPr>
                <w:rFonts w:ascii="Times New Roman" w:hAnsi="Times New Roman" w:cs="Times New Roman" w:eastAsia="Times New Roman" w:hint="default"/>
                <w:sz w:val="18"/>
                <w:szCs w:val="18"/>
              </w:rPr>
            </w:pPr>
            <w:r>
              <w:rPr>
                <w:rFonts w:ascii="Times New Roman"/>
                <w:w w:val="95"/>
                <w:sz w:val="18"/>
              </w:rPr>
              <w:t>7,578.83</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3"/>
              <w:jc w:val="right"/>
              <w:rPr>
                <w:rFonts w:ascii="Times New Roman" w:hAnsi="Times New Roman" w:cs="Times New Roman" w:eastAsia="Times New Roman" w:hint="default"/>
                <w:sz w:val="18"/>
                <w:szCs w:val="18"/>
              </w:rPr>
            </w:pPr>
            <w:r>
              <w:rPr>
                <w:rFonts w:ascii="Times New Roman"/>
                <w:spacing w:val="-1"/>
                <w:sz w:val="18"/>
              </w:rPr>
              <w:t>-149,020.03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spacing w:val="-1"/>
                <w:sz w:val="18"/>
              </w:rPr>
              <w:t>105.09</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上年转回坏账准备而本年补提所致。</w:t>
            </w:r>
          </w:p>
        </w:tc>
      </w:tr>
      <w:tr>
        <w:trPr>
          <w:trHeight w:val="33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7"/>
              <w:jc w:val="right"/>
              <w:rPr>
                <w:rFonts w:ascii="Times New Roman" w:hAnsi="Times New Roman" w:cs="Times New Roman" w:eastAsia="Times New Roman" w:hint="default"/>
                <w:sz w:val="18"/>
                <w:szCs w:val="18"/>
              </w:rPr>
            </w:pPr>
            <w:r>
              <w:rPr>
                <w:rFonts w:ascii="Times New Roman"/>
                <w:spacing w:val="-1"/>
                <w:sz w:val="18"/>
              </w:rPr>
              <w:t>10,905,647.81</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3"/>
              <w:jc w:val="right"/>
              <w:rPr>
                <w:rFonts w:ascii="Times New Roman" w:hAnsi="Times New Roman" w:cs="Times New Roman" w:eastAsia="Times New Roman" w:hint="default"/>
                <w:sz w:val="18"/>
                <w:szCs w:val="18"/>
              </w:rPr>
            </w:pPr>
            <w:r>
              <w:rPr>
                <w:rFonts w:ascii="Times New Roman"/>
                <w:spacing w:val="-1"/>
                <w:sz w:val="18"/>
              </w:rPr>
              <w:t>7,118,032.28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z w:val="18"/>
              </w:rPr>
              <w:t>53.21</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本年取得较多政府补贴所致。</w:t>
            </w:r>
          </w:p>
        </w:tc>
      </w:tr>
      <w:tr>
        <w:trPr>
          <w:trHeight w:val="332"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7"/>
              <w:jc w:val="right"/>
              <w:rPr>
                <w:rFonts w:ascii="Times New Roman" w:hAnsi="Times New Roman" w:cs="Times New Roman" w:eastAsia="Times New Roman" w:hint="default"/>
                <w:sz w:val="18"/>
                <w:szCs w:val="18"/>
              </w:rPr>
            </w:pPr>
            <w:r>
              <w:rPr>
                <w:rFonts w:ascii="Times New Roman"/>
                <w:spacing w:val="-1"/>
                <w:sz w:val="18"/>
              </w:rPr>
              <w:t>130,403.40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Times New Roman" w:hAnsi="Times New Roman" w:cs="Times New Roman" w:eastAsia="Times New Roman" w:hint="default"/>
                <w:sz w:val="18"/>
                <w:szCs w:val="18"/>
              </w:rPr>
            </w:pPr>
            <w:r>
              <w:rPr>
                <w:rFonts w:ascii="Times New Roman"/>
                <w:spacing w:val="-1"/>
                <w:sz w:val="18"/>
              </w:rPr>
              <w:t>167,075.68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z w:val="18"/>
              </w:rPr>
              <w:t>-21.95</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固定资产处置损失减少所致。</w:t>
            </w:r>
          </w:p>
        </w:tc>
      </w:tr>
      <w:tr>
        <w:trPr>
          <w:trHeight w:val="886"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7"/>
              <w:jc w:val="right"/>
              <w:rPr>
                <w:rFonts w:ascii="Times New Roman" w:hAnsi="Times New Roman" w:cs="Times New Roman" w:eastAsia="Times New Roman" w:hint="default"/>
                <w:sz w:val="18"/>
                <w:szCs w:val="18"/>
              </w:rPr>
            </w:pPr>
            <w:r>
              <w:rPr>
                <w:rFonts w:ascii="Times New Roman"/>
                <w:spacing w:val="-1"/>
                <w:sz w:val="18"/>
              </w:rPr>
              <w:t>7,435,783.90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3"/>
              <w:jc w:val="right"/>
              <w:rPr>
                <w:rFonts w:ascii="Times New Roman" w:hAnsi="Times New Roman" w:cs="Times New Roman" w:eastAsia="Times New Roman" w:hint="default"/>
                <w:sz w:val="18"/>
                <w:szCs w:val="18"/>
              </w:rPr>
            </w:pPr>
            <w:r>
              <w:rPr>
                <w:rFonts w:ascii="Times New Roman"/>
                <w:spacing w:val="-1"/>
                <w:sz w:val="18"/>
              </w:rPr>
              <w:t>13,094,823.17</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sz w:val="18"/>
              </w:rPr>
              <w:t>-43.22</w:t>
            </w:r>
          </w:p>
        </w:tc>
        <w:tc>
          <w:tcPr>
            <w:tcW w:w="3359" w:type="dxa"/>
            <w:tcBorders>
              <w:top w:val="nil" w:sz="6" w:space="0" w:color="auto"/>
              <w:left w:val="nil" w:sz="6" w:space="0" w:color="auto"/>
              <w:bottom w:val="nil" w:sz="6" w:space="0" w:color="auto"/>
              <w:right w:val="nil" w:sz="6" w:space="0" w:color="auto"/>
            </w:tcBorders>
          </w:tcPr>
          <w:p>
            <w:pPr>
              <w:pStyle w:val="TableParagraph"/>
              <w:spacing w:line="316" w:lineRule="auto" w:before="16"/>
              <w:ind w:left="9" w:right="201"/>
              <w:jc w:val="left"/>
              <w:rPr>
                <w:rFonts w:ascii="宋体" w:hAnsi="宋体" w:cs="宋体" w:eastAsia="宋体" w:hint="default"/>
                <w:sz w:val="18"/>
                <w:szCs w:val="18"/>
              </w:rPr>
            </w:pPr>
            <w:r>
              <w:rPr>
                <w:rFonts w:ascii="宋体" w:hAnsi="宋体" w:cs="宋体" w:eastAsia="宋体" w:hint="default"/>
                <w:spacing w:val="4"/>
                <w:sz w:val="18"/>
                <w:szCs w:val="18"/>
              </w:rPr>
              <w:t>母公司上海海隆软件股份有限公司本年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企业所得税率由上年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下降到本年</w:t>
            </w:r>
          </w:p>
          <w:p>
            <w:pPr>
              <w:pStyle w:val="TableParagraph"/>
              <w:spacing w:line="248"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所致。</w:t>
            </w:r>
          </w:p>
        </w:tc>
      </w:tr>
    </w:tbl>
    <w:p>
      <w:pPr>
        <w:spacing w:after="0" w:line="248" w:lineRule="exact"/>
        <w:jc w:val="left"/>
        <w:rPr>
          <w:rFonts w:ascii="宋体" w:hAnsi="宋体" w:cs="宋体" w:eastAsia="宋体" w:hint="default"/>
          <w:sz w:val="18"/>
          <w:szCs w:val="18"/>
        </w:rPr>
        <w:sectPr>
          <w:pgSz w:w="11910" w:h="16840"/>
          <w:pgMar w:header="876" w:footer="1340" w:top="1060" w:bottom="1540" w:left="84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3593"/>
        <w:jc w:val="center"/>
        <w:rPr>
          <w:b w:val="0"/>
          <w:bCs w:val="0"/>
        </w:rPr>
      </w:pPr>
      <w:bookmarkStart w:name="_TOC_250000" w:id="11"/>
      <w:r>
        <w:rPr/>
        <w:t>第十一节</w:t>
      </w:r>
      <w:r>
        <w:rPr>
          <w:spacing w:val="-6"/>
        </w:rPr>
        <w:t> </w:t>
      </w:r>
      <w:r>
        <w:rPr/>
        <w:t>备查文件目录</w:t>
      </w:r>
      <w:bookmarkEnd w:id="11"/>
      <w:r>
        <w:rPr>
          <w:b w:val="0"/>
          <w:bCs w:val="0"/>
        </w:rPr>
      </w:r>
    </w:p>
    <w:p>
      <w:pPr>
        <w:spacing w:line="240" w:lineRule="auto" w:before="11"/>
        <w:rPr>
          <w:rFonts w:ascii="宋体" w:hAnsi="宋体" w:cs="宋体" w:eastAsia="宋体" w:hint="default"/>
          <w:b/>
          <w:bCs/>
          <w:sz w:val="44"/>
          <w:szCs w:val="44"/>
        </w:rPr>
      </w:pPr>
    </w:p>
    <w:p>
      <w:pPr>
        <w:pStyle w:val="BodyText"/>
        <w:spacing w:line="240" w:lineRule="auto" w:before="0"/>
        <w:ind w:right="1123"/>
        <w:jc w:val="left"/>
      </w:pPr>
      <w:r>
        <w:rPr>
          <w:rFonts w:ascii="宋体" w:hAnsi="宋体" w:cs="宋体" w:eastAsia="宋体" w:hint="default"/>
        </w:rPr>
        <w:t>1</w:t>
      </w:r>
      <w:r>
        <w:rPr/>
        <w:t>、载有公司法定代表人、主管会计工作负责人、会计机构负责人签名并盖章的财务报表。</w:t>
      </w:r>
    </w:p>
    <w:p>
      <w:pPr>
        <w:pStyle w:val="BodyText"/>
        <w:spacing w:line="240" w:lineRule="auto" w:before="154"/>
        <w:ind w:right="982"/>
        <w:jc w:val="left"/>
      </w:pPr>
      <w:r>
        <w:rPr>
          <w:rFonts w:ascii="宋体" w:hAnsi="宋体" w:cs="宋体" w:eastAsia="宋体" w:hint="default"/>
        </w:rPr>
        <w:t>2</w:t>
      </w:r>
      <w:r>
        <w:rPr/>
        <w:t>、载有上海众华沪银会计师事务所有限公司盖章、注册会计师签名并盖章的审计报告原件。</w:t>
      </w:r>
    </w:p>
    <w:p>
      <w:pPr>
        <w:pStyle w:val="BodyText"/>
        <w:spacing w:line="357" w:lineRule="auto" w:before="154"/>
        <w:ind w:right="1123"/>
        <w:jc w:val="left"/>
      </w:pPr>
      <w:r>
        <w:rPr>
          <w:rFonts w:ascii="宋体" w:hAnsi="宋体" w:cs="宋体" w:eastAsia="宋体" w:hint="default"/>
          <w:spacing w:val="3"/>
        </w:rPr>
        <w:t>3</w:t>
      </w:r>
      <w:r>
        <w:rPr>
          <w:spacing w:val="3"/>
        </w:rPr>
        <w:t>、报告期内在中国证监会指定信息披露报纸上公开披露过的所有公司文件的正本及公告原</w:t>
      </w:r>
      <w:r>
        <w:rPr>
          <w:spacing w:val="-100"/>
        </w:rPr>
        <w:t> </w:t>
      </w:r>
      <w:r>
        <w:rPr>
          <w:spacing w:val="-100"/>
        </w:rPr>
      </w:r>
      <w:r>
        <w:rPr/>
        <w:t>稿。</w:t>
      </w:r>
    </w:p>
    <w:p>
      <w:pPr>
        <w:pStyle w:val="BodyText"/>
        <w:spacing w:line="357" w:lineRule="auto"/>
        <w:ind w:right="5114"/>
        <w:jc w:val="left"/>
      </w:pPr>
      <w:r>
        <w:rPr>
          <w:rFonts w:ascii="宋体" w:hAnsi="宋体" w:cs="宋体" w:eastAsia="宋体" w:hint="default"/>
        </w:rPr>
        <w:t>4</w:t>
      </w:r>
      <w:r>
        <w:rPr/>
        <w:t>、载有法定代表人签名的公司</w:t>
      </w:r>
      <w:r>
        <w:rPr>
          <w:rFonts w:ascii="宋体" w:hAnsi="宋体" w:cs="宋体" w:eastAsia="宋体" w:hint="default"/>
        </w:rPr>
        <w:t>2012</w:t>
      </w:r>
      <w:r>
        <w:rPr/>
        <w:t>年年度报告文本。 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Heading2"/>
        <w:spacing w:line="240" w:lineRule="auto" w:before="0"/>
        <w:ind w:left="0" w:right="1133"/>
        <w:jc w:val="right"/>
        <w:rPr>
          <w:b w:val="0"/>
          <w:bCs w:val="0"/>
        </w:rPr>
      </w:pPr>
      <w:r>
        <w:rPr>
          <w:w w:val="95"/>
        </w:rPr>
        <w:t>上海海隆软件股份有限公司</w:t>
      </w:r>
      <w:r>
        <w:rPr>
          <w:b w:val="0"/>
          <w:bCs w:val="0"/>
        </w:rPr>
      </w:r>
    </w:p>
    <w:p>
      <w:pPr>
        <w:pStyle w:val="Heading2"/>
        <w:tabs>
          <w:tab w:pos="9070" w:val="left" w:leader="none"/>
        </w:tabs>
        <w:spacing w:line="357" w:lineRule="auto" w:before="154"/>
        <w:ind w:left="8343" w:right="1131" w:hanging="238"/>
        <w:jc w:val="right"/>
        <w:rPr>
          <w:b w:val="0"/>
          <w:bCs w:val="0"/>
        </w:rPr>
      </w:pPr>
      <w:r>
        <w:rPr>
          <w:w w:val="95"/>
        </w:rPr>
        <w:t>董事长</w:t>
        <w:tab/>
        <w:t>包叔平</w:t>
      </w:r>
      <w:r>
        <w:rPr>
          <w:spacing w:val="-87"/>
          <w:w w:val="95"/>
        </w:rPr>
        <w:t> </w:t>
      </w:r>
      <w:r>
        <w:rPr>
          <w:spacing w:val="-87"/>
          <w:w w:val="95"/>
        </w:rPr>
      </w:r>
      <w:r>
        <w:rPr>
          <w:rFonts w:ascii="宋体" w:hAnsi="宋体" w:cs="宋体" w:eastAsia="宋体" w:hint="default"/>
          <w:w w:val="95"/>
        </w:rPr>
        <w:t>2013</w:t>
      </w:r>
      <w:r>
        <w:rPr>
          <w:w w:val="95"/>
        </w:rPr>
        <w:t>年</w:t>
      </w:r>
      <w:r>
        <w:rPr>
          <w:rFonts w:ascii="宋体" w:hAnsi="宋体" w:cs="宋体" w:eastAsia="宋体" w:hint="default"/>
          <w:w w:val="95"/>
        </w:rPr>
        <w:t>4</w:t>
      </w:r>
      <w:r>
        <w:rPr>
          <w:w w:val="95"/>
        </w:rPr>
        <w:t>月</w:t>
      </w:r>
      <w:r>
        <w:rPr>
          <w:rFonts w:ascii="宋体" w:hAnsi="宋体" w:cs="宋体" w:eastAsia="宋体" w:hint="default"/>
          <w:w w:val="95"/>
        </w:rPr>
        <w:t>8</w:t>
      </w:r>
      <w:r>
        <w:rPr>
          <w:w w:val="95"/>
        </w:rPr>
        <w:t>日</w:t>
      </w:r>
      <w:r>
        <w:rPr>
          <w:b w:val="0"/>
          <w:bCs w:val="0"/>
        </w:rPr>
      </w:r>
    </w:p>
    <w:sectPr>
      <w:pgSz w:w="11910" w:h="16840"/>
      <w:pgMar w:header="876"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3760" type="#_x0000_t75" stroked="false">
          <v:imagedata r:id="rId1" o:title=""/>
        </v:shape>
      </w:pict>
    </w:r>
    <w:r>
      <w:rPr/>
      <w:pict>
        <v:shape style="position:absolute;margin-left:533.099976pt;margin-top:795.637939pt;width:6.5pt;height:11pt;mso-position-horizontal-relative:page;mso-position-vertical-relative:page;z-index:-633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3088" type="#_x0000_t75" stroked="false">
          <v:imagedata r:id="rId1" o:title=""/>
        </v:shape>
      </w:pict>
    </w:r>
    <w:r>
      <w:rPr/>
      <w:pict>
        <v:shape style="position:absolute;margin-left:527.659973pt;margin-top:781.933899pt;width:13.15pt;height:11pt;mso-position-horizontal-relative:page;mso-position-vertical-relative:page;z-index:-633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2968" type="#_x0000_t75" stroked="false">
          <v:imagedata r:id="rId1" o:title=""/>
        </v:shape>
      </w:pict>
    </w:r>
    <w:r>
      <w:rPr/>
      <w:pict>
        <v:shape style="position:absolute;margin-left:527.659973pt;margin-top:781.933899pt;width:13.15pt;height:11pt;mso-position-horizontal-relative:page;mso-position-vertical-relative:page;z-index:-632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2920" type="#_x0000_t75" stroked="false">
          <v:imagedata r:id="rId1" o:title=""/>
        </v:shape>
      </w:pict>
    </w:r>
    <w:r>
      <w:rPr/>
      <w:pict>
        <v:shape style="position:absolute;margin-left:527.659973pt;margin-top:781.933899pt;width:13.15pt;height:11pt;mso-position-horizontal-relative:page;mso-position-vertical-relative:page;z-index:-632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3712" type="#_x0000_t75" stroked="false">
          <v:imagedata r:id="rId1" o:title=""/>
        </v:shape>
      </w:pict>
    </w:r>
    <w:r>
      <w:rPr/>
      <w:pict>
        <v:shape style="position:absolute;margin-left:532.099976pt;margin-top:781.933899pt;width:8.5pt;height:11pt;mso-position-horizontal-relative:page;mso-position-vertical-relative:page;z-index:-633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2512" type="#_x0000_t75" stroked="false">
          <v:imagedata r:id="rId1" o:title=""/>
        </v:shape>
      </w:pict>
    </w:r>
    <w:r>
      <w:rPr/>
      <w:pict>
        <v:shape style="position:absolute;margin-left:527.659973pt;margin-top:781.933899pt;width:13.15pt;height:11pt;mso-position-horizontal-relative:page;mso-position-vertical-relative:page;z-index:-632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2248" type="#_x0000_t75" stroked="false">
          <v:imagedata r:id="rId1" o:title=""/>
        </v:shape>
      </w:pict>
    </w:r>
    <w:r>
      <w:rPr/>
      <w:pict>
        <v:shape style="position:absolute;margin-left:527.659973pt;margin-top:781.933899pt;width:13.15pt;height:11pt;mso-position-horizontal-relative:page;mso-position-vertical-relative:page;z-index:-632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2128" type="#_x0000_t75" stroked="false">
          <v:imagedata r:id="rId1" o:title=""/>
        </v:shape>
      </w:pict>
    </w:r>
    <w:r>
      <w:rPr/>
      <w:pict>
        <v:shape style="position:absolute;margin-left:527.659973pt;margin-top:781.933899pt;width:13.15pt;height:11pt;mso-position-horizontal-relative:page;mso-position-vertical-relative:page;z-index:-63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2080" type="#_x0000_t75" stroked="false">
          <v:imagedata r:id="rId1" o:title=""/>
        </v:shape>
      </w:pict>
    </w:r>
    <w:r>
      <w:rPr/>
      <w:pict>
        <v:shape style="position:absolute;margin-left:524.099976pt;margin-top:781.933899pt;width:15.7pt;height:11pt;mso-position-horizontal-relative:page;mso-position-vertical-relative:page;z-index:-632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2032" type="#_x0000_t75" stroked="false">
          <v:imagedata r:id="rId1" o:title=""/>
        </v:shape>
      </w:pict>
    </w:r>
    <w:r>
      <w:rPr/>
      <w:pict>
        <v:shape style="position:absolute;margin-left:523.099976pt;margin-top:781.933899pt;width:17.7pt;height:11pt;mso-position-horizontal-relative:page;mso-position-vertical-relative:page;z-index:-632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1912" type="#_x0000_t75" stroked="false">
          <v:imagedata r:id="rId1" o:title=""/>
        </v:shape>
      </w:pict>
    </w:r>
    <w:r>
      <w:rPr/>
      <w:pict>
        <v:shape style="position:absolute;margin-left:523.099976pt;margin-top:781.933899pt;width:17.7pt;height:11pt;mso-position-horizontal-relative:page;mso-position-vertical-relative:page;z-index:-63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1864" type="#_x0000_t75" stroked="false">
          <v:imagedata r:id="rId1" o:title=""/>
        </v:shape>
      </w:pict>
    </w:r>
    <w:r>
      <w:rPr/>
      <w:pict>
        <v:shape style="position:absolute;margin-left:523.460022pt;margin-top:781.933899pt;width:17.3pt;height:11pt;mso-position-horizontal-relative:page;mso-position-vertical-relative:page;z-index:-631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1672" type="#_x0000_t75" stroked="false">
          <v:imagedata r:id="rId1" o:title=""/>
        </v:shape>
      </w:pict>
    </w:r>
    <w:r>
      <w:rPr/>
      <w:pict>
        <v:shape style="position:absolute;margin-left:523.460022pt;margin-top:781.933899pt;width:17.3pt;height:11pt;mso-position-horizontal-relative:page;mso-position-vertical-relative:page;z-index:-63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1624" type="#_x0000_t75" stroked="false">
          <v:imagedata r:id="rId1" o:title=""/>
        </v:shape>
      </w:pict>
    </w:r>
    <w:r>
      <w:rPr/>
      <w:pict>
        <v:shape style="position:absolute;margin-left:523.099976pt;margin-top:781.933899pt;width:17.7pt;height:11pt;mso-position-horizontal-relative:page;mso-position-vertical-relative:page;z-index:-631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3592" type="#_x0000_t75" stroked="false">
          <v:imagedata r:id="rId1" o:title=""/>
        </v:shape>
      </w:pict>
    </w:r>
    <w:r>
      <w:rPr/>
      <w:pict>
        <v:shape style="position:absolute;margin-left:527.659973pt;margin-top:781.933899pt;width:13.15pt;height:11pt;mso-position-horizontal-relative:page;mso-position-vertical-relative:page;z-index:-633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3544" type="#_x0000_t75" stroked="false">
          <v:imagedata r:id="rId1" o:title=""/>
        </v:shape>
      </w:pict>
    </w:r>
    <w:r>
      <w:rPr/>
      <w:pict>
        <v:shape style="position:absolute;margin-left:527.659973pt;margin-top:781.933899pt;width:13.15pt;height:11pt;mso-position-horizontal-relative:page;mso-position-vertical-relative:page;z-index:-633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3496" type="#_x0000_t75" stroked="false">
          <v:imagedata r:id="rId1" o:title=""/>
        </v:shape>
      </w:pict>
    </w:r>
    <w:r>
      <w:rPr/>
      <w:pict>
        <v:shape style="position:absolute;margin-left:527.659973pt;margin-top:781.933899pt;width:13.15pt;height:11pt;mso-position-horizontal-relative:page;mso-position-vertical-relative:page;z-index:-633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8.630005pt;margin-top:36.265610pt;width:186.6pt;height:11.5pt;mso-position-horizontal-relative:page;mso-position-vertical-relative:page;z-index:-633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872" type="#_x0000_t75" stroked="false">
          <v:imagedata r:id="rId1" o:title=""/>
        </v:shape>
      </w:pict>
    </w:r>
    <w:r>
      <w:rPr/>
      <w:pict>
        <v:group style="position:absolute;margin-left:55.200001pt;margin-top:55.559982pt;width:480.35pt;height:.1pt;mso-position-horizontal-relative:page;mso-position-vertical-relative:page;z-index:-632848"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800" type="#_x0000_t75" stroked="false">
          <v:imagedata r:id="rId1" o:title=""/>
        </v:shape>
      </w:pict>
    </w:r>
    <w:r>
      <w:rPr/>
      <w:pict>
        <v:group style="position:absolute;margin-left:55.200001pt;margin-top:55.559982pt;width:480.35pt;height:.1pt;mso-position-horizontal-relative:page;mso-position-vertical-relative:page;z-index:-632776"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728" type="#_x0000_t75" stroked="false">
          <v:imagedata r:id="rId1" o:title=""/>
        </v:shape>
      </w:pict>
    </w:r>
    <w:r>
      <w:rPr/>
      <w:pict>
        <v:group style="position:absolute;margin-left:55.200001pt;margin-top:55.559982pt;width:480.35pt;height:.1pt;mso-position-horizontal-relative:page;mso-position-vertical-relative:page;z-index:-632704"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656" type="#_x0000_t75" stroked="false">
          <v:imagedata r:id="rId1" o:title=""/>
        </v:shape>
      </w:pict>
    </w:r>
    <w:r>
      <w:rPr/>
      <w:pict>
        <v:group style="position:absolute;margin-left:55.200001pt;margin-top:55.559982pt;width:480.35pt;height:.1pt;mso-position-horizontal-relative:page;mso-position-vertical-relative:page;z-index:-632632"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584" type="#_x0000_t75" stroked="false">
          <v:imagedata r:id="rId1" o:title=""/>
        </v:shape>
      </w:pict>
    </w:r>
    <w:r>
      <w:rPr/>
      <w:pict>
        <v:group style="position:absolute;margin-left:55.200001pt;margin-top:55.559982pt;width:480.35pt;height:.1pt;mso-position-horizontal-relative:page;mso-position-vertical-relative:page;z-index:-632560"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464" type="#_x0000_t75" stroked="false">
          <v:imagedata r:id="rId1" o:title=""/>
        </v:shape>
      </w:pict>
    </w:r>
    <w:r>
      <w:rPr/>
      <w:pict>
        <v:group style="position:absolute;margin-left:55.200001pt;margin-top:55.559982pt;width:480.35pt;height:.1pt;mso-position-horizontal-relative:page;mso-position-vertical-relative:page;z-index:-632440"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392" type="#_x0000_t75" stroked="false">
          <v:imagedata r:id="rId1" o:title=""/>
        </v:shape>
      </w:pict>
    </w:r>
    <w:r>
      <w:rPr/>
      <w:pict>
        <v:group style="position:absolute;margin-left:55.200001pt;margin-top:55.559982pt;width:480.35pt;height:.1pt;mso-position-horizontal-relative:page;mso-position-vertical-relative:page;z-index:-632368"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320" type="#_x0000_t75" stroked="false">
          <v:imagedata r:id="rId1" o:title=""/>
        </v:shape>
      </w:pict>
    </w:r>
    <w:r>
      <w:rPr/>
      <w:pict>
        <v:group style="position:absolute;margin-left:55.200001pt;margin-top:55.559982pt;width:480.35pt;height:.1pt;mso-position-horizontal-relative:page;mso-position-vertical-relative:page;z-index:-632296"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2200" type="#_x0000_t75" stroked="false">
          <v:imagedata r:id="rId1" o:title=""/>
        </v:shape>
      </w:pict>
    </w:r>
    <w:r>
      <w:rPr/>
      <w:pict>
        <v:group style="position:absolute;margin-left:55.200001pt;margin-top:55.559982pt;width:480.35pt;height:.1pt;mso-position-horizontal-relative:page;mso-position-vertical-relative:page;z-index:-632176"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1984" type="#_x0000_t75" stroked="false">
          <v:imagedata r:id="rId1" o:title=""/>
        </v:shape>
      </w:pict>
    </w:r>
    <w:r>
      <w:rPr/>
      <w:pict>
        <v:group style="position:absolute;margin-left:55.200001pt;margin-top:55.559982pt;width:480.35pt;height:.1pt;mso-position-horizontal-relative:page;mso-position-vertical-relative:page;z-index:-631960"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1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3664" type="#_x0000_t75" stroked="false">
          <v:imagedata r:id="rId1" o:title=""/>
        </v:shape>
      </w:pict>
    </w:r>
    <w:r>
      <w:rPr/>
      <w:pict>
        <v:group style="position:absolute;margin-left:55.200001pt;margin-top:55.559982pt;width:480.35pt;height:.1pt;mso-position-horizontal-relative:page;mso-position-vertical-relative:page;z-index:-633640"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3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1816" type="#_x0000_t75" stroked="false">
          <v:imagedata r:id="rId1" o:title=""/>
        </v:shape>
      </w:pict>
    </w:r>
    <w:r>
      <w:rPr/>
      <w:pict>
        <v:group style="position:absolute;margin-left:55.200001pt;margin-top:55.559982pt;width:480.35pt;height:.1pt;mso-position-horizontal-relative:page;mso-position-vertical-relative:page;z-index:-631792"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1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1744" type="#_x0000_t75" stroked="false">
          <v:imagedata r:id="rId1" o:title=""/>
        </v:shape>
      </w:pict>
    </w:r>
    <w:r>
      <w:rPr/>
      <w:pict>
        <v:group style="position:absolute;margin-left:55.200001pt;margin-top:55.559982pt;width:480.35pt;height:.1pt;mso-position-horizontal-relative:page;mso-position-vertical-relative:page;z-index:-631720"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1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3448" type="#_x0000_t75" stroked="false">
          <v:imagedata r:id="rId1" o:title=""/>
        </v:shape>
      </w:pict>
    </w:r>
    <w:r>
      <w:rPr/>
      <w:pict>
        <v:group style="position:absolute;margin-left:55.200001pt;margin-top:55.559982pt;width:480.35pt;height:.1pt;mso-position-horizontal-relative:page;mso-position-vertical-relative:page;z-index:-633424"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3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3376" type="#_x0000_t75" stroked="false">
          <v:imagedata r:id="rId1" o:title=""/>
        </v:shape>
      </w:pict>
    </w:r>
    <w:r>
      <w:rPr/>
      <w:pict>
        <v:group style="position:absolute;margin-left:55.200001pt;margin-top:55.559982pt;width:480.35pt;height:.1pt;mso-position-horizontal-relative:page;mso-position-vertical-relative:page;z-index:-633352"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3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3304" type="#_x0000_t75" stroked="false">
          <v:imagedata r:id="rId1" o:title=""/>
        </v:shape>
      </w:pict>
    </w:r>
    <w:r>
      <w:rPr/>
      <w:pict>
        <v:group style="position:absolute;margin-left:55.200001pt;margin-top:55.559982pt;width:480.35pt;height:.1pt;mso-position-horizontal-relative:page;mso-position-vertical-relative:page;z-index:-633280"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3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3232" type="#_x0000_t75" stroked="false">
          <v:imagedata r:id="rId1" o:title=""/>
        </v:shape>
      </w:pict>
    </w:r>
    <w:r>
      <w:rPr/>
      <w:pict>
        <v:group style="position:absolute;margin-left:55.200001pt;margin-top:55.559982pt;width:480.35pt;height:.1pt;mso-position-horizontal-relative:page;mso-position-vertical-relative:page;z-index:-633208"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3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3160" type="#_x0000_t75" stroked="false">
          <v:imagedata r:id="rId1" o:title=""/>
        </v:shape>
      </w:pict>
    </w:r>
    <w:r>
      <w:rPr/>
      <w:pict>
        <v:group style="position:absolute;margin-left:55.200001pt;margin-top:55.559982pt;width:480.35pt;height:.1pt;mso-position-horizontal-relative:page;mso-position-vertical-relative:page;z-index:-633136"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3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8.899994pt;margin-top:43.799973pt;width:38.399994pt;height:7.800003pt;mso-position-horizontal-relative:page;mso-position-vertical-relative:page;z-index:-633040" type="#_x0000_t75" stroked="false">
          <v:imagedata r:id="rId1" o:title=""/>
        </v:shape>
      </w:pict>
    </w:r>
    <w:r>
      <w:rPr/>
      <w:pict>
        <v:group style="position:absolute;margin-left:55.200001pt;margin-top:55.559982pt;width:480.35pt;height:.1pt;mso-position-horizontal-relative:page;mso-position-vertical-relative:page;z-index:-633016" coordorigin="1104,1111" coordsize="9607,2">
          <v:shape style="position:absolute;left:1104;top:1111;width:9607;height:2" coordorigin="1104,1111" coordsize="9607,0" path="m1104,1111l10711,1111e" filled="false" stroked="true" strokeweight=".72pt" strokecolor="#000000">
            <v:path arrowok="t"/>
          </v:shape>
          <w10:wrap type="none"/>
        </v:group>
      </w:pict>
    </w:r>
    <w:r>
      <w:rPr/>
      <w:pict>
        <v:shape style="position:absolute;margin-left:348.630005pt;margin-top:42.865608pt;width:186.6pt;height:11.5pt;mso-position-horizontal-relative:page;mso-position-vertical-relative:page;z-index:-632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上海海隆软件股份有限公司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152"/>
    </w:pPr>
    <w:rPr>
      <w:rFonts w:ascii="宋体" w:hAnsi="宋体" w:eastAsia="宋体"/>
      <w:sz w:val="24"/>
      <w:szCs w:val="24"/>
    </w:rPr>
  </w:style>
  <w:style w:styleId="BodyText" w:type="paragraph">
    <w:name w:val="Body Text"/>
    <w:basedOn w:val="Normal"/>
    <w:uiPriority w:val="1"/>
    <w:qFormat/>
    <w:pPr>
      <w:spacing w:before="36"/>
      <w:ind w:left="152"/>
    </w:pPr>
    <w:rPr>
      <w:rFonts w:ascii="宋体" w:hAnsi="宋体" w:eastAsia="宋体"/>
      <w:sz w:val="24"/>
      <w:szCs w:val="24"/>
    </w:rPr>
  </w:style>
  <w:style w:styleId="Heading1" w:type="paragraph">
    <w:name w:val="Heading 1"/>
    <w:basedOn w:val="Normal"/>
    <w:uiPriority w:val="1"/>
    <w:qFormat/>
    <w:pPr>
      <w:ind w:left="2612"/>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hyperlink" Target="http://www.hyron.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4.png"/><Relationship Id="rId21" Type="http://schemas.openxmlformats.org/officeDocument/2006/relationships/header" Target="header4.xml"/><Relationship Id="rId22" Type="http://schemas.openxmlformats.org/officeDocument/2006/relationships/footer" Target="footer8.xml"/><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header" Target="header6.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9.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image" Target="media/image5.jpe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footer" Target="footer16.xml"/><Relationship Id="rId39" Type="http://schemas.openxmlformats.org/officeDocument/2006/relationships/header" Target="header10.xml"/><Relationship Id="rId40" Type="http://schemas.openxmlformats.org/officeDocument/2006/relationships/footer" Target="footer17.xml"/><Relationship Id="rId41" Type="http://schemas.openxmlformats.org/officeDocument/2006/relationships/header" Target="header11.xml"/><Relationship Id="rId42" Type="http://schemas.openxmlformats.org/officeDocument/2006/relationships/footer" Target="footer18.xml"/><Relationship Id="rId43" Type="http://schemas.openxmlformats.org/officeDocument/2006/relationships/header" Target="header12.xml"/><Relationship Id="rId44" Type="http://schemas.openxmlformats.org/officeDocument/2006/relationships/footer" Target="footer19.xml"/><Relationship Id="rId45" Type="http://schemas.openxmlformats.org/officeDocument/2006/relationships/header" Target="header13.xml"/><Relationship Id="rId46" Type="http://schemas.openxmlformats.org/officeDocument/2006/relationships/footer" Target="footer20.xml"/><Relationship Id="rId47" Type="http://schemas.openxmlformats.org/officeDocument/2006/relationships/header" Target="header14.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header" Target="header15.xml"/><Relationship Id="rId51" Type="http://schemas.openxmlformats.org/officeDocument/2006/relationships/footer" Target="footer23.xml"/><Relationship Id="rId52" Type="http://schemas.openxmlformats.org/officeDocument/2006/relationships/header" Target="header16.xml"/><Relationship Id="rId53" Type="http://schemas.openxmlformats.org/officeDocument/2006/relationships/footer" Target="footer24.xml"/><Relationship Id="rId54" Type="http://schemas.openxmlformats.org/officeDocument/2006/relationships/header" Target="header17.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header" Target="header18.xml"/><Relationship Id="rId58" Type="http://schemas.openxmlformats.org/officeDocument/2006/relationships/footer" Target="footer27.xml"/><Relationship Id="rId59" Type="http://schemas.openxmlformats.org/officeDocument/2006/relationships/footer" Target="footer28.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19.xml"/><Relationship Id="rId63" Type="http://schemas.openxmlformats.org/officeDocument/2006/relationships/footer" Target="footer31.xml"/><Relationship Id="rId64" Type="http://schemas.openxmlformats.org/officeDocument/2006/relationships/footer" Target="footer32.xml"/><Relationship Id="rId65" Type="http://schemas.openxmlformats.org/officeDocument/2006/relationships/footer" Target="footer33.xml"/><Relationship Id="rId66" Type="http://schemas.openxmlformats.org/officeDocument/2006/relationships/header" Target="header20.xml"/><Relationship Id="rId67" Type="http://schemas.openxmlformats.org/officeDocument/2006/relationships/footer" Target="footer34.xml"/><Relationship Id="rId68" Type="http://schemas.openxmlformats.org/officeDocument/2006/relationships/header" Target="header21.xml"/><Relationship Id="rId69" Type="http://schemas.openxmlformats.org/officeDocument/2006/relationships/footer" Target="footer35.xml"/><Relationship Id="rId70" Type="http://schemas.openxmlformats.org/officeDocument/2006/relationships/footer" Target="footer36.xml"/><Relationship Id="rId71"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1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2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2020-05-04T00:25:16Z</dcterms:created>
  <dcterms:modified xsi:type="dcterms:W3CDTF">2020-05-04T00:25:16Z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Microsoft® Office Word 2007</vt:lpwstr>
  </property>
  <property fmtid="{D5CDD505-2E9C-101B-9397-08002B2CF9AE}" pid="4" name="LastSaved">
    <vt:filetime>2020-05-03T00:00:00Z</vt:filetime>
  </property>
</Properties>
</file>