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50"/>
        <w:ind w:left="125" w:right="1102" w:firstLine="0"/>
        <w:jc w:val="center"/>
        <w:rPr>
          <w:rFonts w:ascii="宋体" w:hAnsi="宋体" w:cs="宋体" w:eastAsia="宋体" w:hint="default"/>
          <w:sz w:val="36"/>
          <w:szCs w:val="36"/>
        </w:rPr>
      </w:pPr>
      <w:r>
        <w:rPr>
          <w:rFonts w:ascii="宋体" w:hAnsi="宋体" w:cs="宋体" w:eastAsia="宋体" w:hint="default"/>
          <w:b/>
          <w:bCs/>
          <w:sz w:val="36"/>
          <w:szCs w:val="36"/>
        </w:rPr>
        <w:t>上海二三四五网络控股集团股份有限公司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23" w:right="110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2"/>
          <w:szCs w:val="12"/>
        </w:rPr>
      </w:pPr>
    </w:p>
    <w:p>
      <w:pPr>
        <w:spacing w:line="1140" w:lineRule="exact"/>
        <w:ind w:left="1478" w:right="0" w:firstLine="0"/>
        <w:rPr>
          <w:rFonts w:ascii="宋体" w:hAnsi="宋体" w:cs="宋体" w:eastAsia="宋体" w:hint="default"/>
          <w:sz w:val="20"/>
          <w:szCs w:val="20"/>
        </w:rPr>
      </w:pPr>
      <w:r>
        <w:rPr>
          <w:rFonts w:ascii="宋体" w:hAnsi="宋体" w:cs="宋体" w:eastAsia="宋体" w:hint="default"/>
          <w:position w:val="-22"/>
          <w:sz w:val="20"/>
          <w:szCs w:val="20"/>
        </w:rPr>
        <w:drawing>
          <wp:inline distT="0" distB="0" distL="0" distR="0">
            <wp:extent cx="4448955" cy="7239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4448955" cy="723900"/>
                    </a:xfrm>
                    <a:prstGeom prst="rect">
                      <a:avLst/>
                    </a:prstGeom>
                  </pic:spPr>
                </pic:pic>
              </a:graphicData>
            </a:graphic>
          </wp:inline>
        </w:drawing>
      </w:r>
      <w:r>
        <w:rPr>
          <w:rFonts w:ascii="宋体" w:hAnsi="宋体" w:cs="宋体" w:eastAsia="宋体" w:hint="default"/>
          <w:position w:val="-22"/>
          <w:sz w:val="20"/>
          <w:szCs w:val="20"/>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6"/>
        <w:rPr>
          <w:rFonts w:ascii="宋体" w:hAnsi="宋体" w:cs="宋体" w:eastAsia="宋体" w:hint="default"/>
          <w:b/>
          <w:bCs/>
          <w:sz w:val="46"/>
          <w:szCs w:val="46"/>
        </w:rPr>
      </w:pPr>
    </w:p>
    <w:p>
      <w:pPr>
        <w:spacing w:before="0"/>
        <w:ind w:left="126" w:right="110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1"/>
        <w:ind w:right="1141" w:firstLine="562"/>
        <w:jc w:val="both"/>
        <w:rPr>
          <w:b w:val="0"/>
          <w:bCs w:val="0"/>
        </w:rPr>
      </w:pPr>
      <w:r>
        <w:rPr>
          <w:spacing w:val="3"/>
          <w:w w:val="95"/>
        </w:rPr>
        <w:t>本公司董事会、监事会及董事、监事、高级管理人员保证年度报告内容的</w:t>
      </w:r>
      <w:r>
        <w:rPr>
          <w:w w:val="99"/>
        </w:rPr>
        <w:t> </w:t>
      </w:r>
      <w:r>
        <w:rPr>
          <w:spacing w:val="3"/>
          <w:w w:val="95"/>
        </w:rPr>
        <w:t>真实、准确、完整，不存在虚假记载、误导性陈述或重大遗漏，并承担个别和</w:t>
      </w:r>
      <w:r>
        <w:rPr>
          <w:spacing w:val="23"/>
          <w:w w:val="95"/>
        </w:rPr>
        <w:t> </w:t>
      </w:r>
      <w:r>
        <w:rPr>
          <w:spacing w:val="23"/>
          <w:w w:val="95"/>
        </w:rPr>
      </w:r>
      <w:r>
        <w:rPr/>
        <w:t>连带的法律责任。</w:t>
      </w:r>
      <w:r>
        <w:rPr>
          <w:b w:val="0"/>
          <w:bCs w:val="0"/>
        </w:rPr>
      </w:r>
    </w:p>
    <w:p>
      <w:pPr>
        <w:pStyle w:val="Heading2"/>
        <w:spacing w:line="410" w:lineRule="auto" w:before="161"/>
        <w:ind w:right="1132" w:firstLine="562"/>
        <w:jc w:val="both"/>
        <w:rPr>
          <w:b w:val="0"/>
          <w:bCs w:val="0"/>
        </w:rPr>
      </w:pPr>
      <w:r>
        <w:rPr>
          <w:spacing w:val="-1"/>
          <w:w w:val="95"/>
        </w:rPr>
        <w:t>公司负责人包叔平、主管会计工作负责人陈于冰及会计机构负责人</w:t>
      </w:r>
      <w:r>
        <w:rPr>
          <w:rFonts w:ascii="宋体" w:hAnsi="宋体" w:cs="宋体" w:eastAsia="宋体" w:hint="default"/>
          <w:spacing w:val="-1"/>
          <w:w w:val="95"/>
        </w:rPr>
        <w:t>(</w:t>
      </w:r>
      <w:r>
        <w:rPr>
          <w:spacing w:val="-1"/>
          <w:w w:val="95"/>
        </w:rPr>
        <w:t>会计主</w:t>
      </w:r>
      <w:r>
        <w:rPr>
          <w:spacing w:val="1"/>
          <w:w w:val="99"/>
        </w:rPr>
        <w:t> </w:t>
      </w:r>
      <w:r>
        <w:rPr/>
        <w:t>管人员</w:t>
      </w:r>
      <w:r>
        <w:rPr>
          <w:rFonts w:ascii="宋体" w:hAnsi="宋体" w:cs="宋体" w:eastAsia="宋体" w:hint="default"/>
        </w:rPr>
        <w:t>)</w:t>
      </w:r>
      <w:r>
        <w:rPr/>
        <w:t>代小虎声明：保证年度报告中财务报告的真实、准确、完整。</w:t>
      </w:r>
      <w:r>
        <w:rPr>
          <w:b w:val="0"/>
          <w:bCs w:val="0"/>
        </w:rPr>
      </w:r>
    </w:p>
    <w:p>
      <w:pPr>
        <w:pStyle w:val="Heading2"/>
        <w:spacing w:line="240" w:lineRule="auto" w:before="158"/>
        <w:ind w:left="715" w:right="0"/>
        <w:jc w:val="left"/>
        <w:rPr>
          <w:b w:val="0"/>
          <w:bCs w:val="0"/>
        </w:rPr>
      </w:pPr>
      <w:r>
        <w:rPr/>
        <w:t>除下列董事外，其他董事亲自出席了审议本次年报的董事会会议</w:t>
      </w:r>
      <w:r>
        <w:rPr>
          <w:b w:val="0"/>
          <w:bCs w:val="0"/>
        </w:rPr>
      </w:r>
    </w:p>
    <w:p>
      <w:pPr>
        <w:spacing w:line="240" w:lineRule="auto" w:before="10"/>
        <w:rPr>
          <w:rFonts w:ascii="宋体" w:hAnsi="宋体" w:cs="宋体" w:eastAsia="宋体" w:hint="default"/>
          <w:b/>
          <w:bCs/>
          <w:sz w:val="20"/>
          <w:szCs w:val="20"/>
        </w:rPr>
      </w:pPr>
    </w:p>
    <w:tbl>
      <w:tblPr>
        <w:tblW w:w="0" w:type="auto"/>
        <w:jc w:val="left"/>
        <w:tblInd w:w="121" w:type="dxa"/>
        <w:tblLayout w:type="fixed"/>
        <w:tblCellMar>
          <w:top w:w="0" w:type="dxa"/>
          <w:left w:w="0" w:type="dxa"/>
          <w:bottom w:w="0" w:type="dxa"/>
          <w:right w:w="0" w:type="dxa"/>
        </w:tblCellMar>
        <w:tblLook w:val="01E0"/>
      </w:tblPr>
      <w:tblGrid>
        <w:gridCol w:w="2586"/>
        <w:gridCol w:w="2630"/>
        <w:gridCol w:w="2542"/>
        <w:gridCol w:w="1937"/>
      </w:tblGrid>
      <w:tr>
        <w:trPr>
          <w:trHeight w:val="401" w:hRule="exact"/>
        </w:trPr>
        <w:tc>
          <w:tcPr>
            <w:tcW w:w="2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未亲自出席董事姓名</w:t>
            </w:r>
            <w:r>
              <w:rPr>
                <w:rFonts w:ascii="宋体" w:hAnsi="宋体" w:cs="宋体" w:eastAsia="宋体" w:hint="default"/>
                <w:sz w:val="18"/>
                <w:szCs w:val="18"/>
              </w:rPr>
            </w:r>
          </w:p>
        </w:tc>
        <w:tc>
          <w:tcPr>
            <w:tcW w:w="2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未亲自出席董事职务</w:t>
            </w:r>
            <w:r>
              <w:rPr>
                <w:rFonts w:ascii="宋体" w:hAnsi="宋体" w:cs="宋体" w:eastAsia="宋体" w:hint="default"/>
                <w:sz w:val="18"/>
                <w:szCs w:val="18"/>
              </w:rPr>
            </w:r>
          </w:p>
        </w:tc>
        <w:tc>
          <w:tcPr>
            <w:tcW w:w="2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未亲自出席会议原因</w:t>
            </w:r>
            <w:r>
              <w:rPr>
                <w:rFonts w:ascii="宋体" w:hAnsi="宋体" w:cs="宋体" w:eastAsia="宋体" w:hint="default"/>
                <w:sz w:val="18"/>
                <w:szCs w:val="18"/>
              </w:rPr>
            </w:r>
          </w:p>
        </w:tc>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被委托人姓名</w:t>
            </w:r>
            <w:r>
              <w:rPr>
                <w:rFonts w:ascii="宋体" w:hAnsi="宋体" w:cs="宋体" w:eastAsia="宋体" w:hint="default"/>
                <w:sz w:val="18"/>
                <w:szCs w:val="18"/>
              </w:rPr>
            </w:r>
          </w:p>
        </w:tc>
      </w:tr>
      <w:tr>
        <w:trPr>
          <w:trHeight w:val="402" w:hRule="exact"/>
        </w:trPr>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庞升东</w:t>
            </w:r>
            <w:r>
              <w:rPr>
                <w:rFonts w:ascii="宋体" w:hAnsi="宋体" w:cs="宋体" w:eastAsia="宋体" w:hint="default"/>
                <w:sz w:val="18"/>
                <w:szCs w:val="18"/>
              </w:rPr>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董事</w:t>
            </w:r>
            <w:r>
              <w:rPr>
                <w:rFonts w:ascii="宋体" w:hAnsi="宋体" w:cs="宋体" w:eastAsia="宋体" w:hint="default"/>
                <w:sz w:val="18"/>
                <w:szCs w:val="18"/>
              </w:rPr>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因出差在外</w:t>
            </w:r>
            <w:r>
              <w:rPr>
                <w:rFonts w:ascii="宋体" w:hAnsi="宋体" w:cs="宋体" w:eastAsia="宋体" w:hint="default"/>
                <w:sz w:val="18"/>
                <w:szCs w:val="18"/>
              </w:rPr>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b/>
                <w:bCs/>
                <w:sz w:val="18"/>
                <w:szCs w:val="18"/>
              </w:rPr>
              <w:t>包叔平</w:t>
            </w:r>
            <w:r>
              <w:rPr>
                <w:rFonts w:ascii="宋体" w:hAnsi="宋体" w:cs="宋体" w:eastAsia="宋体" w:hint="default"/>
                <w:sz w:val="18"/>
                <w:szCs w:val="18"/>
              </w:rPr>
            </w:r>
          </w:p>
        </w:tc>
      </w:tr>
      <w:tr>
        <w:trPr>
          <w:trHeight w:val="403" w:hRule="exact"/>
        </w:trPr>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陈乐波</w:t>
            </w:r>
            <w:r>
              <w:rPr>
                <w:rFonts w:ascii="宋体" w:hAnsi="宋体" w:cs="宋体" w:eastAsia="宋体" w:hint="default"/>
                <w:sz w:val="18"/>
                <w:szCs w:val="18"/>
              </w:rPr>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独立董事</w:t>
            </w:r>
            <w:r>
              <w:rPr>
                <w:rFonts w:ascii="宋体" w:hAnsi="宋体" w:cs="宋体" w:eastAsia="宋体" w:hint="default"/>
                <w:sz w:val="18"/>
                <w:szCs w:val="18"/>
              </w:rPr>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因出差在外</w:t>
            </w:r>
            <w:r>
              <w:rPr>
                <w:rFonts w:ascii="宋体" w:hAnsi="宋体" w:cs="宋体" w:eastAsia="宋体" w:hint="default"/>
                <w:sz w:val="18"/>
                <w:szCs w:val="18"/>
              </w:rPr>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b/>
                <w:bCs/>
                <w:sz w:val="18"/>
                <w:szCs w:val="18"/>
              </w:rPr>
              <w:t>韩建法</w:t>
            </w:r>
            <w:r>
              <w:rPr>
                <w:rFonts w:ascii="宋体" w:hAnsi="宋体" w:cs="宋体" w:eastAsia="宋体" w:hint="default"/>
                <w:sz w:val="18"/>
                <w:szCs w:val="18"/>
              </w:rPr>
            </w:r>
          </w:p>
        </w:tc>
      </w:tr>
    </w:tbl>
    <w:p>
      <w:pPr>
        <w:spacing w:line="240" w:lineRule="auto" w:before="2"/>
        <w:rPr>
          <w:rFonts w:ascii="宋体" w:hAnsi="宋体" w:cs="宋体" w:eastAsia="宋体" w:hint="default"/>
          <w:b/>
          <w:bCs/>
          <w:sz w:val="13"/>
          <w:szCs w:val="13"/>
        </w:rPr>
      </w:pPr>
    </w:p>
    <w:p>
      <w:pPr>
        <w:pStyle w:val="Heading2"/>
        <w:spacing w:line="408" w:lineRule="auto" w:before="13"/>
        <w:ind w:right="1141" w:firstLine="562"/>
        <w:jc w:val="both"/>
        <w:rPr>
          <w:b w:val="0"/>
          <w:bCs w:val="0"/>
        </w:rPr>
      </w:pPr>
      <w:r>
        <w:rPr>
          <w:spacing w:val="3"/>
          <w:w w:val="95"/>
        </w:rPr>
        <w:t>本报告中所涉及的未来计划、发展战略等前瞻性描述不构成公司对投资者</w:t>
      </w:r>
      <w:r>
        <w:rPr>
          <w:w w:val="99"/>
        </w:rPr>
        <w:t> </w:t>
      </w:r>
      <w:r>
        <w:rPr>
          <w:spacing w:val="3"/>
          <w:w w:val="95"/>
        </w:rPr>
        <w:t>的实质承诺，投资者及相关人士均应当对此保持足够的风险认识，并且应当理</w:t>
      </w:r>
      <w:r>
        <w:rPr>
          <w:spacing w:val="23"/>
          <w:w w:val="95"/>
        </w:rPr>
        <w:t> </w:t>
      </w:r>
      <w:r>
        <w:rPr>
          <w:spacing w:val="23"/>
          <w:w w:val="95"/>
        </w:rPr>
      </w:r>
      <w:r>
        <w:rPr/>
        <w:t>解计划、预测与承诺之间的差异，敬请投资者注意投资风险。</w:t>
      </w:r>
      <w:r>
        <w:rPr>
          <w:b w:val="0"/>
          <w:bCs w:val="0"/>
        </w:rPr>
      </w:r>
    </w:p>
    <w:p>
      <w:pPr>
        <w:pStyle w:val="Heading2"/>
        <w:spacing w:line="408" w:lineRule="auto" w:before="160"/>
        <w:ind w:left="154" w:right="1133" w:firstLine="562"/>
        <w:jc w:val="both"/>
        <w:rPr>
          <w:b w:val="0"/>
          <w:bCs w:val="0"/>
        </w:rPr>
      </w:pPr>
      <w:r>
        <w:rPr>
          <w:spacing w:val="3"/>
          <w:w w:val="95"/>
        </w:rPr>
        <w:t>公司目前不存在影响公司正常经营的重大风险。公司日常经营中可能面临</w:t>
      </w:r>
      <w:r>
        <w:rPr>
          <w:w w:val="99"/>
        </w:rPr>
        <w:t> </w:t>
      </w:r>
      <w:r>
        <w:rPr/>
        <w:t>的风险因素详见“第四节</w:t>
      </w:r>
      <w:r>
        <w:rPr>
          <w:spacing w:val="-68"/>
        </w:rPr>
        <w:t> </w:t>
      </w:r>
      <w:r>
        <w:rPr/>
        <w:t>管理层讨论与分析”之“九、公司未来发展的展望”</w:t>
      </w:r>
      <w:r>
        <w:rPr>
          <w:w w:val="99"/>
        </w:rPr>
        <w:t> </w:t>
      </w:r>
      <w:r>
        <w:rPr/>
        <w:t>之“</w:t>
      </w:r>
      <w:r>
        <w:rPr>
          <w:rFonts w:ascii="宋体" w:hAnsi="宋体" w:cs="宋体" w:eastAsia="宋体" w:hint="default"/>
        </w:rPr>
        <w:t>4</w:t>
      </w:r>
      <w:r>
        <w:rPr/>
        <w:t>、可能面临的风险因素”。</w:t>
      </w:r>
      <w:r>
        <w:rPr>
          <w:b w:val="0"/>
          <w:bCs w:val="0"/>
        </w:rPr>
      </w:r>
    </w:p>
    <w:p>
      <w:pPr>
        <w:pStyle w:val="Heading2"/>
        <w:spacing w:line="408" w:lineRule="auto" w:before="161"/>
        <w:ind w:left="154" w:right="1133" w:firstLine="562"/>
        <w:jc w:val="both"/>
        <w:rPr>
          <w:b w:val="0"/>
          <w:bCs w:val="0"/>
        </w:rPr>
      </w:pPr>
      <w:r>
        <w:rPr>
          <w:spacing w:val="32"/>
        </w:rPr>
        <w:t>公司经本次董事会审议通过的利润分配预案为：</w:t>
      </w:r>
      <w:r>
        <w:rPr>
          <w:spacing w:val="-123"/>
        </w:rPr>
        <w:t> </w:t>
      </w:r>
      <w:r>
        <w:rPr>
          <w:spacing w:val="29"/>
        </w:rPr>
        <w:t>以公司最新总股</w:t>
      </w:r>
      <w:r>
        <w:rPr>
          <w:spacing w:val="-122"/>
        </w:rPr>
        <w:t> </w:t>
      </w:r>
      <w:r>
        <w:rPr/>
        <w:t>本</w:t>
      </w:r>
      <w:r>
        <w:rPr>
          <w:w w:val="99"/>
        </w:rPr>
        <w:t> </w:t>
      </w:r>
      <w:r>
        <w:rPr>
          <w:rFonts w:ascii="宋体" w:hAnsi="宋体" w:cs="宋体" w:eastAsia="宋体" w:hint="default"/>
          <w:w w:val="99"/>
        </w:rPr>
        <w:t>955,232,720</w:t>
      </w:r>
      <w:r>
        <w:rPr>
          <w:rFonts w:ascii="宋体" w:hAnsi="宋体" w:cs="宋体" w:eastAsia="宋体" w:hint="default"/>
          <w:spacing w:val="-61"/>
          <w:w w:val="99"/>
        </w:rPr>
        <w:t> </w:t>
      </w:r>
      <w:r>
        <w:rPr>
          <w:spacing w:val="-4"/>
          <w:w w:val="99"/>
        </w:rPr>
        <w:t>股为基数，向全体股东每</w:t>
      </w:r>
      <w:r>
        <w:rPr>
          <w:spacing w:val="-62"/>
          <w:w w:val="99"/>
        </w:rPr>
        <w:t> </w:t>
      </w:r>
      <w:r>
        <w:rPr>
          <w:rFonts w:ascii="宋体" w:hAnsi="宋体" w:cs="宋体" w:eastAsia="宋体" w:hint="default"/>
          <w:w w:val="99"/>
        </w:rPr>
        <w:t>10</w:t>
      </w:r>
      <w:r>
        <w:rPr>
          <w:rFonts w:ascii="宋体" w:hAnsi="宋体" w:cs="宋体" w:eastAsia="宋体" w:hint="default"/>
          <w:spacing w:val="-64"/>
          <w:w w:val="99"/>
        </w:rPr>
        <w:t> </w:t>
      </w:r>
      <w:r>
        <w:rPr>
          <w:w w:val="99"/>
        </w:rPr>
        <w:t>股派发现金红利</w:t>
      </w:r>
      <w:r>
        <w:rPr>
          <w:spacing w:val="-64"/>
          <w:w w:val="99"/>
        </w:rPr>
        <w:t> </w:t>
      </w:r>
      <w:r>
        <w:rPr>
          <w:rFonts w:ascii="宋体" w:hAnsi="宋体" w:cs="宋体" w:eastAsia="宋体" w:hint="default"/>
          <w:w w:val="99"/>
        </w:rPr>
        <w:t>1</w:t>
      </w:r>
      <w:r>
        <w:rPr>
          <w:rFonts w:ascii="宋体" w:hAnsi="宋体" w:cs="宋体" w:eastAsia="宋体" w:hint="default"/>
          <w:spacing w:val="-64"/>
          <w:w w:val="99"/>
        </w:rPr>
        <w:t> </w:t>
      </w:r>
      <w:r>
        <w:rPr>
          <w:spacing w:val="-26"/>
          <w:w w:val="99"/>
        </w:rPr>
        <w:t>元（含税），送红股</w:t>
      </w:r>
      <w:r>
        <w:rPr>
          <w:b w:val="0"/>
          <w:bCs w:val="0"/>
          <w:spacing w:val="-26"/>
        </w:rPr>
      </w:r>
    </w:p>
    <w:p>
      <w:pPr>
        <w:pStyle w:val="Heading2"/>
        <w:spacing w:line="240" w:lineRule="auto" w:before="62"/>
        <w:ind w:left="154" w:right="0"/>
        <w:jc w:val="left"/>
        <w:rPr>
          <w:b w:val="0"/>
          <w:bCs w:val="0"/>
        </w:rPr>
      </w:pPr>
      <w:r>
        <w:rPr>
          <w:rFonts w:ascii="宋体" w:hAnsi="宋体" w:cs="宋体" w:eastAsia="宋体" w:hint="default"/>
          <w:w w:val="99"/>
        </w:rPr>
        <w:t>0</w:t>
      </w:r>
      <w:r>
        <w:rPr>
          <w:rFonts w:ascii="宋体" w:hAnsi="宋体" w:cs="宋体" w:eastAsia="宋体" w:hint="default"/>
          <w:spacing w:val="-69"/>
        </w:rPr>
        <w:t> </w:t>
      </w:r>
      <w:r>
        <w:rPr>
          <w:w w:val="99"/>
        </w:rPr>
        <w:t>股（含税</w:t>
      </w:r>
      <w:r>
        <w:rPr>
          <w:spacing w:val="-140"/>
          <w:w w:val="99"/>
        </w:rPr>
        <w:t>）</w:t>
      </w:r>
      <w:r>
        <w:rPr>
          <w:w w:val="99"/>
        </w:rPr>
        <w:t>，</w:t>
      </w:r>
      <w:r>
        <w:rPr>
          <w:spacing w:val="2"/>
          <w:w w:val="99"/>
        </w:rPr>
        <w:t>以</w:t>
      </w:r>
      <w:r>
        <w:rPr>
          <w:w w:val="99"/>
        </w:rPr>
        <w:t>资本公</w:t>
      </w:r>
      <w:r>
        <w:rPr>
          <w:spacing w:val="2"/>
          <w:w w:val="99"/>
        </w:rPr>
        <w:t>积</w:t>
      </w:r>
      <w:r>
        <w:rPr>
          <w:w w:val="99"/>
        </w:rPr>
        <w:t>金向全</w:t>
      </w:r>
      <w:r>
        <w:rPr>
          <w:spacing w:val="2"/>
          <w:w w:val="99"/>
        </w:rPr>
        <w:t>体</w:t>
      </w:r>
      <w:r>
        <w:rPr>
          <w:w w:val="99"/>
        </w:rPr>
        <w:t>股东每</w:t>
      </w:r>
      <w:r>
        <w:rPr>
          <w:spacing w:val="-64"/>
        </w:rPr>
        <w:t> </w:t>
      </w:r>
      <w:r>
        <w:rPr>
          <w:rFonts w:ascii="宋体" w:hAnsi="宋体" w:cs="宋体" w:eastAsia="宋体" w:hint="default"/>
          <w:spacing w:val="1"/>
          <w:w w:val="99"/>
        </w:rPr>
        <w:t>1</w:t>
      </w:r>
      <w:r>
        <w:rPr>
          <w:rFonts w:ascii="宋体" w:hAnsi="宋体" w:cs="宋体" w:eastAsia="宋体" w:hint="default"/>
          <w:w w:val="99"/>
        </w:rPr>
        <w:t>0</w:t>
      </w:r>
      <w:r>
        <w:rPr>
          <w:rFonts w:ascii="宋体" w:hAnsi="宋体" w:cs="宋体" w:eastAsia="宋体" w:hint="default"/>
          <w:spacing w:val="-69"/>
        </w:rPr>
        <w:t> </w:t>
      </w:r>
      <w:r>
        <w:rPr>
          <w:spacing w:val="1"/>
          <w:w w:val="99"/>
        </w:rPr>
        <w:t>股转</w:t>
      </w:r>
      <w:r>
        <w:rPr>
          <w:w w:val="99"/>
        </w:rPr>
        <w:t>增</w:t>
      </w:r>
      <w:r>
        <w:rPr>
          <w:spacing w:val="-71"/>
        </w:rPr>
        <w:t> </w:t>
      </w:r>
      <w:r>
        <w:rPr>
          <w:rFonts w:ascii="宋体" w:hAnsi="宋体" w:cs="宋体" w:eastAsia="宋体" w:hint="default"/>
          <w:spacing w:val="1"/>
          <w:w w:val="99"/>
        </w:rPr>
        <w:t>1</w:t>
      </w:r>
      <w:r>
        <w:rPr>
          <w:rFonts w:ascii="宋体" w:hAnsi="宋体" w:cs="宋体" w:eastAsia="宋体" w:hint="default"/>
          <w:w w:val="99"/>
        </w:rPr>
        <w:t>0</w:t>
      </w:r>
      <w:r>
        <w:rPr>
          <w:rFonts w:ascii="宋体" w:hAnsi="宋体" w:cs="宋体" w:eastAsia="宋体" w:hint="default"/>
          <w:spacing w:val="-69"/>
        </w:rPr>
        <w:t> </w:t>
      </w:r>
      <w:r>
        <w:rPr>
          <w:spacing w:val="1"/>
          <w:w w:val="99"/>
        </w:rPr>
        <w:t>股。</w:t>
      </w:r>
      <w:r>
        <w:rPr>
          <w:b w:val="0"/>
          <w:bCs w:val="0"/>
        </w:rPr>
      </w:r>
    </w:p>
    <w:p>
      <w:pPr>
        <w:spacing w:after="0" w:line="240" w:lineRule="auto"/>
        <w:jc w:val="left"/>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126" w:right="110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管理层讨论与分析</w:t>
            </w:r>
            <w:r>
              <w:rPr>
                <w:rFonts w:ascii="Times New Roman" w:hAnsi="Times New Roman" w:cs="Times New Roman" w:eastAsia="Times New Roman" w:hint="default"/>
              </w:rPr>
              <w:tab/>
              <w:t>33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47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财务报告</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20"/>
              </w:rPr>
              <w:t> </w:t>
            </w:r>
            <w:r>
              <w:rPr/>
              <w:t>备查文件目录</w:t>
            </w:r>
            <w:r>
              <w:rPr>
                <w:rFonts w:ascii="Times New Roman" w:hAnsi="Times New Roman" w:cs="Times New Roman" w:eastAsia="Times New Roman" w:hint="default"/>
              </w:rPr>
              <w:tab/>
              <w:t>174</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before="946"/>
        <w:ind w:left="126" w:right="110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609"/>
        <w:gridCol w:w="5424"/>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二三四五、本公司、本企业、公司</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上海二三四五网络控股集团股份有限公司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网络科技子公司</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上海二三四五网络科技有限公司，系公司全资子公司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金融子公司</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上海二三四五海隆金融信息服务有限公司，系公司全资子公司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海隆软件</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上海海隆软件有限公司，系公司全资子公司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中银消费金融</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2"/>
              <w:jc w:val="left"/>
              <w:rPr>
                <w:rFonts w:ascii="宋体" w:hAnsi="宋体" w:cs="宋体" w:eastAsia="宋体" w:hint="default"/>
                <w:sz w:val="18"/>
                <w:szCs w:val="18"/>
              </w:rPr>
            </w:pPr>
            <w:r>
              <w:rPr>
                <w:rFonts w:ascii="宋体" w:hAnsi="宋体" w:cs="宋体" w:eastAsia="宋体" w:hint="default"/>
                <w:spacing w:val="-2"/>
                <w:sz w:val="18"/>
                <w:szCs w:val="18"/>
              </w:rPr>
              <w:t>中国银行控股的中银消费金融有限公司，系首批获得中国银行业监督</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管理委员会消费金融公司牌照的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家企业之一</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109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重大资产重组、本次重组</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04" w:lineRule="auto" w:before="51"/>
              <w:ind w:left="16" w:right="81"/>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年第一次临时股东大会决议及中 国证券监督管理委员会证监许可</w:t>
            </w:r>
            <w:r>
              <w:rPr>
                <w:rFonts w:ascii="Times New Roman" w:hAnsi="Times New Roman" w:cs="Times New Roman" w:eastAsia="Times New Roman" w:hint="default"/>
                <w:sz w:val="18"/>
                <w:szCs w:val="18"/>
              </w:rPr>
              <w:t>[2014]760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号《关于核准上海海隆软 件股份有限公司向庞升东等发行股份购买资产并募集配套资金的批 </w:t>
            </w:r>
            <w:r>
              <w:rPr>
                <w:rFonts w:ascii="宋体" w:hAnsi="宋体" w:cs="宋体" w:eastAsia="宋体" w:hint="default"/>
                <w:spacing w:val="-13"/>
                <w:sz w:val="18"/>
                <w:szCs w:val="18"/>
              </w:rPr>
              <w:t>复》，</w:t>
            </w:r>
            <w:r>
              <w:rPr>
                <w:rFonts w:ascii="Times New Roman" w:hAnsi="Times New Roman" w:cs="Times New Roman" w:eastAsia="Times New Roman" w:hint="default"/>
                <w:spacing w:val="-13"/>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月公司按照每股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14.96 </w:t>
            </w:r>
            <w:r>
              <w:rPr>
                <w:rFonts w:ascii="宋体" w:hAnsi="宋体" w:cs="宋体" w:eastAsia="宋体" w:hint="default"/>
                <w:sz w:val="18"/>
                <w:szCs w:val="18"/>
              </w:rPr>
              <w:t>元，发行人民币普通股</w:t>
            </w:r>
          </w:p>
          <w:p>
            <w:pPr>
              <w:pStyle w:val="TableParagraph"/>
              <w:spacing w:line="300" w:lineRule="auto" w:before="9"/>
              <w:ind w:left="16" w:right="65"/>
              <w:jc w:val="both"/>
              <w:rPr>
                <w:rFonts w:ascii="宋体" w:hAnsi="宋体" w:cs="宋体" w:eastAsia="宋体" w:hint="default"/>
                <w:sz w:val="18"/>
                <w:szCs w:val="18"/>
              </w:rPr>
            </w:pPr>
            <w:r>
              <w:rPr>
                <w:rFonts w:ascii="Times New Roman" w:hAnsi="Times New Roman" w:cs="Times New Roman" w:eastAsia="Times New Roman" w:hint="default"/>
                <w:sz w:val="18"/>
                <w:szCs w:val="18"/>
              </w:rPr>
              <w:t>177,139,026 </w:t>
            </w:r>
            <w:r>
              <w:rPr>
                <w:rFonts w:ascii="宋体" w:hAnsi="宋体" w:cs="宋体" w:eastAsia="宋体" w:hint="default"/>
                <w:sz w:val="18"/>
                <w:szCs w:val="18"/>
              </w:rPr>
              <w:t>股，用于购买上海二三四五网络科技有限公司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34.51%</w:t>
            </w:r>
            <w:r>
              <w:rPr>
                <w:rFonts w:ascii="宋体" w:hAnsi="宋体" w:cs="宋体" w:eastAsia="宋体" w:hint="default"/>
                <w:sz w:val="18"/>
                <w:szCs w:val="18"/>
              </w:rPr>
              <w:t>股 权、吉隆瑞美信息咨询有限公司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股权、吉隆瑞信投资有限公司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股权；发行人民币普通股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59,024,062 </w:t>
            </w:r>
            <w:r>
              <w:rPr>
                <w:rFonts w:ascii="宋体" w:hAnsi="宋体" w:cs="宋体" w:eastAsia="宋体" w:hint="default"/>
                <w:sz w:val="18"/>
                <w:szCs w:val="18"/>
              </w:rPr>
              <w:t>股用于配套募集资金，变</w:t>
            </w:r>
          </w:p>
          <w:p>
            <w:pPr>
              <w:pStyle w:val="TableParagraph"/>
              <w:spacing w:line="240" w:lineRule="auto" w:before="14"/>
              <w:ind w:left="16" w:right="0"/>
              <w:jc w:val="left"/>
              <w:rPr>
                <w:rFonts w:ascii="宋体" w:hAnsi="宋体" w:cs="宋体" w:eastAsia="宋体" w:hint="default"/>
                <w:sz w:val="18"/>
                <w:szCs w:val="18"/>
              </w:rPr>
            </w:pPr>
            <w:r>
              <w:rPr>
                <w:rFonts w:ascii="宋体" w:hAnsi="宋体" w:cs="宋体" w:eastAsia="宋体" w:hint="default"/>
                <w:sz w:val="18"/>
                <w:szCs w:val="18"/>
              </w:rPr>
              <w:t>更后的注册资本为人民币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34,949.3088 </w:t>
            </w:r>
            <w:r>
              <w:rPr>
                <w:rFonts w:ascii="宋体" w:hAnsi="宋体" w:cs="宋体" w:eastAsia="宋体" w:hint="default"/>
                <w:sz w:val="18"/>
                <w:szCs w:val="18"/>
              </w:rPr>
              <w:t>万元。</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097"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785"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6" w:lineRule="auto"/>
              <w:ind w:left="22" w:right="75"/>
              <w:jc w:val="left"/>
              <w:rPr>
                <w:rFonts w:ascii="宋体" w:hAnsi="宋体" w:cs="宋体" w:eastAsia="宋体" w:hint="default"/>
                <w:sz w:val="18"/>
                <w:szCs w:val="18"/>
              </w:rPr>
            </w:pPr>
            <w:r>
              <w:rPr>
                <w:rFonts w:ascii="宋体" w:hAnsi="宋体" w:cs="宋体" w:eastAsia="宋体" w:hint="default"/>
                <w:sz w:val="18"/>
                <w:szCs w:val="18"/>
              </w:rPr>
              <w:t>非公开发行股票、非公司发行股票预案、本 次非公开发行</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04" w:lineRule="auto" w:before="51"/>
              <w:ind w:left="16" w:right="22"/>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日召开的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年年度股东大会决议及中国证券监 </w:t>
            </w:r>
            <w:r>
              <w:rPr>
                <w:rFonts w:ascii="宋体" w:hAnsi="宋体" w:cs="宋体" w:eastAsia="宋体" w:hint="default"/>
                <w:spacing w:val="-2"/>
                <w:sz w:val="18"/>
                <w:szCs w:val="18"/>
              </w:rPr>
              <w:t>督管理委员会《关于核准上海二三四五网络控股集团股份有限公司非</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4"/>
                <w:sz w:val="18"/>
                <w:szCs w:val="18"/>
              </w:rPr>
              <w:t>公开发行股票的批复》（证监许可【</w:t>
            </w:r>
            <w:r>
              <w:rPr>
                <w:rFonts w:ascii="Times New Roman" w:hAnsi="Times New Roman" w:cs="Times New Roman" w:eastAsia="Times New Roman" w:hint="default"/>
                <w:spacing w:val="-4"/>
                <w:sz w:val="18"/>
                <w:szCs w:val="18"/>
              </w:rPr>
              <w:t>2015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3140</w:t>
            </w:r>
            <w:r>
              <w:rPr>
                <w:rFonts w:ascii="Times New Roman" w:hAnsi="Times New Roman" w:cs="Times New Roman" w:eastAsia="Times New Roman" w:hint="default"/>
                <w:sz w:val="18"/>
                <w:szCs w:val="18"/>
              </w:rPr>
              <w:t> </w:t>
            </w:r>
            <w:r>
              <w:rPr>
                <w:rFonts w:ascii="宋体" w:hAnsi="宋体" w:cs="宋体" w:eastAsia="宋体" w:hint="default"/>
                <w:sz w:val="18"/>
                <w:szCs w:val="18"/>
              </w:rPr>
              <w:t>号）核准，同意上海</w:t>
            </w:r>
            <w:r>
              <w:rPr>
                <w:rFonts w:ascii="宋体" w:hAnsi="宋体" w:cs="宋体" w:eastAsia="宋体" w:hint="default"/>
                <w:spacing w:val="-81"/>
                <w:sz w:val="18"/>
                <w:szCs w:val="18"/>
              </w:rPr>
              <w:t> </w:t>
            </w:r>
            <w:r>
              <w:rPr>
                <w:rFonts w:ascii="宋体" w:hAnsi="宋体" w:cs="宋体" w:eastAsia="宋体" w:hint="default"/>
                <w:sz w:val="18"/>
                <w:szCs w:val="18"/>
              </w:rPr>
              <w:t>二三四五网络控股集团股份有限公司非公开发行不超过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100,360,500 </w:t>
            </w:r>
            <w:r>
              <w:rPr>
                <w:rFonts w:ascii="宋体" w:hAnsi="宋体" w:cs="宋体" w:eastAsia="宋体" w:hint="default"/>
                <w:sz w:val="18"/>
                <w:szCs w:val="18"/>
              </w:rPr>
              <w:t>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股股票，本次实际发行数量为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83,500,000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股，发行价格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240" w:lineRule="auto" w:before="10"/>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股。发行完成后的注册资本变为人民币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95,523.272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785"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《上海二三四五网络控集团股份有限公司章程》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72.779968pt;width:361.5pt;height:19.6pt;mso-position-horizontal-relative:page;mso-position-vertical-relative:page;z-index:-922984"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0"/>
        <w:jc w:val="left"/>
        <w:rPr>
          <w:b w:val="0"/>
          <w:bCs w:val="0"/>
        </w:rPr>
      </w:pP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二三四五</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002195</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上海二三四五网络控股集团股份有限公司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二三四五</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Shanghai 2345 Network Holding Group Co.,</w:t>
            </w:r>
            <w:r>
              <w:rPr>
                <w:rFonts w:ascii="Times New Roman"/>
                <w:spacing w:val="-4"/>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2345 Network</w:t>
            </w:r>
            <w:r>
              <w:rPr>
                <w:rFonts w:ascii="Times New Roman"/>
                <w:spacing w:val="-3"/>
                <w:sz w:val="18"/>
              </w:rPr>
              <w:t> </w:t>
            </w:r>
            <w:r>
              <w:rPr>
                <w:rFonts w:ascii="Times New Roman"/>
                <w:sz w:val="18"/>
              </w:rPr>
              <w:t>Holding</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包叔平</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上海市徐汇区宜山路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200233</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上海市徐汇区宜山路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号普天信息产业园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200233</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http://www.2345hyron.com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stock@2345.com</w:t>
              </w:r>
            </w:hyperlink>
          </w:p>
        </w:tc>
      </w:tr>
    </w:tbl>
    <w:p>
      <w:pPr>
        <w:spacing w:line="240" w:lineRule="auto" w:before="2"/>
        <w:rPr>
          <w:rFonts w:ascii="宋体" w:hAnsi="宋体" w:cs="宋体" w:eastAsia="宋体" w:hint="default"/>
          <w:b/>
          <w:bCs/>
          <w:sz w:val="18"/>
          <w:szCs w:val="18"/>
        </w:rPr>
      </w:pPr>
    </w:p>
    <w:p>
      <w:pPr>
        <w:pStyle w:val="Heading4"/>
        <w:spacing w:line="240" w:lineRule="auto" w:before="26"/>
        <w:ind w:left="154"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邱俊祺</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上海市徐汇区宜山路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号普天信息产</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业园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楼</w:t>
            </w:r>
          </w:p>
        </w:tc>
        <w:tc>
          <w:tcPr>
            <w:tcW w:w="3190" w:type="dxa"/>
            <w:vMerge w:val="restart"/>
            <w:tcBorders>
              <w:top w:val="single" w:sz="4" w:space="0" w:color="000000"/>
              <w:left w:val="single" w:sz="4" w:space="0" w:color="000000"/>
              <w:right w:val="single" w:sz="4" w:space="0" w:color="000000"/>
            </w:tcBorders>
          </w:tcPr>
          <w:p>
            <w:pP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021-64822345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021-64822236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stock@2345.com</w:t>
              </w:r>
            </w:hyperlink>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4"/>
        <w:spacing w:line="240" w:lineRule="auto" w:before="26"/>
        <w:ind w:left="154"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4"/>
        <w:spacing w:line="240" w:lineRule="auto" w:before="26"/>
        <w:ind w:right="0"/>
        <w:jc w:val="left"/>
        <w:rPr>
          <w:b w:val="0"/>
          <w:bCs w:val="0"/>
        </w:rPr>
      </w:pPr>
      <w:bookmarkStart w:name="四、注册变更情况" w:id="7"/>
      <w:bookmarkEnd w:id="7"/>
      <w:r>
        <w:rPr>
          <w:b w:val="0"/>
          <w:bCs w:val="0"/>
        </w:rPr>
      </w: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4"/>
          <w:szCs w:val="24"/>
        </w:rPr>
      </w:pPr>
    </w:p>
    <w:p>
      <w:pPr>
        <w:pStyle w:val="BodyText"/>
        <w:spacing w:line="240" w:lineRule="auto"/>
        <w:ind w:left="0" w:right="1139"/>
        <w:jc w:val="right"/>
      </w:pPr>
      <w:r>
        <w:rPr/>
        <w:pict>
          <v:shape style="position:absolute;margin-left:56.459999pt;margin-top:-38.548283pt;width:479.2pt;height:203.2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统一社会信用代码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91310000607203699D</w:t>
                        </w:r>
                      </w:p>
                    </w:tc>
                  </w:tr>
                  <w:tr>
                    <w:trPr>
                      <w:trHeight w:val="1066"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日，公司的主营业务为软件外包服务。</w:t>
                        </w:r>
                      </w:p>
                      <w:p>
                        <w:pPr>
                          <w:pStyle w:val="TableParagraph"/>
                          <w:spacing w:line="302" w:lineRule="auto" w:before="103"/>
                          <w:ind w:left="23" w:right="11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23"/>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23"/>
                            <w:sz w:val="18"/>
                            <w:szCs w:val="18"/>
                          </w:rPr>
                          <w:t>，</w:t>
                        </w:r>
                        <w:r>
                          <w:rPr>
                            <w:rFonts w:ascii="宋体" w:hAnsi="宋体" w:cs="宋体" w:eastAsia="宋体" w:hint="default"/>
                            <w:sz w:val="18"/>
                            <w:szCs w:val="18"/>
                          </w:rPr>
                          <w:t>公</w:t>
                        </w:r>
                        <w:r>
                          <w:rPr>
                            <w:rFonts w:ascii="宋体" w:hAnsi="宋体" w:cs="宋体" w:eastAsia="宋体" w:hint="default"/>
                            <w:spacing w:val="1"/>
                            <w:sz w:val="18"/>
                            <w:szCs w:val="18"/>
                          </w:rPr>
                          <w:t>司</w:t>
                        </w:r>
                        <w:r>
                          <w:rPr>
                            <w:rFonts w:ascii="宋体" w:hAnsi="宋体" w:cs="宋体" w:eastAsia="宋体" w:hint="default"/>
                            <w:sz w:val="18"/>
                            <w:szCs w:val="18"/>
                          </w:rPr>
                          <w:t>完成重大资产重组</w:t>
                        </w:r>
                        <w:r>
                          <w:rPr>
                            <w:rFonts w:ascii="宋体" w:hAnsi="宋体" w:cs="宋体" w:eastAsia="宋体" w:hint="default"/>
                            <w:spacing w:val="-23"/>
                            <w:sz w:val="18"/>
                            <w:szCs w:val="18"/>
                          </w:rPr>
                          <w:t>。</w:t>
                        </w:r>
                        <w:r>
                          <w:rPr>
                            <w:rFonts w:ascii="宋体" w:hAnsi="宋体" w:cs="宋体" w:eastAsia="宋体" w:hint="default"/>
                            <w:sz w:val="18"/>
                            <w:szCs w:val="18"/>
                          </w:rPr>
                          <w:t>截至目前</w:t>
                        </w:r>
                        <w:r>
                          <w:rPr>
                            <w:rFonts w:ascii="宋体" w:hAnsi="宋体" w:cs="宋体" w:eastAsia="宋体" w:hint="default"/>
                            <w:spacing w:val="-23"/>
                            <w:sz w:val="18"/>
                            <w:szCs w:val="18"/>
                          </w:rPr>
                          <w:t>，</w:t>
                        </w:r>
                        <w:r>
                          <w:rPr>
                            <w:rFonts w:ascii="宋体" w:hAnsi="宋体" w:cs="宋体" w:eastAsia="宋体" w:hint="default"/>
                            <w:sz w:val="18"/>
                            <w:szCs w:val="18"/>
                          </w:rPr>
                          <w:t>公司主营业务为</w:t>
                        </w:r>
                        <w:r>
                          <w:rPr>
                            <w:rFonts w:ascii="宋体" w:hAnsi="宋体" w:cs="宋体" w:eastAsia="宋体" w:hint="default"/>
                            <w:spacing w:val="-113"/>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 </w:t>
                        </w:r>
                        <w:r>
                          <w:rPr>
                            <w:rFonts w:ascii="宋体" w:hAnsi="宋体" w:cs="宋体" w:eastAsia="宋体" w:hint="default"/>
                            <w:sz w:val="18"/>
                            <w:szCs w:val="18"/>
                          </w:rPr>
                          <w:t>互联网信息服务</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）互联网金融服务</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）软件外包服务。</w:t>
                        </w:r>
                      </w:p>
                    </w:tc>
                  </w:tr>
                  <w:tr>
                    <w:trPr>
                      <w:trHeight w:val="2587"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公司无控股股东，公司实际控制人为包叔平先生，中国国籍，</w:t>
                        </w:r>
                        <w:r>
                          <w:rPr>
                            <w:rFonts w:ascii="Times New Roman" w:hAnsi="Times New Roman" w:cs="Times New Roman" w:eastAsia="Times New Roman" w:hint="default"/>
                            <w:sz w:val="18"/>
                            <w:szCs w:val="18"/>
                          </w:rPr>
                          <w:t>1955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年生，博士学 历。现任本公司董事长，日本海隆株式会社董事长，上海华钟计算机软件开发有 限公司董事长，江苏海隆软件技术有限公司董事长，上海艾云慧信创业投资有限 公司副董事长，曲水信佳科技有限公司执行董事，上海海隆软件有限公司董事长 </w:t>
                        </w:r>
                        <w:r>
                          <w:rPr>
                            <w:rFonts w:ascii="宋体" w:hAnsi="宋体" w:cs="宋体" w:eastAsia="宋体" w:hint="default"/>
                            <w:spacing w:val="-1"/>
                            <w:sz w:val="18"/>
                            <w:szCs w:val="18"/>
                          </w:rPr>
                          <w:t>截至报告期末，包叔平先生合计持有公司</w:t>
                        </w:r>
                        <w:r>
                          <w:rPr>
                            <w:rFonts w:ascii="宋体" w:hAnsi="宋体" w:cs="宋体" w:eastAsia="宋体" w:hint="default"/>
                            <w:spacing w:val="-36"/>
                            <w:sz w:val="18"/>
                            <w:szCs w:val="18"/>
                          </w:rPr>
                          <w:t> </w:t>
                        </w:r>
                        <w:r>
                          <w:rPr>
                            <w:rFonts w:ascii="Times New Roman" w:hAnsi="Times New Roman" w:cs="Times New Roman" w:eastAsia="Times New Roman" w:hint="default"/>
                            <w:spacing w:val="-2"/>
                            <w:sz w:val="18"/>
                            <w:szCs w:val="18"/>
                          </w:rPr>
                          <w:t>27.01%</w:t>
                        </w:r>
                        <w:r>
                          <w:rPr>
                            <w:rFonts w:ascii="宋体" w:hAnsi="宋体" w:cs="宋体" w:eastAsia="宋体" w:hint="default"/>
                            <w:spacing w:val="-2"/>
                            <w:sz w:val="18"/>
                            <w:szCs w:val="18"/>
                          </w:rPr>
                          <w:t>的投票权。报告期内，公司实际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控制人未发生变化。</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月，因公司非公开发行股票及包叔平先生解除与其 一致行动人的一致行动协议，截至本报告披露之日，包叔平先生合计持有公司 </w:t>
                        </w:r>
                        <w:r>
                          <w:rPr>
                            <w:rFonts w:ascii="Times New Roman" w:hAnsi="Times New Roman" w:cs="Times New Roman" w:eastAsia="Times New Roman" w:hint="default"/>
                            <w:sz w:val="18"/>
                            <w:szCs w:val="18"/>
                          </w:rPr>
                          <w:t>20.42%</w:t>
                        </w:r>
                        <w:r>
                          <w:rPr>
                            <w:rFonts w:ascii="宋体" w:hAnsi="宋体" w:cs="宋体" w:eastAsia="宋体" w:hint="default"/>
                            <w:sz w:val="18"/>
                            <w:szCs w:val="18"/>
                          </w:rPr>
                          <w:t>的投票权，仍为公司实际控制人。</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BodyText"/>
        <w:spacing w:line="240" w:lineRule="auto"/>
        <w:ind w:left="0" w:right="113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Heading4"/>
        <w:spacing w:line="240" w:lineRule="auto" w:before="26"/>
        <w:ind w:left="154" w:right="0"/>
        <w:jc w:val="left"/>
        <w:rPr>
          <w:b w:val="0"/>
          <w:bCs w:val="0"/>
        </w:rPr>
      </w:pPr>
      <w:bookmarkStart w:name="五、其他有关资料" w:id="8"/>
      <w:bookmarkEnd w:id="8"/>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3" w:right="0"/>
        <w:jc w:val="left"/>
      </w:pPr>
      <w:r>
        <w:rPr/>
        <w:t>公司聘请的会计师事务所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郑斌、范翃</w:t>
            </w:r>
          </w:p>
        </w:tc>
      </w:tr>
    </w:tbl>
    <w:p>
      <w:pPr>
        <w:pStyle w:val="BodyText"/>
        <w:spacing w:line="240" w:lineRule="auto" w:before="51"/>
        <w:ind w:right="0"/>
        <w:jc w:val="left"/>
      </w:pPr>
      <w:r>
        <w:rPr/>
        <w:t>公司聘请的报告期内履行持续督导职责的保荐机构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东吴证券股份有限公司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97"/>
              <w:jc w:val="left"/>
              <w:rPr>
                <w:rFonts w:ascii="宋体" w:hAnsi="宋体" w:cs="宋体" w:eastAsia="宋体" w:hint="default"/>
                <w:sz w:val="18"/>
                <w:szCs w:val="18"/>
              </w:rPr>
            </w:pPr>
            <w:r>
              <w:rPr>
                <w:rFonts w:ascii="宋体" w:hAnsi="宋体" w:cs="宋体" w:eastAsia="宋体" w:hint="default"/>
                <w:sz w:val="18"/>
                <w:szCs w:val="18"/>
              </w:rPr>
              <w:t>江苏省苏州市工业园区星阳 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祁俊伟、钟名刚</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2016-2017</w:t>
            </w:r>
          </w:p>
        </w:tc>
      </w:tr>
    </w:tbl>
    <w:p>
      <w:pPr>
        <w:pStyle w:val="BodyText"/>
        <w:spacing w:line="240" w:lineRule="auto" w:before="51"/>
        <w:ind w:right="0"/>
        <w:jc w:val="left"/>
      </w:pPr>
      <w:r>
        <w:rPr/>
        <w:t>公司聘请的报告期内履行持续督导职责的财务顾问</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东吴证券股份有限公司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江苏省苏州市工业园区星阳 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祁俊伟、郑中巧</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2014-2015</w:t>
            </w:r>
          </w:p>
        </w:tc>
      </w:tr>
    </w:tbl>
    <w:p>
      <w:pPr>
        <w:spacing w:line="240" w:lineRule="auto" w:before="2"/>
        <w:rPr>
          <w:rFonts w:ascii="宋体" w:hAnsi="宋体" w:cs="宋体" w:eastAsia="宋体" w:hint="default"/>
          <w:sz w:val="18"/>
          <w:szCs w:val="18"/>
        </w:rPr>
      </w:pPr>
    </w:p>
    <w:p>
      <w:pPr>
        <w:pStyle w:val="Heading4"/>
        <w:spacing w:line="240" w:lineRule="auto" w:before="26"/>
        <w:ind w:left="154" w:right="0"/>
        <w:jc w:val="left"/>
        <w:rPr>
          <w:b w:val="0"/>
          <w:bCs w:val="0"/>
        </w:rPr>
      </w:pPr>
      <w:bookmarkStart w:name="六、主要会计数据和财务指标" w:id="9"/>
      <w:bookmarkEnd w:id="9"/>
      <w:r>
        <w:rPr>
          <w:b w:val="0"/>
          <w:bCs w:val="0"/>
        </w:rPr>
      </w:r>
      <w:r>
        <w:rPr/>
        <w:t>六、主要会计数据和财务指标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3" w:right="0"/>
        <w:jc w:val="left"/>
      </w:pPr>
      <w:r>
        <w:rPr/>
        <w:t>公司是否因会计政策变更及会计差错更正等追溯调整或重述以前年度会计数据</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1,469,914,807.24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9" w:right="0"/>
              <w:jc w:val="left"/>
              <w:rPr>
                <w:rFonts w:ascii="Times New Roman" w:hAnsi="Times New Roman" w:cs="Times New Roman" w:eastAsia="Times New Roman" w:hint="default"/>
                <w:sz w:val="18"/>
                <w:szCs w:val="18"/>
              </w:rPr>
            </w:pPr>
            <w:r>
              <w:rPr>
                <w:rFonts w:ascii="Times New Roman"/>
                <w:sz w:val="18"/>
              </w:rPr>
              <w:t>654,084,309.23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124.73%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398,493,766.76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417,183,377.13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5" w:right="0"/>
              <w:jc w:val="left"/>
              <w:rPr>
                <w:rFonts w:ascii="Times New Roman" w:hAnsi="Times New Roman" w:cs="Times New Roman" w:eastAsia="Times New Roman" w:hint="default"/>
                <w:sz w:val="18"/>
                <w:szCs w:val="18"/>
              </w:rPr>
            </w:pPr>
            <w:r>
              <w:rPr>
                <w:rFonts w:ascii="Times New Roman"/>
                <w:sz w:val="18"/>
              </w:rPr>
              <w:t>118,389,761.41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252.38%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29,471,953.64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36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383,873,020.72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112,991,159.60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239.74%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23,940,137.72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483,692,983.13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117,391,316.45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312.03%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45,146,849.04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77.78%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77.78%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4,821,513,033.16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4,289,135,424.71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488,136,574.22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4,443,062,824.00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4,060,814,672.55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449,900,722.21</w:t>
            </w:r>
          </w:p>
        </w:tc>
      </w:tr>
    </w:tbl>
    <w:p>
      <w:pPr>
        <w:spacing w:line="240" w:lineRule="auto" w:before="2"/>
        <w:rPr>
          <w:rFonts w:ascii="宋体" w:hAnsi="宋体" w:cs="宋体" w:eastAsia="宋体" w:hint="default"/>
          <w:sz w:val="18"/>
          <w:szCs w:val="18"/>
        </w:rPr>
      </w:pPr>
    </w:p>
    <w:p>
      <w:pPr>
        <w:pStyle w:val="Heading4"/>
        <w:spacing w:line="240" w:lineRule="auto" w:before="26"/>
        <w:ind w:left="154"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left="153" w:right="157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6"/>
        <w:spacing w:line="240" w:lineRule="auto"/>
        <w:ind w:right="0"/>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left="153"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4"/>
        <w:spacing w:line="240" w:lineRule="auto"/>
        <w:ind w:right="0"/>
        <w:jc w:val="left"/>
        <w:rPr>
          <w:b w:val="0"/>
          <w:bCs w:val="0"/>
        </w:rPr>
      </w:pPr>
      <w:bookmarkStart w:name="八、分季度主要财务指标" w:id="13"/>
      <w:bookmarkEnd w:id="13"/>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323,543,891.65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353,552,385.91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406,141,227.20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386,677,302.48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63,068,604.44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119,929,921.78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108,518,210.68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125,666,640.23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62,855,179.95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117,695,062.38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106,919,692.93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96,403,085.46</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51,119,451.51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88,257,808.63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222,783,150.96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121,532,572.03</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
        <w:rPr>
          <w:rFonts w:ascii="宋体" w:hAnsi="宋体" w:cs="宋体" w:eastAsia="宋体" w:hint="default"/>
          <w:sz w:val="24"/>
          <w:szCs w:val="24"/>
        </w:rPr>
      </w:pPr>
    </w:p>
    <w:p>
      <w:pPr>
        <w:pStyle w:val="Heading4"/>
        <w:spacing w:line="240" w:lineRule="auto"/>
        <w:ind w:right="0"/>
        <w:jc w:val="left"/>
        <w:rPr>
          <w:b w:val="0"/>
          <w:bCs w:val="0"/>
        </w:rPr>
      </w:pPr>
      <w:bookmarkStart w:name="九、非经常性损益项目及金额" w:id="14"/>
      <w:bookmarkEnd w:id="14"/>
      <w:r>
        <w:rPr>
          <w:b w:val="0"/>
          <w:bCs w:val="0"/>
        </w:rPr>
      </w:r>
      <w:r>
        <w:rPr/>
        <w:t>九、非经常性损益项目及金额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2,943,143.23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44,231.78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164,046.80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31,173,406.44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5,496,547.86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6,463,100.00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341,539.68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969,134.50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1,544,450.00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-1,760,000.00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880,129.65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1,314,640.10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155,357.26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841,574.00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-387.37</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4,302,337.77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532,451.66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864,792.67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111,548.82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133,113.40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385,895.47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33,310,356.41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5,398,601.81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5,531,815.92</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left="153"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5"/>
      <w:bookmarkEnd w:id="15"/>
      <w:r>
        <w:rPr>
          <w:b w:val="0"/>
          <w:bCs w:val="0"/>
        </w:rPr>
      </w:r>
      <w:bookmarkStart w:name="_bookmark1" w:id="16"/>
      <w:bookmarkEnd w:id="16"/>
      <w:r>
        <w:rPr>
          <w:b w:val="0"/>
          <w:bCs w:val="0"/>
        </w:rPr>
      </w:r>
      <w:r>
        <w:rPr/>
        <w:t>第三节</w:t>
      </w:r>
      <w:r>
        <w:rPr>
          <w:spacing w:val="-7"/>
        </w:rPr>
        <w:t> </w:t>
      </w:r>
      <w:r>
        <w:rPr/>
        <w:t>公司业务概要</w:t>
      </w:r>
      <w:r>
        <w:rPr>
          <w:b w:val="0"/>
          <w:bCs w:val="0"/>
        </w:rPr>
      </w:r>
    </w:p>
    <w:p>
      <w:pPr>
        <w:spacing w:line="700" w:lineRule="atLeast" w:before="123"/>
        <w:ind w:left="633" w:right="1233" w:hanging="480"/>
        <w:jc w:val="left"/>
        <w:rPr>
          <w:rFonts w:ascii="宋体" w:hAnsi="宋体" w:cs="宋体" w:eastAsia="宋体" w:hint="default"/>
          <w:sz w:val="24"/>
          <w:szCs w:val="24"/>
        </w:rPr>
      </w:pPr>
      <w:bookmarkStart w:name="一、报告期内公司从事的主要业务" w:id="17"/>
      <w:bookmarkEnd w:id="17"/>
      <w:r>
        <w:rPr/>
      </w:r>
      <w:r>
        <w:rPr>
          <w:rFonts w:ascii="宋体" w:hAnsi="宋体" w:cs="宋体" w:eastAsia="宋体" w:hint="default"/>
          <w:b/>
          <w:bCs/>
          <w:sz w:val="24"/>
          <w:szCs w:val="24"/>
        </w:rPr>
        <w:t>一、报告期内公司从事的主要业务</w:t>
      </w:r>
      <w:r>
        <w:rPr>
          <w:rFonts w:ascii="宋体" w:hAnsi="宋体" w:cs="宋体" w:eastAsia="宋体" w:hint="default"/>
          <w:b/>
          <w:bCs/>
          <w:w w:val="99"/>
          <w:sz w:val="24"/>
          <w:szCs w:val="24"/>
        </w:rPr>
        <w:t> </w:t>
      </w:r>
      <w:r>
        <w:rPr>
          <w:rFonts w:ascii="宋体" w:hAnsi="宋体" w:cs="宋体" w:eastAsia="宋体" w:hint="default"/>
          <w:sz w:val="24"/>
          <w:szCs w:val="24"/>
        </w:rPr>
        <w:t>报告期内，公司继续致力于成为</w:t>
      </w:r>
      <w:r>
        <w:rPr>
          <w:rFonts w:ascii="Arial" w:hAnsi="Arial" w:cs="Arial" w:eastAsia="Arial" w:hint="default"/>
          <w:sz w:val="24"/>
          <w:szCs w:val="24"/>
        </w:rPr>
        <w:t>“</w:t>
      </w:r>
      <w:r>
        <w:rPr>
          <w:rFonts w:ascii="宋体" w:hAnsi="宋体" w:cs="宋体" w:eastAsia="宋体" w:hint="default"/>
          <w:sz w:val="24"/>
          <w:szCs w:val="24"/>
        </w:rPr>
        <w:t>基于互联网平台的一流综合服务商</w:t>
      </w:r>
      <w:r>
        <w:rPr>
          <w:rFonts w:ascii="Arial" w:hAnsi="Arial" w:cs="Arial" w:eastAsia="Arial" w:hint="default"/>
          <w:sz w:val="24"/>
          <w:szCs w:val="24"/>
        </w:rPr>
        <w:t>”</w:t>
      </w:r>
      <w:r>
        <w:rPr>
          <w:rFonts w:ascii="宋体" w:hAnsi="宋体" w:cs="宋体" w:eastAsia="宋体" w:hint="default"/>
          <w:sz w:val="24"/>
          <w:szCs w:val="24"/>
        </w:rPr>
        <w:t>，主要业务包括互</w:t>
      </w:r>
    </w:p>
    <w:p>
      <w:pPr>
        <w:pStyle w:val="Heading5"/>
        <w:spacing w:line="343" w:lineRule="auto" w:before="137"/>
        <w:ind w:right="1131"/>
        <w:jc w:val="both"/>
      </w:pPr>
      <w:r>
        <w:rPr>
          <w:spacing w:val="-1"/>
        </w:rPr>
        <w:t>联网信息服务、互联网金融服务和软件外包服务。</w:t>
      </w:r>
      <w:r>
        <w:rPr>
          <w:rFonts w:ascii="Arial" w:hAnsi="Arial" w:cs="Arial" w:eastAsia="Arial" w:hint="default"/>
          <w:spacing w:val="-1"/>
        </w:rPr>
        <w:t>2015</w:t>
      </w:r>
      <w:r>
        <w:rPr>
          <w:spacing w:val="-1"/>
        </w:rPr>
        <w:t>年度，公司互联网信息服务业务继续</w:t>
      </w:r>
      <w:r>
        <w:rPr>
          <w:spacing w:val="-97"/>
        </w:rPr>
        <w:t> </w:t>
      </w:r>
      <w:r>
        <w:rPr>
          <w:spacing w:val="-97"/>
        </w:rPr>
      </w:r>
      <w:r>
        <w:rPr>
          <w:spacing w:val="-5"/>
        </w:rPr>
        <w:t>保持快速增长态势，互联网金融服务业务发展势头良好，软件外包服务业务规模亦稳步增长，</w:t>
      </w:r>
      <w:r>
        <w:rPr>
          <w:spacing w:val="-117"/>
        </w:rPr>
        <w:t> </w:t>
      </w:r>
      <w:r>
        <w:rPr>
          <w:spacing w:val="-117"/>
        </w:rPr>
      </w:r>
      <w:r>
        <w:rPr>
          <w:spacing w:val="-1"/>
        </w:rPr>
        <w:t>公司盈利水平创历史新高，取得了良好的经营成果。</w:t>
      </w:r>
      <w:r>
        <w:rPr>
          <w:rFonts w:ascii="Arial" w:hAnsi="Arial" w:cs="Arial" w:eastAsia="Arial" w:hint="default"/>
          <w:spacing w:val="-1"/>
        </w:rPr>
        <w:t>2015</w:t>
      </w:r>
      <w:r>
        <w:rPr>
          <w:spacing w:val="-1"/>
        </w:rPr>
        <w:t>年度，公司合并报表范围内的营业</w:t>
      </w:r>
      <w:r>
        <w:rPr>
          <w:spacing w:val="-97"/>
        </w:rPr>
        <w:t> </w:t>
      </w:r>
      <w:r>
        <w:rPr>
          <w:spacing w:val="-97"/>
        </w:rPr>
      </w:r>
      <w:r>
        <w:rPr>
          <w:spacing w:val="-2"/>
        </w:rPr>
        <w:t>收入为</w:t>
      </w:r>
      <w:r>
        <w:rPr>
          <w:rFonts w:ascii="Arial" w:hAnsi="Arial" w:cs="Arial" w:eastAsia="Arial" w:hint="default"/>
          <w:spacing w:val="-2"/>
        </w:rPr>
        <w:t>146,991.48</w:t>
      </w:r>
      <w:r>
        <w:rPr>
          <w:spacing w:val="-2"/>
        </w:rPr>
        <w:t>万元，较上年同比增长</w:t>
      </w:r>
      <w:r>
        <w:rPr>
          <w:rFonts w:ascii="Arial" w:hAnsi="Arial" w:cs="Arial" w:eastAsia="Arial" w:hint="default"/>
          <w:spacing w:val="-2"/>
        </w:rPr>
        <w:t>124.73%</w:t>
      </w:r>
      <w:r>
        <w:rPr>
          <w:spacing w:val="-2"/>
        </w:rPr>
        <w:t>，归属于母公司所有者的净利润</w:t>
      </w:r>
      <w:r>
        <w:rPr>
          <w:rFonts w:ascii="Arial" w:hAnsi="Arial" w:cs="Arial" w:eastAsia="Arial" w:hint="default"/>
          <w:spacing w:val="-2"/>
        </w:rPr>
        <w:t>41,718.33</w:t>
      </w:r>
      <w:r>
        <w:rPr>
          <w:rFonts w:ascii="Arial" w:hAnsi="Arial" w:cs="Arial" w:eastAsia="Arial" w:hint="default"/>
          <w:spacing w:val="-30"/>
        </w:rPr>
        <w:t> </w:t>
      </w:r>
      <w:r>
        <w:rPr>
          <w:rFonts w:ascii="Arial" w:hAnsi="Arial" w:cs="Arial" w:eastAsia="Arial" w:hint="default"/>
          <w:spacing w:val="-30"/>
        </w:rPr>
      </w:r>
      <w:r>
        <w:rPr/>
        <w:t>万元，较上年同比增长</w:t>
      </w:r>
      <w:r>
        <w:rPr>
          <w:rFonts w:ascii="Arial" w:hAnsi="Arial" w:cs="Arial" w:eastAsia="Arial" w:hint="default"/>
        </w:rPr>
        <w:t>252.38%</w:t>
      </w:r>
      <w:r>
        <w:rPr/>
        <w:t>（注）。其中：</w:t>
      </w:r>
    </w:p>
    <w:p>
      <w:pPr>
        <w:pStyle w:val="Heading5"/>
        <w:spacing w:line="338" w:lineRule="auto" w:before="61"/>
        <w:ind w:right="0" w:firstLine="480"/>
        <w:jc w:val="left"/>
      </w:pPr>
      <w:r>
        <w:rPr/>
        <w:t>（</w:t>
      </w:r>
      <w:r>
        <w:rPr>
          <w:rFonts w:ascii="Arial" w:hAnsi="Arial" w:cs="Arial" w:eastAsia="Arial" w:hint="default"/>
        </w:rPr>
        <w:t>1</w:t>
      </w:r>
      <w:r>
        <w:rPr/>
        <w:t>）互联网信息服务领域：子公司上海二三四五网络科技有限公司（以下简称</w:t>
      </w:r>
      <w:r>
        <w:rPr>
          <w:rFonts w:ascii="Arial" w:hAnsi="Arial" w:cs="Arial" w:eastAsia="Arial" w:hint="default"/>
        </w:rPr>
        <w:t>“</w:t>
      </w:r>
      <w:r>
        <w:rPr/>
        <w:t>网络科 </w:t>
      </w:r>
      <w:r>
        <w:rPr>
          <w:spacing w:val="-2"/>
        </w:rPr>
        <w:t>技子公司</w:t>
      </w:r>
      <w:r>
        <w:rPr>
          <w:rFonts w:ascii="Arial" w:hAnsi="Arial" w:cs="Arial" w:eastAsia="Arial" w:hint="default"/>
          <w:spacing w:val="-2"/>
        </w:rPr>
        <w:t>”</w:t>
      </w:r>
      <w:r>
        <w:rPr>
          <w:spacing w:val="-2"/>
        </w:rPr>
        <w:t>或</w:t>
      </w:r>
      <w:r>
        <w:rPr>
          <w:rFonts w:ascii="Arial" w:hAnsi="Arial" w:cs="Arial" w:eastAsia="Arial" w:hint="default"/>
          <w:spacing w:val="-2"/>
        </w:rPr>
        <w:t>“2345.com”</w:t>
      </w:r>
      <w:r>
        <w:rPr>
          <w:spacing w:val="-2"/>
        </w:rPr>
        <w:t>）业绩继续保持高速增长，游戏、影视、小说、精准营销等细分领域</w:t>
      </w:r>
      <w:r>
        <w:rPr>
          <w:spacing w:val="-87"/>
        </w:rPr>
        <w:t> </w:t>
      </w:r>
      <w:r>
        <w:rPr>
          <w:spacing w:val="-87"/>
        </w:rPr>
      </w:r>
      <w:r>
        <w:rPr>
          <w:spacing w:val="-3"/>
        </w:rPr>
        <w:t>的业务取得突破性增长，逐步实现了由</w:t>
      </w:r>
      <w:r>
        <w:rPr>
          <w:rFonts w:ascii="Arial" w:hAnsi="Arial" w:cs="Arial" w:eastAsia="Arial" w:hint="default"/>
          <w:spacing w:val="-3"/>
        </w:rPr>
        <w:t>“</w:t>
      </w:r>
      <w:r>
        <w:rPr>
          <w:spacing w:val="-3"/>
        </w:rPr>
        <w:t>网址导航</w:t>
      </w:r>
      <w:r>
        <w:rPr>
          <w:rFonts w:ascii="Arial" w:hAnsi="Arial" w:cs="Arial" w:eastAsia="Arial" w:hint="default"/>
          <w:spacing w:val="-3"/>
        </w:rPr>
        <w:t>”</w:t>
      </w:r>
      <w:r>
        <w:rPr>
          <w:spacing w:val="-3"/>
        </w:rPr>
        <w:t>向</w:t>
      </w:r>
      <w:r>
        <w:rPr>
          <w:rFonts w:ascii="Arial" w:hAnsi="Arial" w:cs="Arial" w:eastAsia="Arial" w:hint="default"/>
          <w:spacing w:val="-3"/>
        </w:rPr>
        <w:t>“</w:t>
      </w:r>
      <w:r>
        <w:rPr>
          <w:spacing w:val="-3"/>
        </w:rPr>
        <w:t>内容导航</w:t>
      </w:r>
      <w:r>
        <w:rPr>
          <w:rFonts w:ascii="Arial" w:hAnsi="Arial" w:cs="Arial" w:eastAsia="Arial" w:hint="default"/>
          <w:spacing w:val="-3"/>
        </w:rPr>
        <w:t>”</w:t>
      </w:r>
      <w:r>
        <w:rPr>
          <w:spacing w:val="-3"/>
        </w:rPr>
        <w:t>的转型。截至报告期末，</w:t>
      </w:r>
      <w:r>
        <w:rPr>
          <w:rFonts w:ascii="Arial" w:hAnsi="Arial" w:cs="Arial" w:eastAsia="Arial" w:hint="default"/>
          <w:spacing w:val="-3"/>
        </w:rPr>
        <w:t>2345</w:t>
      </w:r>
      <w:r>
        <w:rPr>
          <w:rFonts w:ascii="Arial" w:hAnsi="Arial" w:cs="Arial" w:eastAsia="Arial" w:hint="default"/>
          <w:spacing w:val="-36"/>
        </w:rPr>
        <w:t> </w:t>
      </w:r>
      <w:r>
        <w:rPr/>
        <w:t>网址导航用户超过</w:t>
      </w:r>
      <w:r>
        <w:rPr>
          <w:rFonts w:ascii="Arial" w:hAnsi="Arial" w:cs="Arial" w:eastAsia="Arial" w:hint="default"/>
        </w:rPr>
        <w:t>4,500</w:t>
      </w:r>
      <w:r>
        <w:rPr/>
        <w:t>万，是国内排名第三的网址导航站。网络科技子公司</w:t>
      </w:r>
      <w:r>
        <w:rPr>
          <w:rFonts w:ascii="Arial" w:hAnsi="Arial" w:cs="Arial" w:eastAsia="Arial" w:hint="default"/>
        </w:rPr>
        <w:t>2015</w:t>
      </w:r>
      <w:r>
        <w:rPr/>
        <w:t>年度实现 营业收入</w:t>
      </w:r>
      <w:r>
        <w:rPr>
          <w:rFonts w:ascii="Arial" w:hAnsi="Arial" w:cs="Arial" w:eastAsia="Arial" w:hint="default"/>
        </w:rPr>
        <w:t>101,542.57</w:t>
      </w:r>
      <w:r>
        <w:rPr/>
        <w:t>万元，较上年同比增长</w:t>
      </w:r>
      <w:r>
        <w:rPr>
          <w:rFonts w:ascii="Arial" w:hAnsi="Arial" w:cs="Arial" w:eastAsia="Arial" w:hint="default"/>
        </w:rPr>
        <w:t>27.58%</w:t>
      </w:r>
      <w:r>
        <w:rPr/>
        <w:t>，净利润</w:t>
      </w:r>
      <w:r>
        <w:rPr>
          <w:rFonts w:ascii="Arial" w:hAnsi="Arial" w:cs="Arial" w:eastAsia="Arial" w:hint="default"/>
        </w:rPr>
        <w:t>39,909.02</w:t>
      </w:r>
      <w:r>
        <w:rPr/>
        <w:t>万元，较上年同比增 长</w:t>
      </w:r>
      <w:r>
        <w:rPr>
          <w:rFonts w:ascii="Arial" w:hAnsi="Arial" w:cs="Arial" w:eastAsia="Arial" w:hint="default"/>
        </w:rPr>
        <w:t>83.40%</w:t>
      </w:r>
      <w:r>
        <w:rPr/>
        <w:t>，扣除非经常性损益后的净利润为</w:t>
      </w:r>
      <w:r>
        <w:rPr>
          <w:rFonts w:ascii="Arial" w:hAnsi="Arial" w:cs="Arial" w:eastAsia="Arial" w:hint="default"/>
        </w:rPr>
        <w:t>37,776.85</w:t>
      </w:r>
      <w:r>
        <w:rPr/>
        <w:t>万元，超过本次重组时作出的</w:t>
      </w:r>
      <w:r>
        <w:rPr>
          <w:rFonts w:ascii="Arial" w:hAnsi="Arial" w:cs="Arial" w:eastAsia="Arial" w:hint="default"/>
        </w:rPr>
        <w:t>2015</w:t>
      </w:r>
      <w:r>
        <w:rPr/>
        <w:t>年 度业绩承诺目标（即</w:t>
      </w:r>
      <w:r>
        <w:rPr>
          <w:rFonts w:ascii="Arial" w:hAnsi="Arial" w:cs="Arial" w:eastAsia="Arial" w:hint="default"/>
        </w:rPr>
        <w:t>2</w:t>
      </w:r>
      <w:r>
        <w:rPr/>
        <w:t>亿元）的幅度达</w:t>
      </w:r>
      <w:r>
        <w:rPr>
          <w:rFonts w:ascii="Arial" w:hAnsi="Arial" w:cs="Arial" w:eastAsia="Arial" w:hint="default"/>
        </w:rPr>
        <w:t>88.88%</w:t>
      </w:r>
      <w:r>
        <w:rPr/>
        <w:t>。</w:t>
      </w:r>
    </w:p>
    <w:p>
      <w:pPr>
        <w:pStyle w:val="Heading5"/>
        <w:spacing w:line="338" w:lineRule="auto" w:before="65"/>
        <w:ind w:right="1130" w:firstLine="480"/>
        <w:jc w:val="left"/>
      </w:pPr>
      <w:r>
        <w:rPr>
          <w:spacing w:val="-3"/>
        </w:rPr>
        <w:t>（</w:t>
      </w:r>
      <w:r>
        <w:rPr>
          <w:rFonts w:ascii="Arial" w:hAnsi="Arial" w:cs="Arial" w:eastAsia="Arial" w:hint="default"/>
          <w:spacing w:val="-3"/>
        </w:rPr>
        <w:t>2</w:t>
      </w:r>
      <w:r>
        <w:rPr>
          <w:spacing w:val="-3"/>
        </w:rPr>
        <w:t>）互联网金融服务领域：报告期内，公司设立了全资子公司</w:t>
      </w:r>
      <w:r>
        <w:rPr>
          <w:rFonts w:ascii="Arial" w:hAnsi="Arial" w:cs="Arial" w:eastAsia="Arial" w:hint="default"/>
          <w:spacing w:val="-3"/>
        </w:rPr>
        <w:t>——</w:t>
      </w:r>
      <w:r>
        <w:rPr>
          <w:spacing w:val="-3"/>
        </w:rPr>
        <w:t>上海二三四五海隆金</w:t>
      </w:r>
      <w:r>
        <w:rPr/>
        <w:t> 融信息服务有限公司（以下简称</w:t>
      </w:r>
      <w:r>
        <w:rPr>
          <w:rFonts w:ascii="Arial" w:hAnsi="Arial" w:cs="Arial" w:eastAsia="Arial" w:hint="default"/>
        </w:rPr>
        <w:t>“</w:t>
      </w:r>
      <w:r>
        <w:rPr/>
        <w:t>金融子公司</w:t>
      </w:r>
      <w:r>
        <w:rPr>
          <w:rFonts w:ascii="Arial" w:hAnsi="Arial" w:cs="Arial" w:eastAsia="Arial" w:hint="default"/>
        </w:rPr>
        <w:t>”</w:t>
      </w:r>
      <w:r>
        <w:rPr/>
        <w:t>）作为公司开展互联网金融服务业务的主体。 </w:t>
      </w:r>
      <w:r>
        <w:rPr>
          <w:spacing w:val="-2"/>
        </w:rPr>
        <w:t>金融子公司与中银消费金融有限公司（以下简称</w:t>
      </w:r>
      <w:r>
        <w:rPr>
          <w:rFonts w:ascii="Arial" w:hAnsi="Arial" w:cs="Arial" w:eastAsia="Arial" w:hint="default"/>
          <w:spacing w:val="-2"/>
        </w:rPr>
        <w:t>“</w:t>
      </w:r>
      <w:r>
        <w:rPr>
          <w:spacing w:val="-2"/>
        </w:rPr>
        <w:t>中银消费金融</w:t>
      </w:r>
      <w:r>
        <w:rPr>
          <w:rFonts w:ascii="Arial" w:hAnsi="Arial" w:cs="Arial" w:eastAsia="Arial" w:hint="default"/>
          <w:spacing w:val="-2"/>
        </w:rPr>
        <w:t>”</w:t>
      </w:r>
      <w:r>
        <w:rPr>
          <w:spacing w:val="-2"/>
        </w:rPr>
        <w:t>）合作推出的</w:t>
      </w:r>
      <w:r>
        <w:rPr>
          <w:rFonts w:ascii="Arial" w:hAnsi="Arial" w:cs="Arial" w:eastAsia="Arial" w:hint="default"/>
          <w:spacing w:val="-2"/>
        </w:rPr>
        <w:t>“</w:t>
      </w:r>
      <w:r>
        <w:rPr>
          <w:spacing w:val="-2"/>
        </w:rPr>
        <w:t>随心贷</w:t>
      </w:r>
      <w:r>
        <w:rPr>
          <w:rFonts w:ascii="Arial" w:hAnsi="Arial" w:cs="Arial" w:eastAsia="Arial" w:hint="default"/>
          <w:spacing w:val="-2"/>
        </w:rPr>
        <w:t>”</w:t>
      </w:r>
      <w:r>
        <w:rPr>
          <w:spacing w:val="-2"/>
        </w:rPr>
        <w:t>网络借</w:t>
      </w:r>
      <w:r>
        <w:rPr>
          <w:spacing w:val="-79"/>
        </w:rPr>
        <w:t> </w:t>
      </w:r>
      <w:r>
        <w:rPr>
          <w:spacing w:val="-79"/>
        </w:rPr>
      </w:r>
      <w:r>
        <w:rPr/>
        <w:t>贷平台保持良好的发展势头。</w:t>
      </w:r>
      <w:r>
        <w:rPr>
          <w:rFonts w:ascii="Arial" w:hAnsi="Arial" w:cs="Arial" w:eastAsia="Arial" w:hint="default"/>
        </w:rPr>
        <w:t>“</w:t>
      </w:r>
      <w:r>
        <w:rPr/>
        <w:t>随心贷</w:t>
      </w:r>
      <w:r>
        <w:rPr>
          <w:rFonts w:ascii="Arial" w:hAnsi="Arial" w:cs="Arial" w:eastAsia="Arial" w:hint="default"/>
        </w:rPr>
        <w:t>”</w:t>
      </w:r>
      <w:r>
        <w:rPr/>
        <w:t>是国内首创的由权威金融机构向个人提供网络消费贷 款的创新型正规借贷平台，先期推出了面向个人用户的</w:t>
      </w:r>
      <w:r>
        <w:rPr>
          <w:rFonts w:ascii="Arial" w:hAnsi="Arial" w:cs="Arial" w:eastAsia="Arial" w:hint="default"/>
        </w:rPr>
        <w:t>1000-5000</w:t>
      </w:r>
      <w:r>
        <w:rPr/>
        <w:t>元小额贷款，审批快速， 随借随还，足不出户，即可畅享贷款便利。截至报告期末，</w:t>
      </w:r>
      <w:r>
        <w:rPr>
          <w:rFonts w:ascii="Arial" w:hAnsi="Arial" w:cs="Arial" w:eastAsia="Arial" w:hint="default"/>
        </w:rPr>
        <w:t>“</w:t>
      </w:r>
      <w:r>
        <w:rPr/>
        <w:t>随心贷</w:t>
      </w:r>
      <w:r>
        <w:rPr>
          <w:rFonts w:ascii="Arial" w:hAnsi="Arial" w:cs="Arial" w:eastAsia="Arial" w:hint="default"/>
        </w:rPr>
        <w:t>”</w:t>
      </w:r>
      <w:r>
        <w:rPr/>
        <w:t>平台累计发放贷款笔数 超过</w:t>
      </w:r>
      <w:r>
        <w:rPr>
          <w:rFonts w:ascii="Arial" w:hAnsi="Arial" w:cs="Arial" w:eastAsia="Arial" w:hint="default"/>
        </w:rPr>
        <w:t>13</w:t>
      </w:r>
      <w:r>
        <w:rPr/>
        <w:t>万笔，累计发放贷款金额超过</w:t>
      </w:r>
      <w:r>
        <w:rPr>
          <w:rFonts w:ascii="Arial" w:hAnsi="Arial" w:cs="Arial" w:eastAsia="Arial" w:hint="default"/>
        </w:rPr>
        <w:t>2.8</w:t>
      </w:r>
      <w:r>
        <w:rPr/>
        <w:t>亿元，贷款余额超过</w:t>
      </w:r>
      <w:r>
        <w:rPr>
          <w:rFonts w:ascii="Arial" w:hAnsi="Arial" w:cs="Arial" w:eastAsia="Arial" w:hint="default"/>
        </w:rPr>
        <w:t>8,700</w:t>
      </w:r>
      <w:r>
        <w:rPr/>
        <w:t>万元，较上年同期大幅度 增长。</w:t>
      </w:r>
    </w:p>
    <w:p>
      <w:pPr>
        <w:pStyle w:val="Heading5"/>
        <w:spacing w:line="340" w:lineRule="auto" w:before="94"/>
        <w:ind w:right="1206" w:firstLine="480"/>
        <w:jc w:val="left"/>
      </w:pPr>
      <w:r>
        <w:rPr/>
        <w:t>（</w:t>
      </w:r>
      <w:r>
        <w:rPr>
          <w:rFonts w:ascii="Arial" w:hAnsi="Arial" w:cs="Arial" w:eastAsia="Arial" w:hint="default"/>
        </w:rPr>
        <w:t>3</w:t>
      </w:r>
      <w:r>
        <w:rPr/>
        <w:t>）软件外包服务领域：</w:t>
      </w:r>
      <w:r>
        <w:rPr>
          <w:rFonts w:ascii="Arial" w:hAnsi="Arial" w:cs="Arial" w:eastAsia="Arial" w:hint="default"/>
        </w:rPr>
        <w:t>2015</w:t>
      </w:r>
      <w:r>
        <w:rPr/>
        <w:t>年度，在日元兑人民币汇率继续保持低位和人力成本不 断上升的不利情况下，公司软件外包服务业务基本保持稳定。</w:t>
      </w:r>
    </w:p>
    <w:p>
      <w:pPr>
        <w:spacing w:line="326" w:lineRule="auto" w:before="80"/>
        <w:ind w:left="154" w:right="0" w:firstLine="480"/>
        <w:jc w:val="left"/>
        <w:rPr>
          <w:rFonts w:ascii="宋体" w:hAnsi="宋体" w:cs="宋体" w:eastAsia="宋体" w:hint="default"/>
          <w:sz w:val="25"/>
          <w:szCs w:val="25"/>
        </w:rPr>
      </w:pPr>
      <w:r>
        <w:rPr>
          <w:rFonts w:ascii="宋体" w:hAnsi="宋体" w:cs="宋体" w:eastAsia="宋体" w:hint="default"/>
          <w:i/>
          <w:spacing w:val="-6"/>
          <w:w w:val="95"/>
          <w:sz w:val="25"/>
          <w:szCs w:val="25"/>
        </w:rPr>
        <w:t>（注：根据《企业会计准则》的规定，本次重大资产重组的正式完成日即</w:t>
      </w:r>
      <w:r>
        <w:rPr>
          <w:rFonts w:ascii="Times New Roman" w:hAnsi="Times New Roman" w:cs="Times New Roman" w:eastAsia="Times New Roman" w:hint="default"/>
          <w:i/>
          <w:spacing w:val="-6"/>
          <w:w w:val="95"/>
          <w:sz w:val="24"/>
          <w:szCs w:val="24"/>
        </w:rPr>
        <w:t>“</w:t>
      </w:r>
      <w:r>
        <w:rPr>
          <w:rFonts w:ascii="宋体" w:hAnsi="宋体" w:cs="宋体" w:eastAsia="宋体" w:hint="default"/>
          <w:i/>
          <w:spacing w:val="-6"/>
          <w:w w:val="95"/>
          <w:sz w:val="25"/>
          <w:szCs w:val="25"/>
        </w:rPr>
        <w:t>购买日</w:t>
      </w:r>
      <w:r>
        <w:rPr>
          <w:rFonts w:ascii="Times New Roman" w:hAnsi="Times New Roman" w:cs="Times New Roman" w:eastAsia="Times New Roman" w:hint="default"/>
          <w:i/>
          <w:spacing w:val="-6"/>
          <w:w w:val="95"/>
          <w:sz w:val="24"/>
          <w:szCs w:val="24"/>
        </w:rPr>
        <w:t>”</w:t>
      </w:r>
      <w:r>
        <w:rPr>
          <w:rFonts w:ascii="宋体" w:hAnsi="宋体" w:cs="宋体" w:eastAsia="宋体" w:hint="default"/>
          <w:i/>
          <w:spacing w:val="-6"/>
          <w:w w:val="95"/>
          <w:sz w:val="25"/>
          <w:szCs w:val="25"/>
        </w:rPr>
        <w:t>为</w:t>
      </w:r>
      <w:r>
        <w:rPr>
          <w:rFonts w:ascii="Times New Roman" w:hAnsi="Times New Roman" w:cs="Times New Roman" w:eastAsia="Times New Roman" w:hint="default"/>
          <w:i/>
          <w:spacing w:val="-6"/>
          <w:w w:val="95"/>
          <w:sz w:val="24"/>
          <w:szCs w:val="24"/>
        </w:rPr>
        <w:t>2014</w:t>
      </w:r>
      <w:r>
        <w:rPr>
          <w:rFonts w:ascii="Times New Roman" w:hAnsi="Times New Roman" w:cs="Times New Roman" w:eastAsia="Times New Roman" w:hint="default"/>
          <w:i/>
          <w:sz w:val="24"/>
          <w:szCs w:val="24"/>
        </w:rPr>
        <w:t> </w:t>
      </w:r>
      <w:r>
        <w:rPr>
          <w:rFonts w:ascii="宋体" w:hAnsi="宋体" w:cs="宋体" w:eastAsia="宋体" w:hint="default"/>
          <w:i/>
          <w:w w:val="95"/>
          <w:sz w:val="25"/>
          <w:szCs w:val="25"/>
        </w:rPr>
        <w:t>年</w:t>
      </w:r>
      <w:r>
        <w:rPr>
          <w:rFonts w:ascii="Times New Roman" w:hAnsi="Times New Roman" w:cs="Times New Roman" w:eastAsia="Times New Roman" w:hint="default"/>
          <w:i/>
          <w:w w:val="95"/>
          <w:sz w:val="24"/>
          <w:szCs w:val="24"/>
        </w:rPr>
        <w:t>9</w:t>
      </w:r>
      <w:r>
        <w:rPr>
          <w:rFonts w:ascii="宋体" w:hAnsi="宋体" w:cs="宋体" w:eastAsia="宋体" w:hint="default"/>
          <w:i/>
          <w:w w:val="95"/>
          <w:sz w:val="25"/>
          <w:szCs w:val="25"/>
        </w:rPr>
        <w:t>月</w:t>
      </w:r>
      <w:r>
        <w:rPr>
          <w:rFonts w:ascii="Times New Roman" w:hAnsi="Times New Roman" w:cs="Times New Roman" w:eastAsia="Times New Roman" w:hint="default"/>
          <w:i/>
          <w:w w:val="95"/>
          <w:sz w:val="24"/>
          <w:szCs w:val="24"/>
        </w:rPr>
        <w:t>30</w:t>
      </w:r>
      <w:r>
        <w:rPr>
          <w:rFonts w:ascii="宋体" w:hAnsi="宋体" w:cs="宋体" w:eastAsia="宋体" w:hint="default"/>
          <w:i/>
          <w:w w:val="95"/>
          <w:sz w:val="25"/>
          <w:szCs w:val="25"/>
        </w:rPr>
        <w:t>日，二三四五网络的利润自</w:t>
      </w:r>
      <w:r>
        <w:rPr>
          <w:rFonts w:ascii="Times New Roman" w:hAnsi="Times New Roman" w:cs="Times New Roman" w:eastAsia="Times New Roman" w:hint="default"/>
          <w:i/>
          <w:w w:val="95"/>
          <w:sz w:val="24"/>
          <w:szCs w:val="24"/>
        </w:rPr>
        <w:t>2014</w:t>
      </w:r>
      <w:r>
        <w:rPr>
          <w:rFonts w:ascii="宋体" w:hAnsi="宋体" w:cs="宋体" w:eastAsia="宋体" w:hint="default"/>
          <w:i/>
          <w:w w:val="95"/>
          <w:sz w:val="25"/>
          <w:szCs w:val="25"/>
        </w:rPr>
        <w:t>年</w:t>
      </w:r>
      <w:r>
        <w:rPr>
          <w:rFonts w:ascii="Times New Roman" w:hAnsi="Times New Roman" w:cs="Times New Roman" w:eastAsia="Times New Roman" w:hint="default"/>
          <w:i/>
          <w:w w:val="95"/>
          <w:sz w:val="24"/>
          <w:szCs w:val="24"/>
        </w:rPr>
        <w:t>9</w:t>
      </w:r>
      <w:r>
        <w:rPr>
          <w:rFonts w:ascii="宋体" w:hAnsi="宋体" w:cs="宋体" w:eastAsia="宋体" w:hint="default"/>
          <w:i/>
          <w:w w:val="95"/>
          <w:sz w:val="25"/>
          <w:szCs w:val="25"/>
        </w:rPr>
        <w:t>月</w:t>
      </w:r>
      <w:r>
        <w:rPr>
          <w:rFonts w:ascii="Times New Roman" w:hAnsi="Times New Roman" w:cs="Times New Roman" w:eastAsia="Times New Roman" w:hint="default"/>
          <w:i/>
          <w:w w:val="95"/>
          <w:sz w:val="24"/>
          <w:szCs w:val="24"/>
        </w:rPr>
        <w:t>30</w:t>
      </w:r>
      <w:r>
        <w:rPr>
          <w:rFonts w:ascii="宋体" w:hAnsi="宋体" w:cs="宋体" w:eastAsia="宋体" w:hint="default"/>
          <w:i/>
          <w:w w:val="95"/>
          <w:sz w:val="25"/>
          <w:szCs w:val="25"/>
        </w:rPr>
        <w:t>日起纳入公司合并报表范围，因此</w:t>
      </w:r>
      <w:r>
        <w:rPr>
          <w:rFonts w:ascii="Times New Roman" w:hAnsi="Times New Roman" w:cs="Times New Roman" w:eastAsia="Times New Roman" w:hint="default"/>
          <w:i/>
          <w:w w:val="95"/>
          <w:sz w:val="24"/>
          <w:szCs w:val="24"/>
        </w:rPr>
        <w:t>2014</w:t>
      </w:r>
      <w:r>
        <w:rPr>
          <w:rFonts w:ascii="宋体" w:hAnsi="宋体" w:cs="宋体" w:eastAsia="宋体" w:hint="default"/>
          <w:i/>
          <w:w w:val="95"/>
          <w:sz w:val="25"/>
          <w:szCs w:val="25"/>
        </w:rPr>
        <w:t>年度</w:t>
      </w:r>
      <w:r>
        <w:rPr>
          <w:rFonts w:ascii="宋体" w:hAnsi="宋体" w:cs="宋体" w:eastAsia="宋体" w:hint="default"/>
          <w:sz w:val="25"/>
          <w:szCs w:val="25"/>
        </w:rPr>
      </w:r>
    </w:p>
    <w:p>
      <w:pPr>
        <w:spacing w:after="0" w:line="326" w:lineRule="auto"/>
        <w:jc w:val="left"/>
        <w:rPr>
          <w:rFonts w:ascii="宋体" w:hAnsi="宋体" w:cs="宋体" w:eastAsia="宋体" w:hint="default"/>
          <w:sz w:val="25"/>
          <w:szCs w:val="25"/>
        </w:rPr>
        <w:sectPr>
          <w:pgSz w:w="11910" w:h="16840"/>
          <w:pgMar w:header="747" w:footer="979" w:top="1060" w:bottom="1160" w:left="980" w:right="0"/>
        </w:sectPr>
      </w:pPr>
    </w:p>
    <w:p>
      <w:pPr>
        <w:spacing w:line="240" w:lineRule="auto" w:before="9"/>
        <w:rPr>
          <w:rFonts w:ascii="宋体" w:hAnsi="宋体" w:cs="宋体" w:eastAsia="宋体" w:hint="default"/>
          <w:i/>
          <w:sz w:val="28"/>
          <w:szCs w:val="28"/>
        </w:rPr>
      </w:pPr>
    </w:p>
    <w:p>
      <w:pPr>
        <w:spacing w:line="326" w:lineRule="auto" w:before="25"/>
        <w:ind w:left="153" w:right="0" w:firstLine="0"/>
        <w:jc w:val="left"/>
        <w:rPr>
          <w:rFonts w:ascii="宋体" w:hAnsi="宋体" w:cs="宋体" w:eastAsia="宋体" w:hint="default"/>
          <w:sz w:val="25"/>
          <w:szCs w:val="25"/>
        </w:rPr>
      </w:pPr>
      <w:r>
        <w:rPr>
          <w:rFonts w:ascii="宋体" w:hAnsi="宋体" w:cs="宋体" w:eastAsia="宋体" w:hint="default"/>
          <w:i/>
          <w:w w:val="95"/>
          <w:sz w:val="25"/>
          <w:szCs w:val="25"/>
        </w:rPr>
        <w:t>公司合并报表范围的营业收入及净利润仅包含二三四五网络</w:t>
      </w:r>
      <w:r>
        <w:rPr>
          <w:rFonts w:ascii="Times New Roman" w:hAnsi="Times New Roman" w:cs="Times New Roman" w:eastAsia="Times New Roman" w:hint="default"/>
          <w:i/>
          <w:w w:val="95"/>
          <w:sz w:val="24"/>
          <w:szCs w:val="24"/>
        </w:rPr>
        <w:t>2014</w:t>
      </w:r>
      <w:r>
        <w:rPr>
          <w:rFonts w:ascii="宋体" w:hAnsi="宋体" w:cs="宋体" w:eastAsia="宋体" w:hint="default"/>
          <w:i/>
          <w:w w:val="95"/>
          <w:sz w:val="25"/>
          <w:szCs w:val="25"/>
        </w:rPr>
        <w:t>年</w:t>
      </w:r>
      <w:r>
        <w:rPr>
          <w:rFonts w:ascii="Times New Roman" w:hAnsi="Times New Roman" w:cs="Times New Roman" w:eastAsia="Times New Roman" w:hint="default"/>
          <w:i/>
          <w:w w:val="95"/>
          <w:sz w:val="24"/>
          <w:szCs w:val="24"/>
        </w:rPr>
        <w:t>9</w:t>
      </w:r>
      <w:r>
        <w:rPr>
          <w:rFonts w:ascii="宋体" w:hAnsi="宋体" w:cs="宋体" w:eastAsia="宋体" w:hint="default"/>
          <w:i/>
          <w:w w:val="95"/>
          <w:sz w:val="25"/>
          <w:szCs w:val="25"/>
        </w:rPr>
        <w:t>月</w:t>
      </w:r>
      <w:r>
        <w:rPr>
          <w:rFonts w:ascii="Times New Roman" w:hAnsi="Times New Roman" w:cs="Times New Roman" w:eastAsia="Times New Roman" w:hint="default"/>
          <w:i/>
          <w:w w:val="95"/>
          <w:sz w:val="24"/>
          <w:szCs w:val="24"/>
        </w:rPr>
        <w:t>30</w:t>
      </w:r>
      <w:r>
        <w:rPr>
          <w:rFonts w:ascii="宋体" w:hAnsi="宋体" w:cs="宋体" w:eastAsia="宋体" w:hint="default"/>
          <w:i/>
          <w:w w:val="95"/>
          <w:sz w:val="25"/>
          <w:szCs w:val="25"/>
        </w:rPr>
        <w:t>日至</w:t>
      </w:r>
      <w:r>
        <w:rPr>
          <w:rFonts w:ascii="Times New Roman" w:hAnsi="Times New Roman" w:cs="Times New Roman" w:eastAsia="Times New Roman" w:hint="default"/>
          <w:i/>
          <w:w w:val="95"/>
          <w:sz w:val="24"/>
          <w:szCs w:val="24"/>
        </w:rPr>
        <w:t>2014</w:t>
      </w:r>
      <w:r>
        <w:rPr>
          <w:rFonts w:ascii="宋体" w:hAnsi="宋体" w:cs="宋体" w:eastAsia="宋体" w:hint="default"/>
          <w:i/>
          <w:w w:val="95"/>
          <w:sz w:val="25"/>
          <w:szCs w:val="25"/>
        </w:rPr>
        <w:t>年</w:t>
      </w:r>
      <w:r>
        <w:rPr>
          <w:rFonts w:ascii="Times New Roman" w:hAnsi="Times New Roman" w:cs="Times New Roman" w:eastAsia="Times New Roman" w:hint="default"/>
          <w:i/>
          <w:w w:val="95"/>
          <w:sz w:val="24"/>
          <w:szCs w:val="24"/>
        </w:rPr>
        <w:t>12</w:t>
      </w:r>
      <w:r>
        <w:rPr>
          <w:rFonts w:ascii="宋体" w:hAnsi="宋体" w:cs="宋体" w:eastAsia="宋体" w:hint="default"/>
          <w:i/>
          <w:w w:val="95"/>
          <w:sz w:val="25"/>
          <w:szCs w:val="25"/>
        </w:rPr>
        <w:t>月</w:t>
      </w:r>
      <w:r>
        <w:rPr>
          <w:rFonts w:ascii="Times New Roman" w:hAnsi="Times New Roman" w:cs="Times New Roman" w:eastAsia="Times New Roman" w:hint="default"/>
          <w:i/>
          <w:w w:val="95"/>
          <w:sz w:val="24"/>
          <w:szCs w:val="24"/>
        </w:rPr>
        <w:t>31</w:t>
      </w:r>
      <w:r>
        <w:rPr>
          <w:rFonts w:ascii="Times New Roman" w:hAnsi="Times New Roman" w:cs="Times New Roman" w:eastAsia="Times New Roman" w:hint="default"/>
          <w:i/>
          <w:spacing w:val="55"/>
          <w:w w:val="95"/>
          <w:sz w:val="24"/>
          <w:szCs w:val="24"/>
        </w:rPr>
        <w:t> </w:t>
      </w:r>
      <w:r>
        <w:rPr>
          <w:rFonts w:ascii="宋体" w:hAnsi="宋体" w:cs="宋体" w:eastAsia="宋体" w:hint="default"/>
          <w:i/>
          <w:w w:val="95"/>
          <w:sz w:val="25"/>
          <w:szCs w:val="25"/>
        </w:rPr>
        <w:t>日期间实现的营业收入及净利润。</w:t>
      </w:r>
      <w:r>
        <w:rPr>
          <w:rFonts w:ascii="Times New Roman" w:hAnsi="Times New Roman" w:cs="Times New Roman" w:eastAsia="Times New Roman" w:hint="default"/>
          <w:i/>
          <w:w w:val="95"/>
          <w:sz w:val="24"/>
          <w:szCs w:val="24"/>
        </w:rPr>
        <w:t>2015</w:t>
      </w:r>
      <w:r>
        <w:rPr>
          <w:rFonts w:ascii="宋体" w:hAnsi="宋体" w:cs="宋体" w:eastAsia="宋体" w:hint="default"/>
          <w:i/>
          <w:w w:val="95"/>
          <w:sz w:val="25"/>
          <w:szCs w:val="25"/>
        </w:rPr>
        <w:t>年度公司合并报表范围的营业收入及净利润包含二三 </w:t>
      </w:r>
      <w:r>
        <w:rPr>
          <w:rFonts w:ascii="宋体" w:hAnsi="宋体" w:cs="宋体" w:eastAsia="宋体" w:hint="default"/>
          <w:i/>
          <w:sz w:val="25"/>
          <w:szCs w:val="25"/>
        </w:rPr>
        <w:t>四五网络</w:t>
      </w:r>
      <w:r>
        <w:rPr>
          <w:rFonts w:ascii="Times New Roman" w:hAnsi="Times New Roman" w:cs="Times New Roman" w:eastAsia="Times New Roman" w:hint="default"/>
          <w:i/>
          <w:sz w:val="24"/>
          <w:szCs w:val="24"/>
        </w:rPr>
        <w:t>2015</w:t>
      </w:r>
      <w:r>
        <w:rPr>
          <w:rFonts w:ascii="宋体" w:hAnsi="宋体" w:cs="宋体" w:eastAsia="宋体" w:hint="default"/>
          <w:i/>
          <w:sz w:val="25"/>
          <w:szCs w:val="25"/>
        </w:rPr>
        <w:t>年</w:t>
      </w:r>
      <w:r>
        <w:rPr>
          <w:rFonts w:ascii="Times New Roman" w:hAnsi="Times New Roman" w:cs="Times New Roman" w:eastAsia="Times New Roman" w:hint="default"/>
          <w:i/>
          <w:sz w:val="24"/>
          <w:szCs w:val="24"/>
        </w:rPr>
        <w:t>1</w:t>
      </w:r>
      <w:r>
        <w:rPr>
          <w:rFonts w:ascii="宋体" w:hAnsi="宋体" w:cs="宋体" w:eastAsia="宋体" w:hint="default"/>
          <w:i/>
          <w:sz w:val="25"/>
          <w:szCs w:val="25"/>
        </w:rPr>
        <w:t>月</w:t>
      </w:r>
      <w:r>
        <w:rPr>
          <w:rFonts w:ascii="Times New Roman" w:hAnsi="Times New Roman" w:cs="Times New Roman" w:eastAsia="Times New Roman" w:hint="default"/>
          <w:i/>
          <w:sz w:val="24"/>
          <w:szCs w:val="24"/>
        </w:rPr>
        <w:t>1</w:t>
      </w:r>
      <w:r>
        <w:rPr>
          <w:rFonts w:ascii="宋体" w:hAnsi="宋体" w:cs="宋体" w:eastAsia="宋体" w:hint="default"/>
          <w:i/>
          <w:sz w:val="25"/>
          <w:szCs w:val="25"/>
        </w:rPr>
        <w:t>日至</w:t>
      </w:r>
      <w:r>
        <w:rPr>
          <w:rFonts w:ascii="Times New Roman" w:hAnsi="Times New Roman" w:cs="Times New Roman" w:eastAsia="Times New Roman" w:hint="default"/>
          <w:i/>
          <w:sz w:val="24"/>
          <w:szCs w:val="24"/>
        </w:rPr>
        <w:t>2015</w:t>
      </w:r>
      <w:r>
        <w:rPr>
          <w:rFonts w:ascii="宋体" w:hAnsi="宋体" w:cs="宋体" w:eastAsia="宋体" w:hint="default"/>
          <w:i/>
          <w:sz w:val="25"/>
          <w:szCs w:val="25"/>
        </w:rPr>
        <w:t>年</w:t>
      </w:r>
      <w:r>
        <w:rPr>
          <w:rFonts w:ascii="Times New Roman" w:hAnsi="Times New Roman" w:cs="Times New Roman" w:eastAsia="Times New Roman" w:hint="default"/>
          <w:i/>
          <w:sz w:val="24"/>
          <w:szCs w:val="24"/>
        </w:rPr>
        <w:t>12</w:t>
      </w:r>
      <w:r>
        <w:rPr>
          <w:rFonts w:ascii="宋体" w:hAnsi="宋体" w:cs="宋体" w:eastAsia="宋体" w:hint="default"/>
          <w:i/>
          <w:sz w:val="25"/>
          <w:szCs w:val="25"/>
        </w:rPr>
        <w:t>月</w:t>
      </w:r>
      <w:r>
        <w:rPr>
          <w:rFonts w:ascii="Times New Roman" w:hAnsi="Times New Roman" w:cs="Times New Roman" w:eastAsia="Times New Roman" w:hint="default"/>
          <w:i/>
          <w:sz w:val="24"/>
          <w:szCs w:val="24"/>
        </w:rPr>
        <w:t>31</w:t>
      </w:r>
      <w:r>
        <w:rPr>
          <w:rFonts w:ascii="宋体" w:hAnsi="宋体" w:cs="宋体" w:eastAsia="宋体" w:hint="default"/>
          <w:i/>
          <w:sz w:val="25"/>
          <w:szCs w:val="25"/>
        </w:rPr>
        <w:t>日期间实现的营业收入及净利润。）</w:t>
      </w:r>
      <w:r>
        <w:rPr>
          <w:rFonts w:ascii="宋体" w:hAnsi="宋体" w:cs="宋体" w:eastAsia="宋体" w:hint="default"/>
          <w:sz w:val="25"/>
          <w:szCs w:val="25"/>
        </w:rPr>
      </w:r>
    </w:p>
    <w:p>
      <w:pPr>
        <w:spacing w:line="240" w:lineRule="auto" w:before="0"/>
        <w:rPr>
          <w:rFonts w:ascii="宋体" w:hAnsi="宋体" w:cs="宋体" w:eastAsia="宋体" w:hint="default"/>
          <w:i/>
          <w:sz w:val="26"/>
          <w:szCs w:val="26"/>
        </w:rPr>
      </w:pPr>
    </w:p>
    <w:p>
      <w:pPr>
        <w:spacing w:line="240" w:lineRule="auto" w:before="12"/>
        <w:rPr>
          <w:rFonts w:ascii="宋体" w:hAnsi="宋体" w:cs="宋体" w:eastAsia="宋体" w:hint="default"/>
          <w:i/>
          <w:sz w:val="20"/>
          <w:szCs w:val="20"/>
        </w:rPr>
      </w:pPr>
    </w:p>
    <w:p>
      <w:pPr>
        <w:pStyle w:val="Heading4"/>
        <w:spacing w:line="240" w:lineRule="auto"/>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76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货币资金较期初增加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186.81%</w:t>
            </w:r>
            <w:r>
              <w:rPr>
                <w:rFonts w:ascii="宋体" w:hAnsi="宋体" w:cs="宋体" w:eastAsia="宋体" w:hint="default"/>
                <w:sz w:val="18"/>
                <w:szCs w:val="18"/>
              </w:rPr>
              <w:t>，主要系公司业务发展迅速以及理财产品到期赎回所 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40.97%</w:t>
            </w:r>
            <w:r>
              <w:rPr>
                <w:rFonts w:ascii="宋体" w:hAnsi="宋体" w:cs="宋体" w:eastAsia="宋体" w:hint="default"/>
                <w:sz w:val="18"/>
                <w:szCs w:val="18"/>
              </w:rPr>
              <w:t>，主要系公司业务发展迅速、规模不断扩大所致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37.07%</w:t>
            </w:r>
            <w:r>
              <w:rPr>
                <w:rFonts w:ascii="宋体" w:hAnsi="宋体" w:cs="宋体" w:eastAsia="宋体" w:hint="default"/>
                <w:sz w:val="18"/>
                <w:szCs w:val="18"/>
              </w:rPr>
              <w:t>，主要系公司业务发展迅速、规模不断扩大所致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应收利息较期初增加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870.62%</w:t>
            </w:r>
            <w:r>
              <w:rPr>
                <w:rFonts w:ascii="宋体" w:hAnsi="宋体" w:cs="宋体" w:eastAsia="宋体" w:hint="default"/>
                <w:sz w:val="18"/>
                <w:szCs w:val="18"/>
              </w:rPr>
              <w:t>，主要系公司购买的银行存款产品计提的利息增加所 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34.13%</w:t>
            </w:r>
            <w:r>
              <w:rPr>
                <w:rFonts w:ascii="宋体" w:hAnsi="宋体" w:cs="宋体" w:eastAsia="宋体" w:hint="default"/>
                <w:sz w:val="18"/>
                <w:szCs w:val="18"/>
              </w:rPr>
              <w:t>，主要系报告期内押金增加所致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40.49%</w:t>
            </w:r>
            <w:r>
              <w:rPr>
                <w:rFonts w:ascii="宋体" w:hAnsi="宋体" w:cs="宋体" w:eastAsia="宋体" w:hint="default"/>
                <w:sz w:val="18"/>
                <w:szCs w:val="18"/>
              </w:rPr>
              <w:t>，主要系报告期内部分系统集成项目竣工结算所致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25.06%</w:t>
            </w:r>
            <w:r>
              <w:rPr>
                <w:rFonts w:ascii="宋体" w:hAnsi="宋体" w:cs="宋体" w:eastAsia="宋体" w:hint="default"/>
                <w:sz w:val="18"/>
                <w:szCs w:val="18"/>
              </w:rPr>
              <w:t>，主要系理财产品到期赎回所致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348.42%</w:t>
            </w:r>
            <w:r>
              <w:rPr>
                <w:rFonts w:ascii="宋体" w:hAnsi="宋体" w:cs="宋体" w:eastAsia="宋体" w:hint="default"/>
                <w:sz w:val="18"/>
                <w:szCs w:val="18"/>
              </w:rPr>
              <w:t>，主要系报告期内公司对外投资增加所致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78.36%</w:t>
            </w:r>
            <w:r>
              <w:rPr>
                <w:rFonts w:ascii="宋体" w:hAnsi="宋体" w:cs="宋体" w:eastAsia="宋体" w:hint="default"/>
                <w:sz w:val="18"/>
                <w:szCs w:val="18"/>
              </w:rPr>
              <w:t>，主要系报告期内公司对外投资增加所致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93.76%</w:t>
            </w:r>
            <w:r>
              <w:rPr>
                <w:rFonts w:ascii="宋体" w:hAnsi="宋体" w:cs="宋体" w:eastAsia="宋体" w:hint="default"/>
                <w:sz w:val="18"/>
                <w:szCs w:val="18"/>
              </w:rPr>
              <w:t>，主要系报告期内长期待摊费用摊销所致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递延所得税资产较期初增加</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51.88%</w:t>
            </w:r>
            <w:r>
              <w:rPr>
                <w:rFonts w:ascii="宋体" w:hAnsi="宋体" w:cs="宋体" w:eastAsia="宋体" w:hint="default"/>
                <w:spacing w:val="-3"/>
                <w:sz w:val="18"/>
                <w:szCs w:val="18"/>
              </w:rPr>
              <w:t>，主要系未实现内部损益导致的可抵扣暂时性差</w:t>
            </w:r>
            <w:r>
              <w:rPr>
                <w:rFonts w:ascii="宋体" w:hAnsi="宋体" w:cs="宋体" w:eastAsia="宋体" w:hint="default"/>
                <w:sz w:val="18"/>
                <w:szCs w:val="18"/>
              </w:rPr>
              <w:t> 异增加所致</w:t>
            </w:r>
          </w:p>
        </w:tc>
      </w:tr>
    </w:tbl>
    <w:p>
      <w:pPr>
        <w:spacing w:line="240" w:lineRule="auto" w:before="2"/>
        <w:rPr>
          <w:rFonts w:ascii="宋体" w:hAnsi="宋体" w:cs="宋体" w:eastAsia="宋体" w:hint="default"/>
          <w:b/>
          <w:bCs/>
          <w:sz w:val="19"/>
          <w:szCs w:val="19"/>
        </w:rPr>
      </w:pPr>
    </w:p>
    <w:p>
      <w:pPr>
        <w:pStyle w:val="Heading6"/>
        <w:spacing w:line="240" w:lineRule="auto" w:before="35"/>
        <w:ind w:left="154"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692" w:lineRule="exact" w:before="40"/>
        <w:ind w:left="633" w:right="0" w:hanging="480"/>
        <w:jc w:val="left"/>
        <w:rPr>
          <w:rFonts w:ascii="宋体" w:hAnsi="宋体" w:cs="宋体" w:eastAsia="宋体" w:hint="default"/>
          <w:sz w:val="24"/>
          <w:szCs w:val="24"/>
        </w:rPr>
      </w:pPr>
      <w:bookmarkStart w:name="三、核心竞争力分析" w:id="21"/>
      <w:bookmarkEnd w:id="21"/>
      <w:r>
        <w:rPr/>
      </w:r>
      <w:r>
        <w:rPr>
          <w:rFonts w:ascii="宋体" w:hAnsi="宋体" w:cs="宋体" w:eastAsia="宋体" w:hint="default"/>
          <w:b/>
          <w:bCs/>
          <w:sz w:val="24"/>
          <w:szCs w:val="24"/>
        </w:rPr>
        <w:t>三、核心竞争力分析</w:t>
      </w:r>
      <w:r>
        <w:rPr>
          <w:rFonts w:ascii="宋体" w:hAnsi="宋体" w:cs="宋体" w:eastAsia="宋体" w:hint="default"/>
          <w:b/>
          <w:bCs/>
          <w:w w:val="99"/>
          <w:sz w:val="24"/>
          <w:szCs w:val="24"/>
        </w:rPr>
        <w:t> </w:t>
      </w:r>
      <w:r>
        <w:rPr>
          <w:rFonts w:ascii="宋体" w:hAnsi="宋体" w:cs="宋体" w:eastAsia="宋体" w:hint="default"/>
          <w:spacing w:val="2"/>
          <w:sz w:val="24"/>
          <w:szCs w:val="24"/>
        </w:rPr>
        <w:t>公司始终致力于成为</w:t>
      </w:r>
      <w:r>
        <w:rPr>
          <w:rFonts w:ascii="Arial" w:hAnsi="Arial" w:cs="Arial" w:eastAsia="Arial" w:hint="default"/>
          <w:spacing w:val="2"/>
          <w:sz w:val="24"/>
          <w:szCs w:val="24"/>
        </w:rPr>
        <w:t>“</w:t>
      </w:r>
      <w:r>
        <w:rPr>
          <w:rFonts w:ascii="宋体" w:hAnsi="宋体" w:cs="宋体" w:eastAsia="宋体" w:hint="default"/>
          <w:spacing w:val="2"/>
          <w:sz w:val="24"/>
          <w:szCs w:val="24"/>
        </w:rPr>
        <w:t>基于互联网平台的一流综合服务商</w:t>
      </w:r>
      <w:r>
        <w:rPr>
          <w:rFonts w:ascii="Arial" w:hAnsi="Arial" w:cs="Arial" w:eastAsia="Arial" w:hint="default"/>
          <w:spacing w:val="2"/>
          <w:sz w:val="24"/>
          <w:szCs w:val="24"/>
        </w:rPr>
        <w:t>”</w:t>
      </w:r>
      <w:r>
        <w:rPr>
          <w:rFonts w:ascii="宋体" w:hAnsi="宋体" w:cs="宋体" w:eastAsia="宋体" w:hint="default"/>
          <w:spacing w:val="2"/>
          <w:sz w:val="24"/>
          <w:szCs w:val="24"/>
        </w:rPr>
        <w:t>，通过多年持续不懈的努力，</w:t>
      </w:r>
    </w:p>
    <w:p>
      <w:pPr>
        <w:pStyle w:val="Heading5"/>
        <w:spacing w:line="240" w:lineRule="auto" w:before="49"/>
        <w:ind w:right="0"/>
        <w:jc w:val="left"/>
      </w:pPr>
      <w:r>
        <w:rPr/>
        <w:t>打造形成了以下核心竞争力：</w:t>
      </w:r>
    </w:p>
    <w:p>
      <w:pPr>
        <w:pStyle w:val="Heading5"/>
        <w:spacing w:line="240" w:lineRule="auto" w:before="154"/>
        <w:ind w:left="633" w:right="0"/>
        <w:jc w:val="left"/>
      </w:pPr>
      <w:r>
        <w:rPr/>
        <w:t>（</w:t>
      </w:r>
      <w:r>
        <w:rPr>
          <w:rFonts w:ascii="Arial" w:hAnsi="Arial" w:cs="Arial" w:eastAsia="Arial" w:hint="default"/>
        </w:rPr>
        <w:t>1</w:t>
      </w:r>
      <w:r>
        <w:rPr/>
        <w:t>）</w:t>
      </w:r>
      <w:r>
        <w:rPr>
          <w:rFonts w:ascii="Arial" w:hAnsi="Arial" w:cs="Arial" w:eastAsia="Arial" w:hint="default"/>
        </w:rPr>
        <w:t>2345</w:t>
      </w:r>
      <w:r>
        <w:rPr/>
        <w:t>网址导航作为知名的</w:t>
      </w:r>
      <w:r>
        <w:rPr>
          <w:rFonts w:ascii="Arial" w:hAnsi="Arial" w:cs="Arial" w:eastAsia="Arial" w:hint="default"/>
        </w:rPr>
        <w:t>“</w:t>
      </w:r>
      <w:r>
        <w:rPr/>
        <w:t>互联网上网入口平台</w:t>
      </w:r>
      <w:r>
        <w:rPr>
          <w:rFonts w:ascii="Arial" w:hAnsi="Arial" w:cs="Arial" w:eastAsia="Arial" w:hint="default"/>
        </w:rPr>
        <w:t>”</w:t>
      </w:r>
      <w:r>
        <w:rPr/>
        <w:t>，先发和规模优势明显</w:t>
      </w:r>
    </w:p>
    <w:p>
      <w:pPr>
        <w:pStyle w:val="Heading5"/>
        <w:spacing w:line="338" w:lineRule="auto" w:before="137"/>
        <w:ind w:right="1118" w:firstLine="480"/>
        <w:jc w:val="left"/>
      </w:pPr>
      <w:r>
        <w:rPr>
          <w:rFonts w:ascii="Arial" w:hAnsi="Arial" w:cs="Arial" w:eastAsia="Arial" w:hint="default"/>
        </w:rPr>
        <w:t>2345.com</w:t>
      </w:r>
      <w:r>
        <w:rPr/>
        <w:t>自成立以来一直专注于</w:t>
      </w:r>
      <w:r>
        <w:rPr>
          <w:rFonts w:ascii="Arial" w:hAnsi="Arial" w:cs="Arial" w:eastAsia="Arial" w:hint="default"/>
        </w:rPr>
        <w:t>“</w:t>
      </w:r>
      <w:r>
        <w:rPr/>
        <w:t>互联网上网入口平台</w:t>
      </w:r>
      <w:r>
        <w:rPr>
          <w:rFonts w:ascii="Arial" w:hAnsi="Arial" w:cs="Arial" w:eastAsia="Arial" w:hint="default"/>
        </w:rPr>
        <w:t>”</w:t>
      </w:r>
      <w:r>
        <w:rPr/>
        <w:t>的研发与运营，截至报告期末已</w:t>
      </w:r>
      <w:r>
        <w:rPr>
          <w:w w:val="99"/>
        </w:rPr>
        <w:t> </w:t>
      </w:r>
      <w:r>
        <w:rPr>
          <w:spacing w:val="-2"/>
        </w:rPr>
        <w:t>经积累了丰富的运营经验和超过</w:t>
      </w:r>
      <w:r>
        <w:rPr>
          <w:rFonts w:ascii="Arial" w:hAnsi="Arial" w:cs="Arial" w:eastAsia="Arial" w:hint="default"/>
          <w:spacing w:val="-2"/>
        </w:rPr>
        <w:t>4,500</w:t>
      </w:r>
      <w:r>
        <w:rPr>
          <w:spacing w:val="-2"/>
        </w:rPr>
        <w:t>万的庞大用户群，使得企业具有明显的市场先发和品牌</w:t>
      </w:r>
    </w:p>
    <w:p>
      <w:pPr>
        <w:spacing w:after="0" w:line="338" w:lineRule="auto"/>
        <w:jc w:val="left"/>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Heading5"/>
        <w:spacing w:line="357" w:lineRule="auto"/>
        <w:ind w:right="0"/>
        <w:jc w:val="left"/>
      </w:pPr>
      <w:r>
        <w:rPr/>
        <w:t>优势，并在产品、用户规模、用户流量转化能力、团队建设等方面都形成了特有的优势，在 行业中的优势地位较为明显。</w:t>
      </w:r>
    </w:p>
    <w:p>
      <w:pPr>
        <w:pStyle w:val="Heading5"/>
        <w:spacing w:line="338" w:lineRule="auto" w:before="36"/>
        <w:ind w:right="0" w:firstLine="480"/>
        <w:jc w:val="left"/>
      </w:pPr>
      <w:r>
        <w:rPr/>
        <w:t>目前，</w:t>
      </w:r>
      <w:r>
        <w:rPr>
          <w:rFonts w:ascii="Arial" w:hAnsi="Arial" w:cs="Arial" w:eastAsia="Arial" w:hint="default"/>
        </w:rPr>
        <w:t>2345.com</w:t>
      </w:r>
      <w:r>
        <w:rPr/>
        <w:t>网站推广与营销服务已涵盖游戏、网上购物、汽车、财经、旅游、文学</w:t>
      </w:r>
      <w:r>
        <w:rPr>
          <w:w w:val="99"/>
        </w:rPr>
        <w:t> </w:t>
      </w:r>
      <w:r>
        <w:rPr/>
        <w:t>等在内的数十个门类，与各门类中的主要网站均建立了长期稳定的合作关系。国内排名前</w:t>
      </w:r>
      <w:r>
        <w:rPr>
          <w:rFonts w:ascii="Arial" w:hAnsi="Arial" w:cs="Arial" w:eastAsia="Arial" w:hint="default"/>
        </w:rPr>
        <w:t>50</w:t>
      </w:r>
      <w:r>
        <w:rPr>
          <w:rFonts w:ascii="Arial" w:hAnsi="Arial" w:cs="Arial" w:eastAsia="Arial" w:hint="default"/>
          <w:w w:val="99"/>
        </w:rPr>
        <w:t> </w:t>
      </w:r>
      <w:r>
        <w:rPr/>
        <w:t>名的网站中，有</w:t>
      </w:r>
      <w:r>
        <w:rPr>
          <w:rFonts w:ascii="Arial" w:hAnsi="Arial" w:cs="Arial" w:eastAsia="Arial" w:hint="default"/>
        </w:rPr>
        <w:t>70%</w:t>
      </w:r>
      <w:r>
        <w:rPr/>
        <w:t>以上的公司均在</w:t>
      </w:r>
      <w:r>
        <w:rPr>
          <w:rFonts w:ascii="Arial" w:hAnsi="Arial" w:cs="Arial" w:eastAsia="Arial" w:hint="default"/>
        </w:rPr>
        <w:t>2345</w:t>
      </w:r>
      <w:r>
        <w:rPr/>
        <w:t>网址导航付费推广。</w:t>
      </w:r>
      <w:r>
        <w:rPr>
          <w:rFonts w:ascii="Arial" w:hAnsi="Arial" w:cs="Arial" w:eastAsia="Arial" w:hint="default"/>
        </w:rPr>
        <w:t>2345</w:t>
      </w:r>
      <w:r>
        <w:rPr/>
        <w:t>网址导航已经成为百度、</w:t>
      </w:r>
      <w:r>
        <w:rPr>
          <w:spacing w:val="-101"/>
        </w:rPr>
        <w:t> </w:t>
      </w:r>
      <w:r>
        <w:rPr>
          <w:spacing w:val="-101"/>
        </w:rPr>
      </w:r>
      <w:r>
        <w:rPr/>
        <w:t>淘宝、腾讯、新浪、京东商城、汽车之家、唯品会、亚马逊、优酷网、</w:t>
      </w:r>
      <w:r>
        <w:rPr>
          <w:rFonts w:ascii="Arial" w:hAnsi="Arial" w:cs="Arial" w:eastAsia="Arial" w:hint="default"/>
        </w:rPr>
        <w:t>58</w:t>
      </w:r>
      <w:r>
        <w:rPr/>
        <w:t>同城、去哪儿、携 </w:t>
      </w:r>
      <w:r>
        <w:rPr>
          <w:spacing w:val="-3"/>
        </w:rPr>
        <w:t>程旅行网、苏宁易购、世纪佳缘等知名网站的重要推广与营销平台，每年为百度带去超过</w:t>
      </w:r>
      <w:r>
        <w:rPr>
          <w:rFonts w:ascii="Arial" w:hAnsi="Arial" w:cs="Arial" w:eastAsia="Arial" w:hint="default"/>
          <w:spacing w:val="-3"/>
        </w:rPr>
        <w:t>180</w:t>
      </w:r>
      <w:r>
        <w:rPr>
          <w:rFonts w:ascii="Arial" w:hAnsi="Arial" w:cs="Arial" w:eastAsia="Arial" w:hint="default"/>
          <w:spacing w:val="-1"/>
          <w:w w:val="99"/>
        </w:rPr>
        <w:t> </w:t>
      </w:r>
      <w:r>
        <w:rPr/>
        <w:t>亿次搜索，目前是百度联盟最大的合作伙伴。</w:t>
      </w:r>
    </w:p>
    <w:p>
      <w:pPr>
        <w:pStyle w:val="Heading5"/>
        <w:spacing w:line="345" w:lineRule="auto" w:before="96"/>
        <w:ind w:right="1130" w:firstLine="480"/>
        <w:jc w:val="both"/>
      </w:pPr>
      <w:r>
        <w:rPr>
          <w:spacing w:val="-2"/>
        </w:rPr>
        <w:t>报告期内，</w:t>
      </w:r>
      <w:r>
        <w:rPr>
          <w:rFonts w:ascii="Arial" w:hAnsi="Arial" w:cs="Arial" w:eastAsia="Arial" w:hint="default"/>
          <w:spacing w:val="-2"/>
        </w:rPr>
        <w:t>2345.com</w:t>
      </w:r>
      <w:r>
        <w:rPr>
          <w:spacing w:val="-2"/>
        </w:rPr>
        <w:t>在网址导航细分领域继续探索并取得长足进步，逐步实现了由“网</w:t>
      </w:r>
      <w:r>
        <w:rPr>
          <w:w w:val="99"/>
        </w:rPr>
        <w:t> </w:t>
      </w:r>
      <w:r>
        <w:rPr/>
        <w:t>址导航”向“内容导航”的转型，用户黏性进一步增强，收入增长空间得到有效拓展。其中</w:t>
      </w:r>
      <w:r>
        <w:rPr>
          <w:spacing w:val="-112"/>
        </w:rPr>
        <w:t> </w:t>
      </w:r>
      <w:r>
        <w:rPr>
          <w:spacing w:val="-112"/>
        </w:rPr>
      </w:r>
      <w:r>
        <w:rPr>
          <w:rFonts w:ascii="Arial" w:hAnsi="Arial" w:cs="Arial" w:eastAsia="Arial" w:hint="default"/>
        </w:rPr>
        <w:t>2345</w:t>
      </w:r>
      <w:r>
        <w:rPr/>
        <w:t>影视导航、</w:t>
      </w:r>
      <w:r>
        <w:rPr>
          <w:rFonts w:ascii="Arial" w:hAnsi="Arial" w:cs="Arial" w:eastAsia="Arial" w:hint="default"/>
        </w:rPr>
        <w:t>2345</w:t>
      </w:r>
      <w:r>
        <w:rPr/>
        <w:t>游戏导航（不含</w:t>
      </w:r>
      <w:r>
        <w:rPr>
          <w:rFonts w:ascii="Arial" w:hAnsi="Arial" w:cs="Arial" w:eastAsia="Arial" w:hint="default"/>
        </w:rPr>
        <w:t>2345</w:t>
      </w:r>
      <w:r>
        <w:rPr/>
        <w:t>网址导航首页游戏收入）、</w:t>
      </w:r>
      <w:r>
        <w:rPr>
          <w:rFonts w:ascii="Arial" w:hAnsi="Arial" w:cs="Arial" w:eastAsia="Arial" w:hint="default"/>
        </w:rPr>
        <w:t>2345</w:t>
      </w:r>
      <w:r>
        <w:rPr/>
        <w:t>分类导航、</w:t>
      </w:r>
      <w:r>
        <w:rPr>
          <w:rFonts w:ascii="Arial" w:hAnsi="Arial" w:cs="Arial" w:eastAsia="Arial" w:hint="default"/>
        </w:rPr>
        <w:t>2345</w:t>
      </w:r>
      <w:r>
        <w:rPr>
          <w:rFonts w:ascii="Arial" w:hAnsi="Arial" w:cs="Arial" w:eastAsia="Arial" w:hint="default"/>
          <w:w w:val="99"/>
        </w:rPr>
        <w:t> </w:t>
      </w:r>
      <w:r>
        <w:rPr/>
        <w:t>电商项目等多个细分领域年收入均达到数千万元，较去年同期均大幅度增长。</w:t>
      </w:r>
    </w:p>
    <w:p>
      <w:pPr>
        <w:pStyle w:val="Heading5"/>
        <w:spacing w:line="240" w:lineRule="auto" w:before="88"/>
        <w:ind w:left="633" w:right="0"/>
        <w:jc w:val="left"/>
      </w:pPr>
      <w:r>
        <w:rPr/>
        <w:t>（</w:t>
      </w:r>
      <w:r>
        <w:rPr>
          <w:rFonts w:ascii="Arial" w:hAnsi="Arial" w:cs="Arial" w:eastAsia="Arial" w:hint="default"/>
        </w:rPr>
        <w:t>2</w:t>
      </w:r>
      <w:r>
        <w:rPr/>
        <w:t>）不断完善和丰富的互联网、移动互联网产品线</w:t>
      </w:r>
    </w:p>
    <w:p>
      <w:pPr>
        <w:pStyle w:val="Heading5"/>
        <w:spacing w:line="340" w:lineRule="auto" w:before="137"/>
        <w:ind w:right="0" w:firstLine="480"/>
        <w:jc w:val="left"/>
      </w:pPr>
      <w:r>
        <w:rPr>
          <w:rFonts w:ascii="Arial" w:hAnsi="Arial" w:cs="Arial" w:eastAsia="Arial" w:hint="default"/>
          <w:spacing w:val="-1"/>
        </w:rPr>
        <w:t>2345.com</w:t>
      </w:r>
      <w:r>
        <w:rPr>
          <w:spacing w:val="-1"/>
        </w:rPr>
        <w:t>始终坚持</w:t>
      </w:r>
      <w:r>
        <w:rPr>
          <w:rFonts w:ascii="Arial" w:hAnsi="Arial" w:cs="Arial" w:eastAsia="Arial" w:hint="default"/>
          <w:spacing w:val="-1"/>
        </w:rPr>
        <w:t>“</w:t>
      </w:r>
      <w:r>
        <w:rPr>
          <w:spacing w:val="-1"/>
        </w:rPr>
        <w:t>不打扰用户</w:t>
      </w:r>
      <w:r>
        <w:rPr>
          <w:rFonts w:ascii="Arial" w:hAnsi="Arial" w:cs="Arial" w:eastAsia="Arial" w:hint="default"/>
          <w:spacing w:val="-1"/>
        </w:rPr>
        <w:t>”</w:t>
      </w:r>
      <w:r>
        <w:rPr>
          <w:spacing w:val="-1"/>
        </w:rPr>
        <w:t>的宗旨，在行业内率先承诺</w:t>
      </w:r>
      <w:r>
        <w:rPr>
          <w:rFonts w:ascii="Arial" w:hAnsi="Arial" w:cs="Arial" w:eastAsia="Arial" w:hint="default"/>
          <w:spacing w:val="-1"/>
        </w:rPr>
        <w:t>2345</w:t>
      </w:r>
      <w:r>
        <w:rPr>
          <w:spacing w:val="-1"/>
        </w:rPr>
        <w:t>网址导航永无浮动广告、</w:t>
      </w:r>
      <w:r>
        <w:rPr/>
        <w:t> </w:t>
      </w:r>
      <w:r>
        <w:rPr>
          <w:spacing w:val="-7"/>
        </w:rPr>
        <w:t>弹出广告，以保证用户满意度。经过多年发展，</w:t>
      </w:r>
      <w:r>
        <w:rPr>
          <w:rFonts w:ascii="Arial" w:hAnsi="Arial" w:cs="Arial" w:eastAsia="Arial" w:hint="default"/>
          <w:spacing w:val="-7"/>
        </w:rPr>
        <w:t>2345.com</w:t>
      </w:r>
      <w:r>
        <w:rPr>
          <w:spacing w:val="-7"/>
        </w:rPr>
        <w:t>形成了多元化、多层次的产品体系，</w:t>
      </w:r>
      <w:r>
        <w:rPr>
          <w:spacing w:val="-105"/>
        </w:rPr>
        <w:t> </w:t>
      </w:r>
      <w:r>
        <w:rPr>
          <w:spacing w:val="-105"/>
        </w:rPr>
      </w:r>
      <w:r>
        <w:rPr>
          <w:rFonts w:ascii="Arial" w:hAnsi="Arial" w:cs="Arial" w:eastAsia="Arial" w:hint="default"/>
        </w:rPr>
        <w:t>2345</w:t>
      </w:r>
      <w:r>
        <w:rPr/>
        <w:t>网址导航、</w:t>
      </w:r>
      <w:r>
        <w:rPr>
          <w:rFonts w:ascii="Arial" w:hAnsi="Arial" w:cs="Arial" w:eastAsia="Arial" w:hint="default"/>
        </w:rPr>
        <w:t>2345</w:t>
      </w:r>
      <w:r>
        <w:rPr/>
        <w:t>系列浏览器、</w:t>
      </w:r>
      <w:r>
        <w:rPr>
          <w:rFonts w:ascii="Arial" w:hAnsi="Arial" w:cs="Arial" w:eastAsia="Arial" w:hint="default"/>
        </w:rPr>
        <w:t>2345</w:t>
      </w:r>
      <w:r>
        <w:rPr/>
        <w:t>安全卫士、</w:t>
      </w:r>
      <w:r>
        <w:rPr>
          <w:rFonts w:ascii="Arial" w:hAnsi="Arial" w:cs="Arial" w:eastAsia="Arial" w:hint="default"/>
        </w:rPr>
        <w:t>2345</w:t>
      </w:r>
      <w:r>
        <w:rPr/>
        <w:t>手机助手、</w:t>
      </w:r>
      <w:r>
        <w:rPr>
          <w:rFonts w:ascii="Arial" w:hAnsi="Arial" w:cs="Arial" w:eastAsia="Arial" w:hint="default"/>
        </w:rPr>
        <w:t>2345</w:t>
      </w:r>
      <w:r>
        <w:rPr/>
        <w:t>王牌输入法、</w:t>
      </w:r>
      <w:r>
        <w:rPr>
          <w:rFonts w:ascii="Arial" w:hAnsi="Arial" w:cs="Arial" w:eastAsia="Arial" w:hint="default"/>
        </w:rPr>
        <w:t>2345</w:t>
      </w:r>
      <w:r>
        <w:rPr>
          <w:rFonts w:ascii="Arial" w:hAnsi="Arial" w:cs="Arial" w:eastAsia="Arial" w:hint="default"/>
          <w:w w:val="99"/>
        </w:rPr>
        <w:t> </w:t>
      </w:r>
      <w:r>
        <w:rPr/>
        <w:t>软件大全（原多特软件站）、</w:t>
      </w:r>
      <w:r>
        <w:rPr>
          <w:rFonts w:ascii="Arial" w:hAnsi="Arial" w:cs="Arial" w:eastAsia="Arial" w:hint="default"/>
        </w:rPr>
        <w:t>2345</w:t>
      </w:r>
      <w:r>
        <w:rPr/>
        <w:t>好压压缩软件、</w:t>
      </w:r>
      <w:r>
        <w:rPr>
          <w:rFonts w:ascii="Arial" w:hAnsi="Arial" w:cs="Arial" w:eastAsia="Arial" w:hint="default"/>
        </w:rPr>
        <w:t>2345</w:t>
      </w:r>
      <w:r>
        <w:rPr/>
        <w:t>看图王等一系列多元化产品的推出满 足了不同用户不同层次的多元化需求，充分发挥了各产品之间优势互补的特点，增强了抵御 风险的能力。截至报告期末，</w:t>
      </w:r>
      <w:r>
        <w:rPr>
          <w:rFonts w:ascii="Arial" w:hAnsi="Arial" w:cs="Arial" w:eastAsia="Arial" w:hint="default"/>
        </w:rPr>
        <w:t>2345</w:t>
      </w:r>
      <w:r>
        <w:rPr/>
        <w:t>网址导航用户数超过</w:t>
      </w:r>
      <w:r>
        <w:rPr>
          <w:rFonts w:ascii="Arial" w:hAnsi="Arial" w:cs="Arial" w:eastAsia="Arial" w:hint="default"/>
        </w:rPr>
        <w:t>4,500</w:t>
      </w:r>
      <w:r>
        <w:rPr/>
        <w:t>万，位居行业第三；</w:t>
      </w:r>
      <w:r>
        <w:rPr>
          <w:rFonts w:ascii="Arial" w:hAnsi="Arial" w:cs="Arial" w:eastAsia="Arial" w:hint="default"/>
        </w:rPr>
        <w:t>2345</w:t>
      </w:r>
      <w:r>
        <w:rPr/>
        <w:t>王牌 浏览器和加速浏览器用户数超过</w:t>
      </w:r>
      <w:r>
        <w:rPr>
          <w:rFonts w:ascii="Arial" w:hAnsi="Arial" w:cs="Arial" w:eastAsia="Arial" w:hint="default"/>
        </w:rPr>
        <w:t>3,000</w:t>
      </w:r>
      <w:r>
        <w:rPr/>
        <w:t>万，位列行业前十；</w:t>
      </w:r>
      <w:r>
        <w:rPr>
          <w:rFonts w:ascii="Arial" w:hAnsi="Arial" w:cs="Arial" w:eastAsia="Arial" w:hint="default"/>
        </w:rPr>
        <w:t>2345</w:t>
      </w:r>
      <w:r>
        <w:rPr/>
        <w:t>好压压缩软件用户累计装机 </w:t>
      </w:r>
      <w:r>
        <w:rPr>
          <w:spacing w:val="-3"/>
        </w:rPr>
        <w:t>量已达</w:t>
      </w:r>
      <w:r>
        <w:rPr>
          <w:rFonts w:ascii="Arial" w:hAnsi="Arial" w:cs="Arial" w:eastAsia="Arial" w:hint="default"/>
          <w:spacing w:val="-3"/>
        </w:rPr>
        <w:t>5.5</w:t>
      </w:r>
      <w:r>
        <w:rPr>
          <w:spacing w:val="-3"/>
        </w:rPr>
        <w:t>亿台，是国内装机量最大的免费压缩软件；</w:t>
      </w:r>
      <w:r>
        <w:rPr>
          <w:rFonts w:ascii="Arial" w:hAnsi="Arial" w:cs="Arial" w:eastAsia="Arial" w:hint="default"/>
          <w:spacing w:val="-3"/>
        </w:rPr>
        <w:t>2345</w:t>
      </w:r>
      <w:r>
        <w:rPr>
          <w:spacing w:val="-3"/>
        </w:rPr>
        <w:t>软件大全（原多特软件站）是国内</w:t>
      </w:r>
      <w:r>
        <w:rPr>
          <w:spacing w:val="-102"/>
        </w:rPr>
        <w:t> </w:t>
      </w:r>
      <w:r>
        <w:rPr>
          <w:spacing w:val="-102"/>
        </w:rPr>
      </w:r>
      <w:r>
        <w:rPr/>
        <w:t>排名前三的软件下载站，是用户下载软件的重要渠道。公司的</w:t>
      </w:r>
      <w:r>
        <w:rPr>
          <w:rFonts w:ascii="Arial" w:hAnsi="Arial" w:cs="Arial" w:eastAsia="Arial" w:hint="default"/>
        </w:rPr>
        <w:t>PC</w:t>
      </w:r>
      <w:r>
        <w:rPr/>
        <w:t>端软件产品线如下图所示：</w:t>
      </w:r>
    </w:p>
    <w:p>
      <w:pPr>
        <w:spacing w:line="240" w:lineRule="auto" w:before="12"/>
        <w:rPr>
          <w:rFonts w:ascii="宋体" w:hAnsi="宋体" w:cs="宋体" w:eastAsia="宋体" w:hint="default"/>
          <w:sz w:val="8"/>
          <w:szCs w:val="8"/>
        </w:rPr>
      </w:pPr>
    </w:p>
    <w:p>
      <w:pPr>
        <w:spacing w:line="3159" w:lineRule="exact"/>
        <w:ind w:left="184" w:right="0" w:firstLine="0"/>
        <w:rPr>
          <w:rFonts w:ascii="宋体" w:hAnsi="宋体" w:cs="宋体" w:eastAsia="宋体" w:hint="default"/>
          <w:sz w:val="20"/>
          <w:szCs w:val="20"/>
        </w:rPr>
      </w:pPr>
      <w:r>
        <w:rPr>
          <w:rFonts w:ascii="宋体" w:hAnsi="宋体" w:cs="宋体" w:eastAsia="宋体" w:hint="default"/>
          <w:position w:val="-62"/>
          <w:sz w:val="20"/>
          <w:szCs w:val="20"/>
        </w:rPr>
        <w:drawing>
          <wp:inline distT="0" distB="0" distL="0" distR="0">
            <wp:extent cx="6084443" cy="2005964"/>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6084443" cy="2005964"/>
                    </a:xfrm>
                    <a:prstGeom prst="rect">
                      <a:avLst/>
                    </a:prstGeom>
                  </pic:spPr>
                </pic:pic>
              </a:graphicData>
            </a:graphic>
          </wp:inline>
        </w:drawing>
      </w:r>
      <w:r>
        <w:rPr>
          <w:rFonts w:ascii="宋体" w:hAnsi="宋体" w:cs="宋体" w:eastAsia="宋体" w:hint="default"/>
          <w:position w:val="-62"/>
          <w:sz w:val="20"/>
          <w:szCs w:val="20"/>
        </w:rPr>
      </w:r>
    </w:p>
    <w:p>
      <w:pPr>
        <w:spacing w:after="0" w:line="3159"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Heading5"/>
        <w:spacing w:line="240" w:lineRule="auto"/>
        <w:ind w:left="633" w:right="0"/>
        <w:jc w:val="left"/>
      </w:pPr>
      <w:r>
        <w:rPr/>
        <w:t>同时</w:t>
      </w:r>
      <w:r>
        <w:rPr>
          <w:spacing w:val="-117"/>
        </w:rPr>
        <w:t>，</w:t>
      </w:r>
      <w:r>
        <w:rPr/>
        <w:t>报告期内</w:t>
      </w:r>
      <w:r>
        <w:rPr>
          <w:spacing w:val="-116"/>
        </w:rPr>
        <w:t>，</w:t>
      </w:r>
      <w:r>
        <w:rPr>
          <w:rFonts w:ascii="Arial" w:hAnsi="Arial" w:cs="Arial" w:eastAsia="Arial" w:hint="default"/>
          <w:w w:val="99"/>
        </w:rPr>
        <w:t>23</w:t>
      </w:r>
      <w:r>
        <w:rPr>
          <w:rFonts w:ascii="Arial" w:hAnsi="Arial" w:cs="Arial" w:eastAsia="Arial" w:hint="default"/>
          <w:spacing w:val="-1"/>
          <w:w w:val="99"/>
        </w:rPr>
        <w:t>4</w:t>
      </w:r>
      <w:r>
        <w:rPr>
          <w:rFonts w:ascii="Arial" w:hAnsi="Arial" w:cs="Arial" w:eastAsia="Arial" w:hint="default"/>
          <w:w w:val="99"/>
        </w:rPr>
        <w:t>5.com</w:t>
      </w:r>
      <w:r>
        <w:rPr>
          <w:w w:val="99"/>
        </w:rPr>
        <w:t>继续致力于打磨移动端产品</w:t>
      </w:r>
      <w:r>
        <w:rPr>
          <w:spacing w:val="-117"/>
          <w:w w:val="99"/>
        </w:rPr>
        <w:t>，</w:t>
      </w:r>
      <w:r>
        <w:rPr>
          <w:w w:val="99"/>
        </w:rPr>
        <w:t>不断完善</w:t>
      </w:r>
      <w:r>
        <w:rPr>
          <w:rFonts w:ascii="Arial" w:hAnsi="Arial" w:cs="Arial" w:eastAsia="Arial" w:hint="default"/>
          <w:spacing w:val="-1"/>
          <w:w w:val="99"/>
        </w:rPr>
        <w:t>2345</w:t>
      </w:r>
      <w:r>
        <w:rPr/>
        <w:t>王牌手机浏览器、</w:t>
      </w:r>
    </w:p>
    <w:p>
      <w:pPr>
        <w:pStyle w:val="Heading5"/>
        <w:spacing w:line="240" w:lineRule="auto" w:before="137"/>
        <w:ind w:right="0"/>
        <w:jc w:val="both"/>
      </w:pPr>
      <w:r>
        <w:rPr>
          <w:rFonts w:ascii="Arial" w:hAnsi="Arial" w:cs="Arial" w:eastAsia="Arial" w:hint="default"/>
          <w:spacing w:val="-1"/>
          <w:w w:val="99"/>
        </w:rPr>
        <w:t>234</w:t>
      </w:r>
      <w:r>
        <w:rPr>
          <w:rFonts w:ascii="Arial" w:hAnsi="Arial" w:cs="Arial" w:eastAsia="Arial" w:hint="default"/>
          <w:w w:val="99"/>
        </w:rPr>
        <w:t>5</w:t>
      </w:r>
      <w:r>
        <w:rPr/>
        <w:t>王牌手机助手</w:t>
      </w:r>
      <w:r>
        <w:rPr>
          <w:spacing w:val="-105"/>
        </w:rPr>
        <w:t>、</w:t>
      </w:r>
      <w:r>
        <w:rPr>
          <w:rFonts w:ascii="Arial" w:hAnsi="Arial" w:cs="Arial" w:eastAsia="Arial" w:hint="default"/>
          <w:spacing w:val="-1"/>
          <w:w w:val="99"/>
        </w:rPr>
        <w:t>2345</w:t>
      </w:r>
      <w:r>
        <w:rPr/>
        <w:t>王牌</w:t>
      </w:r>
      <w:r>
        <w:rPr>
          <w:rFonts w:ascii="Arial" w:hAnsi="Arial" w:cs="Arial" w:eastAsia="Arial" w:hint="default"/>
        </w:rPr>
        <w:t>P</w:t>
      </w:r>
      <w:r>
        <w:rPr>
          <w:rFonts w:ascii="Arial" w:hAnsi="Arial" w:cs="Arial" w:eastAsia="Arial" w:hint="default"/>
          <w:w w:val="99"/>
        </w:rPr>
        <w:t>a</w:t>
      </w:r>
      <w:r>
        <w:rPr>
          <w:rFonts w:ascii="Arial" w:hAnsi="Arial" w:cs="Arial" w:eastAsia="Arial" w:hint="default"/>
          <w:spacing w:val="-1"/>
          <w:w w:val="99"/>
        </w:rPr>
        <w:t>d</w:t>
      </w:r>
      <w:r>
        <w:rPr/>
        <w:t>浏览器</w:t>
      </w:r>
      <w:r>
        <w:rPr>
          <w:spacing w:val="-104"/>
        </w:rPr>
        <w:t>、</w:t>
      </w:r>
      <w:r>
        <w:rPr>
          <w:rFonts w:ascii="Arial" w:hAnsi="Arial" w:cs="Arial" w:eastAsia="Arial" w:hint="default"/>
          <w:spacing w:val="-1"/>
          <w:w w:val="99"/>
        </w:rPr>
        <w:t>2345</w:t>
      </w:r>
      <w:r>
        <w:rPr/>
        <w:t>影视大全</w:t>
      </w:r>
      <w:r>
        <w:rPr>
          <w:spacing w:val="-105"/>
        </w:rPr>
        <w:t>、</w:t>
      </w:r>
      <w:r>
        <w:rPr>
          <w:rFonts w:ascii="Arial" w:hAnsi="Arial" w:cs="Arial" w:eastAsia="Arial" w:hint="default"/>
          <w:spacing w:val="-1"/>
          <w:w w:val="99"/>
        </w:rPr>
        <w:t>234</w:t>
      </w:r>
      <w:r>
        <w:rPr>
          <w:rFonts w:ascii="Arial" w:hAnsi="Arial" w:cs="Arial" w:eastAsia="Arial" w:hint="default"/>
          <w:w w:val="99"/>
        </w:rPr>
        <w:t>5</w:t>
      </w:r>
      <w:r>
        <w:rPr/>
        <w:t>天气王</w:t>
      </w:r>
      <w:r>
        <w:rPr>
          <w:spacing w:val="-104"/>
        </w:rPr>
        <w:t>、</w:t>
      </w:r>
      <w:r>
        <w:rPr>
          <w:rFonts w:ascii="Arial" w:hAnsi="Arial" w:cs="Arial" w:eastAsia="Arial" w:hint="default"/>
          <w:spacing w:val="-1"/>
          <w:w w:val="99"/>
        </w:rPr>
        <w:t>2345</w:t>
      </w:r>
      <w:r>
        <w:rPr/>
        <w:t>网址导航</w:t>
      </w:r>
      <w:r>
        <w:rPr>
          <w:rFonts w:ascii="Arial" w:hAnsi="Arial" w:cs="Arial" w:eastAsia="Arial" w:hint="default"/>
          <w:spacing w:val="-1"/>
        </w:rPr>
        <w:t>APP</w:t>
      </w:r>
      <w:r>
        <w:rPr/>
        <w:t>、</w:t>
      </w:r>
    </w:p>
    <w:p>
      <w:pPr>
        <w:pStyle w:val="Heading5"/>
        <w:spacing w:line="338" w:lineRule="auto" w:before="137"/>
        <w:ind w:right="1131"/>
        <w:jc w:val="both"/>
      </w:pPr>
      <w:r>
        <w:rPr>
          <w:rFonts w:ascii="Arial" w:hAnsi="Arial" w:cs="Arial" w:eastAsia="Arial" w:hint="default"/>
          <w:spacing w:val="-2"/>
        </w:rPr>
        <w:t>2345</w:t>
      </w:r>
      <w:r>
        <w:rPr>
          <w:spacing w:val="-2"/>
        </w:rPr>
        <w:t>锁屏王、</w:t>
      </w:r>
      <w:r>
        <w:rPr>
          <w:rFonts w:ascii="Arial" w:hAnsi="Arial" w:cs="Arial" w:eastAsia="Arial" w:hint="default"/>
          <w:spacing w:val="-2"/>
        </w:rPr>
        <w:t>2345</w:t>
      </w:r>
      <w:r>
        <w:rPr>
          <w:spacing w:val="-2"/>
        </w:rPr>
        <w:t>阅读王、随心贷等多款移动应用产品，在移动互联网及互联网金融领域形</w:t>
      </w:r>
      <w:r>
        <w:rPr>
          <w:spacing w:val="-109"/>
        </w:rPr>
        <w:t> </w:t>
      </w:r>
      <w:r>
        <w:rPr>
          <w:spacing w:val="-109"/>
        </w:rPr>
      </w:r>
      <w:r>
        <w:rPr/>
        <w:t>成了较为完善的布局。截至目前，公司移动端产品线如下图所示：</w:t>
      </w:r>
    </w:p>
    <w:p>
      <w:pPr>
        <w:spacing w:line="240" w:lineRule="auto" w:before="5"/>
        <w:rPr>
          <w:rFonts w:ascii="宋体" w:hAnsi="宋体" w:cs="宋体" w:eastAsia="宋体" w:hint="default"/>
          <w:sz w:val="11"/>
          <w:szCs w:val="11"/>
        </w:rPr>
      </w:pPr>
    </w:p>
    <w:p>
      <w:pPr>
        <w:spacing w:line="3168" w:lineRule="exact"/>
        <w:ind w:left="184" w:right="0" w:firstLine="0"/>
        <w:rPr>
          <w:rFonts w:ascii="宋体" w:hAnsi="宋体" w:cs="宋体" w:eastAsia="宋体" w:hint="default"/>
          <w:sz w:val="20"/>
          <w:szCs w:val="20"/>
        </w:rPr>
      </w:pPr>
      <w:r>
        <w:rPr>
          <w:rFonts w:ascii="宋体" w:hAnsi="宋体" w:cs="宋体" w:eastAsia="宋体" w:hint="default"/>
          <w:position w:val="-62"/>
          <w:sz w:val="20"/>
          <w:szCs w:val="20"/>
        </w:rPr>
        <w:drawing>
          <wp:inline distT="0" distB="0" distL="0" distR="0">
            <wp:extent cx="6103222" cy="2012156"/>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3" cstate="print"/>
                    <a:stretch>
                      <a:fillRect/>
                    </a:stretch>
                  </pic:blipFill>
                  <pic:spPr>
                    <a:xfrm>
                      <a:off x="0" y="0"/>
                      <a:ext cx="6103222" cy="2012156"/>
                    </a:xfrm>
                    <a:prstGeom prst="rect">
                      <a:avLst/>
                    </a:prstGeom>
                  </pic:spPr>
                </pic:pic>
              </a:graphicData>
            </a:graphic>
          </wp:inline>
        </w:drawing>
      </w:r>
      <w:r>
        <w:rPr>
          <w:rFonts w:ascii="宋体" w:hAnsi="宋体" w:cs="宋体" w:eastAsia="宋体" w:hint="default"/>
          <w:position w:val="-62"/>
          <w:sz w:val="20"/>
          <w:szCs w:val="20"/>
        </w:rPr>
      </w:r>
    </w:p>
    <w:p>
      <w:pPr>
        <w:pStyle w:val="Heading5"/>
        <w:spacing w:line="338" w:lineRule="auto" w:before="171"/>
        <w:ind w:left="633" w:right="0"/>
        <w:jc w:val="left"/>
      </w:pPr>
      <w:r>
        <w:rPr/>
        <w:t>（</w:t>
      </w:r>
      <w:r>
        <w:rPr>
          <w:rFonts w:ascii="Arial" w:hAnsi="Arial" w:cs="Arial" w:eastAsia="Arial" w:hint="default"/>
        </w:rPr>
        <w:t>3</w:t>
      </w:r>
      <w:r>
        <w:rPr/>
        <w:t>）互联网及金融领域的知识及人才储备优势 子公司海隆软件长期为海外一流的大型企业提供证券、银行、保险领域的各种软件系统</w:t>
      </w:r>
    </w:p>
    <w:p>
      <w:pPr>
        <w:pStyle w:val="Heading5"/>
        <w:spacing w:line="350" w:lineRule="auto" w:before="55"/>
        <w:ind w:right="1139"/>
        <w:jc w:val="both"/>
      </w:pPr>
      <w:r>
        <w:rPr/>
        <w:t>设计及开发服务，具备较强的互联网、金融等领域的知识储备及研发经验；公司与中银消费 </w:t>
      </w:r>
      <w:r>
        <w:rPr>
          <w:spacing w:val="2"/>
        </w:rPr>
        <w:t>金融合作推出</w:t>
      </w:r>
      <w:r>
        <w:rPr>
          <w:rFonts w:ascii="Arial" w:hAnsi="Arial" w:cs="Arial" w:eastAsia="Arial" w:hint="default"/>
          <w:spacing w:val="2"/>
        </w:rPr>
        <w:t>“</w:t>
      </w:r>
      <w:r>
        <w:rPr>
          <w:spacing w:val="2"/>
        </w:rPr>
        <w:t>随心贷</w:t>
      </w:r>
      <w:r>
        <w:rPr>
          <w:rFonts w:ascii="Arial" w:hAnsi="Arial" w:cs="Arial" w:eastAsia="Arial" w:hint="default"/>
          <w:spacing w:val="2"/>
        </w:rPr>
        <w:t>”</w:t>
      </w:r>
      <w:r>
        <w:rPr>
          <w:spacing w:val="2"/>
        </w:rPr>
        <w:t>网络借贷平台，在对国内互联网金融业务进行初步探索与重要战略布</w:t>
      </w:r>
      <w:r>
        <w:rPr>
          <w:spacing w:val="-104"/>
        </w:rPr>
        <w:t> </w:t>
      </w:r>
      <w:r>
        <w:rPr>
          <w:spacing w:val="-104"/>
        </w:rPr>
      </w:r>
      <w:r>
        <w:rPr/>
        <w:t>局的同时，还培养了一批具备互联网、金融等领域的产品设计及提供整体解决方案能力的复 合型高端人才，为互联网金融业务的进一步发展奠定了坚实基础。</w:t>
      </w:r>
    </w:p>
    <w:p>
      <w:pPr>
        <w:pStyle w:val="Heading5"/>
        <w:spacing w:line="338" w:lineRule="auto" w:before="43"/>
        <w:ind w:left="633" w:right="0"/>
        <w:jc w:val="left"/>
      </w:pPr>
      <w:r>
        <w:rPr/>
        <w:t>（</w:t>
      </w:r>
      <w:r>
        <w:rPr>
          <w:rFonts w:ascii="Arial" w:hAnsi="Arial" w:cs="Arial" w:eastAsia="Arial" w:hint="default"/>
        </w:rPr>
        <w:t>4</w:t>
      </w:r>
      <w:r>
        <w:rPr/>
        <w:t>）长期从事软件外包服务的市场先发和品牌优势 子公司海隆软件是国内最早从事软件外包服务的企业之一，多年来始终坚持高端业务战</w:t>
      </w:r>
    </w:p>
    <w:p>
      <w:pPr>
        <w:pStyle w:val="Heading5"/>
        <w:spacing w:line="240" w:lineRule="auto" w:before="55"/>
        <w:ind w:right="0"/>
        <w:jc w:val="both"/>
      </w:pPr>
      <w:r>
        <w:rPr/>
        <w:t>略方针，形成了较为强大的市场先发优势和品牌优势，业务量逐年稳定增长。</w:t>
      </w:r>
    </w:p>
    <w:p>
      <w:pPr>
        <w:spacing w:after="0" w:line="24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6" w:right="0"/>
        <w:jc w:val="left"/>
        <w:rPr>
          <w:b w:val="0"/>
          <w:bCs w:val="0"/>
        </w:rPr>
      </w:pPr>
      <w:bookmarkStart w:name="第四节 管理层讨论与分析" w:id="22"/>
      <w:bookmarkEnd w:id="22"/>
      <w:r>
        <w:rPr>
          <w:b w:val="0"/>
          <w:bCs w:val="0"/>
        </w:rPr>
      </w:r>
      <w:bookmarkStart w:name="_bookmark2" w:id="23"/>
      <w:bookmarkEnd w:id="23"/>
      <w:r>
        <w:rPr>
          <w:b w:val="0"/>
          <w:bCs w:val="0"/>
        </w:rPr>
      </w:r>
      <w:r>
        <w:rPr/>
        <w:t>第四节</w:t>
      </w:r>
      <w:r>
        <w:rPr>
          <w:spacing w:val="-9"/>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11"/>
        <w:rPr>
          <w:rFonts w:ascii="宋体" w:hAnsi="宋体" w:cs="宋体" w:eastAsia="宋体" w:hint="default"/>
          <w:b/>
          <w:bCs/>
          <w:sz w:val="28"/>
          <w:szCs w:val="28"/>
        </w:rPr>
      </w:pPr>
    </w:p>
    <w:p>
      <w:pPr>
        <w:pStyle w:val="Heading5"/>
        <w:spacing w:line="348" w:lineRule="auto" w:before="0"/>
        <w:ind w:right="0" w:firstLine="480"/>
        <w:jc w:val="left"/>
      </w:pPr>
      <w:r>
        <w:rPr>
          <w:rFonts w:ascii="Arial" w:hAnsi="Arial" w:cs="Arial" w:eastAsia="Arial" w:hint="default"/>
          <w:spacing w:val="-2"/>
        </w:rPr>
        <w:t>2015</w:t>
      </w:r>
      <w:r>
        <w:rPr>
          <w:spacing w:val="-2"/>
        </w:rPr>
        <w:t>年度是公司完成收购上海二三四五网络科技有限公司（以下简称</w:t>
      </w:r>
      <w:r>
        <w:rPr>
          <w:rFonts w:ascii="Arial" w:hAnsi="Arial" w:cs="Arial" w:eastAsia="Arial" w:hint="default"/>
          <w:spacing w:val="-2"/>
        </w:rPr>
        <w:t>“</w:t>
      </w:r>
      <w:r>
        <w:rPr>
          <w:spacing w:val="-2"/>
        </w:rPr>
        <w:t>网络科技子公司</w:t>
      </w:r>
      <w:r>
        <w:rPr>
          <w:rFonts w:ascii="Arial" w:hAnsi="Arial" w:cs="Arial" w:eastAsia="Arial" w:hint="default"/>
          <w:spacing w:val="-2"/>
        </w:rPr>
        <w:t>”</w:t>
      </w:r>
      <w:r>
        <w:rPr>
          <w:spacing w:val="-2"/>
        </w:rPr>
        <w:t>）</w:t>
      </w:r>
      <w:r>
        <w:rPr/>
        <w:t> 后的第一个完整的会计年度。为进一步实现公司的战略布局，突出公司的集团化经营管理模 式，提高管理效率，公司内部组织结构进行了调整与优化。同时，考虑到用户流量对于公司 </w:t>
      </w:r>
      <w:r>
        <w:rPr>
          <w:spacing w:val="2"/>
        </w:rPr>
        <w:t>进军互联网金融领域和拓展移动互联网业务的重大意义，以及</w:t>
      </w:r>
      <w:r>
        <w:rPr>
          <w:rFonts w:ascii="Arial" w:hAnsi="Arial" w:cs="Arial" w:eastAsia="Arial" w:hint="default"/>
          <w:spacing w:val="2"/>
        </w:rPr>
        <w:t>“</w:t>
      </w:r>
      <w:r>
        <w:rPr>
          <w:spacing w:val="2"/>
        </w:rPr>
        <w:t>二三四五</w:t>
      </w:r>
      <w:r>
        <w:rPr>
          <w:rFonts w:ascii="Arial" w:hAnsi="Arial" w:cs="Arial" w:eastAsia="Arial" w:hint="default"/>
          <w:spacing w:val="2"/>
        </w:rPr>
        <w:t>”</w:t>
      </w:r>
      <w:r>
        <w:rPr>
          <w:spacing w:val="2"/>
        </w:rPr>
        <w:t>品牌在互联网领域</w:t>
      </w:r>
      <w:r>
        <w:rPr>
          <w:spacing w:val="-98"/>
        </w:rPr>
        <w:t> </w:t>
      </w:r>
      <w:r>
        <w:rPr>
          <w:spacing w:val="-98"/>
        </w:rPr>
      </w:r>
      <w:r>
        <w:rPr/>
        <w:t>长期积累的品牌优势，为了更加有利于公司互联网金融和移动互联网产品的推广，实现股东 </w:t>
      </w:r>
      <w:r>
        <w:rPr>
          <w:spacing w:val="2"/>
        </w:rPr>
        <w:t>利益最大化，报告期内公司将名称变更为</w:t>
      </w:r>
      <w:r>
        <w:rPr>
          <w:rFonts w:ascii="Arial" w:hAnsi="Arial" w:cs="Arial" w:eastAsia="Arial" w:hint="default"/>
          <w:spacing w:val="2"/>
        </w:rPr>
        <w:t>“</w:t>
      </w:r>
      <w:r>
        <w:rPr>
          <w:spacing w:val="2"/>
        </w:rPr>
        <w:t>上海二三四五网络控股集团股份有限公司</w:t>
      </w:r>
      <w:r>
        <w:rPr>
          <w:rFonts w:ascii="Arial" w:hAnsi="Arial" w:cs="Arial" w:eastAsia="Arial" w:hint="default"/>
          <w:spacing w:val="2"/>
        </w:rPr>
        <w:t>”</w:t>
      </w:r>
      <w:r>
        <w:rPr>
          <w:spacing w:val="2"/>
        </w:rPr>
        <w:t>，证券</w:t>
      </w:r>
      <w:r>
        <w:rPr>
          <w:spacing w:val="-96"/>
        </w:rPr>
        <w:t> </w:t>
      </w:r>
      <w:r>
        <w:rPr>
          <w:spacing w:val="-96"/>
        </w:rPr>
      </w:r>
      <w:r>
        <w:rPr/>
        <w:t>简称变更为</w:t>
      </w:r>
      <w:r>
        <w:rPr>
          <w:rFonts w:ascii="Arial" w:hAnsi="Arial" w:cs="Arial" w:eastAsia="Arial" w:hint="default"/>
        </w:rPr>
        <w:t>“</w:t>
      </w:r>
      <w:r>
        <w:rPr/>
        <w:t>二三四五</w:t>
      </w:r>
      <w:r>
        <w:rPr>
          <w:rFonts w:ascii="Arial" w:hAnsi="Arial" w:cs="Arial" w:eastAsia="Arial" w:hint="default"/>
        </w:rPr>
        <w:t>”</w:t>
      </w:r>
      <w:r>
        <w:rPr/>
        <w:t>。调整后的公司组织结构如下图所示：</w:t>
      </w:r>
    </w:p>
    <w:p>
      <w:pPr>
        <w:spacing w:line="240" w:lineRule="auto" w:before="13"/>
        <w:rPr>
          <w:rFonts w:ascii="宋体" w:hAnsi="宋体" w:cs="宋体" w:eastAsia="宋体" w:hint="default"/>
          <w:sz w:val="4"/>
          <w:szCs w:val="4"/>
        </w:rPr>
      </w:pPr>
    </w:p>
    <w:p>
      <w:pPr>
        <w:spacing w:line="2937" w:lineRule="exact"/>
        <w:ind w:left="184" w:right="0" w:firstLine="0"/>
        <w:rPr>
          <w:rFonts w:ascii="宋体" w:hAnsi="宋体" w:cs="宋体" w:eastAsia="宋体" w:hint="default"/>
          <w:sz w:val="20"/>
          <w:szCs w:val="20"/>
        </w:rPr>
      </w:pPr>
      <w:r>
        <w:rPr>
          <w:rFonts w:ascii="宋体" w:hAnsi="宋体" w:cs="宋体" w:eastAsia="宋体" w:hint="default"/>
          <w:position w:val="-58"/>
          <w:sz w:val="20"/>
          <w:szCs w:val="20"/>
        </w:rPr>
        <w:drawing>
          <wp:inline distT="0" distB="0" distL="0" distR="0">
            <wp:extent cx="5986334" cy="1865376"/>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4" cstate="print"/>
                    <a:stretch>
                      <a:fillRect/>
                    </a:stretch>
                  </pic:blipFill>
                  <pic:spPr>
                    <a:xfrm>
                      <a:off x="0" y="0"/>
                      <a:ext cx="5986334" cy="1865376"/>
                    </a:xfrm>
                    <a:prstGeom prst="rect">
                      <a:avLst/>
                    </a:prstGeom>
                  </pic:spPr>
                </pic:pic>
              </a:graphicData>
            </a:graphic>
          </wp:inline>
        </w:drawing>
      </w:r>
      <w:r>
        <w:rPr>
          <w:rFonts w:ascii="宋体" w:hAnsi="宋体" w:cs="宋体" w:eastAsia="宋体" w:hint="default"/>
          <w:position w:val="-58"/>
          <w:sz w:val="20"/>
          <w:szCs w:val="20"/>
        </w:rPr>
      </w:r>
    </w:p>
    <w:p>
      <w:pPr>
        <w:pStyle w:val="Heading5"/>
        <w:spacing w:line="343" w:lineRule="auto" w:before="134"/>
        <w:ind w:right="1010" w:firstLine="480"/>
        <w:jc w:val="left"/>
      </w:pPr>
      <w:r>
        <w:rPr>
          <w:rFonts w:ascii="Arial" w:hAnsi="Arial" w:cs="Arial" w:eastAsia="Arial" w:hint="default"/>
          <w:spacing w:val="-3"/>
        </w:rPr>
        <w:t>2015</w:t>
      </w:r>
      <w:r>
        <w:rPr>
          <w:spacing w:val="-3"/>
        </w:rPr>
        <w:t>年度，在互联网行业变革升级、竞争加剧的大环境下，围绕着将公司打造成为</w:t>
      </w:r>
      <w:r>
        <w:rPr>
          <w:rFonts w:ascii="Arial" w:hAnsi="Arial" w:cs="Arial" w:eastAsia="Arial" w:hint="default"/>
          <w:spacing w:val="-3"/>
        </w:rPr>
        <w:t>“</w:t>
      </w:r>
      <w:r>
        <w:rPr>
          <w:spacing w:val="-3"/>
        </w:rPr>
        <w:t>基于</w:t>
      </w:r>
      <w:r>
        <w:rPr/>
        <w:t> 互联网平台的一流综合服务商</w:t>
      </w:r>
      <w:r>
        <w:rPr>
          <w:rFonts w:ascii="Arial" w:hAnsi="Arial" w:cs="Arial" w:eastAsia="Arial" w:hint="default"/>
        </w:rPr>
        <w:t>”</w:t>
      </w:r>
      <w:r>
        <w:rPr/>
        <w:t>这一战略目标，公司继续立足于</w:t>
      </w:r>
      <w:r>
        <w:rPr>
          <w:rFonts w:ascii="Arial" w:hAnsi="Arial" w:cs="Arial" w:eastAsia="Arial" w:hint="default"/>
        </w:rPr>
        <w:t>“</w:t>
      </w:r>
      <w:r>
        <w:rPr/>
        <w:t>打造网民首选的互联网入口</w:t>
      </w:r>
      <w:r>
        <w:rPr>
          <w:rFonts w:ascii="Arial" w:hAnsi="Arial" w:cs="Arial" w:eastAsia="Arial" w:hint="default"/>
        </w:rPr>
        <w:t>”</w:t>
      </w:r>
      <w:r>
        <w:rPr>
          <w:rFonts w:ascii="Arial" w:hAnsi="Arial" w:cs="Arial" w:eastAsia="Arial" w:hint="default"/>
          <w:spacing w:val="-56"/>
        </w:rPr>
        <w:t> </w:t>
      </w:r>
      <w:r>
        <w:rPr/>
        <w:t>这一核心定位，不断完善产品体系、拓展业务领域，在研发技术、商业模式、用户价值挖掘 </w:t>
      </w:r>
      <w:r>
        <w:rPr>
          <w:spacing w:val="-8"/>
        </w:rPr>
        <w:t>上寻求突破，从</w:t>
      </w:r>
      <w:r>
        <w:rPr>
          <w:rFonts w:ascii="Arial" w:hAnsi="Arial" w:cs="Arial" w:eastAsia="Arial" w:hint="default"/>
          <w:spacing w:val="-8"/>
        </w:rPr>
        <w:t>PC</w:t>
      </w:r>
      <w:r>
        <w:rPr>
          <w:spacing w:val="-8"/>
        </w:rPr>
        <w:t>端、移动端、互联网金融等多方发力，走过了机遇与挑战并存的重要一年。</w:t>
      </w:r>
      <w:r>
        <w:rPr>
          <w:spacing w:val="-85"/>
        </w:rPr>
        <w:t> </w:t>
      </w:r>
      <w:r>
        <w:rPr>
          <w:spacing w:val="-85"/>
        </w:rPr>
      </w:r>
      <w:r>
        <w:rPr>
          <w:rFonts w:ascii="Arial" w:hAnsi="Arial" w:cs="Arial" w:eastAsia="Arial" w:hint="default"/>
          <w:spacing w:val="2"/>
        </w:rPr>
        <w:t>2015</w:t>
      </w:r>
      <w:r>
        <w:rPr>
          <w:spacing w:val="2"/>
        </w:rPr>
        <w:t>年度，公司合并报表范围内的营业收入为</w:t>
      </w:r>
      <w:r>
        <w:rPr>
          <w:rFonts w:ascii="Arial" w:hAnsi="Arial" w:cs="Arial" w:eastAsia="Arial" w:hint="default"/>
          <w:spacing w:val="2"/>
        </w:rPr>
        <w:t>146,991.48</w:t>
      </w:r>
      <w:r>
        <w:rPr>
          <w:spacing w:val="2"/>
        </w:rPr>
        <w:t>万元，较上年同比增长</w:t>
      </w:r>
      <w:r>
        <w:rPr>
          <w:rFonts w:ascii="Arial" w:hAnsi="Arial" w:cs="Arial" w:eastAsia="Arial" w:hint="default"/>
          <w:spacing w:val="2"/>
        </w:rPr>
        <w:t>124.73%</w:t>
      </w:r>
      <w:r>
        <w:rPr>
          <w:spacing w:val="2"/>
        </w:rPr>
        <w:t>，</w:t>
      </w:r>
      <w:r>
        <w:rPr/>
        <w:t> 归属于母公司所有者的净利润</w:t>
      </w:r>
      <w:r>
        <w:rPr>
          <w:rFonts w:ascii="Arial" w:hAnsi="Arial" w:cs="Arial" w:eastAsia="Arial" w:hint="default"/>
        </w:rPr>
        <w:t>41,718.33</w:t>
      </w:r>
      <w:r>
        <w:rPr/>
        <w:t>万元，较上年同比增长</w:t>
      </w:r>
      <w:r>
        <w:rPr>
          <w:rFonts w:ascii="Arial" w:hAnsi="Arial" w:cs="Arial" w:eastAsia="Arial" w:hint="default"/>
        </w:rPr>
        <w:t>252.38%</w:t>
      </w:r>
      <w:r>
        <w:rPr/>
        <w:t>，营业收入与净利润 均创历史新高。</w:t>
      </w:r>
    </w:p>
    <w:p>
      <w:pPr>
        <w:pStyle w:val="Heading4"/>
        <w:spacing w:line="240" w:lineRule="auto" w:before="50"/>
        <w:ind w:right="0"/>
        <w:jc w:val="left"/>
        <w:rPr>
          <w:b w:val="0"/>
          <w:bCs w:val="0"/>
        </w:rPr>
      </w:pPr>
      <w:r>
        <w:rPr>
          <w:rFonts w:ascii="Arial" w:hAnsi="Arial" w:cs="Arial" w:eastAsia="Arial" w:hint="default"/>
        </w:rPr>
        <w:t>1</w:t>
      </w:r>
      <w:r>
        <w:rPr/>
        <w:t>、互联网信息服务及互联网金融服务</w:t>
      </w:r>
      <w:r>
        <w:rPr>
          <w:b w:val="0"/>
          <w:bCs w:val="0"/>
        </w:rPr>
      </w:r>
    </w:p>
    <w:p>
      <w:pPr>
        <w:pStyle w:val="Heading5"/>
        <w:spacing w:line="338" w:lineRule="auto" w:before="137"/>
        <w:ind w:right="1010" w:firstLine="480"/>
        <w:jc w:val="both"/>
      </w:pPr>
      <w:r>
        <w:rPr>
          <w:rFonts w:ascii="Arial" w:hAnsi="Arial" w:cs="Arial" w:eastAsia="Arial" w:hint="default"/>
        </w:rPr>
        <w:t>2015</w:t>
      </w:r>
      <w:r>
        <w:rPr/>
        <w:t>年，互联网行业发展进入阶段性跃升</w:t>
      </w:r>
      <w:r>
        <w:rPr>
          <w:rFonts w:ascii="Arial" w:hAnsi="Arial" w:cs="Arial" w:eastAsia="Arial" w:hint="default"/>
        </w:rPr>
        <w:t>——</w:t>
      </w:r>
      <w:r>
        <w:rPr/>
        <w:t>传统互联网不断寻求突破，移动互联网竞 争格局日渐明朗，</w:t>
      </w:r>
      <w:r>
        <w:rPr>
          <w:rFonts w:ascii="Arial" w:hAnsi="Arial" w:cs="Arial" w:eastAsia="Arial" w:hint="default"/>
        </w:rPr>
        <w:t>“</w:t>
      </w:r>
      <w:r>
        <w:rPr/>
        <w:t>互联网</w:t>
      </w:r>
      <w:r>
        <w:rPr>
          <w:rFonts w:ascii="Arial" w:hAnsi="Arial" w:cs="Arial" w:eastAsia="Arial" w:hint="default"/>
        </w:rPr>
        <w:t>+”</w:t>
      </w:r>
      <w:r>
        <w:rPr/>
        <w:t>助推行业融合共享经济。公司审时度势，结合行业环境和自身特 色，提出</w:t>
      </w:r>
      <w:r>
        <w:rPr>
          <w:rFonts w:ascii="Arial" w:hAnsi="Arial" w:cs="Arial" w:eastAsia="Arial" w:hint="default"/>
        </w:rPr>
        <w:t>“</w:t>
      </w:r>
      <w:r>
        <w:rPr/>
        <w:t>稳大盘、调结构、抓重点、上台阶</w:t>
      </w:r>
      <w:r>
        <w:rPr>
          <w:rFonts w:ascii="Arial" w:hAnsi="Arial" w:cs="Arial" w:eastAsia="Arial" w:hint="default"/>
        </w:rPr>
        <w:t>”</w:t>
      </w:r>
      <w:r>
        <w:rPr/>
        <w:t>的</w:t>
      </w:r>
      <w:r>
        <w:rPr>
          <w:rFonts w:ascii="Arial" w:hAnsi="Arial" w:cs="Arial" w:eastAsia="Arial" w:hint="default"/>
        </w:rPr>
        <w:t>2015</w:t>
      </w:r>
      <w:r>
        <w:rPr/>
        <w:t>年发展战略，继续完善</w:t>
      </w:r>
      <w:r>
        <w:rPr>
          <w:rFonts w:ascii="Arial" w:hAnsi="Arial" w:cs="Arial" w:eastAsia="Arial" w:hint="default"/>
        </w:rPr>
        <w:t>PC</w:t>
      </w:r>
      <w:r>
        <w:rPr/>
        <w:t>端、移动端、</w:t>
      </w:r>
    </w:p>
    <w:p>
      <w:pPr>
        <w:spacing w:after="0" w:line="338" w:lineRule="auto"/>
        <w:jc w:val="both"/>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Heading5"/>
        <w:spacing w:line="338" w:lineRule="auto"/>
        <w:ind w:left="633" w:right="1233" w:hanging="480"/>
        <w:jc w:val="left"/>
      </w:pPr>
      <w:r>
        <w:rPr/>
        <w:t>互联网金融等全方位布局，公司基于互联网平台的</w:t>
      </w:r>
      <w:r>
        <w:rPr>
          <w:rFonts w:ascii="Arial" w:hAnsi="Arial" w:cs="Arial" w:eastAsia="Arial" w:hint="default"/>
        </w:rPr>
        <w:t>“</w:t>
      </w:r>
      <w:r>
        <w:rPr/>
        <w:t>综合互服务商</w:t>
      </w:r>
      <w:r>
        <w:rPr>
          <w:rFonts w:ascii="Arial" w:hAnsi="Arial" w:cs="Arial" w:eastAsia="Arial" w:hint="default"/>
        </w:rPr>
        <w:t>”</w:t>
      </w:r>
      <w:r>
        <w:rPr/>
        <w:t>构架初具雏形。 报告期内，公司从战略高度对原有</w:t>
      </w:r>
      <w:r>
        <w:rPr>
          <w:rFonts w:ascii="Arial" w:hAnsi="Arial" w:cs="Arial" w:eastAsia="Arial" w:hint="default"/>
        </w:rPr>
        <w:t>“</w:t>
      </w:r>
      <w:r>
        <w:rPr/>
        <w:t>网址导航、移动互联网、王牌联盟、战略软件</w:t>
      </w:r>
      <w:r>
        <w:rPr>
          <w:rFonts w:ascii="Arial" w:hAnsi="Arial" w:cs="Arial" w:eastAsia="Arial" w:hint="default"/>
        </w:rPr>
        <w:t>”</w:t>
      </w:r>
      <w:r>
        <w:rPr/>
        <w:t>四大</w:t>
      </w:r>
    </w:p>
    <w:p>
      <w:pPr>
        <w:pStyle w:val="Heading5"/>
        <w:spacing w:line="240" w:lineRule="auto" w:before="27"/>
        <w:ind w:right="0"/>
        <w:jc w:val="left"/>
      </w:pPr>
      <w:r>
        <w:rPr/>
        <w:t>业务模块进行结构性调整，并拓宽了包括互联网金融等新增业务的发展。</w:t>
      </w:r>
    </w:p>
    <w:p>
      <w:pPr>
        <w:pStyle w:val="Heading5"/>
        <w:spacing w:line="343" w:lineRule="auto" w:before="195"/>
        <w:ind w:right="1129" w:firstLine="480"/>
        <w:jc w:val="both"/>
      </w:pPr>
      <w:r>
        <w:rPr/>
        <w:t>（</w:t>
      </w:r>
      <w:r>
        <w:rPr>
          <w:rFonts w:ascii="Arial" w:hAnsi="Arial" w:cs="Arial" w:eastAsia="Arial" w:hint="default"/>
        </w:rPr>
        <w:t>1</w:t>
      </w:r>
      <w:r>
        <w:rPr/>
        <w:t>）传统</w:t>
      </w:r>
      <w:r>
        <w:rPr>
          <w:rFonts w:ascii="Arial" w:hAnsi="Arial" w:cs="Arial" w:eastAsia="Arial" w:hint="default"/>
        </w:rPr>
        <w:t>PC</w:t>
      </w:r>
      <w:r>
        <w:rPr/>
        <w:t>端：公司依托多年来形成的产品优势、流量优势、推广优势，将重点投入 到用户需求的研究，不断优化产品功能、提升用户体验，关注存量用户黏性和增量用户数， </w:t>
      </w:r>
      <w:r>
        <w:rPr>
          <w:spacing w:val="-3"/>
        </w:rPr>
        <w:t>平台用户规模超过</w:t>
      </w:r>
      <w:r>
        <w:rPr>
          <w:rFonts w:ascii="Arial" w:hAnsi="Arial" w:cs="Arial" w:eastAsia="Arial" w:hint="default"/>
          <w:spacing w:val="-3"/>
        </w:rPr>
        <w:t>4,500</w:t>
      </w:r>
      <w:r>
        <w:rPr>
          <w:spacing w:val="-3"/>
        </w:rPr>
        <w:t>万，用户</w:t>
      </w:r>
      <w:r>
        <w:rPr>
          <w:rFonts w:ascii="Arial" w:hAnsi="Arial" w:cs="Arial" w:eastAsia="Arial" w:hint="default"/>
          <w:spacing w:val="-3"/>
        </w:rPr>
        <w:t>ARPU</w:t>
      </w:r>
      <w:r>
        <w:rPr>
          <w:spacing w:val="-3"/>
        </w:rPr>
        <w:t>值（即每用户平均收入）有了显著提升，实现了</w:t>
      </w:r>
      <w:r>
        <w:rPr>
          <w:rFonts w:ascii="Arial" w:hAnsi="Arial" w:cs="Arial" w:eastAsia="Arial" w:hint="default"/>
          <w:spacing w:val="-3"/>
        </w:rPr>
        <w:t>“</w:t>
      </w:r>
      <w:r>
        <w:rPr>
          <w:spacing w:val="-3"/>
        </w:rPr>
        <w:t>稳中</w:t>
      </w:r>
      <w:r>
        <w:rPr>
          <w:spacing w:val="-99"/>
        </w:rPr>
        <w:t> </w:t>
      </w:r>
      <w:r>
        <w:rPr>
          <w:spacing w:val="-7"/>
        </w:rPr>
        <w:t>求增</w:t>
      </w:r>
      <w:r>
        <w:rPr>
          <w:rFonts w:ascii="Arial" w:hAnsi="Arial" w:cs="Arial" w:eastAsia="Arial" w:hint="default"/>
          <w:spacing w:val="-7"/>
        </w:rPr>
        <w:t>”</w:t>
      </w:r>
      <w:r>
        <w:rPr>
          <w:spacing w:val="-7"/>
        </w:rPr>
        <w:t>的目标；另一方面，公司以“精中求深”不断深化细分领域的探索，游戏、影视、小说、</w:t>
      </w:r>
      <w:r>
        <w:rPr>
          <w:spacing w:val="-112"/>
        </w:rPr>
        <w:t> </w:t>
      </w:r>
      <w:r>
        <w:rPr>
          <w:spacing w:val="-112"/>
        </w:rPr>
      </w:r>
      <w:r>
        <w:rPr/>
        <w:t>精准营销等多个细分领域的业务取得突破性增长，逐步实现了“网址导航”向“内容导航”</w:t>
      </w:r>
      <w:r>
        <w:rPr>
          <w:spacing w:val="-106"/>
        </w:rPr>
        <w:t> </w:t>
      </w:r>
      <w:r>
        <w:rPr>
          <w:spacing w:val="-106"/>
        </w:rPr>
      </w:r>
      <w:r>
        <w:rPr>
          <w:spacing w:val="-5"/>
        </w:rPr>
        <w:t>的转型，主要表现为：（</w:t>
      </w:r>
      <w:r>
        <w:rPr>
          <w:rFonts w:ascii="Arial" w:hAnsi="Arial" w:cs="Arial" w:eastAsia="Arial" w:hint="default"/>
          <w:spacing w:val="-5"/>
        </w:rPr>
        <w:t>A</w:t>
      </w:r>
      <w:r>
        <w:rPr>
          <w:spacing w:val="-5"/>
        </w:rPr>
        <w:t>）</w:t>
      </w:r>
      <w:r>
        <w:rPr>
          <w:rFonts w:ascii="Arial" w:hAnsi="Arial" w:cs="Arial" w:eastAsia="Arial" w:hint="default"/>
          <w:spacing w:val="-5"/>
        </w:rPr>
        <w:t>2345</w:t>
      </w:r>
      <w:r>
        <w:rPr>
          <w:spacing w:val="-5"/>
        </w:rPr>
        <w:t>游戏导航与三七互娱（上海）科技有限公司（以下简称“三</w:t>
      </w:r>
      <w:r>
        <w:rPr>
          <w:spacing w:val="-91"/>
        </w:rPr>
        <w:t> </w:t>
      </w:r>
      <w:r>
        <w:rPr>
          <w:spacing w:val="-91"/>
        </w:rPr>
      </w:r>
      <w:r>
        <w:rPr>
          <w:spacing w:val="-1"/>
        </w:rPr>
        <w:t>七互娱”）签署战略合作协议，通过资源共享机制联合挖掘游戏用户价值，目前</w:t>
      </w:r>
      <w:r>
        <w:rPr>
          <w:rFonts w:ascii="Arial" w:hAnsi="Arial" w:cs="Arial" w:eastAsia="Arial" w:hint="default"/>
          <w:spacing w:val="-1"/>
        </w:rPr>
        <w:t>2345</w:t>
      </w:r>
      <w:r>
        <w:rPr>
          <w:spacing w:val="-1"/>
        </w:rPr>
        <w:t>游戏月</w:t>
      </w:r>
      <w:r>
        <w:rPr>
          <w:spacing w:val="-98"/>
        </w:rPr>
        <w:t> </w:t>
      </w:r>
      <w:r>
        <w:rPr>
          <w:spacing w:val="-98"/>
        </w:rPr>
      </w:r>
      <w:r>
        <w:rPr/>
        <w:t>流水大幅增长，成功晋级国内前十的游戏运营平台；（</w:t>
      </w:r>
      <w:r>
        <w:rPr>
          <w:rFonts w:ascii="Arial" w:hAnsi="Arial" w:cs="Arial" w:eastAsia="Arial" w:hint="default"/>
        </w:rPr>
        <w:t>B</w:t>
      </w:r>
      <w:r>
        <w:rPr/>
        <w:t>）</w:t>
      </w:r>
      <w:r>
        <w:rPr>
          <w:rFonts w:ascii="Arial" w:hAnsi="Arial" w:cs="Arial" w:eastAsia="Arial" w:hint="default"/>
        </w:rPr>
        <w:t>2345</w:t>
      </w:r>
      <w:r>
        <w:rPr/>
        <w:t>影视导航，日访问用户快速</w:t>
      </w:r>
      <w:r>
        <w:rPr>
          <w:spacing w:val="-83"/>
        </w:rPr>
        <w:t> </w:t>
      </w:r>
      <w:r>
        <w:rPr>
          <w:spacing w:val="-83"/>
        </w:rPr>
      </w:r>
      <w:r>
        <w:rPr/>
        <w:t>增长，单月收入突破千万元，较年初有大幅度增长；（</w:t>
      </w:r>
      <w:r>
        <w:rPr>
          <w:rFonts w:ascii="Arial" w:hAnsi="Arial" w:cs="Arial" w:eastAsia="Arial" w:hint="default"/>
        </w:rPr>
        <w:t>C</w:t>
      </w:r>
      <w:r>
        <w:rPr/>
        <w:t>）</w:t>
      </w:r>
      <w:r>
        <w:rPr>
          <w:rFonts w:ascii="Arial" w:hAnsi="Arial" w:cs="Arial" w:eastAsia="Arial" w:hint="default"/>
        </w:rPr>
        <w:t>2345</w:t>
      </w:r>
      <w:r>
        <w:rPr/>
        <w:t>小说频道通过引入与阅文集</w:t>
      </w:r>
      <w:r>
        <w:rPr>
          <w:spacing w:val="-103"/>
        </w:rPr>
        <w:t> </w:t>
      </w:r>
      <w:r>
        <w:rPr>
          <w:spacing w:val="-103"/>
        </w:rPr>
      </w:r>
      <w:r>
        <w:rPr>
          <w:spacing w:val="-5"/>
        </w:rPr>
        <w:t>团等内容方的多元合作增补巨量资源，收入快速提升，为今后的发展打开了空间；（</w:t>
      </w:r>
      <w:r>
        <w:rPr>
          <w:rFonts w:ascii="Arial" w:hAnsi="Arial" w:cs="Arial" w:eastAsia="Arial" w:hint="default"/>
          <w:spacing w:val="-5"/>
        </w:rPr>
        <w:t>D</w:t>
      </w:r>
      <w:r>
        <w:rPr>
          <w:spacing w:val="-5"/>
        </w:rPr>
        <w:t>）</w:t>
      </w:r>
      <w:r>
        <w:rPr>
          <w:rFonts w:ascii="Arial" w:hAnsi="Arial" w:cs="Arial" w:eastAsia="Arial" w:hint="default"/>
          <w:spacing w:val="-5"/>
        </w:rPr>
        <w:t>2015</w:t>
      </w:r>
      <w:r>
        <w:rPr>
          <w:rFonts w:ascii="Arial" w:hAnsi="Arial" w:cs="Arial" w:eastAsia="Arial" w:hint="default"/>
          <w:spacing w:val="-44"/>
        </w:rPr>
        <w:t> </w:t>
      </w:r>
      <w:r>
        <w:rPr>
          <w:rFonts w:ascii="Arial" w:hAnsi="Arial" w:cs="Arial" w:eastAsia="Arial" w:hint="default"/>
          <w:spacing w:val="-44"/>
        </w:rPr>
      </w:r>
      <w:r>
        <w:rPr/>
        <w:t>年公司大力发展“猜你喜欢”精准营销业务，运用大数据采集、分析能力提升广告的精准定</w:t>
      </w:r>
      <w:r>
        <w:rPr>
          <w:spacing w:val="-115"/>
        </w:rPr>
        <w:t> </w:t>
      </w:r>
      <w:r>
        <w:rPr>
          <w:spacing w:val="-115"/>
        </w:rPr>
      </w:r>
      <w:r>
        <w:rPr/>
        <w:t>位和客户开发，单月收入突破千万元，较年初增长超过三倍。</w:t>
      </w:r>
    </w:p>
    <w:p>
      <w:pPr>
        <w:pStyle w:val="Heading5"/>
        <w:spacing w:line="338" w:lineRule="auto" w:before="90"/>
        <w:ind w:right="1130" w:firstLine="480"/>
        <w:jc w:val="both"/>
      </w:pPr>
      <w:r>
        <w:rPr>
          <w:spacing w:val="-3"/>
        </w:rPr>
        <w:t>（</w:t>
      </w:r>
      <w:r>
        <w:rPr>
          <w:rFonts w:ascii="Arial" w:hAnsi="Arial" w:cs="Arial" w:eastAsia="Arial" w:hint="default"/>
          <w:spacing w:val="-3"/>
        </w:rPr>
        <w:t>2</w:t>
      </w:r>
      <w:r>
        <w:rPr>
          <w:spacing w:val="-3"/>
        </w:rPr>
        <w:t>）移动互联网端：公司基于对移动市场细分领域的判断，将公司产品线分为入口类产</w:t>
      </w:r>
      <w:r>
        <w:rPr/>
        <w:t> 品及应用类</w:t>
      </w:r>
      <w:r>
        <w:rPr>
          <w:rFonts w:ascii="Arial" w:hAnsi="Arial" w:cs="Arial" w:eastAsia="Arial" w:hint="default"/>
        </w:rPr>
        <w:t>APP</w:t>
      </w:r>
      <w:r>
        <w:rPr/>
        <w:t>两大方向：即</w:t>
      </w:r>
      <w:r>
        <w:rPr>
          <w:rFonts w:ascii="Arial" w:hAnsi="Arial" w:cs="Arial" w:eastAsia="Arial" w:hint="default"/>
        </w:rPr>
        <w:t>2345</w:t>
      </w:r>
      <w:r>
        <w:rPr/>
        <w:t>手机助手、</w:t>
      </w:r>
      <w:r>
        <w:rPr>
          <w:rFonts w:ascii="Arial" w:hAnsi="Arial" w:cs="Arial" w:eastAsia="Arial" w:hint="default"/>
        </w:rPr>
        <w:t>2345</w:t>
      </w:r>
      <w:r>
        <w:rPr/>
        <w:t>王牌手机浏览器、</w:t>
      </w:r>
      <w:r>
        <w:rPr>
          <w:rFonts w:ascii="Arial" w:hAnsi="Arial" w:cs="Arial" w:eastAsia="Arial" w:hint="default"/>
        </w:rPr>
        <w:t>2345</w:t>
      </w:r>
      <w:r>
        <w:rPr/>
        <w:t>网址导航</w:t>
      </w:r>
      <w:r>
        <w:rPr>
          <w:rFonts w:ascii="Arial" w:hAnsi="Arial" w:cs="Arial" w:eastAsia="Arial" w:hint="default"/>
        </w:rPr>
        <w:t>APP</w:t>
      </w:r>
      <w:r>
        <w:rPr/>
        <w:t>等</w:t>
      </w:r>
      <w:r>
        <w:rPr>
          <w:spacing w:val="-27"/>
        </w:rPr>
        <w:t> </w:t>
      </w:r>
      <w:r>
        <w:rPr>
          <w:spacing w:val="2"/>
        </w:rPr>
        <w:t>入口类产品，以及</w:t>
      </w:r>
      <w:r>
        <w:rPr>
          <w:rFonts w:ascii="Arial" w:hAnsi="Arial" w:cs="Arial" w:eastAsia="Arial" w:hint="default"/>
          <w:spacing w:val="2"/>
        </w:rPr>
        <w:t>2345</w:t>
      </w:r>
      <w:r>
        <w:rPr>
          <w:spacing w:val="2"/>
        </w:rPr>
        <w:t>阅读王、</w:t>
      </w:r>
      <w:r>
        <w:rPr>
          <w:rFonts w:ascii="Arial" w:hAnsi="Arial" w:cs="Arial" w:eastAsia="Arial" w:hint="default"/>
          <w:spacing w:val="2"/>
        </w:rPr>
        <w:t>2345</w:t>
      </w:r>
      <w:r>
        <w:rPr>
          <w:spacing w:val="2"/>
        </w:rPr>
        <w:t>天气王、</w:t>
      </w:r>
      <w:r>
        <w:rPr>
          <w:rFonts w:ascii="Arial" w:hAnsi="Arial" w:cs="Arial" w:eastAsia="Arial" w:hint="default"/>
          <w:spacing w:val="2"/>
        </w:rPr>
        <w:t>2345</w:t>
      </w:r>
      <w:r>
        <w:rPr>
          <w:spacing w:val="2"/>
        </w:rPr>
        <w:t>影视大全等应用类</w:t>
      </w:r>
      <w:r>
        <w:rPr>
          <w:rFonts w:ascii="Arial" w:hAnsi="Arial" w:cs="Arial" w:eastAsia="Arial" w:hint="default"/>
          <w:spacing w:val="2"/>
        </w:rPr>
        <w:t>APP</w:t>
      </w:r>
      <w:r>
        <w:rPr>
          <w:spacing w:val="2"/>
        </w:rPr>
        <w:t>，以此丰富用户</w:t>
      </w:r>
      <w:r>
        <w:rPr/>
        <w:t> </w:t>
      </w:r>
      <w:r>
        <w:rPr>
          <w:spacing w:val="-1"/>
        </w:rPr>
        <w:t>的移动触点、并抢占移动端入口，形成了强有力的移动端产品矩阵。其中，</w:t>
      </w:r>
      <w:r>
        <w:rPr>
          <w:rFonts w:ascii="Arial" w:hAnsi="Arial" w:cs="Arial" w:eastAsia="Arial" w:hint="default"/>
          <w:spacing w:val="-1"/>
        </w:rPr>
        <w:t>2345</w:t>
      </w:r>
      <w:r>
        <w:rPr>
          <w:spacing w:val="-1"/>
        </w:rPr>
        <w:t>天气王和影</w:t>
      </w:r>
      <w:r>
        <w:rPr>
          <w:spacing w:val="-98"/>
        </w:rPr>
        <w:t> </w:t>
      </w:r>
      <w:r>
        <w:rPr/>
        <w:t>视大全两款</w:t>
      </w:r>
      <w:r>
        <w:rPr>
          <w:rFonts w:ascii="Arial" w:hAnsi="Arial" w:cs="Arial" w:eastAsia="Arial" w:hint="default"/>
        </w:rPr>
        <w:t>APP</w:t>
      </w:r>
      <w:r>
        <w:rPr/>
        <w:t>活跃用户达到千万级别。</w:t>
      </w:r>
      <w:r>
        <w:rPr>
          <w:rFonts w:ascii="Arial" w:hAnsi="Arial" w:cs="Arial" w:eastAsia="Arial" w:hint="default"/>
        </w:rPr>
        <w:t>2015</w:t>
      </w:r>
      <w:r>
        <w:rPr/>
        <w:t>年底，公司旗下</w:t>
      </w:r>
      <w:r>
        <w:rPr>
          <w:rFonts w:ascii="Arial" w:hAnsi="Arial" w:cs="Arial" w:eastAsia="Arial" w:hint="default"/>
        </w:rPr>
        <w:t>5</w:t>
      </w:r>
      <w:r>
        <w:rPr/>
        <w:t>款</w:t>
      </w:r>
      <w:r>
        <w:rPr>
          <w:rFonts w:ascii="Arial" w:hAnsi="Arial" w:cs="Arial" w:eastAsia="Arial" w:hint="default"/>
        </w:rPr>
        <w:t>APP</w:t>
      </w:r>
      <w:r>
        <w:rPr/>
        <w:t>以良好的用户渗透率</w:t>
      </w:r>
      <w:r>
        <w:rPr>
          <w:spacing w:val="-46"/>
        </w:rPr>
        <w:t> </w:t>
      </w:r>
      <w:r>
        <w:rPr>
          <w:spacing w:val="-46"/>
        </w:rPr>
      </w:r>
      <w:r>
        <w:rPr/>
        <w:t>和市场占有表现入围《</w:t>
      </w:r>
      <w:r>
        <w:rPr>
          <w:rFonts w:ascii="Arial" w:hAnsi="Arial" w:cs="Arial" w:eastAsia="Arial" w:hint="default"/>
        </w:rPr>
        <w:t>2015</w:t>
      </w:r>
      <w:r>
        <w:rPr/>
        <w:t>年度</w:t>
      </w:r>
      <w:r>
        <w:rPr>
          <w:rFonts w:ascii="Arial" w:hAnsi="Arial" w:cs="Arial" w:eastAsia="Arial" w:hint="default"/>
        </w:rPr>
        <w:t>APP</w:t>
      </w:r>
      <w:r>
        <w:rPr/>
        <w:t>总排行榜》，移动战略布局初见成效。</w:t>
      </w:r>
    </w:p>
    <w:p>
      <w:pPr>
        <w:pStyle w:val="Heading5"/>
        <w:spacing w:line="350" w:lineRule="auto" w:before="65"/>
        <w:ind w:left="154" w:right="1129" w:firstLine="480"/>
        <w:jc w:val="both"/>
      </w:pPr>
      <w:r>
        <w:rPr/>
        <w:t>（</w:t>
      </w:r>
      <w:r>
        <w:rPr>
          <w:rFonts w:ascii="Arial" w:hAnsi="Arial" w:cs="Arial" w:eastAsia="Arial" w:hint="default"/>
        </w:rPr>
        <w:t>3</w:t>
      </w:r>
      <w:r>
        <w:rPr/>
        <w:t>）互联网金融领域：报告期内，公司借“互联网</w:t>
      </w:r>
      <w:r>
        <w:rPr>
          <w:rFonts w:ascii="Arial" w:hAnsi="Arial" w:cs="Arial" w:eastAsia="Arial" w:hint="default"/>
        </w:rPr>
        <w:t>+</w:t>
      </w:r>
      <w:r>
        <w:rPr/>
        <w:t>”大势，充分利用平台优势、庞大 </w:t>
      </w:r>
      <w:r>
        <w:rPr>
          <w:spacing w:val="-5"/>
        </w:rPr>
        <w:t>的用户基数和已有的互联网金融业务基础，进一步深化布局互联网金融业务，寻求多元发展。</w:t>
      </w:r>
      <w:r>
        <w:rPr>
          <w:spacing w:val="-117"/>
        </w:rPr>
        <w:t> </w:t>
      </w:r>
      <w:r>
        <w:rPr>
          <w:spacing w:val="-117"/>
        </w:rPr>
      </w:r>
      <w:r>
        <w:rPr>
          <w:spacing w:val="-1"/>
        </w:rPr>
        <w:t>通过对以</w:t>
      </w:r>
      <w:r>
        <w:rPr>
          <w:rFonts w:ascii="Arial" w:hAnsi="Arial" w:cs="Arial" w:eastAsia="Arial" w:hint="default"/>
          <w:spacing w:val="-1"/>
        </w:rPr>
        <w:t>80</w:t>
      </w:r>
      <w:r>
        <w:rPr>
          <w:spacing w:val="-1"/>
        </w:rPr>
        <w:t>后、</w:t>
      </w:r>
      <w:r>
        <w:rPr>
          <w:rFonts w:ascii="Arial" w:hAnsi="Arial" w:cs="Arial" w:eastAsia="Arial" w:hint="default"/>
          <w:spacing w:val="-1"/>
        </w:rPr>
        <w:t>90</w:t>
      </w:r>
      <w:r>
        <w:rPr>
          <w:spacing w:val="-1"/>
        </w:rPr>
        <w:t>后年轻人为核心年龄群的广大互联网用户的金融消费及理财需求分析，着</w:t>
      </w:r>
      <w:r>
        <w:rPr>
          <w:spacing w:val="-101"/>
        </w:rPr>
        <w:t> </w:t>
      </w:r>
      <w:r>
        <w:rPr>
          <w:spacing w:val="-101"/>
        </w:rPr>
      </w:r>
      <w:r>
        <w:rPr/>
        <w:t>力挖掘互联网金融消费主力用户群的价值，通过与中银消费联合推出的“随心贷”互联网金</w:t>
      </w:r>
      <w:r>
        <w:rPr>
          <w:spacing w:val="-105"/>
        </w:rPr>
        <w:t> </w:t>
      </w:r>
      <w:r>
        <w:rPr>
          <w:spacing w:val="-105"/>
        </w:rPr>
      </w:r>
      <w:r>
        <w:rPr/>
        <w:t>融消费产品，以创新的现代服务金融模式得到了大量用户的拥趸，报告期内业务增长较快，</w:t>
      </w:r>
      <w:r>
        <w:rPr/>
        <w:t> 报告期末实现了单月近一亿元的放贷额。</w:t>
      </w:r>
    </w:p>
    <w:p>
      <w:pPr>
        <w:spacing w:line="338" w:lineRule="auto" w:before="82"/>
        <w:ind w:left="634" w:right="1152" w:hanging="480"/>
        <w:jc w:val="left"/>
        <w:rPr>
          <w:rFonts w:ascii="宋体" w:hAnsi="宋体" w:cs="宋体" w:eastAsia="宋体" w:hint="default"/>
          <w:sz w:val="24"/>
          <w:szCs w:val="24"/>
        </w:rPr>
      </w:pPr>
      <w:r>
        <w:rPr>
          <w:rFonts w:ascii="Arial" w:hAnsi="Arial" w:cs="Arial" w:eastAsia="Arial" w:hint="default"/>
          <w:b/>
          <w:bCs/>
          <w:sz w:val="24"/>
          <w:szCs w:val="24"/>
        </w:rPr>
        <w:t>2</w:t>
      </w:r>
      <w:r>
        <w:rPr>
          <w:rFonts w:ascii="宋体" w:hAnsi="宋体" w:cs="宋体" w:eastAsia="宋体" w:hint="default"/>
          <w:b/>
          <w:bCs/>
          <w:sz w:val="24"/>
          <w:szCs w:val="24"/>
        </w:rPr>
        <w:t>、软件外包服务业务</w:t>
      </w:r>
      <w:r>
        <w:rPr>
          <w:rFonts w:ascii="宋体" w:hAnsi="宋体" w:cs="宋体" w:eastAsia="宋体" w:hint="default"/>
          <w:b/>
          <w:bCs/>
          <w:w w:val="99"/>
          <w:sz w:val="24"/>
          <w:szCs w:val="24"/>
        </w:rPr>
        <w:t> </w:t>
      </w:r>
      <w:r>
        <w:rPr>
          <w:rFonts w:ascii="宋体" w:hAnsi="宋体" w:cs="宋体" w:eastAsia="宋体" w:hint="default"/>
          <w:sz w:val="24"/>
          <w:szCs w:val="24"/>
        </w:rPr>
        <w:t>公司软件外包服务业务的客户主要集中在日本，收入以日元结算为主。报告期内日元兑</w:t>
      </w:r>
    </w:p>
    <w:p>
      <w:pPr>
        <w:spacing w:after="0" w:line="338" w:lineRule="auto"/>
        <w:jc w:val="left"/>
        <w:rPr>
          <w:rFonts w:ascii="宋体" w:hAnsi="宋体" w:cs="宋体" w:eastAsia="宋体" w:hint="default"/>
          <w:sz w:val="24"/>
          <w:szCs w:val="24"/>
        </w:rPr>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Heading5"/>
        <w:spacing w:line="357" w:lineRule="auto"/>
        <w:ind w:right="1153"/>
        <w:jc w:val="left"/>
      </w:pPr>
      <w:r>
        <w:rPr/>
        <w:t>人民币汇率持续处于低位，加上近年来人力成本不断上升，严重影响了软件外包服务业务的 净利润空间。为此，公司已采取以下对策：</w:t>
      </w:r>
    </w:p>
    <w:p>
      <w:pPr>
        <w:pStyle w:val="Heading5"/>
        <w:spacing w:line="240" w:lineRule="auto" w:before="36"/>
        <w:ind w:left="633" w:right="0"/>
        <w:jc w:val="left"/>
      </w:pPr>
      <w:r>
        <w:rPr/>
        <w:t>①加强内部精细化管理、努力提高生产效率，提升高附加值业务的比例。</w:t>
      </w:r>
    </w:p>
    <w:p>
      <w:pPr>
        <w:pStyle w:val="Heading5"/>
        <w:spacing w:line="357" w:lineRule="auto" w:before="154"/>
        <w:ind w:right="0" w:firstLine="480"/>
        <w:jc w:val="left"/>
        <w:rPr>
          <w:rFonts w:ascii="宋体" w:hAnsi="宋体" w:cs="宋体" w:eastAsia="宋体" w:hint="default"/>
        </w:rPr>
      </w:pPr>
      <w:r>
        <w:rPr/>
        <w:t>②扩大后方研发基地规模、提高营销管理效率，适当降低成本。报告期内，公司在扩大 现有的江苏南京后方研发基地的同时，还在江苏昆山设立了新的后方研发基地。 </w:t>
      </w:r>
      <w:r>
        <w:rPr>
          <w:rFonts w:ascii="Arial" w:hAnsi="Arial" w:cs="Arial" w:eastAsia="Arial" w:hint="default"/>
          <w:b/>
          <w:bCs/>
        </w:rPr>
        <w:t>3</w:t>
      </w:r>
      <w:r>
        <w:rPr>
          <w:rFonts w:ascii="宋体" w:hAnsi="宋体" w:cs="宋体" w:eastAsia="宋体" w:hint="default"/>
          <w:b/>
          <w:bCs/>
        </w:rPr>
        <w:t>、</w:t>
      </w:r>
      <w:r>
        <w:rPr>
          <w:rFonts w:ascii="Arial" w:hAnsi="Arial" w:cs="Arial" w:eastAsia="Arial" w:hint="default"/>
          <w:b/>
          <w:bCs/>
        </w:rPr>
        <w:t>2015</w:t>
      </w:r>
      <w:r>
        <w:rPr>
          <w:rFonts w:ascii="宋体" w:hAnsi="宋体" w:cs="宋体" w:eastAsia="宋体" w:hint="default"/>
          <w:b/>
          <w:bCs/>
        </w:rPr>
        <w:t>年非公开发行股票计划</w:t>
      </w:r>
      <w:r>
        <w:rPr>
          <w:rFonts w:ascii="宋体" w:hAnsi="宋体" w:cs="宋体" w:eastAsia="宋体" w:hint="default"/>
        </w:rPr>
      </w:r>
    </w:p>
    <w:p>
      <w:pPr>
        <w:pStyle w:val="Heading5"/>
        <w:spacing w:line="338" w:lineRule="auto" w:before="5"/>
        <w:ind w:right="1130" w:firstLine="480"/>
        <w:jc w:val="both"/>
      </w:pPr>
      <w:r>
        <w:rPr/>
        <w:t>报告期内，公司推出了</w:t>
      </w:r>
      <w:r>
        <w:rPr>
          <w:rFonts w:ascii="Arial" w:hAnsi="Arial" w:cs="Arial" w:eastAsia="Arial" w:hint="default"/>
        </w:rPr>
        <w:t>2015</w:t>
      </w:r>
      <w:r>
        <w:rPr/>
        <w:t>年非公开发行股票计划，拟募集不超过</w:t>
      </w:r>
      <w:r>
        <w:rPr>
          <w:rFonts w:ascii="Arial" w:hAnsi="Arial" w:cs="Arial" w:eastAsia="Arial" w:hint="default"/>
        </w:rPr>
        <w:t>16.7</w:t>
      </w:r>
      <w:r>
        <w:rPr/>
        <w:t>亿元人民币用于 开展互联网金融服务业务。</w:t>
      </w:r>
      <w:r>
        <w:rPr>
          <w:rFonts w:ascii="Arial" w:hAnsi="Arial" w:cs="Arial" w:eastAsia="Arial" w:hint="default"/>
        </w:rPr>
        <w:t>2015</w:t>
      </w:r>
      <w:r>
        <w:rPr/>
        <w:t>年</w:t>
      </w:r>
      <w:r>
        <w:rPr>
          <w:rFonts w:ascii="Arial" w:hAnsi="Arial" w:cs="Arial" w:eastAsia="Arial" w:hint="default"/>
        </w:rPr>
        <w:t>9</w:t>
      </w:r>
      <w:r>
        <w:rPr/>
        <w:t>月</w:t>
      </w:r>
      <w:r>
        <w:rPr>
          <w:rFonts w:ascii="Arial" w:hAnsi="Arial" w:cs="Arial" w:eastAsia="Arial" w:hint="default"/>
        </w:rPr>
        <w:t>23</w:t>
      </w:r>
      <w:r>
        <w:rPr/>
        <w:t>日，公司本次非公开发行股票的申请获得中国证监</w:t>
      </w:r>
      <w:r>
        <w:rPr>
          <w:spacing w:val="-84"/>
        </w:rPr>
        <w:t> </w:t>
      </w:r>
      <w:r>
        <w:rPr>
          <w:spacing w:val="-84"/>
        </w:rPr>
      </w:r>
      <w:r>
        <w:rPr>
          <w:spacing w:val="-2"/>
        </w:rPr>
        <w:t>会发行审核委员会审核通过。</w:t>
      </w:r>
      <w:r>
        <w:rPr>
          <w:rFonts w:ascii="Arial" w:hAnsi="Arial" w:cs="Arial" w:eastAsia="Arial" w:hint="default"/>
          <w:spacing w:val="-2"/>
        </w:rPr>
        <w:t>2015</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日，公司收到中国证监会《关于核准上海二三四</w:t>
      </w:r>
      <w:r>
        <w:rPr>
          <w:spacing w:val="-109"/>
        </w:rPr>
        <w:t> </w:t>
      </w:r>
      <w:r>
        <w:rPr>
          <w:spacing w:val="-109"/>
        </w:rPr>
      </w:r>
      <w:r>
        <w:rPr>
          <w:spacing w:val="-1"/>
        </w:rPr>
        <w:t>五网络控股集团股份有限公司非公开发行股票的批复》（证监许可</w:t>
      </w:r>
      <w:r>
        <w:rPr>
          <w:rFonts w:ascii="Arial" w:hAnsi="Arial" w:cs="Arial" w:eastAsia="Arial" w:hint="default"/>
          <w:spacing w:val="-1"/>
        </w:rPr>
        <w:t>[2015]3140</w:t>
      </w:r>
      <w:r>
        <w:rPr>
          <w:spacing w:val="-1"/>
        </w:rPr>
        <w:t>号）。</w:t>
      </w:r>
      <w:r>
        <w:rPr>
          <w:rFonts w:ascii="Arial" w:hAnsi="Arial" w:cs="Arial" w:eastAsia="Arial" w:hint="default"/>
          <w:spacing w:val="-1"/>
        </w:rPr>
        <w:t>2016</w:t>
      </w:r>
      <w:r>
        <w:rPr>
          <w:spacing w:val="-1"/>
        </w:rPr>
        <w:t>年</w:t>
      </w:r>
      <w:r>
        <w:rPr>
          <w:spacing w:val="-94"/>
        </w:rPr>
        <w:t> </w:t>
      </w:r>
      <w:r>
        <w:rPr>
          <w:rFonts w:ascii="Arial" w:hAnsi="Arial" w:cs="Arial" w:eastAsia="Arial" w:hint="default"/>
        </w:rPr>
        <w:t>2</w:t>
      </w:r>
      <w:r>
        <w:rPr/>
        <w:t>月</w:t>
      </w:r>
      <w:r>
        <w:rPr>
          <w:rFonts w:ascii="Arial" w:hAnsi="Arial" w:cs="Arial" w:eastAsia="Arial" w:hint="default"/>
        </w:rPr>
        <w:t>3</w:t>
      </w:r>
      <w:r>
        <w:rPr/>
        <w:t>日，公司本次非公开发行股票新增股份的上市工作全部完成。本次非公开发行新增股份</w:t>
      </w:r>
    </w:p>
    <w:p>
      <w:pPr>
        <w:pStyle w:val="Heading5"/>
        <w:spacing w:line="338" w:lineRule="auto" w:before="27"/>
        <w:ind w:right="0"/>
        <w:jc w:val="left"/>
      </w:pPr>
      <w:r>
        <w:rPr>
          <w:rFonts w:ascii="Arial" w:hAnsi="Arial" w:cs="Arial" w:eastAsia="Arial" w:hint="default"/>
        </w:rPr>
        <w:t>8,350</w:t>
      </w:r>
      <w:r>
        <w:rPr/>
        <w:t>万股，发行价格为</w:t>
      </w:r>
      <w:r>
        <w:rPr>
          <w:rFonts w:ascii="Arial" w:hAnsi="Arial" w:cs="Arial" w:eastAsia="Arial" w:hint="default"/>
        </w:rPr>
        <w:t>20.00</w:t>
      </w:r>
      <w:r>
        <w:rPr/>
        <w:t>元</w:t>
      </w:r>
      <w:r>
        <w:rPr>
          <w:rFonts w:ascii="Arial" w:hAnsi="Arial" w:cs="Arial" w:eastAsia="Arial" w:hint="default"/>
        </w:rPr>
        <w:t>/</w:t>
      </w:r>
      <w:r>
        <w:rPr/>
        <w:t>股，募集资金净额为</w:t>
      </w:r>
      <w:r>
        <w:rPr>
          <w:rFonts w:ascii="Arial" w:hAnsi="Arial" w:cs="Arial" w:eastAsia="Arial" w:hint="default"/>
        </w:rPr>
        <w:t>1,646,952,848.80</w:t>
      </w:r>
      <w:r>
        <w:rPr/>
        <w:t>元。非公开发行股票</w:t>
      </w:r>
      <w:r>
        <w:rPr>
          <w:spacing w:val="-117"/>
        </w:rPr>
        <w:t> </w:t>
      </w:r>
      <w:r>
        <w:rPr/>
        <w:t>工作的正式完成，为公司互联网金融业务长期持续发展打下坚实基础。</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spacing w:line="544" w:lineRule="auto" w:before="0"/>
        <w:ind w:left="153" w:right="6653"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6"/>
        <w:spacing w:line="240" w:lineRule="auto" w:before="28"/>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8"/>
        <w:gridCol w:w="1591"/>
        <w:gridCol w:w="1598"/>
        <w:gridCol w:w="1586"/>
        <w:gridCol w:w="1599"/>
      </w:tblGrid>
      <w:tr>
        <w:trPr>
          <w:trHeight w:val="205"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1,469,914,807.24</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654,084,309.23</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124.73%</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互联网服务</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1,022,018,029.50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69.53%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220,846,278.34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33.76%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362.77%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软件外包服务</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446,677,440.46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431,940,884.09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66.04%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1,219,337.28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1,297,146.80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0.20%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软件外包服务</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390,321,340.39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388,077,676.11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59.33%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56,356,100.07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43,863,207.98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6.71%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搜索引擎分流业务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194,632,017.50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37,248,756.41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422.52%</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网站推广与营销业 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752,223,241.43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167,539,507.68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348.98%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75,162,770.57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16,058,014.25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368.07%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1,219,337.28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1,297,146.80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1,125,115,587.84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336,940,226.20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233.92%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344,799,219.40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317,144,083.03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8.72%</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69"/>
        <w:gridCol w:w="129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互联网服务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1,022,018,029.50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150,834,001.91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322.58%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软件外包服务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446,677,440.46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301,896,564.28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w:t>
            </w:r>
          </w:p>
        </w:tc>
      </w:tr>
      <w:tr>
        <w:trPr>
          <w:trHeight w:val="402" w:hRule="exact"/>
        </w:trPr>
        <w:tc>
          <w:tcPr>
            <w:tcW w:w="957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软件外包服务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390,321,340.39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257,264,884.61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56,356,100.07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44,631,679.67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搜索引擎分流业 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194,632,017.50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30,391,755.11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422.52%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419.24%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网站推广与营销 业务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752,223,241.43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105,993,600.58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348.98%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296.52%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75,162,770.57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14,448,646.22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364.74%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r>
      <w:tr>
        <w:trPr>
          <w:trHeight w:val="402" w:hRule="exact"/>
        </w:trPr>
        <w:tc>
          <w:tcPr>
            <w:tcW w:w="957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境内（主营业务</w:t>
            </w:r>
          </w:p>
        </w:tc>
        <w:tc>
          <w:tcPr>
            <w:tcW w:w="69" w:type="dxa"/>
            <w:tcBorders>
              <w:top w:val="single" w:sz="4" w:space="0" w:color="000000"/>
              <w:left w:val="single" w:sz="4" w:space="0" w:color="000000"/>
              <w:bottom w:val="single" w:sz="4" w:space="0" w:color="000000"/>
              <w:right w:val="nil" w:sz="6" w:space="0" w:color="auto"/>
            </w:tcBorders>
          </w:tcPr>
          <w:p>
            <w:pPr/>
          </w:p>
        </w:tc>
        <w:tc>
          <w:tcPr>
            <w:tcW w:w="1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4"/>
              <w:jc w:val="center"/>
              <w:rPr>
                <w:rFonts w:ascii="Times New Roman" w:hAnsi="Times New Roman" w:cs="Times New Roman" w:eastAsia="Times New Roman" w:hint="default"/>
                <w:sz w:val="18"/>
                <w:szCs w:val="18"/>
              </w:rPr>
            </w:pPr>
            <w:r>
              <w:rPr>
                <w:rFonts w:ascii="Times New Roman"/>
                <w:sz w:val="18"/>
              </w:rPr>
              <w:t>1,123,896,250.56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210,485,455.81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95.22%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境外（主营业务</w:t>
            </w:r>
          </w:p>
        </w:tc>
        <w:tc>
          <w:tcPr>
            <w:tcW w:w="69" w:type="dxa"/>
            <w:tcBorders>
              <w:top w:val="single" w:sz="4" w:space="0" w:color="000000"/>
              <w:left w:val="single" w:sz="4" w:space="0" w:color="000000"/>
              <w:bottom w:val="single" w:sz="4" w:space="0" w:color="000000"/>
              <w:right w:val="nil" w:sz="6" w:space="0" w:color="auto"/>
            </w:tcBorders>
          </w:tcPr>
          <w:p>
            <w:pPr/>
          </w:p>
        </w:tc>
        <w:tc>
          <w:tcPr>
            <w:tcW w:w="1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0" w:right="0"/>
              <w:jc w:val="center"/>
              <w:rPr>
                <w:rFonts w:ascii="Times New Roman" w:hAnsi="Times New Roman" w:cs="Times New Roman" w:eastAsia="Times New Roman" w:hint="default"/>
                <w:sz w:val="18"/>
                <w:szCs w:val="18"/>
              </w:rPr>
            </w:pPr>
            <w:r>
              <w:rPr>
                <w:rFonts w:ascii="Times New Roman"/>
                <w:sz w:val="18"/>
              </w:rPr>
              <w:t>344,799,219.40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242,245,110.38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w:t>
            </w:r>
          </w:p>
        </w:tc>
      </w:tr>
    </w:tbl>
    <w:p>
      <w:pPr>
        <w:pStyle w:val="BodyText"/>
        <w:spacing w:line="240" w:lineRule="auto" w:before="51"/>
        <w:ind w:right="0"/>
        <w:jc w:val="left"/>
      </w:pPr>
      <w:r>
        <w:rPr/>
        <w:pict>
          <v:group style="position:absolute;margin-left:119.100006pt;margin-top:-40.788284pt;width:72.9pt;height:40.9pt;mso-position-horizontal-relative:page;mso-position-vertical-relative:paragraph;z-index:-922912" coordorigin="2382,-816" coordsize="1458,818">
            <v:group style="position:absolute;left:2517;top:-804;width:2;height:393" coordorigin="2517,-804" coordsize="2,393">
              <v:shape style="position:absolute;left:2517;top:-804;width:2;height:393" coordorigin="2517,-804" coordsize="0,393" path="m2517,-804l2517,-412e" filled="false" stroked="true" strokeweight="1.140pt" strokecolor="#ffffff">
                <v:path arrowok="t"/>
              </v:shape>
            </v:group>
            <v:group style="position:absolute;left:2529;top:-804;width:1311;height:393" coordorigin="2529,-804" coordsize="1311,393">
              <v:shape style="position:absolute;left:2529;top:-804;width:1311;height:393" coordorigin="2529,-804" coordsize="1311,393" path="m2529,-412l3839,-412,3839,-804,2529,-804,2529,-412xe" filled="true" fillcolor="#ffffff" stroked="false">
                <v:path arrowok="t"/>
                <v:fill type="solid"/>
              </v:shape>
            </v:group>
            <v:group style="position:absolute;left:2517;top:-402;width:2;height:393" coordorigin="2517,-402" coordsize="2,393">
              <v:shape style="position:absolute;left:2517;top:-402;width:2;height:393" coordorigin="2517,-402" coordsize="0,393" path="m2517,-402l2517,-10e" filled="false" stroked="true" strokeweight="1.140pt" strokecolor="#ffffff">
                <v:path arrowok="t"/>
              </v:shape>
            </v:group>
            <v:group style="position:absolute;left:2529;top:-402;width:1311;height:393" coordorigin="2529,-402" coordsize="1311,393">
              <v:shape style="position:absolute;left:2529;top:-402;width:1311;height:393" coordorigin="2529,-402" coordsize="1311,393" path="m2529,-10l3839,-10,3839,-402,2529,-402,2529,-10xe" filled="true" fillcolor="#ffffff" stroked="false">
                <v:path arrowok="t"/>
                <v:fill type="solid"/>
              </v:shape>
              <v:shape style="position:absolute;left:2382;top:-816;width:1458;height:818" type="#_x0000_t202" filled="false" stroked="false">
                <v:textbox inset="0,0,0,0">
                  <w:txbxContent>
                    <w:p>
                      <w:pPr>
                        <w:spacing w:before="62"/>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9"/>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t>行业和产品分类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软件外包服务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301,896,564.28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281,737,505.29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150,834,001.91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35,693,346.21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322.58%</w:t>
            </w: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软件外包服务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257,264,884.61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246,610,056.78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44,631,679.67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35,127,448.51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27.06%</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搜索引擎分流业 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30,391,755.11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5,853,115.10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419.24%</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网站推广与营销 业务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105,993,600.58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26,731,239.19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296.52%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14,448,646.22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3,108,991.92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364.74%</w:t>
            </w:r>
          </w:p>
        </w:tc>
      </w:tr>
    </w:tbl>
    <w:p>
      <w:pPr>
        <w:pStyle w:val="BodyText"/>
        <w:spacing w:line="240" w:lineRule="auto" w:before="51"/>
        <w:ind w:right="0"/>
        <w:jc w:val="left"/>
      </w:pPr>
      <w:r>
        <w:rPr/>
        <w:t>说明</w:t>
      </w:r>
    </w:p>
    <w:p>
      <w:pPr>
        <w:spacing w:line="240" w:lineRule="auto" w:before="11"/>
        <w:rPr>
          <w:rFonts w:ascii="宋体" w:hAnsi="宋体" w:cs="宋体" w:eastAsia="宋体" w:hint="default"/>
          <w:sz w:val="26"/>
          <w:szCs w:val="26"/>
        </w:rPr>
      </w:pPr>
    </w:p>
    <w:p>
      <w:pPr>
        <w:pStyle w:val="Heading6"/>
        <w:spacing w:line="240" w:lineRule="auto"/>
        <w:ind w:left="154"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1"/>
        <w:ind w:left="153" w:right="0"/>
        <w:jc w:val="left"/>
      </w:pPr>
      <w:r>
        <w:rPr>
          <w:rFonts w:ascii="Arial" w:hAnsi="Arial" w:cs="Arial" w:eastAsia="Arial" w:hint="default"/>
        </w:rPr>
        <w:t>1</w:t>
      </w:r>
      <w:r>
        <w:rPr/>
        <w:t>、本期收购子公司：</w:t>
      </w:r>
    </w:p>
    <w:p>
      <w:pPr>
        <w:pStyle w:val="BodyText"/>
        <w:spacing w:line="240" w:lineRule="auto" w:before="63"/>
        <w:ind w:left="153" w:right="0"/>
        <w:jc w:val="left"/>
      </w:pPr>
      <w:r>
        <w:rPr/>
        <w:t>（</w:t>
      </w:r>
      <w:r>
        <w:rPr>
          <w:rFonts w:ascii="Arial" w:hAnsi="Arial" w:cs="Arial" w:eastAsia="Arial" w:hint="default"/>
          <w:spacing w:val="-1"/>
          <w:w w:val="99"/>
        </w:rPr>
        <w:t>1</w:t>
      </w:r>
      <w:r>
        <w:rPr>
          <w:spacing w:val="-87"/>
        </w:rPr>
        <w:t>）</w:t>
      </w:r>
      <w:r>
        <w:rPr/>
        <w:t>本公司</w:t>
      </w:r>
      <w:r>
        <w:rPr>
          <w:spacing w:val="1"/>
        </w:rPr>
        <w:t>全</w:t>
      </w:r>
      <w:r>
        <w:rPr/>
        <w:t>资子公司上海海隆软件有限公司</w:t>
      </w:r>
      <w:r>
        <w:rPr>
          <w:rFonts w:ascii="Arial" w:hAnsi="Arial" w:cs="Arial" w:eastAsia="Arial" w:hint="default"/>
          <w:w w:val="99"/>
        </w:rPr>
        <w:t>2</w:t>
      </w:r>
      <w:r>
        <w:rPr>
          <w:rFonts w:ascii="Arial" w:hAnsi="Arial" w:cs="Arial" w:eastAsia="Arial" w:hint="default"/>
          <w:spacing w:val="-1"/>
          <w:w w:val="99"/>
        </w:rPr>
        <w:t>0</w:t>
      </w:r>
      <w:r>
        <w:rPr>
          <w:rFonts w:ascii="Arial" w:hAnsi="Arial" w:cs="Arial" w:eastAsia="Arial" w:hint="default"/>
          <w:w w:val="99"/>
        </w:rPr>
        <w:t>15</w:t>
      </w:r>
      <w:r>
        <w:rPr/>
        <w:t>年</w:t>
      </w:r>
      <w:r>
        <w:rPr>
          <w:rFonts w:ascii="Arial" w:hAnsi="Arial" w:cs="Arial" w:eastAsia="Arial" w:hint="default"/>
          <w:spacing w:val="-1"/>
          <w:w w:val="99"/>
        </w:rPr>
        <w:t>2</w:t>
      </w:r>
      <w:r>
        <w:rPr>
          <w:spacing w:val="1"/>
        </w:rPr>
        <w:t>月</w:t>
      </w:r>
      <w:r>
        <w:rPr/>
        <w:t>以自有资金收购江苏天听信息技术有限公</w:t>
      </w:r>
      <w:r>
        <w:rPr>
          <w:spacing w:val="-87"/>
        </w:rPr>
        <w:t>司</w:t>
      </w:r>
      <w:r>
        <w:rPr/>
        <w:t>（以下简称</w:t>
      </w:r>
      <w:r>
        <w:rPr>
          <w:rFonts w:ascii="Arial" w:hAnsi="Arial" w:cs="Arial" w:eastAsia="Arial" w:hint="default"/>
        </w:rPr>
        <w:t>“</w:t>
      </w:r>
      <w:r>
        <w:rPr/>
        <w:t>江苏天听</w:t>
      </w:r>
      <w:r>
        <w:rPr>
          <w:rFonts w:ascii="Arial" w:hAnsi="Arial" w:cs="Arial" w:eastAsia="Arial" w:hint="default"/>
        </w:rPr>
        <w:t>”</w:t>
      </w:r>
      <w:r>
        <w:rPr/>
        <w:t>）</w:t>
      </w:r>
    </w:p>
    <w:p>
      <w:pPr>
        <w:pStyle w:val="BodyText"/>
        <w:spacing w:line="240" w:lineRule="auto" w:before="63"/>
        <w:ind w:left="153" w:right="0"/>
        <w:jc w:val="left"/>
      </w:pPr>
      <w:r>
        <w:rPr>
          <w:rFonts w:ascii="Arial" w:hAnsi="Arial" w:cs="Arial" w:eastAsia="Arial" w:hint="default"/>
        </w:rPr>
        <w:t>100%</w:t>
      </w:r>
      <w:r>
        <w:rPr/>
        <w:t>股权，本次收购完成后，江苏天听更名为</w:t>
      </w:r>
      <w:r>
        <w:rPr>
          <w:rFonts w:ascii="Arial" w:hAnsi="Arial" w:cs="Arial" w:eastAsia="Arial" w:hint="default"/>
        </w:rPr>
        <w:t>“</w:t>
      </w:r>
      <w:r>
        <w:rPr/>
        <w:t>海隆软件（昆山）有限公司</w:t>
      </w:r>
      <w:r>
        <w:rPr>
          <w:rFonts w:ascii="Arial" w:hAnsi="Arial" w:cs="Arial" w:eastAsia="Arial" w:hint="default"/>
        </w:rPr>
        <w:t>”</w:t>
      </w:r>
      <w:r>
        <w:rPr/>
        <w:t>，从</w:t>
      </w:r>
      <w:r>
        <w:rPr>
          <w:rFonts w:ascii="Arial" w:hAnsi="Arial" w:cs="Arial" w:eastAsia="Arial" w:hint="default"/>
        </w:rPr>
        <w:t>2015</w:t>
      </w:r>
      <w:r>
        <w:rPr/>
        <w:t>年开始将其纳入合并报表范围。</w:t>
      </w:r>
    </w:p>
    <w:p>
      <w:pPr>
        <w:pStyle w:val="BodyText"/>
        <w:spacing w:line="302" w:lineRule="auto" w:before="63"/>
        <w:ind w:right="1151"/>
        <w:jc w:val="left"/>
      </w:pPr>
      <w:r>
        <w:rPr/>
        <w:t>（</w:t>
      </w:r>
      <w:r>
        <w:rPr>
          <w:rFonts w:ascii="Arial" w:hAnsi="Arial" w:cs="Arial" w:eastAsia="Arial" w:hint="default"/>
        </w:rPr>
        <w:t>2</w:t>
      </w:r>
      <w:r>
        <w:rPr/>
        <w:t>）</w:t>
      </w:r>
      <w:r>
        <w:rPr>
          <w:rFonts w:ascii="Arial" w:hAnsi="Arial" w:cs="Arial" w:eastAsia="Arial" w:hint="default"/>
        </w:rPr>
        <w:t>2015</w:t>
      </w:r>
      <w:r>
        <w:rPr/>
        <w:t>年</w:t>
      </w:r>
      <w:r>
        <w:rPr>
          <w:rFonts w:ascii="Arial" w:hAnsi="Arial" w:cs="Arial" w:eastAsia="Arial" w:hint="default"/>
        </w:rPr>
        <w:t>4</w:t>
      </w:r>
      <w:r>
        <w:rPr/>
        <w:t>月，公司全资子公司上海海隆软件有限公司的全资子公司日本海隆株式会社通过吸收合并方式完成了对株式 会社</w:t>
      </w:r>
      <w:r>
        <w:rPr>
          <w:rFonts w:ascii="Arial" w:hAnsi="Arial" w:cs="Arial" w:eastAsia="Arial" w:hint="default"/>
        </w:rPr>
        <w:t>SKYING100%</w:t>
      </w:r>
      <w:r>
        <w:rPr/>
        <w:t>股权的收购。</w:t>
      </w:r>
    </w:p>
    <w:p>
      <w:pPr>
        <w:pStyle w:val="BodyText"/>
        <w:spacing w:line="240" w:lineRule="auto" w:before="11"/>
        <w:ind w:left="153" w:right="0"/>
        <w:jc w:val="left"/>
      </w:pPr>
      <w:r>
        <w:rPr>
          <w:rFonts w:ascii="Arial" w:hAnsi="Arial" w:cs="Arial" w:eastAsia="Arial" w:hint="default"/>
        </w:rPr>
        <w:t>2</w:t>
      </w:r>
      <w:r>
        <w:rPr/>
        <w:t>、本期新设子公司：</w:t>
      </w:r>
    </w:p>
    <w:p>
      <w:pPr>
        <w:pStyle w:val="BodyText"/>
        <w:spacing w:line="302" w:lineRule="auto" w:before="63"/>
        <w:ind w:left="153" w:right="1151"/>
        <w:jc w:val="left"/>
      </w:pPr>
      <w:r>
        <w:rPr/>
        <w:t>（</w:t>
      </w:r>
      <w:r>
        <w:rPr>
          <w:rFonts w:ascii="Arial" w:hAnsi="Arial" w:cs="Arial" w:eastAsia="Arial" w:hint="default"/>
        </w:rPr>
        <w:t>1</w:t>
      </w:r>
      <w:r>
        <w:rPr/>
        <w:t>）公司于</w:t>
      </w:r>
      <w:r>
        <w:rPr>
          <w:rFonts w:ascii="Arial" w:hAnsi="Arial" w:cs="Arial" w:eastAsia="Arial" w:hint="default"/>
        </w:rPr>
        <w:t>2015</w:t>
      </w:r>
      <w:r>
        <w:rPr/>
        <w:t>年</w:t>
      </w:r>
      <w:r>
        <w:rPr>
          <w:rFonts w:ascii="Arial" w:hAnsi="Arial" w:cs="Arial" w:eastAsia="Arial" w:hint="default"/>
        </w:rPr>
        <w:t>3</w:t>
      </w:r>
      <w:r>
        <w:rPr/>
        <w:t>月</w:t>
      </w:r>
      <w:r>
        <w:rPr>
          <w:rFonts w:ascii="Arial" w:hAnsi="Arial" w:cs="Arial" w:eastAsia="Arial" w:hint="default"/>
        </w:rPr>
        <w:t>3</w:t>
      </w:r>
      <w:r>
        <w:rPr/>
        <w:t>日在上海设立全资子公司上海二三四五海隆金融信息服务有限公司，注册资本人民币</w:t>
      </w:r>
      <w:r>
        <w:rPr>
          <w:rFonts w:ascii="Arial" w:hAnsi="Arial" w:cs="Arial" w:eastAsia="Arial" w:hint="default"/>
        </w:rPr>
        <w:t>10,000.00</w:t>
      </w:r>
      <w:r>
        <w:rPr/>
        <w:t>万 元，</w:t>
      </w:r>
      <w:r>
        <w:rPr>
          <w:rFonts w:ascii="Arial" w:hAnsi="Arial" w:cs="Arial" w:eastAsia="Arial" w:hint="default"/>
        </w:rPr>
        <w:t>2015</w:t>
      </w:r>
      <w:r>
        <w:rPr/>
        <w:t>年开始将其纳入合并报表范围。</w:t>
      </w:r>
    </w:p>
    <w:p>
      <w:pPr>
        <w:pStyle w:val="BodyText"/>
        <w:spacing w:line="302" w:lineRule="auto" w:before="11"/>
        <w:ind w:left="153" w:right="1192"/>
        <w:jc w:val="left"/>
      </w:pPr>
      <w:r>
        <w:rPr/>
        <w:t>（</w:t>
      </w:r>
      <w:r>
        <w:rPr>
          <w:rFonts w:ascii="Arial" w:hAnsi="Arial" w:cs="Arial" w:eastAsia="Arial" w:hint="default"/>
        </w:rPr>
        <w:t>2</w:t>
      </w:r>
      <w:r>
        <w:rPr/>
        <w:t>）公司子公司上海二三四五海隆金融信息服务有限公司于</w:t>
      </w:r>
      <w:r>
        <w:rPr>
          <w:rFonts w:ascii="Arial" w:hAnsi="Arial" w:cs="Arial" w:eastAsia="Arial" w:hint="default"/>
        </w:rPr>
        <w:t>2015</w:t>
      </w:r>
      <w:r>
        <w:rPr/>
        <w:t>年</w:t>
      </w:r>
      <w:r>
        <w:rPr>
          <w:rFonts w:ascii="Arial" w:hAnsi="Arial" w:cs="Arial" w:eastAsia="Arial" w:hint="default"/>
        </w:rPr>
        <w:t>6</w:t>
      </w:r>
      <w:r>
        <w:rPr/>
        <w:t>月</w:t>
      </w:r>
      <w:r>
        <w:rPr>
          <w:rFonts w:ascii="Arial" w:hAnsi="Arial" w:cs="Arial" w:eastAsia="Arial" w:hint="default"/>
        </w:rPr>
        <w:t>25</w:t>
      </w:r>
      <w:r>
        <w:rPr/>
        <w:t>日与上海千机投资有限公司分别出资人民币</w:t>
      </w:r>
      <w:r>
        <w:rPr>
          <w:rFonts w:ascii="Arial" w:hAnsi="Arial" w:cs="Arial" w:eastAsia="Arial" w:hint="default"/>
        </w:rPr>
        <w:t>399</w:t>
      </w:r>
      <w:r>
        <w:rPr>
          <w:rFonts w:ascii="Arial" w:hAnsi="Arial" w:cs="Arial" w:eastAsia="Arial" w:hint="default"/>
          <w:spacing w:val="-1"/>
          <w:w w:val="99"/>
        </w:rPr>
        <w:t> </w:t>
      </w:r>
      <w:r>
        <w:rPr/>
        <w:t>万元、人民币</w:t>
      </w:r>
      <w:r>
        <w:rPr>
          <w:rFonts w:ascii="Arial" w:hAnsi="Arial" w:cs="Arial" w:eastAsia="Arial" w:hint="default"/>
        </w:rPr>
        <w:t>1</w:t>
      </w:r>
      <w:r>
        <w:rPr/>
        <w:t>万元设立有限合伙企业上海善拢泗海投资管理中心</w:t>
      </w:r>
      <w:r>
        <w:rPr>
          <w:rFonts w:ascii="Arial" w:hAnsi="Arial" w:cs="Arial" w:eastAsia="Arial" w:hint="default"/>
        </w:rPr>
        <w:t>(</w:t>
      </w:r>
      <w:r>
        <w:rPr/>
        <w:t>有限合伙），</w:t>
      </w:r>
      <w:r>
        <w:rPr>
          <w:rFonts w:ascii="Arial" w:hAnsi="Arial" w:cs="Arial" w:eastAsia="Arial" w:hint="default"/>
        </w:rPr>
        <w:t>2015</w:t>
      </w:r>
      <w:r>
        <w:rPr/>
        <w:t>年开始将其纳入合并报表范围。</w:t>
      </w:r>
    </w:p>
    <w:p>
      <w:pPr>
        <w:pStyle w:val="BodyText"/>
        <w:spacing w:line="302" w:lineRule="auto" w:before="11"/>
        <w:ind w:right="0"/>
        <w:jc w:val="left"/>
      </w:pPr>
      <w:r>
        <w:rPr>
          <w:spacing w:val="-2"/>
        </w:rPr>
        <w:t>（</w:t>
      </w:r>
      <w:r>
        <w:rPr>
          <w:rFonts w:ascii="Arial" w:hAnsi="Arial" w:cs="Arial" w:eastAsia="Arial" w:hint="default"/>
          <w:spacing w:val="-2"/>
        </w:rPr>
        <w:t>3</w:t>
      </w:r>
      <w:r>
        <w:rPr>
          <w:spacing w:val="-2"/>
        </w:rPr>
        <w:t>）公司子上海二三四五海隆金融信息服务有限公司于</w:t>
      </w:r>
      <w:r>
        <w:rPr>
          <w:rFonts w:ascii="Arial" w:hAnsi="Arial" w:cs="Arial" w:eastAsia="Arial" w:hint="default"/>
          <w:spacing w:val="-2"/>
        </w:rPr>
        <w:t>2015</w:t>
      </w:r>
      <w:r>
        <w:rPr>
          <w:spacing w:val="-2"/>
        </w:rPr>
        <w:t>年</w:t>
      </w:r>
      <w:r>
        <w:rPr>
          <w:rFonts w:ascii="Arial" w:hAnsi="Arial" w:cs="Arial" w:eastAsia="Arial" w:hint="default"/>
          <w:spacing w:val="-2"/>
        </w:rPr>
        <w:t>7</w:t>
      </w:r>
      <w:r>
        <w:rPr>
          <w:spacing w:val="-2"/>
        </w:rPr>
        <w:t>月</w:t>
      </w:r>
      <w:r>
        <w:rPr>
          <w:rFonts w:ascii="Arial" w:hAnsi="Arial" w:cs="Arial" w:eastAsia="Arial" w:hint="default"/>
          <w:spacing w:val="-2"/>
        </w:rPr>
        <w:t>7</w:t>
      </w:r>
      <w:r>
        <w:rPr>
          <w:spacing w:val="-2"/>
        </w:rPr>
        <w:t>日与上海善拢泗海投资管理中心（有限合伙）分别出资</w:t>
      </w:r>
      <w:r>
        <w:rPr>
          <w:spacing w:val="-47"/>
        </w:rPr>
        <w:t> </w:t>
      </w:r>
      <w:r>
        <w:rPr>
          <w:spacing w:val="-47"/>
        </w:rPr>
      </w:r>
      <w:r>
        <w:rPr/>
        <w:t>人民币</w:t>
      </w:r>
      <w:r>
        <w:rPr>
          <w:rFonts w:ascii="Arial" w:hAnsi="Arial" w:cs="Arial" w:eastAsia="Arial" w:hint="default"/>
        </w:rPr>
        <w:t>1,600</w:t>
      </w:r>
      <w:r>
        <w:rPr/>
        <w:t>万元、人民币</w:t>
      </w:r>
      <w:r>
        <w:rPr>
          <w:rFonts w:ascii="Arial" w:hAnsi="Arial" w:cs="Arial" w:eastAsia="Arial" w:hint="default"/>
        </w:rPr>
        <w:t>400</w:t>
      </w:r>
      <w:r>
        <w:rPr/>
        <w:t>万元设立上海薪想互联网金融信息服务有限公司，</w:t>
      </w:r>
      <w:r>
        <w:rPr>
          <w:rFonts w:ascii="Arial" w:hAnsi="Arial" w:cs="Arial" w:eastAsia="Arial" w:hint="default"/>
        </w:rPr>
        <w:t>2015</w:t>
      </w:r>
      <w:r>
        <w:rPr/>
        <w:t>年开始将其纳入合并报表范围。</w:t>
      </w:r>
    </w:p>
    <w:p>
      <w:pPr>
        <w:spacing w:after="0" w:line="302"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3"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732,066,639.49</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49.80%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261,394,695.94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17.78%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141,927,212.36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123,386,552.99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107,255,724.49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98,102,453.71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6.67%</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732,066,639.49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49.80%</w:t>
            </w:r>
          </w:p>
        </w:tc>
      </w:tr>
    </w:tbl>
    <w:p>
      <w:pPr>
        <w:pStyle w:val="BodyText"/>
        <w:spacing w:line="240" w:lineRule="auto" w:before="51"/>
        <w:ind w:right="0"/>
        <w:jc w:val="left"/>
      </w:pPr>
      <w:r>
        <w:rPr/>
        <w:t>主要客户其他情况说明</w:t>
      </w:r>
    </w:p>
    <w:p>
      <w:pPr>
        <w:pStyle w:val="BodyText"/>
        <w:spacing w:line="340" w:lineRule="auto" w:before="116"/>
        <w:ind w:left="153"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458,457,670.08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65.03%</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257,385,802.91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124,131,154.53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30,727,789.77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24,171,226.00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22,041,696.87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458,457,670.08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65.03%</w:t>
            </w:r>
          </w:p>
        </w:tc>
      </w:tr>
    </w:tbl>
    <w:p>
      <w:pPr>
        <w:pStyle w:val="BodyText"/>
        <w:spacing w:line="240" w:lineRule="auto" w:before="51"/>
        <w:ind w:right="0"/>
        <w:jc w:val="left"/>
      </w:pPr>
      <w:r>
        <w:rPr/>
        <w:t>主要供应商其他情况说明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22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388,424,857.44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83,592,736.55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364.66%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主要系网络科技子公司纳入合并报 表范围所致</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265,922,384.44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137,108,396.43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93.95%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主要系网络科技子公司纳入合并报 表范围所致</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-14,795,258.46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6,137,531.86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-341.06%</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主要系汇率变动以及网络科技子公 司纳入合并报表范围所致</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48,427,591.51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3,248,386.69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1,390.82%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主要系网络科技子公司纳入合并报 表范围所致</w:t>
            </w:r>
          </w:p>
        </w:tc>
      </w:tr>
    </w:tbl>
    <w:p>
      <w:pPr>
        <w:spacing w:line="240" w:lineRule="auto" w:before="2"/>
        <w:rPr>
          <w:rFonts w:ascii="宋体" w:hAnsi="宋体" w:cs="宋体" w:eastAsia="宋体" w:hint="default"/>
          <w:sz w:val="19"/>
          <w:szCs w:val="19"/>
        </w:rPr>
      </w:pPr>
    </w:p>
    <w:p>
      <w:pPr>
        <w:pStyle w:val="Heading6"/>
        <w:spacing w:line="240" w:lineRule="auto" w:before="35"/>
        <w:ind w:left="234" w:right="205"/>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left="593" w:right="205"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公司立足于互联网、移动互联网及软件产品的研发、生产与服务，始终紧跟科技发展前沿，以创新作为公司发展的强大</w:t>
      </w:r>
    </w:p>
    <w:p>
      <w:pPr>
        <w:pStyle w:val="BodyText"/>
        <w:spacing w:line="300" w:lineRule="auto" w:before="2"/>
        <w:ind w:left="233" w:right="205"/>
        <w:jc w:val="left"/>
      </w:pPr>
      <w:r>
        <w:rPr>
          <w:spacing w:val="-2"/>
        </w:rPr>
        <w:t>动力。截至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日，公司共获得</w:t>
      </w:r>
      <w:r>
        <w:rPr>
          <w:rFonts w:ascii="Times New Roman" w:hAnsi="Times New Roman" w:cs="Times New Roman" w:eastAsia="Times New Roman" w:hint="default"/>
          <w:spacing w:val="-2"/>
        </w:rPr>
        <w:t>88</w:t>
      </w:r>
      <w:r>
        <w:rPr>
          <w:spacing w:val="-2"/>
        </w:rPr>
        <w:t>项计算机软件著作权登记证书。公司高度重视将研发成果转化为生产力，并成功</w:t>
      </w:r>
      <w:r>
        <w:rPr>
          <w:spacing w:val="-57"/>
        </w:rPr>
        <w:t> </w:t>
      </w:r>
      <w:r>
        <w:rPr>
          <w:spacing w:val="-57"/>
        </w:rPr>
      </w:r>
      <w:r>
        <w:rPr/>
        <w:t>向国内外广大客户提供优质服务。目前已应用的领域包括：网址导航系统及浏览器软件（均包含</w:t>
      </w:r>
      <w:r>
        <w:rPr>
          <w:rFonts w:ascii="Times New Roman" w:hAnsi="Times New Roman" w:cs="Times New Roman" w:eastAsia="Times New Roman" w:hint="default"/>
        </w:rPr>
        <w:t>Windows</w:t>
      </w:r>
      <w:r>
        <w:rPr/>
        <w:t>系统、</w:t>
      </w:r>
      <w:r>
        <w:rPr>
          <w:rFonts w:ascii="Times New Roman" w:hAnsi="Times New Roman" w:cs="Times New Roman" w:eastAsia="Times New Roman" w:hint="default"/>
        </w:rPr>
        <w:t>Android</w:t>
      </w:r>
      <w:r>
        <w:rPr/>
        <w:t>系 统、</w:t>
      </w:r>
      <w:r>
        <w:rPr>
          <w:rFonts w:ascii="Times New Roman" w:hAnsi="Times New Roman" w:cs="Times New Roman" w:eastAsia="Times New Roman" w:hint="default"/>
        </w:rPr>
        <w:t>ios</w:t>
      </w:r>
      <w:r>
        <w:rPr/>
        <w:t>系统）、精准营销数据分析系统、互联网金融产品、证券银行保险业务系统、轨道交通站务系统、移动互联网内容 服务软件、连锁大型超市系统、安保监视系统等。</w:t>
      </w:r>
    </w:p>
    <w:tbl>
      <w:tblPr>
        <w:tblW w:w="0" w:type="auto"/>
        <w:jc w:val="left"/>
        <w:tblInd w:w="118" w:type="dxa"/>
        <w:tblLayout w:type="fixed"/>
        <w:tblCellMar>
          <w:top w:w="0" w:type="dxa"/>
          <w:left w:w="0" w:type="dxa"/>
          <w:bottom w:w="0" w:type="dxa"/>
          <w:right w:w="0" w:type="dxa"/>
        </w:tblCellMar>
        <w:tblLook w:val="01E0"/>
      </w:tblPr>
      <w:tblGrid>
        <w:gridCol w:w="1018"/>
        <w:gridCol w:w="1710"/>
        <w:gridCol w:w="1863"/>
        <w:gridCol w:w="1688"/>
        <w:gridCol w:w="1772"/>
        <w:gridCol w:w="1608"/>
      </w:tblGrid>
      <w:tr>
        <w:trPr>
          <w:trHeight w:val="719"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研发支出（元）</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9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1"/>
              <w:ind w:left="476" w:right="115" w:hanging="360"/>
              <w:jc w:val="left"/>
              <w:rPr>
                <w:rFonts w:ascii="宋体" w:hAnsi="宋体" w:cs="宋体" w:eastAsia="宋体" w:hint="default"/>
                <w:sz w:val="18"/>
                <w:szCs w:val="18"/>
              </w:rPr>
            </w:pPr>
            <w:r>
              <w:rPr>
                <w:rFonts w:ascii="宋体" w:hAnsi="宋体" w:cs="宋体" w:eastAsia="宋体" w:hint="default"/>
                <w:sz w:val="18"/>
                <w:szCs w:val="18"/>
              </w:rPr>
              <w:t>研发支出占营业收 入的比例</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净资产（元）</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1"/>
              <w:ind w:left="436" w:right="164" w:hanging="270"/>
              <w:jc w:val="left"/>
              <w:rPr>
                <w:rFonts w:ascii="宋体" w:hAnsi="宋体" w:cs="宋体" w:eastAsia="宋体" w:hint="default"/>
                <w:sz w:val="18"/>
                <w:szCs w:val="18"/>
              </w:rPr>
            </w:pPr>
            <w:r>
              <w:rPr>
                <w:rFonts w:ascii="宋体" w:hAnsi="宋体" w:cs="宋体" w:eastAsia="宋体" w:hint="default"/>
                <w:sz w:val="18"/>
                <w:szCs w:val="18"/>
              </w:rPr>
              <w:t>研发支出占净资 产的比例</w:t>
            </w:r>
          </w:p>
        </w:tc>
      </w:tr>
      <w:tr>
        <w:trPr>
          <w:trHeight w:val="407"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126,454,934.10</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1,469,914,807.24</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8.60%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396" w:right="0"/>
              <w:jc w:val="left"/>
              <w:rPr>
                <w:rFonts w:ascii="Times New Roman" w:hAnsi="Times New Roman" w:cs="Times New Roman" w:eastAsia="Times New Roman" w:hint="default"/>
                <w:sz w:val="18"/>
                <w:szCs w:val="18"/>
              </w:rPr>
            </w:pPr>
            <w:r>
              <w:rPr>
                <w:rFonts w:ascii="Times New Roman"/>
                <w:sz w:val="18"/>
              </w:rPr>
              <w:t>4,443,062,824.00</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2.85%</w:t>
            </w:r>
          </w:p>
        </w:tc>
      </w:tr>
      <w:tr>
        <w:trPr>
          <w:trHeight w:val="407"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pacing w:val="-1"/>
                <w:sz w:val="18"/>
              </w:rPr>
              <w:t>45,014,873.99</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654,084,309.23</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z w:val="18"/>
              </w:rPr>
              <w:t>6.88%</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96" w:right="0"/>
              <w:jc w:val="left"/>
              <w:rPr>
                <w:rFonts w:ascii="Times New Roman" w:hAnsi="Times New Roman" w:cs="Times New Roman" w:eastAsia="Times New Roman" w:hint="default"/>
                <w:sz w:val="18"/>
                <w:szCs w:val="18"/>
              </w:rPr>
            </w:pPr>
            <w:r>
              <w:rPr>
                <w:rFonts w:ascii="Times New Roman"/>
                <w:sz w:val="18"/>
              </w:rPr>
              <w:t>4,060,814,672.55</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18"/>
                <w:szCs w:val="18"/>
              </w:rPr>
            </w:pPr>
            <w:r>
              <w:rPr>
                <w:rFonts w:ascii="Times New Roman"/>
                <w:sz w:val="18"/>
              </w:rPr>
              <w:t>1.11%</w:t>
            </w:r>
          </w:p>
        </w:tc>
      </w:tr>
    </w:tbl>
    <w:p>
      <w:pPr>
        <w:spacing w:line="240" w:lineRule="auto" w:before="1"/>
        <w:rPr>
          <w:rFonts w:ascii="宋体" w:hAnsi="宋体" w:cs="宋体" w:eastAsia="宋体" w:hint="default"/>
          <w:sz w:val="26"/>
          <w:szCs w:val="26"/>
        </w:rPr>
      </w:pPr>
    </w:p>
    <w:p>
      <w:pPr>
        <w:pStyle w:val="BodyText"/>
        <w:spacing w:line="240" w:lineRule="auto"/>
        <w:ind w:left="234" w:right="205"/>
        <w:jc w:val="left"/>
      </w:pPr>
      <w:r>
        <w:rPr/>
        <w:t>公司研发投入情况</w:t>
      </w:r>
    </w:p>
    <w:p>
      <w:pPr>
        <w:spacing w:line="240" w:lineRule="auto" w:before="13"/>
        <w:rPr>
          <w:rFonts w:ascii="宋体" w:hAnsi="宋体" w:cs="宋体" w:eastAsia="宋体" w:hint="default"/>
          <w:sz w:val="7"/>
          <w:szCs w:val="7"/>
        </w:rPr>
      </w:pPr>
    </w:p>
    <w:tbl>
      <w:tblPr>
        <w:tblW w:w="0" w:type="auto"/>
        <w:jc w:val="left"/>
        <w:tblInd w:w="2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126,454,934.10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45,014,873.99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180.92%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234" w:right="205"/>
        <w:jc w:val="left"/>
      </w:pPr>
      <w:r>
        <w:rPr/>
        <w:t>研发投入总额占营业收入的比重较上年发生显著变化的原因</w:t>
      </w:r>
    </w:p>
    <w:p>
      <w:pPr>
        <w:pStyle w:val="BodyText"/>
        <w:spacing w:line="340" w:lineRule="auto" w:before="116"/>
        <w:ind w:left="233"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0"/>
        <w:ind w:left="233" w:right="2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left="233" w:right="205"/>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单位：元</w:t>
      </w:r>
    </w:p>
    <w:p>
      <w:pPr>
        <w:spacing w:after="0" w:line="240" w:lineRule="auto"/>
        <w:jc w:val="right"/>
        <w:sectPr>
          <w:pgSz w:w="11910" w:h="16840"/>
          <w:pgMar w:header="747"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1,583,727,827.79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703,436,107.15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125.14%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1,100,034,844.66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586,044,790.70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87.70%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483,692,983.13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117,391,316.45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312.03%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352,920,229.53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2,771,711.22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12,632.94%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86,078,839.66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847,036,091.35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-89.84%</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266,841,389.87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-844,264,380.13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-131.61%</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13,414,468.40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912,478,730.27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-98.53%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64,027,481.45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90,488,837.25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-29.24%</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-50,613,013.05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821,989,893.02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-106.16%</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703,632,504.46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79,860,515.97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781.08%</w:t>
            </w:r>
          </w:p>
        </w:tc>
      </w:tr>
    </w:tbl>
    <w:p>
      <w:pPr>
        <w:pStyle w:val="BodyText"/>
        <w:spacing w:line="240" w:lineRule="auto" w:before="51"/>
        <w:ind w:right="0"/>
        <w:jc w:val="left"/>
      </w:pPr>
      <w:r>
        <w:rPr/>
        <w:t>相关数据同比发生重大变动的主要影响因素说明</w:t>
      </w:r>
    </w:p>
    <w:p>
      <w:pPr>
        <w:pStyle w:val="BodyText"/>
        <w:spacing w:line="319"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经营活动现金流入较去年同期增加</w:t>
      </w:r>
      <w:r>
        <w:rPr>
          <w:rFonts w:ascii="Times New Roman" w:hAnsi="Times New Roman" w:cs="Times New Roman" w:eastAsia="Times New Roman" w:hint="default"/>
          <w:spacing w:val="-1"/>
        </w:rPr>
        <w:t>125.14%</w:t>
      </w:r>
      <w:r>
        <w:rPr>
          <w:spacing w:val="-1"/>
        </w:rPr>
        <w:t>、经营活动现金流出较去年同期增加</w:t>
      </w:r>
      <w:r>
        <w:rPr>
          <w:rFonts w:ascii="Times New Roman" w:hAnsi="Times New Roman" w:cs="Times New Roman" w:eastAsia="Times New Roman" w:hint="default"/>
          <w:spacing w:val="-1"/>
        </w:rPr>
        <w:t>87.70%</w:t>
      </w:r>
      <w:r>
        <w:rPr>
          <w:spacing w:val="-1"/>
        </w:rPr>
        <w:t>、经营活动产生的现金流量净额较去</w:t>
      </w:r>
      <w:r>
        <w:rPr>
          <w:spacing w:val="-55"/>
        </w:rPr>
        <w:t> </w:t>
      </w:r>
      <w:r>
        <w:rPr>
          <w:spacing w:val="-55"/>
        </w:rPr>
      </w:r>
      <w:r>
        <w:rPr/>
        <w:t>年同期增加</w:t>
      </w:r>
      <w:r>
        <w:rPr>
          <w:rFonts w:ascii="Times New Roman" w:hAnsi="Times New Roman" w:cs="Times New Roman" w:eastAsia="Times New Roman" w:hint="default"/>
        </w:rPr>
        <w:t>312.03%</w:t>
      </w:r>
      <w:r>
        <w:rPr/>
        <w:t>，主要系网络科技子公司纳入公司合并报表范围，业务规模大幅增长所致。</w:t>
      </w:r>
    </w:p>
    <w:p>
      <w:pPr>
        <w:pStyle w:val="BodyText"/>
        <w:spacing w:line="304" w:lineRule="auto" w:before="0"/>
        <w:ind w:left="153" w:right="1118"/>
        <w:jc w:val="left"/>
      </w:pPr>
      <w:r>
        <w:rPr>
          <w:spacing w:val="-2"/>
        </w:rPr>
        <w:t>投资活动现金流入较去年同期增加</w:t>
      </w:r>
      <w:r>
        <w:rPr>
          <w:rFonts w:ascii="Times New Roman" w:hAnsi="Times New Roman" w:cs="Times New Roman" w:eastAsia="Times New Roman" w:hint="default"/>
          <w:spacing w:val="-2"/>
        </w:rPr>
        <w:t>12,632.94%</w:t>
      </w:r>
      <w:r>
        <w:rPr>
          <w:spacing w:val="-2"/>
        </w:rPr>
        <w:t>，投资活动现金流出较去年同期减少</w:t>
      </w:r>
      <w:r>
        <w:rPr>
          <w:rFonts w:ascii="Times New Roman" w:hAnsi="Times New Roman" w:cs="Times New Roman" w:eastAsia="Times New Roman" w:hint="default"/>
          <w:spacing w:val="-2"/>
        </w:rPr>
        <w:t>89.84%</w:t>
      </w:r>
      <w:r>
        <w:rPr>
          <w:spacing w:val="-2"/>
        </w:rPr>
        <w:t>，主要系网络科技子公司纳入公司</w:t>
      </w:r>
      <w:r>
        <w:rPr>
          <w:spacing w:val="-38"/>
        </w:rPr>
        <w:t> </w:t>
      </w:r>
      <w:r>
        <w:rPr>
          <w:spacing w:val="-38"/>
        </w:rPr>
      </w:r>
      <w:r>
        <w:rPr/>
        <w:t>合并报表范围，本报告期公司理财产品净赎回和理财收益大幅增加所致。 筹资活动现金流入较去年同期减少</w:t>
      </w:r>
      <w:r>
        <w:rPr>
          <w:rFonts w:ascii="Times New Roman" w:hAnsi="Times New Roman" w:cs="Times New Roman" w:eastAsia="Times New Roman" w:hint="default"/>
        </w:rPr>
        <w:t>98.53%</w:t>
      </w:r>
      <w:r>
        <w:rPr/>
        <w:t>，主要系</w:t>
      </w:r>
      <w:r>
        <w:rPr>
          <w:rFonts w:ascii="Times New Roman" w:hAnsi="Times New Roman" w:cs="Times New Roman" w:eastAsia="Times New Roman" w:hint="default"/>
        </w:rPr>
        <w:t>2014</w:t>
      </w:r>
      <w:r>
        <w:rPr/>
        <w:t>年公司收到重大资产重组募集的配套资金净额（约</w:t>
      </w:r>
      <w:r>
        <w:rPr>
          <w:rFonts w:ascii="Times New Roman" w:hAnsi="Times New Roman" w:cs="Times New Roman" w:eastAsia="Times New Roman" w:hint="default"/>
        </w:rPr>
        <w:t>8.6</w:t>
      </w:r>
      <w:r>
        <w:rPr/>
        <w:t>亿元）所致。 </w:t>
      </w:r>
      <w:r>
        <w:rPr>
          <w:spacing w:val="-1"/>
        </w:rPr>
        <w:t>现金及现金等价物净增加额较去年同期增加</w:t>
      </w:r>
      <w:r>
        <w:rPr>
          <w:rFonts w:ascii="Times New Roman" w:hAnsi="Times New Roman" w:cs="Times New Roman" w:eastAsia="Times New Roman" w:hint="default"/>
          <w:spacing w:val="-1"/>
        </w:rPr>
        <w:t>781.08%</w:t>
      </w:r>
      <w:r>
        <w:rPr>
          <w:spacing w:val="-1"/>
        </w:rPr>
        <w:t>，主要系上述经营活动、投资活动、筹资活动产生的现金净流量综合所</w:t>
      </w:r>
      <w:r>
        <w:rPr>
          <w:spacing w:val="-44"/>
        </w:rPr>
        <w:t> </w:t>
      </w:r>
      <w:r>
        <w:rPr>
          <w:spacing w:val="-44"/>
        </w:rPr>
      </w:r>
      <w:r>
        <w:rPr/>
        <w:t>致。</w:t>
      </w:r>
    </w:p>
    <w:p>
      <w:pPr>
        <w:pStyle w:val="BodyText"/>
        <w:spacing w:line="240" w:lineRule="auto" w:before="68"/>
        <w:ind w:right="0"/>
        <w:jc w:val="left"/>
      </w:pPr>
      <w:r>
        <w:rPr/>
        <w:t>报告期内公司经营活动产生的现金净流量与本年度净利润存在重大差异的原因说明</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bookmarkStart w:name="三、非主营业务分析" w:id="39"/>
      <w:bookmarkEnd w:id="39"/>
      <w:r>
        <w:rPr>
          <w:b w:val="0"/>
          <w:bCs w:val="0"/>
        </w:rPr>
      </w:r>
      <w:r>
        <w:rPr/>
        <w:t>三、非主营业务分析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3"/>
        <w:gridCol w:w="2254"/>
        <w:gridCol w:w="2254"/>
      </w:tblGrid>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63,984,952.14</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13.73%</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主要系理财收益大幅增加所 致</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-348,450.00</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6" w:right="0"/>
              <w:jc w:val="left"/>
              <w:rPr>
                <w:rFonts w:ascii="Times New Roman" w:hAnsi="Times New Roman" w:cs="Times New Roman" w:eastAsia="Times New Roman" w:hint="default"/>
                <w:sz w:val="18"/>
                <w:szCs w:val="18"/>
              </w:rPr>
            </w:pPr>
            <w:r>
              <w:rPr>
                <w:rFonts w:ascii="Times New Roman"/>
                <w:sz w:val="18"/>
              </w:rPr>
              <w:t>-0.07%</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主要系汇率变动导致远期结 售汇合同公允价值变动所致</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317"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7,133,222.48</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1.53%</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8"/>
              <w:jc w:val="both"/>
              <w:rPr>
                <w:rFonts w:ascii="宋体" w:hAnsi="宋体" w:cs="宋体" w:eastAsia="宋体" w:hint="default"/>
                <w:sz w:val="18"/>
                <w:szCs w:val="18"/>
              </w:rPr>
            </w:pPr>
            <w:r>
              <w:rPr>
                <w:rFonts w:ascii="宋体" w:hAnsi="宋体" w:cs="宋体" w:eastAsia="宋体" w:hint="default"/>
                <w:sz w:val="18"/>
                <w:szCs w:val="18"/>
              </w:rPr>
              <w:t>主要系和中银消费合作的随 心贷业务计提的坏账准备所 致</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36" w:right="0"/>
              <w:jc w:val="left"/>
              <w:rPr>
                <w:rFonts w:ascii="Times New Roman" w:hAnsi="Times New Roman" w:cs="Times New Roman" w:eastAsia="Times New Roman" w:hint="default"/>
                <w:sz w:val="18"/>
                <w:szCs w:val="18"/>
              </w:rPr>
            </w:pPr>
            <w:r>
              <w:rPr>
                <w:rFonts w:ascii="Times New Roman"/>
                <w:sz w:val="18"/>
              </w:rPr>
              <w:t>35,533,851.61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7.62%</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4"/>
              <w:jc w:val="center"/>
              <w:rPr>
                <w:rFonts w:ascii="宋体" w:hAnsi="宋体" w:cs="宋体" w:eastAsia="宋体" w:hint="default"/>
                <w:sz w:val="18"/>
                <w:szCs w:val="18"/>
              </w:rPr>
            </w:pPr>
            <w:r>
              <w:rPr>
                <w:rFonts w:ascii="宋体" w:hAnsi="宋体" w:cs="宋体" w:eastAsia="宋体" w:hint="default"/>
                <w:sz w:val="18"/>
                <w:szCs w:val="18"/>
              </w:rPr>
              <w:t>主要系政府补助收入增加所</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254"/>
        <w:gridCol w:w="2254"/>
      </w:tblGrid>
      <w:tr>
        <w:trPr>
          <w:trHeight w:val="36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致</w:t>
            </w: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2" w:right="0"/>
              <w:jc w:val="left"/>
              <w:rPr>
                <w:rFonts w:ascii="Times New Roman" w:hAnsi="Times New Roman" w:cs="Times New Roman" w:eastAsia="Times New Roman" w:hint="default"/>
                <w:sz w:val="18"/>
                <w:szCs w:val="18"/>
              </w:rPr>
            </w:pPr>
            <w:r>
              <w:rPr>
                <w:rFonts w:ascii="Times New Roman"/>
                <w:sz w:val="18"/>
              </w:rPr>
              <w:t>195,632.61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主要系对外捐赠增加所致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4"/>
        <w:spacing w:line="240" w:lineRule="auto" w:before="26"/>
        <w:ind w:left="154" w:right="0"/>
        <w:jc w:val="left"/>
        <w:rPr>
          <w:b w:val="0"/>
          <w:bCs w:val="0"/>
        </w:rPr>
      </w:pPr>
      <w:bookmarkStart w:name="四、资产及负债状况分析" w:id="40"/>
      <w:bookmarkEnd w:id="40"/>
      <w:r>
        <w:rPr>
          <w:b w:val="0"/>
          <w:bCs w:val="0"/>
        </w:rPr>
      </w: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76"/>
        <w:gridCol w:w="1418"/>
        <w:gridCol w:w="1064"/>
        <w:gridCol w:w="1367"/>
        <w:gridCol w:w="1022"/>
        <w:gridCol w:w="798"/>
        <w:gridCol w:w="2918"/>
      </w:tblGrid>
      <w:tr>
        <w:trPr>
          <w:trHeight w:val="380" w:hRule="exact"/>
        </w:trPr>
        <w:tc>
          <w:tcPr>
            <w:tcW w:w="127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482"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38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276" w:type="dxa"/>
            <w:vMerge w:val="restart"/>
            <w:tcBorders>
              <w:top w:val="single" w:sz="14" w:space="0" w:color="FFFFFF"/>
              <w:left w:val="single" w:sz="4" w:space="0" w:color="000000"/>
              <w:right w:val="single" w:sz="4" w:space="0" w:color="000000"/>
            </w:tcBorders>
            <w:shd w:val="clear" w:color="auto" w:fill="D2D2D2"/>
          </w:tcPr>
          <w:p>
            <w:pPr/>
          </w:p>
        </w:tc>
        <w:tc>
          <w:tcPr>
            <w:tcW w:w="1418"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6"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367"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22"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15" w:right="5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276" w:type="dxa"/>
            <w:vMerge/>
            <w:tcBorders>
              <w:left w:val="single" w:sz="4" w:space="0" w:color="000000"/>
              <w:bottom w:val="nil" w:sz="6" w:space="0" w:color="auto"/>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22"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276" w:type="dxa"/>
            <w:vMerge w:val="restart"/>
            <w:tcBorders>
              <w:top w:val="nil" w:sz="6" w:space="0" w:color="auto"/>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367" w:type="dxa"/>
            <w:vMerge/>
            <w:tcBorders>
              <w:left w:val="single" w:sz="4" w:space="0" w:color="000000"/>
              <w:bottom w:val="nil" w:sz="6" w:space="0" w:color="auto"/>
              <w:right w:val="single" w:sz="4" w:space="0" w:color="000000"/>
            </w:tcBorders>
            <w:shd w:val="clear" w:color="auto" w:fill="D2D2D2"/>
          </w:tcPr>
          <w:p>
            <w:pPr/>
          </w:p>
        </w:tc>
        <w:tc>
          <w:tcPr>
            <w:tcW w:w="1022"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2"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1,084,659,328.73</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22.50%</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378,176,824.27</w:t>
            </w:r>
          </w:p>
        </w:tc>
        <w:tc>
          <w:tcPr>
            <w:tcW w:w="102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8.82%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13.68%</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主要系公司业务发展迅速以及理财 产品到期赎回所致</w:t>
            </w:r>
          </w:p>
        </w:tc>
      </w:tr>
      <w:tr>
        <w:trPr>
          <w:trHeight w:val="391"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8"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02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123,214,493.66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87,407,845.75</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0.52%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主要系公司业务发展迅速所致</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2,277,952.32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3,827,575.04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26,896,618.69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15,080,036.90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175,531,344.91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180,569,262.32</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-0.57%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3,243,275.00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7,719,194.00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-0.11%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39,837,127.59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29,062,619.75</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6,306,119.08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649,698.62</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0.11%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855,453,075.11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1,141,506,689.94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26.61%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-8.87%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主要系理财产品到期赎回所致</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2,400,493,896.59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2,400,493,896.59</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主要系公司总资产增加导致商誉占 比下降所致</w:t>
            </w:r>
          </w:p>
        </w:tc>
      </w:tr>
      <w:tr>
        <w:trPr>
          <w:trHeight w:val="715"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递延所得税资 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20,157,455.43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13,271,603.11</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0.11%</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96"/>
        <w:gridCol w:w="1231"/>
        <w:gridCol w:w="1207"/>
        <w:gridCol w:w="1213"/>
        <w:gridCol w:w="1213"/>
        <w:gridCol w:w="1214"/>
        <w:gridCol w:w="1213"/>
        <w:gridCol w:w="1142"/>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31" w:type="dxa"/>
            <w:vMerge w:val="restart"/>
            <w:tcBorders>
              <w:top w:val="single" w:sz="4" w:space="0" w:color="000000"/>
              <w:left w:val="single" w:sz="4" w:space="0" w:color="000000"/>
              <w:right w:val="single" w:sz="4" w:space="0" w:color="000000"/>
            </w:tcBorders>
            <w:shd w:val="clear" w:color="auto" w:fill="D2D2D2"/>
          </w:tcPr>
          <w:p>
            <w:pP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1" w:right="5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4" w:type="dxa"/>
            <w:vMerge w:val="restart"/>
            <w:tcBorders>
              <w:top w:val="single" w:sz="4" w:space="0" w:color="000000"/>
              <w:left w:val="single" w:sz="4" w:space="0" w:color="000000"/>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
        </w:tc>
        <w:tc>
          <w:tcPr>
            <w:tcW w:w="1142"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31"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5" w:right="60"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3" w:type="dxa"/>
            <w:vMerge/>
            <w:tcBorders>
              <w:left w:val="single" w:sz="4" w:space="0" w:color="000000"/>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12" w:right="59"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14"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1142"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07" w:type="dxa"/>
            <w:vMerge/>
            <w:tcBorders>
              <w:left w:val="single" w:sz="4" w:space="0" w:color="000000"/>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本期购买金额</w:t>
            </w:r>
          </w:p>
        </w:tc>
        <w:tc>
          <w:tcPr>
            <w:tcW w:w="12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1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31" w:type="dxa"/>
            <w:vMerge w:val="restart"/>
            <w:tcBorders>
              <w:top w:val="nil" w:sz="6" w:space="0" w:color="auto"/>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1214" w:type="dxa"/>
            <w:vMerge w:val="restart"/>
            <w:tcBorders>
              <w:top w:val="nil" w:sz="6" w:space="0" w:color="auto"/>
              <w:left w:val="single" w:sz="4" w:space="0" w:color="000000"/>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
        </w:tc>
        <w:tc>
          <w:tcPr>
            <w:tcW w:w="1142"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31"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14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433"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 融资产</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14,000,000.00</w:t>
            </w:r>
          </w:p>
        </w:tc>
        <w:tc>
          <w:tcPr>
            <w:tcW w:w="120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center"/>
              <w:rPr>
                <w:rFonts w:ascii="Times New Roman" w:hAnsi="Times New Roman" w:cs="Times New Roman" w:eastAsia="Times New Roman" w:hint="default"/>
                <w:sz w:val="18"/>
                <w:szCs w:val="18"/>
              </w:rPr>
            </w:pPr>
            <w:r>
              <w:rPr>
                <w:rFonts w:ascii="Times New Roman"/>
                <w:sz w:val="18"/>
              </w:rPr>
              <w:t>48,778,450.00</w:t>
            </w:r>
          </w:p>
        </w:tc>
        <w:tc>
          <w:tcPr>
            <w:tcW w:w="1213"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62,778,450.00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14,000,000.00</w:t>
            </w:r>
          </w:p>
        </w:tc>
        <w:tc>
          <w:tcPr>
            <w:tcW w:w="120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center"/>
              <w:rPr>
                <w:rFonts w:ascii="Times New Roman" w:hAnsi="Times New Roman" w:cs="Times New Roman" w:eastAsia="Times New Roman" w:hint="default"/>
                <w:sz w:val="18"/>
                <w:szCs w:val="18"/>
              </w:rPr>
            </w:pPr>
            <w:r>
              <w:rPr>
                <w:rFonts w:ascii="Times New Roman"/>
                <w:sz w:val="18"/>
              </w:rPr>
              <w:t>48,778,450.00</w:t>
            </w:r>
          </w:p>
        </w:tc>
        <w:tc>
          <w:tcPr>
            <w:tcW w:w="1213"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62,778,450.00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14,000,000.00</w:t>
            </w:r>
          </w:p>
        </w:tc>
        <w:tc>
          <w:tcPr>
            <w:tcW w:w="120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center"/>
              <w:rPr>
                <w:rFonts w:ascii="Times New Roman" w:hAnsi="Times New Roman" w:cs="Times New Roman" w:eastAsia="Times New Roman" w:hint="default"/>
                <w:sz w:val="18"/>
                <w:szCs w:val="18"/>
              </w:rPr>
            </w:pPr>
            <w:r>
              <w:rPr>
                <w:rFonts w:ascii="Times New Roman"/>
                <w:sz w:val="18"/>
              </w:rPr>
              <w:t>48,778,450.00</w:t>
            </w:r>
          </w:p>
        </w:tc>
        <w:tc>
          <w:tcPr>
            <w:tcW w:w="1213"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62,778,450.00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8"/>
        <w:gridCol w:w="1225"/>
        <w:gridCol w:w="1213"/>
        <w:gridCol w:w="1212"/>
        <w:gridCol w:w="1213"/>
        <w:gridCol w:w="1214"/>
        <w:gridCol w:w="1213"/>
        <w:gridCol w:w="1142"/>
      </w:tblGrid>
      <w:tr>
        <w:trPr>
          <w:trHeight w:val="402"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5" w:right="0"/>
              <w:jc w:val="left"/>
              <w:rPr>
                <w:rFonts w:ascii="Times New Roman" w:hAnsi="Times New Roman" w:cs="Times New Roman" w:eastAsia="Times New Roman" w:hint="default"/>
                <w:sz w:val="18"/>
                <w:szCs w:val="18"/>
              </w:rPr>
            </w:pPr>
            <w:r>
              <w:rPr>
                <w:rFonts w:ascii="Times New Roman"/>
                <w:sz w:val="18"/>
              </w:rPr>
              <w:t>1,760,000.00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-348,450.00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4" w:right="0"/>
              <w:jc w:val="left"/>
              <w:rPr>
                <w:rFonts w:ascii="Times New Roman" w:hAnsi="Times New Roman" w:cs="Times New Roman" w:eastAsia="Times New Roman" w:hint="default"/>
                <w:sz w:val="18"/>
                <w:szCs w:val="18"/>
              </w:rPr>
            </w:pPr>
            <w:r>
              <w:rPr>
                <w:rFonts w:ascii="Times New Roman"/>
                <w:sz w:val="18"/>
              </w:rPr>
              <w:t>2,108,450.00</w:t>
            </w:r>
          </w:p>
        </w:tc>
      </w:tr>
    </w:tbl>
    <w:p>
      <w:pPr>
        <w:pStyle w:val="BodyText"/>
        <w:spacing w:line="240" w:lineRule="auto" w:before="51"/>
        <w:ind w:right="0"/>
        <w:jc w:val="left"/>
      </w:pPr>
      <w:r>
        <w:rPr/>
        <w:t>报告期内公司主要资产计量属性是否发生重大变化</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3"/>
        <w:rPr>
          <w:rFonts w:ascii="宋体" w:hAnsi="宋体" w:cs="宋体" w:eastAsia="宋体" w:hint="default"/>
          <w:sz w:val="23"/>
          <w:szCs w:val="23"/>
        </w:rPr>
      </w:pPr>
    </w:p>
    <w:p>
      <w:pPr>
        <w:pStyle w:val="Heading4"/>
        <w:spacing w:line="240" w:lineRule="auto"/>
        <w:ind w:right="0"/>
        <w:jc w:val="left"/>
        <w:rPr>
          <w:b w:val="0"/>
          <w:bCs w:val="0"/>
        </w:rPr>
      </w:pPr>
      <w:bookmarkStart w:name="五、投资状况分析" w:id="43"/>
      <w:bookmarkEnd w:id="43"/>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6" w:right="0"/>
              <w:jc w:val="left"/>
              <w:rPr>
                <w:rFonts w:ascii="Times New Roman" w:hAnsi="Times New Roman" w:cs="Times New Roman" w:eastAsia="Times New Roman" w:hint="default"/>
                <w:sz w:val="18"/>
                <w:szCs w:val="18"/>
              </w:rPr>
            </w:pPr>
            <w:r>
              <w:rPr>
                <w:rFonts w:ascii="Times New Roman"/>
                <w:sz w:val="18"/>
              </w:rPr>
              <w:t>423,510,682.11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97" w:right="0"/>
              <w:jc w:val="left"/>
              <w:rPr>
                <w:rFonts w:ascii="Times New Roman" w:hAnsi="Times New Roman" w:cs="Times New Roman" w:eastAsia="Times New Roman" w:hint="default"/>
                <w:sz w:val="18"/>
                <w:szCs w:val="18"/>
              </w:rPr>
            </w:pPr>
            <w:r>
              <w:rPr>
                <w:rFonts w:ascii="Times New Roman"/>
                <w:sz w:val="18"/>
              </w:rPr>
              <w:t>2,654,956,141.15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-84.05%</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before="0"/>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426"/>
        <w:gridCol w:w="1275"/>
        <w:gridCol w:w="426"/>
        <w:gridCol w:w="1276"/>
        <w:gridCol w:w="800"/>
        <w:gridCol w:w="392"/>
        <w:gridCol w:w="266"/>
        <w:gridCol w:w="283"/>
        <w:gridCol w:w="283"/>
        <w:gridCol w:w="733"/>
        <w:gridCol w:w="451"/>
        <w:gridCol w:w="1058"/>
        <w:gridCol w:w="690"/>
        <w:gridCol w:w="690"/>
        <w:gridCol w:w="667"/>
      </w:tblGrid>
      <w:tr>
        <w:trPr>
          <w:trHeight w:val="1650" w:hRule="exact"/>
        </w:trPr>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7" w:right="26"/>
              <w:jc w:val="both"/>
              <w:rPr>
                <w:rFonts w:ascii="宋体" w:hAnsi="宋体" w:cs="宋体" w:eastAsia="宋体" w:hint="default"/>
                <w:sz w:val="18"/>
                <w:szCs w:val="18"/>
              </w:rPr>
            </w:pPr>
            <w:r>
              <w:rPr>
                <w:rFonts w:ascii="宋体" w:hAnsi="宋体" w:cs="宋体" w:eastAsia="宋体" w:hint="default"/>
                <w:sz w:val="18"/>
                <w:szCs w:val="18"/>
              </w:rPr>
              <w:t>被投 资公 司名 称</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7" w:right="26"/>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投资金额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1" w:right="98"/>
              <w:jc w:val="both"/>
              <w:rPr>
                <w:rFonts w:ascii="宋体" w:hAnsi="宋体" w:cs="宋体" w:eastAsia="宋体" w:hint="default"/>
                <w:sz w:val="18"/>
                <w:szCs w:val="18"/>
              </w:rPr>
            </w:pPr>
            <w:r>
              <w:rPr>
                <w:rFonts w:ascii="宋体" w:hAnsi="宋体" w:cs="宋体" w:eastAsia="宋体" w:hint="default"/>
                <w:sz w:val="18"/>
                <w:szCs w:val="18"/>
              </w:rPr>
              <w:t>资 金 来 源</w:t>
            </w:r>
          </w:p>
        </w:tc>
        <w:tc>
          <w:tcPr>
            <w:tcW w:w="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7" w:right="37"/>
              <w:jc w:val="both"/>
              <w:rPr>
                <w:rFonts w:ascii="宋体" w:hAnsi="宋体" w:cs="宋体" w:eastAsia="宋体" w:hint="default"/>
                <w:sz w:val="18"/>
                <w:szCs w:val="18"/>
              </w:rPr>
            </w:pPr>
            <w:r>
              <w:rPr>
                <w:rFonts w:ascii="宋体" w:hAnsi="宋体" w:cs="宋体" w:eastAsia="宋体" w:hint="default"/>
                <w:sz w:val="18"/>
                <w:szCs w:val="18"/>
              </w:rPr>
              <w:t>合 作 方</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6" w:right="44"/>
              <w:jc w:val="both"/>
              <w:rPr>
                <w:rFonts w:ascii="宋体" w:hAnsi="宋体" w:cs="宋体" w:eastAsia="宋体" w:hint="default"/>
                <w:sz w:val="18"/>
                <w:szCs w:val="18"/>
              </w:rPr>
            </w:pPr>
            <w:r>
              <w:rPr>
                <w:rFonts w:ascii="宋体" w:hAnsi="宋体" w:cs="宋体" w:eastAsia="宋体" w:hint="default"/>
                <w:sz w:val="18"/>
                <w:szCs w:val="18"/>
              </w:rPr>
              <w:t>投 资 期 限</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6" w:right="44"/>
              <w:jc w:val="both"/>
              <w:rPr>
                <w:rFonts w:ascii="宋体" w:hAnsi="宋体" w:cs="宋体" w:eastAsia="宋体" w:hint="default"/>
                <w:sz w:val="18"/>
                <w:szCs w:val="18"/>
              </w:rPr>
            </w:pPr>
            <w:r>
              <w:rPr>
                <w:rFonts w:ascii="宋体" w:hAnsi="宋体" w:cs="宋体" w:eastAsia="宋体" w:hint="default"/>
                <w:sz w:val="18"/>
                <w:szCs w:val="18"/>
              </w:rPr>
              <w:t>产 品 类 型</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1" w:right="90"/>
              <w:jc w:val="center"/>
              <w:rPr>
                <w:rFonts w:ascii="宋体" w:hAnsi="宋体" w:cs="宋体" w:eastAsia="宋体" w:hint="default"/>
                <w:sz w:val="18"/>
                <w:szCs w:val="18"/>
              </w:rPr>
            </w:pPr>
            <w:r>
              <w:rPr>
                <w:rFonts w:ascii="宋体" w:hAnsi="宋体" w:cs="宋体" w:eastAsia="宋体" w:hint="default"/>
                <w:sz w:val="18"/>
                <w:szCs w:val="18"/>
              </w:rPr>
              <w:t>截至资 产负债 表日的 进展情 况</w:t>
            </w:r>
          </w:p>
        </w:tc>
        <w:tc>
          <w:tcPr>
            <w:tcW w:w="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9" w:right="41"/>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433" w:right="72" w:hanging="361"/>
              <w:jc w:val="left"/>
              <w:rPr>
                <w:rFonts w:ascii="宋体" w:hAnsi="宋体" w:cs="宋体" w:eastAsia="宋体" w:hint="default"/>
                <w:sz w:val="18"/>
                <w:szCs w:val="18"/>
              </w:rPr>
            </w:pPr>
            <w:r>
              <w:rPr>
                <w:rFonts w:ascii="宋体" w:hAnsi="宋体" w:cs="宋体" w:eastAsia="宋体" w:hint="default"/>
                <w:sz w:val="18"/>
                <w:szCs w:val="18"/>
              </w:rPr>
              <w:t>本期投资盈 亏</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9" w:right="6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8" w:right="56"/>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6330" w:hRule="exact"/>
        </w:trPr>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9" w:lineRule="auto"/>
              <w:ind w:left="27" w:right="26"/>
              <w:jc w:val="both"/>
              <w:rPr>
                <w:rFonts w:ascii="宋体" w:hAnsi="宋体" w:cs="宋体" w:eastAsia="宋体" w:hint="default"/>
                <w:sz w:val="18"/>
                <w:szCs w:val="18"/>
              </w:rPr>
            </w:pPr>
            <w:r>
              <w:rPr>
                <w:rFonts w:ascii="宋体" w:hAnsi="宋体" w:cs="宋体" w:eastAsia="宋体" w:hint="default"/>
                <w:sz w:val="18"/>
                <w:szCs w:val="18"/>
              </w:rPr>
              <w:t>上海 海隆 软件 有限 公司</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8"/>
              <w:jc w:val="center"/>
              <w:rPr>
                <w:rFonts w:ascii="宋体" w:hAnsi="宋体" w:cs="宋体" w:eastAsia="宋体" w:hint="default"/>
                <w:sz w:val="18"/>
                <w:szCs w:val="18"/>
              </w:rPr>
            </w:pPr>
            <w:r>
              <w:rPr>
                <w:rFonts w:ascii="宋体" w:hAnsi="宋体" w:cs="宋体" w:eastAsia="宋体" w:hint="default"/>
                <w:sz w:val="18"/>
                <w:szCs w:val="18"/>
              </w:rPr>
              <w:t>计算机软硬件、 计算机系统集 </w:t>
            </w:r>
            <w:r>
              <w:rPr>
                <w:rFonts w:ascii="宋体" w:hAnsi="宋体" w:cs="宋体" w:eastAsia="宋体" w:hint="default"/>
                <w:spacing w:val="-6"/>
                <w:sz w:val="18"/>
                <w:szCs w:val="18"/>
              </w:rPr>
              <w:t>成，计算机信息</w:t>
            </w:r>
            <w:r>
              <w:rPr>
                <w:rFonts w:ascii="宋体" w:hAnsi="宋体" w:cs="宋体" w:eastAsia="宋体" w:hint="default"/>
                <w:sz w:val="18"/>
                <w:szCs w:val="18"/>
              </w:rPr>
              <w:t> 科技领域内的 </w:t>
            </w:r>
            <w:r>
              <w:rPr>
                <w:rFonts w:ascii="宋体" w:hAnsi="宋体" w:cs="宋体" w:eastAsia="宋体" w:hint="default"/>
                <w:spacing w:val="-6"/>
                <w:sz w:val="18"/>
                <w:szCs w:val="18"/>
              </w:rPr>
              <w:t>技术开发、技术</w:t>
            </w:r>
            <w:r>
              <w:rPr>
                <w:rFonts w:ascii="宋体" w:hAnsi="宋体" w:cs="宋体" w:eastAsia="宋体" w:hint="default"/>
                <w:sz w:val="18"/>
                <w:szCs w:val="18"/>
              </w:rPr>
              <w:t> 咨询、技术转 让、技术服务， 计算机软硬刊 </w:t>
            </w:r>
            <w:r>
              <w:rPr>
                <w:rFonts w:ascii="宋体" w:hAnsi="宋体" w:cs="宋体" w:eastAsia="宋体" w:hint="default"/>
                <w:spacing w:val="-6"/>
                <w:sz w:val="18"/>
                <w:szCs w:val="18"/>
              </w:rPr>
              <w:t>及其配件、机械</w:t>
            </w:r>
            <w:r>
              <w:rPr>
                <w:rFonts w:ascii="宋体" w:hAnsi="宋体" w:cs="宋体" w:eastAsia="宋体" w:hint="default"/>
                <w:sz w:val="18"/>
                <w:szCs w:val="18"/>
              </w:rPr>
              <w:t> 设备及配件的 </w:t>
            </w:r>
            <w:r>
              <w:rPr>
                <w:rFonts w:ascii="宋体" w:hAnsi="宋体" w:cs="宋体" w:eastAsia="宋体" w:hint="default"/>
                <w:spacing w:val="-6"/>
                <w:sz w:val="18"/>
                <w:szCs w:val="18"/>
              </w:rPr>
              <w:t>销售，计算机系</w:t>
            </w:r>
            <w:r>
              <w:rPr>
                <w:rFonts w:ascii="宋体" w:hAnsi="宋体" w:cs="宋体" w:eastAsia="宋体" w:hint="default"/>
                <w:sz w:val="18"/>
                <w:szCs w:val="18"/>
              </w:rPr>
              <w:t> </w:t>
            </w:r>
            <w:r>
              <w:rPr>
                <w:rFonts w:ascii="宋体" w:hAnsi="宋体" w:cs="宋体" w:eastAsia="宋体" w:hint="default"/>
                <w:spacing w:val="-6"/>
                <w:sz w:val="18"/>
                <w:szCs w:val="18"/>
              </w:rPr>
              <w:t>统集成，从事货</w:t>
            </w:r>
            <w:r>
              <w:rPr>
                <w:rFonts w:ascii="宋体" w:hAnsi="宋体" w:cs="宋体" w:eastAsia="宋体" w:hint="default"/>
                <w:sz w:val="18"/>
                <w:szCs w:val="18"/>
              </w:rPr>
              <w:t> 物的迸出口及 技术迸出口业 务，实业投资， </w:t>
            </w:r>
            <w:r>
              <w:rPr>
                <w:rFonts w:ascii="宋体" w:hAnsi="宋体" w:cs="宋体" w:eastAsia="宋体" w:hint="default"/>
                <w:spacing w:val="-13"/>
                <w:sz w:val="18"/>
                <w:szCs w:val="18"/>
              </w:rPr>
              <w:t>投资管理。【依</w:t>
            </w:r>
            <w:r>
              <w:rPr>
                <w:rFonts w:ascii="宋体" w:hAnsi="宋体" w:cs="宋体" w:eastAsia="宋体" w:hint="default"/>
                <w:sz w:val="18"/>
                <w:szCs w:val="18"/>
              </w:rPr>
              <w:t> 法须经批准的 </w:t>
            </w:r>
            <w:r>
              <w:rPr>
                <w:rFonts w:ascii="宋体" w:hAnsi="宋体" w:cs="宋体" w:eastAsia="宋体" w:hint="default"/>
                <w:spacing w:val="-6"/>
                <w:sz w:val="18"/>
                <w:szCs w:val="18"/>
              </w:rPr>
              <w:t>项目，经相关部</w:t>
            </w:r>
            <w:r>
              <w:rPr>
                <w:rFonts w:ascii="宋体" w:hAnsi="宋体" w:cs="宋体" w:eastAsia="宋体" w:hint="default"/>
                <w:sz w:val="18"/>
                <w:szCs w:val="18"/>
              </w:rPr>
              <w:t> 门批准后方可 开展经营活动】</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248,609,372.90</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9" w:lineRule="auto"/>
              <w:ind w:left="101" w:right="98"/>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9" w:lineRule="auto"/>
              <w:ind w:left="46" w:right="44"/>
              <w:jc w:val="both"/>
              <w:rPr>
                <w:rFonts w:ascii="宋体" w:hAnsi="宋体" w:cs="宋体" w:eastAsia="宋体" w:hint="default"/>
                <w:sz w:val="18"/>
                <w:szCs w:val="18"/>
              </w:rPr>
            </w:pPr>
            <w:r>
              <w:rPr>
                <w:rFonts w:ascii="宋体" w:hAnsi="宋体" w:cs="宋体" w:eastAsia="宋体" w:hint="default"/>
                <w:sz w:val="18"/>
                <w:szCs w:val="18"/>
              </w:rPr>
              <w:t>无 限 期</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9" w:lineRule="auto"/>
              <w:ind w:left="46" w:right="44"/>
              <w:jc w:val="both"/>
              <w:rPr>
                <w:rFonts w:ascii="宋体" w:hAnsi="宋体" w:cs="宋体" w:eastAsia="宋体" w:hint="default"/>
                <w:sz w:val="18"/>
                <w:szCs w:val="18"/>
              </w:rPr>
            </w:pPr>
            <w:r>
              <w:rPr>
                <w:rFonts w:ascii="宋体" w:hAnsi="宋体" w:cs="宋体" w:eastAsia="宋体" w:hint="default"/>
                <w:sz w:val="18"/>
                <w:szCs w:val="18"/>
              </w:rPr>
              <w:t>软 件 外 包 等</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9" w:lineRule="auto"/>
              <w:ind w:left="91" w:right="-20" w:hanging="69"/>
              <w:jc w:val="left"/>
              <w:rPr>
                <w:rFonts w:ascii="宋体" w:hAnsi="宋体" w:cs="宋体" w:eastAsia="宋体" w:hint="default"/>
                <w:sz w:val="18"/>
                <w:szCs w:val="18"/>
              </w:rPr>
            </w:pPr>
            <w:r>
              <w:rPr>
                <w:rFonts w:ascii="宋体" w:hAnsi="宋体" w:cs="宋体" w:eastAsia="宋体" w:hint="default"/>
                <w:sz w:val="18"/>
                <w:szCs w:val="18"/>
              </w:rPr>
              <w:t>已设立， 正常开 展业务</w:t>
            </w:r>
          </w:p>
        </w:tc>
        <w:tc>
          <w:tcPr>
            <w:tcW w:w="4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7,040,987.95</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8" w:right="56"/>
              <w:jc w:val="both"/>
              <w:rPr>
                <w:rFonts w:ascii="宋体" w:hAnsi="宋体" w:cs="宋体" w:eastAsia="宋体" w:hint="default"/>
                <w:sz w:val="18"/>
                <w:szCs w:val="18"/>
              </w:rPr>
            </w:pPr>
            <w:r>
              <w:rPr>
                <w:rFonts w:ascii="宋体" w:hAnsi="宋体" w:cs="宋体" w:eastAsia="宋体" w:hint="default"/>
                <w:sz w:val="18"/>
                <w:szCs w:val="18"/>
              </w:rPr>
              <w:t>巨潮资 讯网上 刊登的</w:t>
            </w:r>
          </w:p>
          <w:p>
            <w:pPr>
              <w:pStyle w:val="TableParagraph"/>
              <w:spacing w:line="316" w:lineRule="auto" w:before="19"/>
              <w:ind w:left="58" w:right="12"/>
              <w:jc w:val="both"/>
              <w:rPr>
                <w:rFonts w:ascii="宋体" w:hAnsi="宋体" w:cs="宋体" w:eastAsia="宋体" w:hint="default"/>
                <w:sz w:val="18"/>
                <w:szCs w:val="18"/>
              </w:rPr>
            </w:pPr>
            <w:r>
              <w:rPr>
                <w:rFonts w:ascii="宋体" w:hAnsi="宋体" w:cs="宋体" w:eastAsia="宋体" w:hint="default"/>
                <w:sz w:val="18"/>
                <w:szCs w:val="18"/>
              </w:rPr>
              <w:t>《关于 以自有 资金及 软件外 包服务 业务全 部资产 出资设 立全资 子公司 的进展 公告》</w:t>
            </w:r>
          </w:p>
          <w:p>
            <w:pPr>
              <w:pStyle w:val="TableParagraph"/>
              <w:spacing w:line="338" w:lineRule="auto" w:before="17"/>
              <w:ind w:left="32" w:right="37" w:firstLine="26"/>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pacing w:val="-3"/>
                <w:sz w:val="18"/>
                <w:szCs w:val="18"/>
              </w:rPr>
              <w:t>2014-11</w:t>
            </w:r>
            <w:r>
              <w:rPr>
                <w:rFonts w:ascii="Times New Roman" w:hAnsi="Times New Roman" w:cs="Times New Roman" w:eastAsia="Times New Roman" w:hint="default"/>
                <w:sz w:val="18"/>
                <w:szCs w:val="18"/>
              </w:rPr>
            </w:r>
          </w:p>
          <w:p>
            <w:pPr>
              <w:pStyle w:val="TableParagraph"/>
              <w:spacing w:line="234" w:lineRule="exact"/>
              <w:ind w:left="148"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pacing w:val="-90"/>
                <w:sz w:val="18"/>
                <w:szCs w:val="18"/>
              </w:rPr>
              <w:t>）。</w:t>
            </w:r>
            <w:r>
              <w:rPr>
                <w:rFonts w:ascii="宋体" w:hAnsi="宋体" w:cs="宋体" w:eastAsia="宋体" w:hint="default"/>
                <w:sz w:val="18"/>
                <w:szCs w:val="18"/>
              </w:rPr>
            </w:r>
          </w:p>
        </w:tc>
      </w:tr>
    </w:tbl>
    <w:p>
      <w:pPr>
        <w:spacing w:after="0" w:line="234" w:lineRule="exact"/>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426"/>
        <w:gridCol w:w="1275"/>
        <w:gridCol w:w="426"/>
        <w:gridCol w:w="1276"/>
        <w:gridCol w:w="800"/>
        <w:gridCol w:w="392"/>
        <w:gridCol w:w="266"/>
        <w:gridCol w:w="283"/>
        <w:gridCol w:w="283"/>
        <w:gridCol w:w="733"/>
        <w:gridCol w:w="451"/>
        <w:gridCol w:w="1058"/>
        <w:gridCol w:w="690"/>
        <w:gridCol w:w="690"/>
        <w:gridCol w:w="667"/>
      </w:tblGrid>
      <w:tr>
        <w:trPr>
          <w:trHeight w:val="7891" w:hRule="exact"/>
        </w:trPr>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9" w:lineRule="auto"/>
              <w:ind w:left="27" w:right="26"/>
              <w:jc w:val="both"/>
              <w:rPr>
                <w:rFonts w:ascii="宋体" w:hAnsi="宋体" w:cs="宋体" w:eastAsia="宋体" w:hint="default"/>
                <w:sz w:val="18"/>
                <w:szCs w:val="18"/>
              </w:rPr>
            </w:pPr>
            <w:r>
              <w:rPr>
                <w:rFonts w:ascii="宋体" w:hAnsi="宋体" w:cs="宋体" w:eastAsia="宋体" w:hint="default"/>
                <w:sz w:val="18"/>
                <w:szCs w:val="18"/>
              </w:rPr>
              <w:t>上海 二三 四五 海隆 金融 信息 服务 有限 公司</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金融信息服务</w:t>
            </w:r>
          </w:p>
          <w:p>
            <w:pPr>
              <w:pStyle w:val="TableParagraph"/>
              <w:spacing w:line="316" w:lineRule="auto" w:before="76"/>
              <w:ind w:left="22" w:right="-18" w:hanging="40"/>
              <w:jc w:val="center"/>
              <w:rPr>
                <w:rFonts w:ascii="宋体" w:hAnsi="宋体" w:cs="宋体" w:eastAsia="宋体" w:hint="default"/>
                <w:sz w:val="18"/>
                <w:szCs w:val="18"/>
              </w:rPr>
            </w:pPr>
            <w:r>
              <w:rPr>
                <w:rFonts w:ascii="宋体" w:hAnsi="宋体" w:cs="宋体" w:eastAsia="宋体" w:hint="default"/>
                <w:sz w:val="18"/>
                <w:szCs w:val="18"/>
              </w:rPr>
              <w:t>（除金融业务 </w:t>
            </w:r>
            <w:r>
              <w:rPr>
                <w:rFonts w:ascii="宋体" w:hAnsi="宋体" w:cs="宋体" w:eastAsia="宋体" w:hint="default"/>
                <w:spacing w:val="-13"/>
                <w:sz w:val="18"/>
                <w:szCs w:val="18"/>
              </w:rPr>
              <w:t>外），接受金融</w:t>
            </w:r>
            <w:r>
              <w:rPr>
                <w:rFonts w:ascii="宋体" w:hAnsi="宋体" w:cs="宋体" w:eastAsia="宋体" w:hint="default"/>
                <w:sz w:val="18"/>
                <w:szCs w:val="18"/>
              </w:rPr>
              <w:t> 机构委托从事 金融信息技术 </w:t>
            </w:r>
            <w:r>
              <w:rPr>
                <w:rFonts w:ascii="宋体" w:hAnsi="宋体" w:cs="宋体" w:eastAsia="宋体" w:hint="default"/>
                <w:spacing w:val="-6"/>
                <w:sz w:val="18"/>
                <w:szCs w:val="18"/>
              </w:rPr>
              <w:t>外包、金融业务</w:t>
            </w:r>
            <w:r>
              <w:rPr>
                <w:rFonts w:ascii="宋体" w:hAnsi="宋体" w:cs="宋体" w:eastAsia="宋体" w:hint="default"/>
                <w:sz w:val="18"/>
                <w:szCs w:val="18"/>
              </w:rPr>
              <w:t> </w:t>
            </w:r>
            <w:r>
              <w:rPr>
                <w:rFonts w:ascii="宋体" w:hAnsi="宋体" w:cs="宋体" w:eastAsia="宋体" w:hint="default"/>
                <w:spacing w:val="-6"/>
                <w:sz w:val="18"/>
                <w:szCs w:val="18"/>
              </w:rPr>
              <w:t>流程外包、金融</w:t>
            </w:r>
            <w:r>
              <w:rPr>
                <w:rFonts w:ascii="宋体" w:hAnsi="宋体" w:cs="宋体" w:eastAsia="宋体" w:hint="default"/>
                <w:sz w:val="18"/>
                <w:szCs w:val="18"/>
              </w:rPr>
              <w:t> 知识流程外包， </w:t>
            </w:r>
            <w:r>
              <w:rPr>
                <w:rFonts w:ascii="宋体" w:hAnsi="宋体" w:cs="宋体" w:eastAsia="宋体" w:hint="default"/>
                <w:spacing w:val="-6"/>
                <w:sz w:val="18"/>
                <w:szCs w:val="18"/>
              </w:rPr>
              <w:t>实业投资，投资</w:t>
            </w:r>
            <w:r>
              <w:rPr>
                <w:rFonts w:ascii="宋体" w:hAnsi="宋体" w:cs="宋体" w:eastAsia="宋体" w:hint="default"/>
                <w:sz w:val="18"/>
                <w:szCs w:val="18"/>
              </w:rPr>
              <w:t> 管理，资产管 理，投资咨询、 商务信息咨询、 企业管理咨询</w:t>
            </w:r>
          </w:p>
          <w:p>
            <w:pPr>
              <w:pStyle w:val="TableParagraph"/>
              <w:spacing w:line="319" w:lineRule="auto" w:before="19"/>
              <w:ind w:left="22" w:right="-18" w:hanging="40"/>
              <w:jc w:val="center"/>
              <w:rPr>
                <w:rFonts w:ascii="宋体" w:hAnsi="宋体" w:cs="宋体" w:eastAsia="宋体" w:hint="default"/>
                <w:sz w:val="18"/>
                <w:szCs w:val="18"/>
              </w:rPr>
            </w:pPr>
            <w:r>
              <w:rPr>
                <w:rFonts w:ascii="宋体" w:hAnsi="宋体" w:cs="宋体" w:eastAsia="宋体" w:hint="default"/>
                <w:sz w:val="18"/>
                <w:szCs w:val="18"/>
              </w:rPr>
              <w:t>（以上咨询均 </w:t>
            </w:r>
            <w:r>
              <w:rPr>
                <w:rFonts w:ascii="宋体" w:hAnsi="宋体" w:cs="宋体" w:eastAsia="宋体" w:hint="default"/>
                <w:spacing w:val="-13"/>
                <w:sz w:val="18"/>
                <w:szCs w:val="18"/>
              </w:rPr>
              <w:t>除经纪），财务</w:t>
            </w:r>
            <w:r>
              <w:rPr>
                <w:rFonts w:ascii="宋体" w:hAnsi="宋体" w:cs="宋体" w:eastAsia="宋体" w:hint="default"/>
                <w:sz w:val="18"/>
                <w:szCs w:val="18"/>
              </w:rPr>
              <w:t> </w:t>
            </w:r>
            <w:r>
              <w:rPr>
                <w:rFonts w:ascii="宋体" w:hAnsi="宋体" w:cs="宋体" w:eastAsia="宋体" w:hint="default"/>
                <w:spacing w:val="-6"/>
                <w:sz w:val="18"/>
                <w:szCs w:val="18"/>
              </w:rPr>
              <w:t>咨询，从事计算</w:t>
            </w:r>
            <w:r>
              <w:rPr>
                <w:rFonts w:ascii="宋体" w:hAnsi="宋体" w:cs="宋体" w:eastAsia="宋体" w:hint="default"/>
                <w:sz w:val="18"/>
                <w:szCs w:val="18"/>
              </w:rPr>
              <w:t> </w:t>
            </w:r>
            <w:r>
              <w:rPr>
                <w:rFonts w:ascii="宋体" w:hAnsi="宋体" w:cs="宋体" w:eastAsia="宋体" w:hint="default"/>
                <w:spacing w:val="-6"/>
                <w:sz w:val="18"/>
                <w:szCs w:val="18"/>
              </w:rPr>
              <w:t>机软、硬件领域</w:t>
            </w:r>
            <w:r>
              <w:rPr>
                <w:rFonts w:ascii="宋体" w:hAnsi="宋体" w:cs="宋体" w:eastAsia="宋体" w:hint="default"/>
                <w:sz w:val="18"/>
                <w:szCs w:val="18"/>
              </w:rPr>
              <w:t> 内的技术开发、 </w:t>
            </w:r>
            <w:r>
              <w:rPr>
                <w:rFonts w:ascii="宋体" w:hAnsi="宋体" w:cs="宋体" w:eastAsia="宋体" w:hint="default"/>
                <w:spacing w:val="-6"/>
                <w:sz w:val="18"/>
                <w:szCs w:val="18"/>
              </w:rPr>
              <w:t>技术咨询、技术</w:t>
            </w:r>
            <w:r>
              <w:rPr>
                <w:rFonts w:ascii="宋体" w:hAnsi="宋体" w:cs="宋体" w:eastAsia="宋体" w:hint="default"/>
                <w:sz w:val="18"/>
                <w:szCs w:val="18"/>
              </w:rPr>
              <w:t> 服务、技术转 </w:t>
            </w:r>
            <w:r>
              <w:rPr>
                <w:rFonts w:ascii="宋体" w:hAnsi="宋体" w:cs="宋体" w:eastAsia="宋体" w:hint="default"/>
                <w:spacing w:val="-13"/>
                <w:sz w:val="18"/>
                <w:szCs w:val="18"/>
              </w:rPr>
              <w:t>让。【依法须经</w:t>
            </w:r>
            <w:r>
              <w:rPr>
                <w:rFonts w:ascii="宋体" w:hAnsi="宋体" w:cs="宋体" w:eastAsia="宋体" w:hint="default"/>
                <w:sz w:val="18"/>
                <w:szCs w:val="18"/>
              </w:rPr>
              <w:t> </w:t>
            </w:r>
            <w:r>
              <w:rPr>
                <w:rFonts w:ascii="宋体" w:hAnsi="宋体" w:cs="宋体" w:eastAsia="宋体" w:hint="default"/>
                <w:spacing w:val="-6"/>
                <w:sz w:val="18"/>
                <w:szCs w:val="18"/>
              </w:rPr>
              <w:t>批准的项目，经</w:t>
            </w:r>
            <w:r>
              <w:rPr>
                <w:rFonts w:ascii="宋体" w:hAnsi="宋体" w:cs="宋体" w:eastAsia="宋体" w:hint="default"/>
                <w:sz w:val="18"/>
                <w:szCs w:val="18"/>
              </w:rPr>
              <w:t> 相关部门批准 后方可开展经 营活动】</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100,000,000.00</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319" w:lineRule="auto"/>
              <w:ind w:left="101" w:right="98"/>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319" w:lineRule="auto"/>
              <w:ind w:left="46" w:right="44"/>
              <w:jc w:val="both"/>
              <w:rPr>
                <w:rFonts w:ascii="宋体" w:hAnsi="宋体" w:cs="宋体" w:eastAsia="宋体" w:hint="default"/>
                <w:sz w:val="18"/>
                <w:szCs w:val="18"/>
              </w:rPr>
            </w:pPr>
            <w:r>
              <w:rPr>
                <w:rFonts w:ascii="宋体" w:hAnsi="宋体" w:cs="宋体" w:eastAsia="宋体" w:hint="default"/>
                <w:sz w:val="18"/>
                <w:szCs w:val="18"/>
              </w:rPr>
              <w:t>无 限 期</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9" w:lineRule="auto"/>
              <w:ind w:left="46" w:right="44"/>
              <w:jc w:val="both"/>
              <w:rPr>
                <w:rFonts w:ascii="宋体" w:hAnsi="宋体" w:cs="宋体" w:eastAsia="宋体" w:hint="default"/>
                <w:sz w:val="18"/>
                <w:szCs w:val="18"/>
              </w:rPr>
            </w:pPr>
            <w:r>
              <w:rPr>
                <w:rFonts w:ascii="宋体" w:hAnsi="宋体" w:cs="宋体" w:eastAsia="宋体" w:hint="default"/>
                <w:sz w:val="18"/>
                <w:szCs w:val="18"/>
              </w:rPr>
              <w:t>金 融 信 息 服 务 等</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319" w:lineRule="auto"/>
              <w:ind w:left="91" w:right="-20" w:hanging="69"/>
              <w:jc w:val="left"/>
              <w:rPr>
                <w:rFonts w:ascii="宋体" w:hAnsi="宋体" w:cs="宋体" w:eastAsia="宋体" w:hint="default"/>
                <w:sz w:val="18"/>
                <w:szCs w:val="18"/>
              </w:rPr>
            </w:pPr>
            <w:r>
              <w:rPr>
                <w:rFonts w:ascii="宋体" w:hAnsi="宋体" w:cs="宋体" w:eastAsia="宋体" w:hint="default"/>
                <w:sz w:val="18"/>
                <w:szCs w:val="18"/>
              </w:rPr>
              <w:t>已设立， 正常开 展业务</w:t>
            </w:r>
          </w:p>
        </w:tc>
        <w:tc>
          <w:tcPr>
            <w:tcW w:w="4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-247,185.25</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58" w:right="56"/>
              <w:jc w:val="both"/>
              <w:rPr>
                <w:rFonts w:ascii="宋体" w:hAnsi="宋体" w:cs="宋体" w:eastAsia="宋体" w:hint="default"/>
                <w:sz w:val="18"/>
                <w:szCs w:val="18"/>
              </w:rPr>
            </w:pPr>
            <w:r>
              <w:rPr>
                <w:rFonts w:ascii="宋体" w:hAnsi="宋体" w:cs="宋体" w:eastAsia="宋体" w:hint="default"/>
                <w:sz w:val="18"/>
                <w:szCs w:val="18"/>
              </w:rPr>
              <w:t>巨潮资 讯网上 刊登的</w:t>
            </w:r>
          </w:p>
          <w:p>
            <w:pPr>
              <w:pStyle w:val="TableParagraph"/>
              <w:spacing w:line="316" w:lineRule="auto" w:before="19"/>
              <w:ind w:left="22" w:right="20"/>
              <w:jc w:val="center"/>
              <w:rPr>
                <w:rFonts w:ascii="宋体" w:hAnsi="宋体" w:cs="宋体" w:eastAsia="宋体" w:hint="default"/>
                <w:sz w:val="18"/>
                <w:szCs w:val="18"/>
              </w:rPr>
            </w:pPr>
            <w:r>
              <w:rPr>
                <w:rFonts w:ascii="宋体" w:hAnsi="宋体" w:cs="宋体" w:eastAsia="宋体" w:hint="default"/>
                <w:sz w:val="18"/>
                <w:szCs w:val="18"/>
              </w:rPr>
              <w:t>《关于 设立互 联网金 融全资 子公司 的公 </w:t>
            </w:r>
            <w:r>
              <w:rPr>
                <w:rFonts w:ascii="宋体" w:hAnsi="宋体" w:cs="宋体" w:eastAsia="宋体" w:hint="default"/>
                <w:spacing w:val="-27"/>
                <w:sz w:val="18"/>
                <w:szCs w:val="18"/>
              </w:rPr>
              <w:t>告》（公</w:t>
            </w:r>
            <w:r>
              <w:rPr>
                <w:rFonts w:ascii="宋体" w:hAnsi="宋体" w:cs="宋体" w:eastAsia="宋体" w:hint="default"/>
                <w:sz w:val="18"/>
                <w:szCs w:val="18"/>
              </w:rPr>
              <w:t> 告编 号：</w:t>
            </w:r>
          </w:p>
          <w:p>
            <w:pPr>
              <w:pStyle w:val="TableParagraph"/>
              <w:spacing w:line="240" w:lineRule="auto" w:before="58"/>
              <w:ind w:right="0"/>
              <w:jc w:val="center"/>
              <w:rPr>
                <w:rFonts w:ascii="Times New Roman" w:hAnsi="Times New Roman" w:cs="Times New Roman" w:eastAsia="Times New Roman" w:hint="default"/>
                <w:sz w:val="18"/>
                <w:szCs w:val="18"/>
              </w:rPr>
            </w:pPr>
            <w:r>
              <w:rPr>
                <w:rFonts w:ascii="Times New Roman"/>
                <w:sz w:val="18"/>
              </w:rPr>
              <w:t>2015-01</w:t>
            </w:r>
          </w:p>
          <w:p>
            <w:pPr>
              <w:pStyle w:val="TableParagraph"/>
              <w:spacing w:line="240" w:lineRule="auto" w:before="66"/>
              <w:ind w:right="89"/>
              <w:jc w:val="center"/>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402" w:hRule="exact"/>
        </w:trPr>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348,609,372.90</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0.00</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6,793,802.70</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650"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86,066.57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14,174.26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25,660.11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60,406.46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购买保本 理财产品 及公司募 集资金专 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86,066.57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14,174.26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center"/>
              <w:rPr>
                <w:rFonts w:ascii="Times New Roman" w:hAnsi="Times New Roman" w:cs="Times New Roman" w:eastAsia="Times New Roman" w:hint="default"/>
                <w:sz w:val="18"/>
                <w:szCs w:val="18"/>
              </w:rPr>
            </w:pPr>
            <w:r>
              <w:rPr>
                <w:rFonts w:ascii="Times New Roman"/>
                <w:sz w:val="18"/>
              </w:rPr>
              <w:t>25,660.11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60,406.46</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650"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就公司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年度募集资金存放与实际使用情况，公司审计机构立信会计师事务所（特殊普通合伙）出具了</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年度《上</w:t>
            </w:r>
            <w:r>
              <w:rPr>
                <w:rFonts w:ascii="宋体" w:hAnsi="宋体" w:cs="宋体" w:eastAsia="宋体" w:hint="default"/>
                <w:sz w:val="18"/>
                <w:szCs w:val="18"/>
              </w:rPr>
              <w:t> </w:t>
            </w:r>
            <w:r>
              <w:rPr>
                <w:rFonts w:ascii="宋体" w:hAnsi="宋体" w:cs="宋体" w:eastAsia="宋体" w:hint="default"/>
                <w:spacing w:val="-2"/>
                <w:sz w:val="18"/>
                <w:szCs w:val="18"/>
              </w:rPr>
              <w:t>海二三四五网络控股集团股份有限公司募集资金年度存放与使用情况鉴证报告》，公司董事会出具了《上海二三四五网络</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控股集团股份有限公司关于公司募集资金存放与实际使用情况的专项报告》，公司独立财务顾问东吴证券有限公司出具了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Times New Roman" w:hAnsi="Times New Roman" w:cs="Times New Roman" w:eastAsia="Times New Roman" w:hint="default"/>
                <w:sz w:val="18"/>
                <w:szCs w:val="18"/>
              </w:rPr>
              <w:t>2015 </w:t>
            </w:r>
            <w:r>
              <w:rPr>
                <w:rFonts w:ascii="宋体" w:hAnsi="宋体" w:cs="宋体" w:eastAsia="宋体" w:hint="default"/>
                <w:spacing w:val="-2"/>
                <w:sz w:val="18"/>
                <w:szCs w:val="18"/>
              </w:rPr>
              <w:t>年度《上海二三四五网络控股集团股份有限公司募集资金年度存放与使用情况核查意见》，具体内容详见与本报告同</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日披露在巨潮资讯网上的相关公告。</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募集资金承诺项目情况" w:id="50"/>
      <w:bookmarkEnd w:id="5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精准营销平台项目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20,406.42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20,406.42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2,216.85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4,277.07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移动互联网项目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22,261.33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22,261.33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3,573.94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4,302.99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-2,739.71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3.PC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端用户增长项目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17,498.32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17,498.32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4,659.89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6,389.14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2,546.89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垂直搜索项目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13,200.5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13,200.5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3,086.99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3,493.67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1" w:right="0"/>
              <w:jc w:val="center"/>
              <w:rPr>
                <w:rFonts w:ascii="Times New Roman" w:hAnsi="Times New Roman" w:cs="Times New Roman" w:eastAsia="Times New Roman" w:hint="default"/>
                <w:sz w:val="18"/>
                <w:szCs w:val="18"/>
              </w:rPr>
            </w:pPr>
            <w:r>
              <w:rPr>
                <w:rFonts w:ascii="Times New Roman"/>
                <w:sz w:val="18"/>
              </w:rPr>
              <w:t>922.85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研发中心项目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1,352.67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9,257.46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65"/>
        <w:gridCol w:w="779"/>
        <w:gridCol w:w="786"/>
        <w:gridCol w:w="780"/>
        <w:gridCol w:w="779"/>
        <w:gridCol w:w="786"/>
        <w:gridCol w:w="774"/>
        <w:gridCol w:w="774"/>
        <w:gridCol w:w="792"/>
        <w:gridCol w:w="774"/>
        <w:gridCol w:w="780"/>
      </w:tblGrid>
      <w:tr>
        <w:trPr>
          <w:trHeight w:val="407"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86,066.57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86,066.57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14,174.26</w:t>
            </w:r>
          </w:p>
        </w:tc>
        <w:tc>
          <w:tcPr>
            <w:tcW w:w="78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25,660.11</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5,007.1</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无超募资金</w:t>
            </w:r>
          </w:p>
        </w:tc>
        <w:tc>
          <w:tcPr>
            <w:tcW w:w="779"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86,066.57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86,066.57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14,174.26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25,660.11</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5,007.1</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4"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月末，本次募投项目尚处于建设期，未达到预定可使用状态。</w:t>
            </w:r>
          </w:p>
        </w:tc>
      </w:tr>
      <w:tr>
        <w:trPr>
          <w:trHeight w:val="714"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4"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16"/>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804"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5" w:type="dxa"/>
            <w:vMerge/>
            <w:tcBorders>
              <w:left w:val="single" w:sz="4" w:space="0" w:color="000000"/>
              <w:bottom w:val="single" w:sz="4" w:space="0" w:color="000000"/>
              <w:right w:val="single" w:sz="4" w:space="0" w:color="000000"/>
            </w:tcBorders>
            <w:shd w:val="clear" w:color="auto" w:fill="D2D2D2"/>
          </w:tcPr>
          <w:p>
            <w:pPr/>
          </w:p>
        </w:tc>
        <w:tc>
          <w:tcPr>
            <w:tcW w:w="7804" w:type="dxa"/>
            <w:gridSpan w:val="10"/>
            <w:tcBorders>
              <w:top w:val="single" w:sz="4" w:space="0" w:color="000000"/>
              <w:left w:val="single" w:sz="9" w:space="0" w:color="D2D2D2"/>
              <w:bottom w:val="single" w:sz="4" w:space="0" w:color="000000"/>
              <w:right w:val="single" w:sz="4" w:space="0" w:color="000000"/>
            </w:tcBorders>
          </w:tcPr>
          <w:p>
            <w:pPr/>
          </w:p>
        </w:tc>
      </w:tr>
      <w:tr>
        <w:trPr>
          <w:trHeight w:val="251" w:hRule="exact"/>
        </w:trPr>
        <w:tc>
          <w:tcPr>
            <w:tcW w:w="17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4" w:type="dxa"/>
            <w:gridSpan w:val="10"/>
            <w:vMerge/>
            <w:tcBorders>
              <w:left w:val="single" w:sz="9" w:space="0" w:color="D2D2D2"/>
              <w:bottom w:val="single" w:sz="4" w:space="0" w:color="000000"/>
              <w:right w:val="single" w:sz="4" w:space="0" w:color="000000"/>
            </w:tcBorders>
          </w:tcPr>
          <w:p>
            <w:pPr/>
          </w:p>
        </w:tc>
      </w:tr>
      <w:tr>
        <w:trPr>
          <w:trHeight w:val="402" w:hRule="exact"/>
        </w:trPr>
        <w:tc>
          <w:tcPr>
            <w:tcW w:w="1765" w:type="dxa"/>
            <w:vMerge/>
            <w:tcBorders>
              <w:left w:val="single" w:sz="4" w:space="0" w:color="000000"/>
              <w:right w:val="single" w:sz="4" w:space="0" w:color="000000"/>
            </w:tcBorders>
            <w:shd w:val="clear" w:color="auto" w:fill="D2D2D2"/>
          </w:tcPr>
          <w:p>
            <w:pPr/>
          </w:p>
        </w:tc>
        <w:tc>
          <w:tcPr>
            <w:tcW w:w="7804"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65" w:type="dxa"/>
            <w:vMerge/>
            <w:tcBorders>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0"/>
            <w:vMerge/>
            <w:tcBorders>
              <w:left w:val="single" w:sz="9" w:space="0" w:color="D2D2D2"/>
              <w:bottom w:val="single" w:sz="4" w:space="0" w:color="000000"/>
              <w:right w:val="single" w:sz="4" w:space="0" w:color="000000"/>
            </w:tcBorders>
          </w:tcPr>
          <w:p>
            <w:pPr/>
          </w:p>
        </w:tc>
      </w:tr>
      <w:tr>
        <w:trPr>
          <w:trHeight w:val="251" w:hRule="exact"/>
        </w:trPr>
        <w:tc>
          <w:tcPr>
            <w:tcW w:w="17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4" w:type="dxa"/>
            <w:gridSpan w:val="10"/>
            <w:vMerge/>
            <w:tcBorders>
              <w:left w:val="single" w:sz="9" w:space="0" w:color="D2D2D2"/>
              <w:bottom w:val="single" w:sz="4" w:space="0" w:color="000000"/>
              <w:right w:val="single" w:sz="4" w:space="0" w:color="000000"/>
            </w:tcBorders>
          </w:tcPr>
          <w:p>
            <w:pPr/>
          </w:p>
        </w:tc>
      </w:tr>
      <w:tr>
        <w:trPr>
          <w:trHeight w:val="402" w:hRule="exact"/>
        </w:trPr>
        <w:tc>
          <w:tcPr>
            <w:tcW w:w="1765" w:type="dxa"/>
            <w:vMerge/>
            <w:tcBorders>
              <w:left w:val="single" w:sz="4" w:space="0" w:color="000000"/>
              <w:right w:val="single" w:sz="4" w:space="0" w:color="000000"/>
            </w:tcBorders>
            <w:shd w:val="clear" w:color="auto" w:fill="D2D2D2"/>
          </w:tcPr>
          <w:p>
            <w:pPr/>
          </w:p>
        </w:tc>
        <w:tc>
          <w:tcPr>
            <w:tcW w:w="7804"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65" w:type="dxa"/>
            <w:vMerge/>
            <w:tcBorders>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0"/>
            <w:vMerge/>
            <w:tcBorders>
              <w:left w:val="single" w:sz="9" w:space="0" w:color="D2D2D2"/>
              <w:bottom w:val="single" w:sz="4" w:space="0" w:color="000000"/>
              <w:right w:val="single" w:sz="4" w:space="0" w:color="000000"/>
            </w:tcBorders>
          </w:tcPr>
          <w:p>
            <w:pPr/>
          </w:p>
        </w:tc>
      </w:tr>
      <w:tr>
        <w:trPr>
          <w:trHeight w:val="402" w:hRule="exact"/>
        </w:trPr>
        <w:tc>
          <w:tcPr>
            <w:tcW w:w="17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64" w:hRule="exact"/>
        </w:trPr>
        <w:tc>
          <w:tcPr>
            <w:tcW w:w="17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2"/>
              <w:ind w:left="22" w:right="110"/>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4"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w:t>
            </w:r>
            <w:r>
              <w:rPr>
                <w:rFonts w:ascii="宋体" w:hAnsi="宋体" w:cs="宋体" w:eastAsia="宋体" w:hint="default"/>
                <w:spacing w:val="1"/>
                <w:sz w:val="18"/>
                <w:szCs w:val="18"/>
              </w:rPr>
              <w:t>开</w:t>
            </w:r>
            <w:r>
              <w:rPr>
                <w:rFonts w:ascii="宋体" w:hAnsi="宋体" w:cs="宋体" w:eastAsia="宋体" w:hint="default"/>
                <w:sz w:val="18"/>
                <w:szCs w:val="18"/>
              </w:rPr>
              <w:t>的第五届董事会第十三次会议审议通过</w:t>
            </w:r>
            <w:r>
              <w:rPr>
                <w:rFonts w:ascii="宋体" w:hAnsi="宋体" w:cs="宋体" w:eastAsia="宋体" w:hint="default"/>
                <w:spacing w:val="-82"/>
                <w:sz w:val="18"/>
                <w:szCs w:val="18"/>
              </w:rPr>
              <w:t>了</w:t>
            </w:r>
            <w:r>
              <w:rPr>
                <w:rFonts w:ascii="宋体" w:hAnsi="宋体" w:cs="宋体" w:eastAsia="宋体" w:hint="default"/>
                <w:sz w:val="18"/>
                <w:szCs w:val="18"/>
              </w:rPr>
              <w:t>《关于使用募集资金置换预</w:t>
            </w:r>
          </w:p>
          <w:p>
            <w:pPr>
              <w:pStyle w:val="TableParagraph"/>
              <w:spacing w:line="302" w:lineRule="auto" w:before="63"/>
              <w:ind w:left="21" w:right="23"/>
              <w:jc w:val="left"/>
              <w:rPr>
                <w:rFonts w:ascii="宋体" w:hAnsi="宋体" w:cs="宋体" w:eastAsia="宋体" w:hint="default"/>
                <w:sz w:val="18"/>
                <w:szCs w:val="18"/>
              </w:rPr>
            </w:pPr>
            <w:r>
              <w:rPr>
                <w:rFonts w:ascii="宋体" w:hAnsi="宋体" w:cs="宋体" w:eastAsia="宋体" w:hint="default"/>
                <w:spacing w:val="-7"/>
                <w:sz w:val="18"/>
                <w:szCs w:val="18"/>
              </w:rPr>
              <w:t>先投入募投项目自筹资金的议案》，同意公司使用募集资金人民币</w:t>
            </w:r>
            <w:r>
              <w:rPr>
                <w:rFonts w:ascii="宋体" w:hAnsi="宋体" w:cs="宋体" w:eastAsia="宋体" w:hint="default"/>
                <w:spacing w:val="-34"/>
                <w:sz w:val="18"/>
                <w:szCs w:val="18"/>
              </w:rPr>
              <w:t> </w:t>
            </w:r>
            <w:r>
              <w:rPr>
                <w:rFonts w:ascii="Times New Roman" w:hAnsi="Times New Roman" w:cs="Times New Roman" w:eastAsia="Times New Roman" w:hint="default"/>
                <w:spacing w:val="-1"/>
                <w:sz w:val="18"/>
                <w:szCs w:val="18"/>
              </w:rPr>
              <w:t>9,759.88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万元置换预先已投入募投</w:t>
            </w:r>
            <w:r>
              <w:rPr>
                <w:rFonts w:ascii="宋体" w:hAnsi="宋体" w:cs="宋体" w:eastAsia="宋体" w:hint="default"/>
                <w:spacing w:val="-84"/>
                <w:sz w:val="18"/>
                <w:szCs w:val="18"/>
              </w:rPr>
              <w:t> </w:t>
            </w:r>
            <w:r>
              <w:rPr>
                <w:rFonts w:ascii="宋体" w:hAnsi="宋体" w:cs="宋体" w:eastAsia="宋体" w:hint="default"/>
                <w:sz w:val="18"/>
                <w:szCs w:val="18"/>
              </w:rPr>
              <w:t>项目的自筹资金。</w:t>
            </w:r>
          </w:p>
        </w:tc>
      </w:tr>
      <w:tr>
        <w:trPr>
          <w:trHeight w:val="362" w:hRule="exact"/>
        </w:trPr>
        <w:tc>
          <w:tcPr>
            <w:tcW w:w="17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0"/>
            <w:vMerge/>
            <w:tcBorders>
              <w:left w:val="single" w:sz="9" w:space="0" w:color="D2D2D2"/>
              <w:bottom w:val="single" w:sz="4" w:space="0" w:color="000000"/>
              <w:right w:val="single" w:sz="4" w:space="0" w:color="000000"/>
            </w:tcBorders>
          </w:tcPr>
          <w:p>
            <w:pPr/>
          </w:p>
        </w:tc>
      </w:tr>
      <w:tr>
        <w:trPr>
          <w:trHeight w:val="402" w:hRule="exact"/>
        </w:trPr>
        <w:tc>
          <w:tcPr>
            <w:tcW w:w="17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110"/>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4"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5" w:type="dxa"/>
            <w:vMerge/>
            <w:tcBorders>
              <w:left w:val="single" w:sz="4" w:space="0" w:color="000000"/>
              <w:bottom w:val="single" w:sz="4" w:space="0" w:color="000000"/>
              <w:right w:val="single" w:sz="4" w:space="0" w:color="000000"/>
            </w:tcBorders>
            <w:shd w:val="clear" w:color="auto" w:fill="D2D2D2"/>
          </w:tcPr>
          <w:p>
            <w:pPr/>
          </w:p>
        </w:tc>
        <w:tc>
          <w:tcPr>
            <w:tcW w:w="7804" w:type="dxa"/>
            <w:gridSpan w:val="10"/>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7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110"/>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4"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5" w:type="dxa"/>
            <w:vMerge/>
            <w:tcBorders>
              <w:left w:val="single" w:sz="4" w:space="0" w:color="000000"/>
              <w:bottom w:val="single" w:sz="4" w:space="0" w:color="000000"/>
              <w:right w:val="single" w:sz="4" w:space="0" w:color="000000"/>
            </w:tcBorders>
            <w:shd w:val="clear" w:color="auto" w:fill="D2D2D2"/>
          </w:tcPr>
          <w:p>
            <w:pPr/>
          </w:p>
        </w:tc>
        <w:tc>
          <w:tcPr>
            <w:tcW w:w="7804" w:type="dxa"/>
            <w:gridSpan w:val="10"/>
            <w:tcBorders>
              <w:top w:val="single" w:sz="4" w:space="0" w:color="000000"/>
              <w:left w:val="single" w:sz="9" w:space="0" w:color="D2D2D2"/>
              <w:bottom w:val="single" w:sz="4" w:space="0" w:color="000000"/>
              <w:right w:val="single" w:sz="4" w:space="0" w:color="000000"/>
            </w:tcBorders>
          </w:tcPr>
          <w:p>
            <w:pPr/>
          </w:p>
        </w:tc>
      </w:tr>
      <w:tr>
        <w:trPr>
          <w:trHeight w:val="714"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4" w:type="dxa"/>
            <w:gridSpan w:val="10"/>
            <w:tcBorders>
              <w:top w:val="single" w:sz="4" w:space="0" w:color="000000"/>
              <w:left w:val="single" w:sz="9" w:space="0" w:color="D2D2D2"/>
              <w:bottom w:val="single" w:sz="4" w:space="0" w:color="000000"/>
              <w:right w:val="single" w:sz="4" w:space="0" w:color="000000"/>
            </w:tcBorders>
          </w:tcPr>
          <w:p>
            <w:pPr>
              <w:pStyle w:val="TableParagraph"/>
              <w:spacing w:line="319" w:lineRule="auto" w:before="51"/>
              <w:ind w:left="21" w:right="25"/>
              <w:jc w:val="left"/>
              <w:rPr>
                <w:rFonts w:ascii="宋体" w:hAnsi="宋体" w:cs="宋体" w:eastAsia="宋体" w:hint="default"/>
                <w:sz w:val="18"/>
                <w:szCs w:val="18"/>
              </w:rPr>
            </w:pPr>
            <w:r>
              <w:rPr>
                <w:rFonts w:ascii="宋体" w:hAnsi="宋体" w:cs="宋体" w:eastAsia="宋体" w:hint="default"/>
                <w:sz w:val="18"/>
                <w:szCs w:val="18"/>
              </w:rPr>
              <w:t>尚未使用的募集资金存放于公司募集资金专户。公司将继续按承诺计划使用募集资金投入承诺投资 项目。</w:t>
            </w:r>
          </w:p>
        </w:tc>
      </w:tr>
      <w:tr>
        <w:trPr>
          <w:trHeight w:val="1026"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04"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left="153"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after="0" w:line="3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4"/>
        <w:spacing w:line="240" w:lineRule="auto" w:before="26"/>
        <w:ind w:right="0"/>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left="15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6"/>
        <w:spacing w:line="240" w:lineRule="auto"/>
        <w:ind w:right="0"/>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ind w:left="153"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153"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left="153" w:right="0"/>
        <w:jc w:val="left"/>
      </w:pPr>
      <w:r>
        <w:rPr/>
        <w:pict>
          <v:shape style="position:absolute;margin-left:127.577003pt;margin-top:53.231693pt;width:87.95pt;height:132.65pt;mso-position-horizontal-relative:page;mso-position-vertical-relative:paragraph;z-index:-92286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316" w:lineRule="auto" w:before="0"/>
                    <w:ind w:left="0" w:right="1216"/>
                    <w:jc w:val="left"/>
                  </w:pPr>
                  <w:r>
                    <w:rPr/>
                    <w:t>设计、 发布、</w:t>
                  </w:r>
                </w:p>
              </w:txbxContent>
            </v:textbox>
            <w10:wrap type="none"/>
          </v:shape>
        </w:pict>
      </w: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6"/>
        <w:gridCol w:w="425"/>
        <w:gridCol w:w="1045"/>
        <w:gridCol w:w="1284"/>
        <w:gridCol w:w="1419"/>
        <w:gridCol w:w="1417"/>
        <w:gridCol w:w="1356"/>
        <w:gridCol w:w="1276"/>
        <w:gridCol w:w="1276"/>
      </w:tblGrid>
      <w:tr>
        <w:trPr>
          <w:trHeight w:val="714" w:hRule="exact"/>
        </w:trPr>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 w:right="26"/>
              <w:jc w:val="left"/>
              <w:rPr>
                <w:rFonts w:ascii="宋体" w:hAnsi="宋体" w:cs="宋体" w:eastAsia="宋体" w:hint="default"/>
                <w:sz w:val="18"/>
                <w:szCs w:val="18"/>
              </w:rPr>
            </w:pPr>
            <w:r>
              <w:rPr>
                <w:rFonts w:ascii="宋体" w:hAnsi="宋体" w:cs="宋体" w:eastAsia="宋体" w:hint="default"/>
                <w:sz w:val="18"/>
                <w:szCs w:val="18"/>
              </w:rPr>
              <w:t>公司 名称</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 w:right="27"/>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5706"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2" w:right="31"/>
              <w:jc w:val="both"/>
              <w:rPr>
                <w:rFonts w:ascii="宋体" w:hAnsi="宋体" w:cs="宋体" w:eastAsia="宋体" w:hint="default"/>
                <w:sz w:val="18"/>
                <w:szCs w:val="18"/>
              </w:rPr>
            </w:pPr>
            <w:r>
              <w:rPr>
                <w:rFonts w:ascii="宋体" w:hAnsi="宋体" w:cs="宋体" w:eastAsia="宋体" w:hint="default"/>
                <w:sz w:val="18"/>
                <w:szCs w:val="18"/>
              </w:rPr>
              <w:t>上海 二三 四五 网络 科技 有限 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22" w:right="30"/>
              <w:jc w:val="left"/>
              <w:rPr>
                <w:rFonts w:ascii="宋体" w:hAnsi="宋体" w:cs="宋体" w:eastAsia="宋体" w:hint="default"/>
                <w:sz w:val="18"/>
                <w:szCs w:val="18"/>
              </w:rPr>
            </w:pPr>
            <w:r>
              <w:rPr>
                <w:rFonts w:ascii="宋体" w:hAnsi="宋体" w:cs="宋体" w:eastAsia="宋体" w:hint="default"/>
                <w:sz w:val="18"/>
                <w:szCs w:val="18"/>
              </w:rPr>
              <w:t>子公 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计算机软硬 件及辅助设 备的开发、 销售， 制作、 代理各类广 告，企业管 理，投资咨 询，市场信 息咨询和调 查（不得从 事社会调 查、社会调 研、民意调 查、民意测 </w:t>
            </w:r>
            <w:r>
              <w:rPr>
                <w:rFonts w:ascii="宋体" w:hAnsi="宋体" w:cs="宋体" w:eastAsia="宋体" w:hint="default"/>
                <w:spacing w:val="-16"/>
                <w:sz w:val="18"/>
                <w:szCs w:val="18"/>
              </w:rPr>
              <w:t>验），百货的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销售；增值 电信业务。</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652" w:lineRule="exact"/>
              <w:ind w:right="-51"/>
              <w:jc w:val="left"/>
              <w:rPr>
                <w:rFonts w:ascii="宋体" w:hAnsi="宋体" w:cs="宋体" w:eastAsia="宋体" w:hint="default"/>
                <w:sz w:val="20"/>
                <w:szCs w:val="20"/>
              </w:rPr>
            </w:pPr>
            <w:r>
              <w:rPr>
                <w:rFonts w:ascii="宋体" w:hAnsi="宋体" w:cs="宋体" w:eastAsia="宋体" w:hint="default"/>
                <w:position w:val="-52"/>
                <w:sz w:val="20"/>
                <w:szCs w:val="20"/>
              </w:rPr>
              <w:pict>
                <v:group style="width:63.75pt;height:132.65pt;mso-position-horizontal-relative:char;mso-position-vertical-relative:line" coordorigin="0,0" coordsize="1275,2653">
                  <v:group style="position:absolute;left:0;top:0;width:1275;height:2653" coordorigin="0,0" coordsize="1275,2653">
                    <v:shape style="position:absolute;left:0;top:0;width:1275;height:2653" coordorigin="0,0" coordsize="1275,2653" path="m0,2652l1274,2652,1274,0,0,0,0,2652xe" filled="true" fillcolor="#ffffff" stroked="false">
                      <v:path arrowok="t"/>
                      <v:fill type="solid"/>
                    </v:shape>
                  </v:group>
                </v:group>
              </w:pict>
            </w:r>
            <w:r>
              <w:rPr>
                <w:rFonts w:ascii="宋体" w:hAnsi="宋体" w:cs="宋体" w:eastAsia="宋体" w:hint="default"/>
                <w:position w:val="-52"/>
                <w:sz w:val="20"/>
                <w:szCs w:val="20"/>
              </w:rPr>
            </w:r>
          </w:p>
          <w:p>
            <w:pPr>
              <w:pStyle w:val="TableParagraph"/>
              <w:spacing w:line="240" w:lineRule="auto" w:before="91"/>
              <w:ind w:right="101"/>
              <w:jc w:val="center"/>
              <w:rPr>
                <w:rFonts w:ascii="Times New Roman" w:hAnsi="Times New Roman" w:cs="Times New Roman" w:eastAsia="Times New Roman" w:hint="default"/>
                <w:sz w:val="18"/>
                <w:szCs w:val="18"/>
              </w:rPr>
            </w:pPr>
            <w:r>
              <w:rPr>
                <w:rFonts w:ascii="Times New Roman"/>
                <w:sz w:val="18"/>
              </w:rPr>
              <w:t>910,000,000.00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99" w:right="0"/>
              <w:jc w:val="center"/>
              <w:rPr>
                <w:rFonts w:ascii="Times New Roman" w:hAnsi="Times New Roman" w:cs="Times New Roman" w:eastAsia="Times New Roman" w:hint="default"/>
                <w:sz w:val="18"/>
                <w:szCs w:val="18"/>
              </w:rPr>
            </w:pPr>
            <w:r>
              <w:rPr>
                <w:rFonts w:ascii="Times New Roman"/>
                <w:sz w:val="18"/>
              </w:rPr>
              <w:t>1,864,892,916.24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98" w:right="0"/>
              <w:jc w:val="center"/>
              <w:rPr>
                <w:rFonts w:ascii="Times New Roman" w:hAnsi="Times New Roman" w:cs="Times New Roman" w:eastAsia="Times New Roman" w:hint="default"/>
                <w:sz w:val="18"/>
                <w:szCs w:val="18"/>
              </w:rPr>
            </w:pPr>
            <w:r>
              <w:rPr>
                <w:rFonts w:ascii="Times New Roman"/>
                <w:sz w:val="18"/>
              </w:rPr>
              <w:t>1,556,276,750.04</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36" w:right="0"/>
              <w:jc w:val="center"/>
              <w:rPr>
                <w:rFonts w:ascii="Times New Roman" w:hAnsi="Times New Roman" w:cs="Times New Roman" w:eastAsia="Times New Roman" w:hint="default"/>
                <w:sz w:val="18"/>
                <w:szCs w:val="18"/>
              </w:rPr>
            </w:pPr>
            <w:r>
              <w:rPr>
                <w:rFonts w:ascii="Times New Roman"/>
                <w:sz w:val="18"/>
              </w:rPr>
              <w:t>1,015,425,691.69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96" w:right="0"/>
              <w:jc w:val="center"/>
              <w:rPr>
                <w:rFonts w:ascii="Times New Roman" w:hAnsi="Times New Roman" w:cs="Times New Roman" w:eastAsia="Times New Roman" w:hint="default"/>
                <w:sz w:val="18"/>
                <w:szCs w:val="18"/>
              </w:rPr>
            </w:pPr>
            <w:r>
              <w:rPr>
                <w:rFonts w:ascii="Times New Roman"/>
                <w:sz w:val="18"/>
              </w:rPr>
              <w:t>413,528,742.75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96" w:right="0"/>
              <w:jc w:val="center"/>
              <w:rPr>
                <w:rFonts w:ascii="Times New Roman" w:hAnsi="Times New Roman" w:cs="Times New Roman" w:eastAsia="Times New Roman" w:hint="default"/>
                <w:sz w:val="18"/>
                <w:szCs w:val="18"/>
              </w:rPr>
            </w:pPr>
            <w:r>
              <w:rPr>
                <w:rFonts w:ascii="Times New Roman"/>
                <w:sz w:val="18"/>
              </w:rPr>
              <w:t>399,090,171.17</w:t>
            </w:r>
          </w:p>
        </w:tc>
      </w:tr>
    </w:tbl>
    <w:p>
      <w:pPr>
        <w:pStyle w:val="BodyText"/>
        <w:spacing w:line="240" w:lineRule="auto" w:before="51"/>
        <w:ind w:right="0"/>
        <w:jc w:val="left"/>
      </w:pPr>
      <w:r>
        <w:rPr/>
        <w:t>报告期内取得和处置子公司的情况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上海二三四五海隆金融信息服务有限公 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上海二三四五海隆金融信息服务有限公 司是公司从事互联网金融的业务主体。</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上海华钟计算机软件开发有限公司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收购株式会社电通国际信息服务（简称</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5"/>
              <w:jc w:val="center"/>
              <w:rPr>
                <w:rFonts w:ascii="宋体" w:hAnsi="宋体" w:cs="宋体" w:eastAsia="宋体" w:hint="default"/>
                <w:sz w:val="18"/>
                <w:szCs w:val="18"/>
              </w:rPr>
            </w:pPr>
            <w:r>
              <w:rPr>
                <w:rFonts w:ascii="宋体" w:hAnsi="宋体" w:cs="宋体" w:eastAsia="宋体" w:hint="default"/>
                <w:sz w:val="18"/>
                <w:szCs w:val="18"/>
              </w:rPr>
              <w:t>本次投资是在日元汇率处于较低水平的</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2235" w:hRule="exact"/>
        </w:trPr>
        <w:tc>
          <w:tcPr>
            <w:tcW w:w="3189"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ISID”</w:t>
            </w:r>
            <w:r>
              <w:rPr>
                <w:rFonts w:ascii="宋体" w:hAnsi="宋体" w:cs="宋体" w:eastAsia="宋体" w:hint="default"/>
                <w:sz w:val="18"/>
                <w:szCs w:val="18"/>
              </w:rPr>
              <w:t>）持有的华钟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39%</w:t>
            </w:r>
            <w:r>
              <w:rPr>
                <w:rFonts w:ascii="宋体" w:hAnsi="宋体" w:cs="宋体" w:eastAsia="宋体" w:hint="default"/>
                <w:sz w:val="18"/>
                <w:szCs w:val="18"/>
              </w:rPr>
              <w:t>的股权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96"/>
              <w:jc w:val="both"/>
              <w:rPr>
                <w:rFonts w:ascii="宋体" w:hAnsi="宋体" w:cs="宋体" w:eastAsia="宋体" w:hint="default"/>
                <w:sz w:val="18"/>
                <w:szCs w:val="18"/>
              </w:rPr>
            </w:pPr>
            <w:r>
              <w:rPr>
                <w:rFonts w:ascii="宋体" w:hAnsi="宋体" w:cs="宋体" w:eastAsia="宋体" w:hint="default"/>
                <w:sz w:val="18"/>
                <w:szCs w:val="18"/>
              </w:rPr>
              <w:t>背景下，本公司与 </w:t>
            </w:r>
            <w:r>
              <w:rPr>
                <w:rFonts w:ascii="Times New Roman" w:hAnsi="Times New Roman" w:cs="Times New Roman" w:eastAsia="Times New Roman" w:hint="default"/>
                <w:sz w:val="18"/>
                <w:szCs w:val="18"/>
              </w:rPr>
              <w:t>ISID</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为了进一步扩 大双方业务合作规模、深化双方战略合 作关系所采取的有力举措。本次收购完 成后海隆软件及上海华钟还将通过多层 次营销、资源整合等方式，进一步提升 上海华钟的经营效率、降低运营成本， 从而进一步提升本公司的综合竞争力。</w:t>
            </w:r>
          </w:p>
        </w:tc>
      </w:tr>
      <w:tr>
        <w:trPr>
          <w:trHeight w:val="165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0" w:lineRule="auto"/>
              <w:ind w:left="22" w:right="23"/>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海隆软件（昆山）有限公司（原</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江苏天</w:t>
            </w:r>
            <w:r>
              <w:rPr>
                <w:rFonts w:ascii="宋体" w:hAnsi="宋体" w:cs="宋体" w:eastAsia="宋体" w:hint="default"/>
                <w:spacing w:val="-82"/>
                <w:sz w:val="18"/>
                <w:szCs w:val="18"/>
              </w:rPr>
              <w:t> </w:t>
            </w:r>
            <w:r>
              <w:rPr>
                <w:rFonts w:ascii="宋体" w:hAnsi="宋体" w:cs="宋体" w:eastAsia="宋体" w:hint="default"/>
                <w:sz w:val="18"/>
                <w:szCs w:val="18"/>
              </w:rPr>
              <w:t>听信息技术有限公司</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0" w:lineRule="auto"/>
              <w:ind w:left="22" w:right="350"/>
              <w:jc w:val="left"/>
              <w:rPr>
                <w:rFonts w:ascii="宋体" w:hAnsi="宋体" w:cs="宋体" w:eastAsia="宋体" w:hint="default"/>
                <w:sz w:val="18"/>
                <w:szCs w:val="18"/>
              </w:rPr>
            </w:pPr>
            <w:r>
              <w:rPr>
                <w:rFonts w:ascii="宋体" w:hAnsi="宋体" w:cs="宋体" w:eastAsia="宋体" w:hint="default"/>
                <w:sz w:val="18"/>
                <w:szCs w:val="18"/>
              </w:rPr>
              <w:t>收购江苏天听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股权、株式会社 </w:t>
            </w:r>
            <w:r>
              <w:rPr>
                <w:rFonts w:ascii="Times New Roman" w:hAnsi="Times New Roman" w:cs="Times New Roman" w:eastAsia="Times New Roman" w:hint="default"/>
                <w:sz w:val="18"/>
                <w:szCs w:val="18"/>
              </w:rPr>
              <w:t>SKYING100%</w:t>
            </w:r>
            <w:r>
              <w:rPr>
                <w:rFonts w:ascii="宋体" w:hAnsi="宋体" w:cs="宋体" w:eastAsia="宋体" w:hint="default"/>
                <w:sz w:val="18"/>
                <w:szCs w:val="18"/>
              </w:rPr>
              <w:t>股权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本次收购是公司软件外包服务业务在日 元汇率处于较低水平、上海的人力成本 不断上升的背景下，公司为了扩大软件 外包后方开发基地的规模、缓解人力成 本不断上升的不利局面所采取的措施。</w:t>
            </w:r>
          </w:p>
        </w:tc>
      </w:tr>
      <w:tr>
        <w:trPr>
          <w:trHeight w:val="227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上海善拢泗海投资管理中心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公司子公司上海二三四五海隆金融信息 服务有限公司于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日与上 海千机投资有限公司分别出资人民币 </w:t>
            </w:r>
            <w:r>
              <w:rPr>
                <w:rFonts w:ascii="Times New Roman" w:hAnsi="Times New Roman" w:cs="Times New Roman" w:eastAsia="Times New Roman" w:hint="default"/>
                <w:sz w:val="18"/>
                <w:szCs w:val="18"/>
              </w:rPr>
              <w:t>399</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万元、人民币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万元设立有限合伙企 业上海善拢泗海投资管理中心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 </w:t>
            </w:r>
            <w:r>
              <w:rPr>
                <w:rFonts w:ascii="宋体" w:hAnsi="宋体" w:cs="宋体" w:eastAsia="宋体" w:hint="default"/>
                <w:spacing w:val="-6"/>
                <w:sz w:val="18"/>
                <w:szCs w:val="18"/>
              </w:rPr>
              <w:t>伙）。新设公司，暂未对整体生产经营和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业绩有影响。</w:t>
            </w:r>
          </w:p>
        </w:tc>
      </w:tr>
      <w:tr>
        <w:trPr>
          <w:trHeight w:val="227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上海薪想互联网金融信息服务有限公司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公司子上海二三四五海隆金融信息服务 有限公司于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日与上海善拢 泗海投资管理中心（有限合伙）分别出 资人民币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1,600</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万元、人民币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万元设 立上海薪想互联网金融信息服务有限公 司。新设公司，暂未对整体生产经营和 业绩有影响。</w:t>
            </w:r>
          </w:p>
        </w:tc>
      </w:tr>
    </w:tbl>
    <w:p>
      <w:pPr>
        <w:pStyle w:val="BodyText"/>
        <w:spacing w:line="357" w:lineRule="auto" w:before="51"/>
        <w:ind w:left="153" w:right="0"/>
        <w:jc w:val="left"/>
      </w:pPr>
      <w:r>
        <w:rPr/>
        <w:t>主要控股参股公司情况说明 </w:t>
      </w:r>
      <w:r>
        <w:rPr>
          <w:spacing w:val="-4"/>
        </w:rPr>
        <w:t>上海二三四五网络科技有限公司系公司全资公司，成立于</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16</w:t>
      </w:r>
      <w:r>
        <w:rPr>
          <w:spacing w:val="-4"/>
        </w:rPr>
        <w:t>日，营业执照注册号</w:t>
      </w:r>
      <w:r>
        <w:rPr>
          <w:rFonts w:ascii="Times New Roman" w:hAnsi="Times New Roman" w:cs="Times New Roman" w:eastAsia="Times New Roman" w:hint="default"/>
          <w:spacing w:val="-4"/>
        </w:rPr>
        <w:t>91310115591679552Q</w:t>
      </w:r>
      <w:r>
        <w:rPr>
          <w:spacing w:val="-4"/>
        </w:rPr>
        <w:t>，注册资本：</w:t>
      </w:r>
    </w:p>
    <w:p>
      <w:pPr>
        <w:pStyle w:val="BodyText"/>
        <w:spacing w:line="214" w:lineRule="exact" w:before="0"/>
        <w:ind w:right="0"/>
        <w:jc w:val="left"/>
      </w:pPr>
      <w:r>
        <w:rPr>
          <w:rFonts w:ascii="Times New Roman" w:hAnsi="Times New Roman" w:cs="Times New Roman" w:eastAsia="Times New Roman" w:hint="default"/>
          <w:spacing w:val="-1"/>
        </w:rPr>
        <w:t>91,000</w:t>
      </w:r>
      <w:r>
        <w:rPr>
          <w:spacing w:val="-1"/>
        </w:rPr>
        <w:t>万元，注册地为上海市浦东新区杨高北路</w:t>
      </w:r>
      <w:r>
        <w:rPr>
          <w:rFonts w:ascii="Times New Roman" w:hAnsi="Times New Roman" w:cs="Times New Roman" w:eastAsia="Times New Roman" w:hint="default"/>
          <w:spacing w:val="-1"/>
        </w:rPr>
        <w:t>528</w:t>
      </w:r>
      <w:r>
        <w:rPr>
          <w:spacing w:val="-1"/>
        </w:rPr>
        <w:t>号</w:t>
      </w:r>
      <w:r>
        <w:rPr>
          <w:rFonts w:ascii="Times New Roman" w:hAnsi="Times New Roman" w:cs="Times New Roman" w:eastAsia="Times New Roman" w:hint="default"/>
          <w:spacing w:val="-1"/>
        </w:rPr>
        <w:t>14</w:t>
      </w:r>
      <w:r>
        <w:rPr>
          <w:spacing w:val="-1"/>
        </w:rPr>
        <w:t>幢</w:t>
      </w:r>
      <w:r>
        <w:rPr>
          <w:rFonts w:ascii="Times New Roman" w:hAnsi="Times New Roman" w:cs="Times New Roman" w:eastAsia="Times New Roman" w:hint="default"/>
          <w:spacing w:val="-1"/>
        </w:rPr>
        <w:t>3A35</w:t>
      </w:r>
      <w:r>
        <w:rPr>
          <w:spacing w:val="-1"/>
        </w:rPr>
        <w:t>室</w:t>
      </w:r>
      <w:r>
        <w:rPr>
          <w:spacing w:val="4"/>
        </w:rPr>
        <w:t> </w:t>
      </w:r>
      <w:r>
        <w:rPr>
          <w:spacing w:val="-2"/>
        </w:rPr>
        <w:t>，经营范围为计算机软硬件及辅助设备的开发、销售，设</w:t>
      </w:r>
    </w:p>
    <w:p>
      <w:pPr>
        <w:pStyle w:val="BodyText"/>
        <w:spacing w:line="312" w:lineRule="auto" w:before="63"/>
        <w:ind w:left="153" w:right="1033"/>
        <w:jc w:val="left"/>
      </w:pPr>
      <w:r>
        <w:rPr/>
        <w:t>计、制作、发布、代理各类广告，企业管理，投资咨询，市场信息咨询和调查（不得从事社会调查、社会调研、民意调查、</w:t>
      </w:r>
      <w:r>
        <w:rPr>
          <w:spacing w:val="-85"/>
        </w:rPr>
        <w:t> </w:t>
      </w:r>
      <w:r>
        <w:rPr>
          <w:spacing w:val="-85"/>
        </w:rPr>
      </w:r>
      <w:r>
        <w:rPr>
          <w:spacing w:val="-2"/>
        </w:rPr>
        <w:t>民意测验），百货的销售；增值电信业务（详见增值电信业务经营许可证）。【依法须经批准的项目，经相关部门批准后方</w:t>
      </w:r>
      <w:r>
        <w:rPr>
          <w:spacing w:val="-67"/>
        </w:rPr>
        <w:t> </w:t>
      </w:r>
      <w:r>
        <w:rPr>
          <w:spacing w:val="-67"/>
        </w:rPr>
      </w:r>
      <w:r>
        <w:rPr/>
        <w:t>可开展经营活动】。 </w:t>
      </w:r>
      <w:r>
        <w:rPr>
          <w:spacing w:val="-2"/>
        </w:rPr>
        <w:t>上海二三四五网络科技有限公司是公司从事互联网信息服务的业务主体，报告期内互联网信息服务业务增长迅速，取得良好</w:t>
      </w:r>
      <w:r>
        <w:rPr>
          <w:spacing w:val="-64"/>
        </w:rPr>
        <w:t> </w:t>
      </w:r>
      <w:r>
        <w:rPr>
          <w:spacing w:val="-64"/>
        </w:rPr>
      </w:r>
      <w:r>
        <w:rPr>
          <w:spacing w:val="-5"/>
        </w:rPr>
        <w:t>的经营成果，</w:t>
      </w:r>
      <w:r>
        <w:rPr>
          <w:rFonts w:ascii="Times New Roman" w:hAnsi="Times New Roman" w:cs="Times New Roman" w:eastAsia="Times New Roman" w:hint="default"/>
          <w:spacing w:val="-5"/>
        </w:rPr>
        <w:t>2015</w:t>
      </w:r>
      <w:r>
        <w:rPr>
          <w:spacing w:val="-5"/>
        </w:rPr>
        <w:t>年度实现营业收入</w:t>
      </w:r>
      <w:r>
        <w:rPr>
          <w:rFonts w:ascii="Times New Roman" w:hAnsi="Times New Roman" w:cs="Times New Roman" w:eastAsia="Times New Roman" w:hint="default"/>
          <w:spacing w:val="-5"/>
        </w:rPr>
        <w:t>101,542.57</w:t>
      </w:r>
      <w:r>
        <w:rPr>
          <w:spacing w:val="-5"/>
        </w:rPr>
        <w:t>万元，较上年同比增长</w:t>
      </w:r>
      <w:r>
        <w:rPr>
          <w:rFonts w:ascii="Times New Roman" w:hAnsi="Times New Roman" w:cs="Times New Roman" w:eastAsia="Times New Roman" w:hint="default"/>
          <w:spacing w:val="-5"/>
        </w:rPr>
        <w:t>27.58%</w:t>
      </w:r>
      <w:r>
        <w:rPr>
          <w:spacing w:val="-5"/>
        </w:rPr>
        <w:t>，净利润</w:t>
      </w:r>
      <w:r>
        <w:rPr>
          <w:rFonts w:ascii="Times New Roman" w:hAnsi="Times New Roman" w:cs="Times New Roman" w:eastAsia="Times New Roman" w:hint="default"/>
          <w:spacing w:val="-5"/>
        </w:rPr>
        <w:t>39,909.02</w:t>
      </w:r>
      <w:r>
        <w:rPr>
          <w:spacing w:val="-5"/>
        </w:rPr>
        <w:t>万元，较上年同比增长</w:t>
      </w:r>
      <w:r>
        <w:rPr>
          <w:rFonts w:ascii="Times New Roman" w:hAnsi="Times New Roman" w:cs="Times New Roman" w:eastAsia="Times New Roman" w:hint="default"/>
          <w:spacing w:val="-5"/>
        </w:rPr>
        <w:t>83.40%</w:t>
      </w:r>
      <w:r>
        <w:rPr>
          <w:spacing w:val="-5"/>
        </w:rPr>
        <w:t>，</w:t>
      </w:r>
      <w:r>
        <w:rPr>
          <w:spacing w:val="-20"/>
        </w:rPr>
        <w:t> </w:t>
      </w:r>
      <w:r>
        <w:rPr>
          <w:spacing w:val="-3"/>
        </w:rPr>
        <w:t>扣除非经常性损益后的净利润为</w:t>
      </w:r>
      <w:r>
        <w:rPr>
          <w:rFonts w:ascii="Times New Roman" w:hAnsi="Times New Roman" w:cs="Times New Roman" w:eastAsia="Times New Roman" w:hint="default"/>
          <w:spacing w:val="-3"/>
        </w:rPr>
        <w:t>37,776.85</w:t>
      </w:r>
      <w:r>
        <w:rPr>
          <w:spacing w:val="-3"/>
        </w:rPr>
        <w:t>万元，超过本次重组时作出的</w:t>
      </w:r>
      <w:r>
        <w:rPr>
          <w:rFonts w:ascii="Times New Roman" w:hAnsi="Times New Roman" w:cs="Times New Roman" w:eastAsia="Times New Roman" w:hint="default"/>
          <w:spacing w:val="-3"/>
        </w:rPr>
        <w:t>2015</w:t>
      </w:r>
      <w:r>
        <w:rPr>
          <w:spacing w:val="-3"/>
        </w:rPr>
        <w:t>年度业绩承诺目标（即</w:t>
      </w:r>
      <w:r>
        <w:rPr>
          <w:rFonts w:ascii="Times New Roman" w:hAnsi="Times New Roman" w:cs="Times New Roman" w:eastAsia="Times New Roman" w:hint="default"/>
          <w:spacing w:val="-3"/>
        </w:rPr>
        <w:t>2</w:t>
      </w:r>
      <w:r>
        <w:rPr>
          <w:spacing w:val="-3"/>
        </w:rPr>
        <w:t>亿元）的幅度达</w:t>
      </w:r>
      <w:r>
        <w:rPr>
          <w:rFonts w:ascii="Times New Roman" w:hAnsi="Times New Roman" w:cs="Times New Roman" w:eastAsia="Times New Roman" w:hint="default"/>
          <w:spacing w:val="-3"/>
        </w:rPr>
        <w:t>88.88%</w:t>
      </w:r>
      <w:r>
        <w:rPr>
          <w:spacing w:val="-3"/>
        </w:rPr>
        <w:t>，</w:t>
      </w:r>
      <w:r>
        <w:rPr>
          <w:spacing w:val="-85"/>
        </w:rPr>
        <w:t> </w:t>
      </w:r>
      <w:r>
        <w:rPr/>
        <w:t>详见</w:t>
      </w:r>
      <w:r>
        <w:rPr>
          <w:rFonts w:ascii="Times New Roman" w:hAnsi="Times New Roman" w:cs="Times New Roman" w:eastAsia="Times New Roman" w:hint="default"/>
        </w:rPr>
        <w:t>“</w:t>
      </w:r>
      <w:r>
        <w:rPr/>
        <w:t>第三节 公司业务概要</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第四节</w:t>
      </w:r>
      <w:r>
        <w:rPr>
          <w:spacing w:val="-36"/>
        </w:rPr>
        <w:t> </w:t>
      </w:r>
      <w:r>
        <w:rPr/>
        <w:t>管理层讨论与分析</w:t>
      </w:r>
      <w:r>
        <w:rPr>
          <w:rFonts w:ascii="Times New Roman" w:hAnsi="Times New Roman" w:cs="Times New Roman" w:eastAsia="Times New Roman" w:hint="default"/>
        </w:rPr>
        <w:t>”</w:t>
      </w:r>
      <w:r>
        <w:rPr/>
        <w:t>部分。</w:t>
      </w:r>
    </w:p>
    <w:p>
      <w:pPr>
        <w:spacing w:line="240" w:lineRule="auto" w:before="7"/>
        <w:rPr>
          <w:rFonts w:ascii="宋体" w:hAnsi="宋体" w:cs="宋体" w:eastAsia="宋体" w:hint="default"/>
          <w:sz w:val="19"/>
          <w:szCs w:val="19"/>
        </w:rPr>
      </w:pPr>
    </w:p>
    <w:p>
      <w:pPr>
        <w:pStyle w:val="Heading4"/>
        <w:spacing w:line="240" w:lineRule="auto"/>
        <w:ind w:right="0"/>
        <w:jc w:val="left"/>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4"/>
        <w:spacing w:line="240" w:lineRule="auto" w:before="26"/>
        <w:ind w:right="0"/>
        <w:jc w:val="both"/>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both"/>
        <w:rPr>
          <w:b w:val="0"/>
          <w:bCs w:val="0"/>
        </w:rPr>
      </w:pPr>
      <w:bookmarkStart w:name="1、行业格局和发展趋势" w:id="58"/>
      <w:bookmarkEnd w:id="58"/>
      <w:r>
        <w:rPr>
          <w:b w:val="0"/>
          <w:bCs w:val="0"/>
        </w:rPr>
      </w:r>
      <w:r>
        <w:rPr>
          <w:rFonts w:ascii="Times New Roman" w:hAnsi="Times New Roman" w:cs="Times New Roman" w:eastAsia="Times New Roman" w:hint="default"/>
        </w:rPr>
        <w:t>1</w:t>
      </w:r>
      <w:r>
        <w:rPr/>
        <w:t>、行业格局和发展趋势</w:t>
      </w:r>
      <w:r>
        <w:rPr>
          <w:b w:val="0"/>
          <w:bCs w:val="0"/>
        </w:rPr>
      </w:r>
    </w:p>
    <w:p>
      <w:pPr>
        <w:spacing w:line="240" w:lineRule="auto" w:before="11"/>
        <w:rPr>
          <w:rFonts w:ascii="宋体" w:hAnsi="宋体" w:cs="宋体" w:eastAsia="宋体" w:hint="default"/>
          <w:b/>
          <w:bCs/>
          <w:sz w:val="28"/>
          <w:szCs w:val="28"/>
        </w:rPr>
      </w:pPr>
    </w:p>
    <w:p>
      <w:pPr>
        <w:pStyle w:val="Heading5"/>
        <w:spacing w:line="367" w:lineRule="auto" w:before="0"/>
        <w:ind w:left="636" w:right="0"/>
        <w:jc w:val="left"/>
      </w:pPr>
      <w:r>
        <w:rPr/>
        <w:t>（</w:t>
      </w:r>
      <w:r>
        <w:rPr>
          <w:rFonts w:ascii="Arial" w:hAnsi="Arial" w:cs="Arial" w:eastAsia="Arial" w:hint="default"/>
        </w:rPr>
        <w:t>1</w:t>
      </w:r>
      <w:r>
        <w:rPr/>
        <w:t>）互联网、移动互联网用户规模及普及率继续提升，行业持续快速发展 根据中国互联网络信息中心（</w:t>
      </w:r>
      <w:r>
        <w:rPr>
          <w:rFonts w:ascii="Arial" w:hAnsi="Arial" w:cs="Arial" w:eastAsia="Arial" w:hint="default"/>
        </w:rPr>
        <w:t>CNNIC</w:t>
      </w:r>
      <w:r>
        <w:rPr/>
        <w:t>）</w:t>
      </w:r>
      <w:r>
        <w:rPr>
          <w:rFonts w:ascii="Arial" w:hAnsi="Arial" w:cs="Arial" w:eastAsia="Arial" w:hint="default"/>
        </w:rPr>
        <w:t>2016</w:t>
      </w:r>
      <w:r>
        <w:rPr/>
        <w:t>年</w:t>
      </w:r>
      <w:r>
        <w:rPr>
          <w:rFonts w:ascii="Arial" w:hAnsi="Arial" w:cs="Arial" w:eastAsia="Arial" w:hint="default"/>
        </w:rPr>
        <w:t>1</w:t>
      </w:r>
      <w:r>
        <w:rPr/>
        <w:t>月发布的《第</w:t>
      </w:r>
      <w:r>
        <w:rPr>
          <w:rFonts w:ascii="Arial" w:hAnsi="Arial" w:cs="Arial" w:eastAsia="Arial" w:hint="default"/>
        </w:rPr>
        <w:t>37</w:t>
      </w:r>
      <w:r>
        <w:rPr/>
        <w:t>次中国互联网络发展状</w:t>
      </w:r>
    </w:p>
    <w:p>
      <w:pPr>
        <w:pStyle w:val="Heading5"/>
        <w:spacing w:line="338" w:lineRule="auto" w:before="0"/>
        <w:ind w:right="1122"/>
        <w:jc w:val="both"/>
      </w:pPr>
      <w:r>
        <w:rPr/>
        <w:t>况统计报告》显示，截至</w:t>
      </w:r>
      <w:r>
        <w:rPr>
          <w:rFonts w:ascii="Arial" w:hAnsi="Arial" w:cs="Arial" w:eastAsia="Arial" w:hint="default"/>
        </w:rPr>
        <w:t>2015</w:t>
      </w:r>
      <w:r>
        <w:rPr/>
        <w:t>年</w:t>
      </w:r>
      <w:r>
        <w:rPr>
          <w:rFonts w:ascii="Arial" w:hAnsi="Arial" w:cs="Arial" w:eastAsia="Arial" w:hint="default"/>
        </w:rPr>
        <w:t>12</w:t>
      </w:r>
      <w:r>
        <w:rPr/>
        <w:t>月底，中国网民数量达到</w:t>
      </w:r>
      <w:r>
        <w:rPr>
          <w:rFonts w:ascii="Arial" w:hAnsi="Arial" w:cs="Arial" w:eastAsia="Arial" w:hint="default"/>
        </w:rPr>
        <w:t>6.88</w:t>
      </w:r>
      <w:r>
        <w:rPr/>
        <w:t>亿，较</w:t>
      </w:r>
      <w:r>
        <w:rPr>
          <w:rFonts w:ascii="Arial" w:hAnsi="Arial" w:cs="Arial" w:eastAsia="Arial" w:hint="default"/>
        </w:rPr>
        <w:t>2014</w:t>
      </w:r>
      <w:r>
        <w:rPr/>
        <w:t>年底增加</w:t>
      </w:r>
      <w:r>
        <w:rPr>
          <w:rFonts w:ascii="Arial" w:hAnsi="Arial" w:cs="Arial" w:eastAsia="Arial" w:hint="default"/>
        </w:rPr>
        <w:t>3,951</w:t>
      </w:r>
      <w:r>
        <w:rPr>
          <w:rFonts w:ascii="Arial" w:hAnsi="Arial" w:cs="Arial" w:eastAsia="Arial" w:hint="default"/>
          <w:spacing w:val="-52"/>
        </w:rPr>
        <w:t> </w:t>
      </w:r>
      <w:r>
        <w:rPr>
          <w:rFonts w:ascii="Arial" w:hAnsi="Arial" w:cs="Arial" w:eastAsia="Arial" w:hint="default"/>
          <w:spacing w:val="-52"/>
        </w:rPr>
      </w:r>
      <w:r>
        <w:rPr>
          <w:spacing w:val="-2"/>
        </w:rPr>
        <w:t>万人；互联网普及率为</w:t>
      </w:r>
      <w:r>
        <w:rPr>
          <w:rFonts w:ascii="Arial" w:hAnsi="Arial" w:cs="Arial" w:eastAsia="Arial" w:hint="default"/>
          <w:spacing w:val="-2"/>
        </w:rPr>
        <w:t>50.3%</w:t>
      </w:r>
      <w:r>
        <w:rPr>
          <w:spacing w:val="-2"/>
        </w:rPr>
        <w:t>，较</w:t>
      </w:r>
      <w:r>
        <w:rPr>
          <w:rFonts w:ascii="Arial" w:hAnsi="Arial" w:cs="Arial" w:eastAsia="Arial" w:hint="default"/>
          <w:spacing w:val="-2"/>
        </w:rPr>
        <w:t>2014</w:t>
      </w:r>
      <w:r>
        <w:rPr>
          <w:spacing w:val="-2"/>
        </w:rPr>
        <w:t>年底提升</w:t>
      </w:r>
      <w:r>
        <w:rPr>
          <w:rFonts w:ascii="Arial" w:hAnsi="Arial" w:cs="Arial" w:eastAsia="Arial" w:hint="default"/>
          <w:spacing w:val="-2"/>
        </w:rPr>
        <w:t>2.4</w:t>
      </w:r>
      <w:r>
        <w:rPr>
          <w:spacing w:val="-2"/>
        </w:rPr>
        <w:t>个百分点；手机网民规模达到</w:t>
      </w:r>
      <w:r>
        <w:rPr>
          <w:rFonts w:ascii="Arial" w:hAnsi="Arial" w:cs="Arial" w:eastAsia="Arial" w:hint="default"/>
          <w:spacing w:val="-2"/>
        </w:rPr>
        <w:t>6.20</w:t>
      </w:r>
      <w:r>
        <w:rPr>
          <w:spacing w:val="-2"/>
        </w:rPr>
        <w:t>亿，较</w:t>
      </w:r>
      <w:r>
        <w:rPr>
          <w:spacing w:val="-89"/>
        </w:rPr>
        <w:t> </w:t>
      </w:r>
      <w:r>
        <w:rPr>
          <w:spacing w:val="-89"/>
        </w:rPr>
      </w:r>
      <w:r>
        <w:rPr>
          <w:rFonts w:ascii="Arial" w:hAnsi="Arial" w:cs="Arial" w:eastAsia="Arial" w:hint="default"/>
          <w:spacing w:val="5"/>
        </w:rPr>
        <w:t>2014</w:t>
      </w:r>
      <w:r>
        <w:rPr>
          <w:spacing w:val="5"/>
        </w:rPr>
        <w:t>年底增加了</w:t>
      </w:r>
      <w:r>
        <w:rPr>
          <w:rFonts w:ascii="Arial" w:hAnsi="Arial" w:cs="Arial" w:eastAsia="Arial" w:hint="default"/>
          <w:spacing w:val="5"/>
        </w:rPr>
        <w:t>6,303</w:t>
      </w:r>
      <w:r>
        <w:rPr>
          <w:spacing w:val="5"/>
        </w:rPr>
        <w:t>万人</w:t>
      </w:r>
      <w:r>
        <w:rPr>
          <w:rFonts w:ascii="Arial" w:hAnsi="Arial" w:cs="Arial" w:eastAsia="Arial" w:hint="default"/>
          <w:spacing w:val="5"/>
        </w:rPr>
        <w:t>,</w:t>
      </w:r>
      <w:r>
        <w:rPr>
          <w:spacing w:val="5"/>
        </w:rPr>
        <w:t>增幅约</w:t>
      </w:r>
      <w:r>
        <w:rPr>
          <w:rFonts w:ascii="Arial" w:hAnsi="Arial" w:cs="Arial" w:eastAsia="Arial" w:hint="default"/>
          <w:spacing w:val="5"/>
        </w:rPr>
        <w:t>11.3%</w:t>
      </w:r>
      <w:r>
        <w:rPr>
          <w:spacing w:val="5"/>
        </w:rPr>
        <w:t>；网民中使用手机上网的人群占比由</w:t>
      </w:r>
      <w:r>
        <w:rPr>
          <w:rFonts w:ascii="Arial" w:hAnsi="Arial" w:cs="Arial" w:eastAsia="Arial" w:hint="default"/>
          <w:spacing w:val="5"/>
        </w:rPr>
        <w:t>2014</w:t>
      </w:r>
      <w:r>
        <w:rPr>
          <w:spacing w:val="5"/>
        </w:rPr>
        <w:t>年底的</w:t>
      </w:r>
      <w:r>
        <w:rPr/>
      </w:r>
    </w:p>
    <w:p>
      <w:pPr>
        <w:pStyle w:val="Heading5"/>
        <w:spacing w:line="340" w:lineRule="auto" w:before="27"/>
        <w:ind w:right="1131"/>
        <w:jc w:val="both"/>
      </w:pPr>
      <w:r>
        <w:rPr>
          <w:rFonts w:ascii="Arial" w:hAnsi="Arial" w:cs="Arial" w:eastAsia="Arial" w:hint="default"/>
          <w:spacing w:val="-3"/>
        </w:rPr>
        <w:t>85.8%</w:t>
      </w:r>
      <w:r>
        <w:rPr>
          <w:spacing w:val="-3"/>
        </w:rPr>
        <w:t>提升至</w:t>
      </w:r>
      <w:r>
        <w:rPr>
          <w:rFonts w:ascii="Arial" w:hAnsi="Arial" w:cs="Arial" w:eastAsia="Arial" w:hint="default"/>
          <w:spacing w:val="-3"/>
        </w:rPr>
        <w:t>90.1%</w:t>
      </w:r>
      <w:r>
        <w:rPr>
          <w:spacing w:val="-3"/>
        </w:rPr>
        <w:t>。随着互联网、移动互联网的用户规模及普及率的进一步提升，互联网、</w:t>
      </w:r>
      <w:r>
        <w:rPr>
          <w:spacing w:val="-109"/>
        </w:rPr>
        <w:t> </w:t>
      </w:r>
      <w:r>
        <w:rPr>
          <w:spacing w:val="-109"/>
        </w:rPr>
      </w:r>
      <w:r>
        <w:rPr/>
        <w:t>移动互联网领域将继续保持良好的发展机遇。</w:t>
      </w:r>
    </w:p>
    <w:p>
      <w:pPr>
        <w:spacing w:line="240" w:lineRule="auto" w:before="1"/>
        <w:rPr>
          <w:rFonts w:ascii="宋体" w:hAnsi="宋体" w:cs="宋体" w:eastAsia="宋体" w:hint="default"/>
          <w:sz w:val="7"/>
          <w:szCs w:val="7"/>
        </w:rPr>
      </w:pPr>
    </w:p>
    <w:p>
      <w:pPr>
        <w:spacing w:line="5535" w:lineRule="exact"/>
        <w:ind w:left="544" w:right="0" w:firstLine="0"/>
        <w:rPr>
          <w:rFonts w:ascii="宋体" w:hAnsi="宋体" w:cs="宋体" w:eastAsia="宋体" w:hint="default"/>
          <w:sz w:val="20"/>
          <w:szCs w:val="20"/>
        </w:rPr>
      </w:pPr>
      <w:r>
        <w:rPr>
          <w:rFonts w:ascii="宋体" w:hAnsi="宋体" w:cs="宋体" w:eastAsia="宋体" w:hint="default"/>
          <w:position w:val="-110"/>
          <w:sz w:val="20"/>
          <w:szCs w:val="20"/>
        </w:rPr>
        <w:drawing>
          <wp:inline distT="0" distB="0" distL="0" distR="0">
            <wp:extent cx="6057900" cy="3514725"/>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15" cstate="print"/>
                    <a:stretch>
                      <a:fillRect/>
                    </a:stretch>
                  </pic:blipFill>
                  <pic:spPr>
                    <a:xfrm>
                      <a:off x="0" y="0"/>
                      <a:ext cx="6057900" cy="3514725"/>
                    </a:xfrm>
                    <a:prstGeom prst="rect">
                      <a:avLst/>
                    </a:prstGeom>
                  </pic:spPr>
                </pic:pic>
              </a:graphicData>
            </a:graphic>
          </wp:inline>
        </w:drawing>
      </w:r>
      <w:r>
        <w:rPr>
          <w:rFonts w:ascii="宋体" w:hAnsi="宋体" w:cs="宋体" w:eastAsia="宋体" w:hint="default"/>
          <w:position w:val="-110"/>
          <w:sz w:val="20"/>
          <w:szCs w:val="20"/>
        </w:rPr>
      </w:r>
    </w:p>
    <w:p>
      <w:pPr>
        <w:spacing w:after="0" w:line="5535"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line="5713" w:lineRule="exact"/>
        <w:ind w:left="544" w:right="0" w:firstLine="0"/>
        <w:rPr>
          <w:rFonts w:ascii="宋体" w:hAnsi="宋体" w:cs="宋体" w:eastAsia="宋体" w:hint="default"/>
          <w:sz w:val="20"/>
          <w:szCs w:val="20"/>
        </w:rPr>
      </w:pPr>
      <w:r>
        <w:rPr>
          <w:rFonts w:ascii="宋体" w:hAnsi="宋体" w:cs="宋体" w:eastAsia="宋体" w:hint="default"/>
          <w:position w:val="-113"/>
          <w:sz w:val="20"/>
          <w:szCs w:val="20"/>
        </w:rPr>
        <w:drawing>
          <wp:inline distT="0" distB="0" distL="0" distR="0">
            <wp:extent cx="6075674" cy="3628263"/>
            <wp:effectExtent l="0" t="0" r="0" b="0"/>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16" cstate="print"/>
                    <a:stretch>
                      <a:fillRect/>
                    </a:stretch>
                  </pic:blipFill>
                  <pic:spPr>
                    <a:xfrm>
                      <a:off x="0" y="0"/>
                      <a:ext cx="6075674" cy="3628263"/>
                    </a:xfrm>
                    <a:prstGeom prst="rect">
                      <a:avLst/>
                    </a:prstGeom>
                  </pic:spPr>
                </pic:pic>
              </a:graphicData>
            </a:graphic>
          </wp:inline>
        </w:drawing>
      </w:r>
      <w:r>
        <w:rPr>
          <w:rFonts w:ascii="宋体" w:hAnsi="宋体" w:cs="宋体" w:eastAsia="宋体" w:hint="default"/>
          <w:position w:val="-113"/>
          <w:sz w:val="20"/>
          <w:szCs w:val="20"/>
        </w:rPr>
      </w:r>
    </w:p>
    <w:p>
      <w:pPr>
        <w:spacing w:line="240" w:lineRule="auto" w:before="7"/>
        <w:rPr>
          <w:rFonts w:ascii="宋体" w:hAnsi="宋体" w:cs="宋体" w:eastAsia="宋体" w:hint="default"/>
          <w:sz w:val="12"/>
          <w:szCs w:val="12"/>
        </w:rPr>
      </w:pPr>
    </w:p>
    <w:p>
      <w:pPr>
        <w:pStyle w:val="Heading5"/>
        <w:spacing w:line="367" w:lineRule="auto"/>
        <w:ind w:left="636" w:right="0"/>
        <w:jc w:val="left"/>
      </w:pPr>
      <w:r>
        <w:rPr/>
        <w:t>（</w:t>
      </w:r>
      <w:r>
        <w:rPr>
          <w:rFonts w:ascii="Arial" w:hAnsi="Arial" w:cs="Arial" w:eastAsia="Arial" w:hint="default"/>
        </w:rPr>
        <w:t>2</w:t>
      </w:r>
      <w:r>
        <w:rPr/>
        <w:t>）互联网金融行业发展空间巨大，但需加强监管、防范系统性风险 近年来互联网金融行业发展迅猛，各大互联网企业、传统金融企业纷纷进行各种战略布</w:t>
      </w:r>
    </w:p>
    <w:p>
      <w:pPr>
        <w:pStyle w:val="Heading5"/>
        <w:spacing w:line="352" w:lineRule="auto" w:before="27"/>
        <w:ind w:right="1132"/>
        <w:jc w:val="both"/>
      </w:pPr>
      <w:r>
        <w:rPr/>
        <w:t>局，但行业内企业良莠不齐，欺诈、“跑路”等现象时有发生。在互联网金融行业迅猛发展</w:t>
      </w:r>
      <w:r>
        <w:rPr>
          <w:spacing w:val="-114"/>
        </w:rPr>
        <w:t> </w:t>
      </w:r>
      <w:r>
        <w:rPr>
          <w:spacing w:val="-114"/>
        </w:rPr>
      </w:r>
      <w:r>
        <w:rPr/>
        <w:t>的同时，加强行业监管，防范系统性风险成为行业内的共识。</w:t>
      </w:r>
      <w:r>
        <w:rPr>
          <w:rFonts w:ascii="Arial" w:hAnsi="Arial" w:cs="Arial" w:eastAsia="Arial" w:hint="default"/>
        </w:rPr>
        <w:t>2015</w:t>
      </w:r>
      <w:r>
        <w:rPr/>
        <w:t>年</w:t>
      </w:r>
      <w:r>
        <w:rPr>
          <w:rFonts w:ascii="Arial" w:hAnsi="Arial" w:cs="Arial" w:eastAsia="Arial" w:hint="default"/>
        </w:rPr>
        <w:t>7</w:t>
      </w:r>
      <w:r>
        <w:rPr/>
        <w:t>月</w:t>
      </w:r>
      <w:r>
        <w:rPr>
          <w:rFonts w:ascii="Arial" w:hAnsi="Arial" w:cs="Arial" w:eastAsia="Arial" w:hint="default"/>
        </w:rPr>
        <w:t>18</w:t>
      </w:r>
      <w:r>
        <w:rPr/>
        <w:t>日，央行等十部</w:t>
      </w:r>
      <w:r>
        <w:rPr>
          <w:spacing w:val="-80"/>
        </w:rPr>
        <w:t> </w:t>
      </w:r>
      <w:r>
        <w:rPr>
          <w:spacing w:val="-80"/>
        </w:rPr>
      </w:r>
      <w:r>
        <w:rPr/>
        <w:t>委联合印发《关于促进互联网金融健康发展的指导意见》，明确提出鼓励金融创新，促进互 联网金融健康发展，明确监管责任，规范市场秩序，为公司互联网金融业务提供了良好的发 展机遇和空间。</w:t>
      </w:r>
    </w:p>
    <w:p>
      <w:pPr>
        <w:pStyle w:val="Heading5"/>
        <w:spacing w:line="240" w:lineRule="auto" w:before="80"/>
        <w:ind w:left="636" w:right="0"/>
        <w:jc w:val="left"/>
      </w:pPr>
      <w:r>
        <w:rPr/>
        <w:t>（</w:t>
      </w:r>
      <w:r>
        <w:rPr>
          <w:rFonts w:ascii="Arial" w:hAnsi="Arial" w:cs="Arial" w:eastAsia="Arial" w:hint="default"/>
        </w:rPr>
        <w:t>3</w:t>
      </w:r>
      <w:r>
        <w:rPr/>
        <w:t>）软件外包服务仍有持续发展空间</w:t>
      </w:r>
    </w:p>
    <w:p>
      <w:pPr>
        <w:pStyle w:val="Heading5"/>
        <w:spacing w:line="338" w:lineRule="auto" w:before="175"/>
        <w:ind w:right="1129" w:firstLine="482"/>
        <w:jc w:val="both"/>
      </w:pPr>
      <w:r>
        <w:rPr>
          <w:rFonts w:ascii="Arial" w:hAnsi="Arial" w:cs="Arial" w:eastAsia="Arial" w:hint="default"/>
          <w:spacing w:val="2"/>
        </w:rPr>
        <w:t>2015</w:t>
      </w:r>
      <w:r>
        <w:rPr>
          <w:spacing w:val="2"/>
        </w:rPr>
        <w:t>年</w:t>
      </w:r>
      <w:r>
        <w:rPr>
          <w:rFonts w:ascii="Arial" w:hAnsi="Arial" w:cs="Arial" w:eastAsia="Arial" w:hint="default"/>
          <w:spacing w:val="2"/>
        </w:rPr>
        <w:t>1</w:t>
      </w:r>
      <w:r>
        <w:rPr>
          <w:spacing w:val="2"/>
        </w:rPr>
        <w:t>月，国务院印发了《关于促进服务外包产业加快发展的意见》（国发</w:t>
      </w:r>
      <w:r>
        <w:rPr>
          <w:rFonts w:ascii="Arial" w:hAnsi="Arial" w:cs="Arial" w:eastAsia="Arial" w:hint="default"/>
          <w:spacing w:val="2"/>
        </w:rPr>
        <w:t>[2014]67</w:t>
      </w:r>
      <w:r>
        <w:rPr>
          <w:rFonts w:ascii="Arial" w:hAnsi="Arial" w:cs="Arial" w:eastAsia="Arial" w:hint="default"/>
          <w:w w:val="99"/>
        </w:rPr>
        <w:t> </w:t>
      </w:r>
      <w:r>
        <w:rPr>
          <w:spacing w:val="-1"/>
        </w:rPr>
        <w:t>号），这是国务院首次对促进服务外包产业加快发展作出全面部署。根据商务部统计，</w:t>
      </w:r>
      <w:r>
        <w:rPr>
          <w:rFonts w:ascii="Arial" w:hAnsi="Arial" w:cs="Arial" w:eastAsia="Arial" w:hint="default"/>
          <w:spacing w:val="-1"/>
        </w:rPr>
        <w:t>2015</w:t>
      </w:r>
      <w:r>
        <w:rPr>
          <w:rFonts w:ascii="Arial" w:hAnsi="Arial" w:cs="Arial" w:eastAsia="Arial" w:hint="default"/>
          <w:spacing w:val="-46"/>
        </w:rPr>
        <w:t> </w:t>
      </w:r>
      <w:r>
        <w:rPr>
          <w:spacing w:val="2"/>
        </w:rPr>
        <w:t>年中国承接服务外包合同金额达到</w:t>
      </w:r>
      <w:r>
        <w:rPr>
          <w:rFonts w:ascii="Arial" w:hAnsi="Arial" w:cs="Arial" w:eastAsia="Arial" w:hint="default"/>
          <w:spacing w:val="2"/>
        </w:rPr>
        <w:t>1,309.3</w:t>
      </w:r>
      <w:r>
        <w:rPr>
          <w:spacing w:val="2"/>
        </w:rPr>
        <w:t>亿美元，同比增长</w:t>
      </w:r>
      <w:r>
        <w:rPr>
          <w:rFonts w:ascii="Arial" w:hAnsi="Arial" w:cs="Arial" w:eastAsia="Arial" w:hint="default"/>
          <w:spacing w:val="2"/>
        </w:rPr>
        <w:t>22.1%</w:t>
      </w:r>
      <w:r>
        <w:rPr>
          <w:spacing w:val="2"/>
        </w:rPr>
        <w:t>；合同执行金额</w:t>
      </w:r>
      <w:r>
        <w:rPr>
          <w:rFonts w:ascii="Arial" w:hAnsi="Arial" w:cs="Arial" w:eastAsia="Arial" w:hint="default"/>
          <w:spacing w:val="2"/>
        </w:rPr>
        <w:t>966.9</w:t>
      </w:r>
      <w:r>
        <w:rPr>
          <w:spacing w:val="2"/>
        </w:rPr>
        <w:t>亿</w:t>
      </w:r>
      <w:r>
        <w:rPr>
          <w:spacing w:val="-117"/>
        </w:rPr>
        <w:t> </w:t>
      </w:r>
      <w:r>
        <w:rPr/>
        <w:t>美元，同比增长</w:t>
      </w:r>
      <w:r>
        <w:rPr>
          <w:rFonts w:ascii="Arial" w:hAnsi="Arial" w:cs="Arial" w:eastAsia="Arial" w:hint="default"/>
        </w:rPr>
        <w:t>18.9%</w:t>
      </w:r>
      <w:r>
        <w:rPr/>
        <w:t>。服务外包的不断壮大，将有力促进我国服务业发展，从而有助于增</w:t>
      </w:r>
      <w:r>
        <w:rPr>
          <w:spacing w:val="-58"/>
        </w:rPr>
        <w:t> </w:t>
      </w:r>
      <w:r>
        <w:rPr>
          <w:spacing w:val="-58"/>
        </w:rPr>
      </w:r>
      <w:r>
        <w:rPr/>
        <w:t>强中国经济整体实力和国际竞争力。</w:t>
      </w:r>
    </w:p>
    <w:p>
      <w:pPr>
        <w:spacing w:line="240" w:lineRule="auto" w:before="13"/>
        <w:rPr>
          <w:rFonts w:ascii="宋体" w:hAnsi="宋体" w:cs="宋体" w:eastAsia="宋体" w:hint="default"/>
          <w:sz w:val="22"/>
          <w:szCs w:val="22"/>
        </w:rPr>
      </w:pPr>
    </w:p>
    <w:p>
      <w:pPr>
        <w:pStyle w:val="Heading6"/>
        <w:spacing w:line="240" w:lineRule="auto"/>
        <w:ind w:right="0"/>
        <w:jc w:val="both"/>
        <w:rPr>
          <w:b w:val="0"/>
          <w:bCs w:val="0"/>
        </w:rPr>
      </w:pPr>
      <w:bookmarkStart w:name="2、公司发展战略及经营计划" w:id="59"/>
      <w:bookmarkEnd w:id="59"/>
      <w:r>
        <w:rPr>
          <w:b w:val="0"/>
          <w:bCs w:val="0"/>
        </w:rPr>
      </w:r>
      <w:r>
        <w:rPr>
          <w:rFonts w:ascii="Times New Roman" w:hAnsi="Times New Roman" w:cs="Times New Roman" w:eastAsia="Times New Roman" w:hint="default"/>
        </w:rPr>
        <w:t>2</w:t>
      </w:r>
      <w:r>
        <w:rPr/>
        <w:t>、公司发展战略及经营计划</w:t>
      </w:r>
      <w:r>
        <w:rPr>
          <w:b w:val="0"/>
          <w:bCs w:val="0"/>
        </w:rPr>
      </w:r>
    </w:p>
    <w:p>
      <w:pPr>
        <w:spacing w:line="240" w:lineRule="auto" w:before="10"/>
        <w:rPr>
          <w:rFonts w:ascii="宋体" w:hAnsi="宋体" w:cs="宋体" w:eastAsia="宋体" w:hint="default"/>
          <w:b/>
          <w:bCs/>
          <w:sz w:val="28"/>
          <w:szCs w:val="28"/>
        </w:rPr>
      </w:pPr>
    </w:p>
    <w:p>
      <w:pPr>
        <w:pStyle w:val="Heading5"/>
        <w:spacing w:line="357" w:lineRule="auto" w:before="0"/>
        <w:ind w:right="1131" w:firstLine="482"/>
        <w:jc w:val="both"/>
      </w:pPr>
      <w:r>
        <w:rPr/>
        <w:t>为实现将公司打造成为“基于互联网平台的一流综合服务商”这一战略目标，公司将继 </w:t>
      </w:r>
      <w:r>
        <w:rPr>
          <w:spacing w:val="-2"/>
        </w:rPr>
        <w:t>续立足于现有的超过</w:t>
      </w:r>
      <w:r>
        <w:rPr>
          <w:rFonts w:ascii="Arial" w:hAnsi="Arial" w:cs="Arial" w:eastAsia="Arial" w:hint="default"/>
          <w:spacing w:val="-2"/>
        </w:rPr>
        <w:t>4,500</w:t>
      </w:r>
      <w:r>
        <w:rPr>
          <w:spacing w:val="-2"/>
        </w:rPr>
        <w:t>万用户的“互联网上网入口平台”，继续加大现有的互联网信息服</w:t>
      </w:r>
    </w:p>
    <w:p>
      <w:pPr>
        <w:spacing w:after="0" w:line="357" w:lineRule="auto"/>
        <w:jc w:val="both"/>
        <w:sectPr>
          <w:pgSz w:w="11910" w:h="16840"/>
          <w:pgMar w:header="747" w:footer="979" w:top="1060" w:bottom="1160" w:left="980" w:right="0"/>
        </w:sectPr>
      </w:pPr>
    </w:p>
    <w:p>
      <w:pPr>
        <w:spacing w:line="240" w:lineRule="auto" w:before="9"/>
        <w:rPr>
          <w:rFonts w:ascii="宋体" w:hAnsi="宋体" w:cs="宋体" w:eastAsia="宋体" w:hint="default"/>
          <w:sz w:val="29"/>
          <w:szCs w:val="29"/>
        </w:rPr>
      </w:pPr>
    </w:p>
    <w:p>
      <w:pPr>
        <w:pStyle w:val="Heading5"/>
        <w:spacing w:line="386" w:lineRule="auto"/>
        <w:ind w:left="636" w:right="0" w:hanging="483"/>
        <w:jc w:val="left"/>
      </w:pPr>
      <w:r>
        <w:rPr/>
        <w:t>务、互联网金融服务及软件外包服务业务发展力度，巩固和扩大市场优势地位。 同时，公司将根据整体发展战略以及未来发展方向，积极采用收购兼并等方式整合行业</w:t>
      </w:r>
    </w:p>
    <w:p>
      <w:pPr>
        <w:pStyle w:val="Heading5"/>
        <w:spacing w:line="240" w:lineRule="auto" w:before="8"/>
        <w:ind w:right="0"/>
        <w:jc w:val="both"/>
      </w:pPr>
      <w:r>
        <w:rPr>
          <w:spacing w:val="-5"/>
        </w:rPr>
        <w:t>内优质资源，提升公司长期竞争优势，进一步提升公司价值，更好地回报上市公司全体股东。</w:t>
      </w:r>
    </w:p>
    <w:p>
      <w:pPr>
        <w:spacing w:line="240" w:lineRule="auto" w:before="12"/>
        <w:rPr>
          <w:rFonts w:ascii="宋体" w:hAnsi="宋体" w:cs="宋体" w:eastAsia="宋体" w:hint="default"/>
          <w:sz w:val="29"/>
          <w:szCs w:val="29"/>
        </w:rPr>
      </w:pPr>
    </w:p>
    <w:p>
      <w:pPr>
        <w:spacing w:before="0"/>
        <w:ind w:left="153" w:right="0" w:firstLine="0"/>
        <w:jc w:val="both"/>
        <w:rPr>
          <w:rFonts w:ascii="宋体" w:hAnsi="宋体" w:cs="宋体" w:eastAsia="宋体" w:hint="default"/>
          <w:sz w:val="22"/>
          <w:szCs w:val="22"/>
        </w:rPr>
      </w:pPr>
      <w:bookmarkStart w:name="3、2016年度公司经营计划" w:id="60"/>
      <w:bookmarkEnd w:id="60"/>
      <w:r>
        <w:rPr/>
      </w:r>
      <w:r>
        <w:rPr>
          <w:rFonts w:ascii="Times New Roman" w:hAnsi="Times New Roman" w:cs="Times New Roman" w:eastAsia="Times New Roman" w:hint="default"/>
          <w:b/>
          <w:bCs/>
          <w:sz w:val="22"/>
          <w:szCs w:val="22"/>
        </w:rPr>
        <w:t>3</w:t>
      </w:r>
      <w:r>
        <w:rPr>
          <w:rFonts w:ascii="宋体" w:hAnsi="宋体" w:cs="宋体" w:eastAsia="宋体" w:hint="default"/>
          <w:b/>
          <w:bCs/>
          <w:sz w:val="22"/>
          <w:szCs w:val="22"/>
        </w:rPr>
        <w:t>、</w:t>
      </w:r>
      <w:r>
        <w:rPr>
          <w:rFonts w:ascii="Times New Roman" w:hAnsi="Times New Roman" w:cs="Times New Roman" w:eastAsia="Times New Roman" w:hint="default"/>
          <w:b/>
          <w:bCs/>
          <w:sz w:val="22"/>
          <w:szCs w:val="22"/>
        </w:rPr>
        <w:t>2016</w:t>
      </w:r>
      <w:r>
        <w:rPr>
          <w:rFonts w:ascii="Times New Roman" w:hAnsi="Times New Roman" w:cs="Times New Roman" w:eastAsia="Times New Roman" w:hint="default"/>
          <w:b/>
          <w:bCs/>
          <w:spacing w:val="-12"/>
          <w:sz w:val="22"/>
          <w:szCs w:val="22"/>
        </w:rPr>
        <w:t> </w:t>
      </w:r>
      <w:r>
        <w:rPr>
          <w:rFonts w:ascii="宋体" w:hAnsi="宋体" w:cs="宋体" w:eastAsia="宋体" w:hint="default"/>
          <w:b/>
          <w:bCs/>
          <w:sz w:val="22"/>
          <w:szCs w:val="22"/>
        </w:rPr>
        <w:t>年度公司经营计划</w:t>
      </w:r>
      <w:r>
        <w:rPr>
          <w:rFonts w:ascii="宋体" w:hAnsi="宋体" w:cs="宋体" w:eastAsia="宋体" w:hint="default"/>
          <w:sz w:val="22"/>
          <w:szCs w:val="22"/>
        </w:rPr>
      </w:r>
    </w:p>
    <w:p>
      <w:pPr>
        <w:spacing w:line="240" w:lineRule="auto" w:before="4"/>
        <w:rPr>
          <w:rFonts w:ascii="宋体" w:hAnsi="宋体" w:cs="宋体" w:eastAsia="宋体" w:hint="default"/>
          <w:b/>
          <w:bCs/>
          <w:sz w:val="28"/>
          <w:szCs w:val="28"/>
        </w:rPr>
      </w:pPr>
    </w:p>
    <w:p>
      <w:pPr>
        <w:pStyle w:val="Heading5"/>
        <w:spacing w:line="340" w:lineRule="auto" w:before="0"/>
        <w:ind w:left="154" w:right="0" w:firstLine="482"/>
        <w:jc w:val="left"/>
      </w:pPr>
      <w:r>
        <w:rPr>
          <w:spacing w:val="-1"/>
        </w:rPr>
        <w:t>为实现“基于互联网平台的一流综合服务商”这一战略目标，</w:t>
      </w:r>
      <w:r>
        <w:rPr>
          <w:rFonts w:ascii="Arial" w:hAnsi="Arial" w:cs="Arial" w:eastAsia="Arial" w:hint="default"/>
          <w:spacing w:val="-1"/>
        </w:rPr>
        <w:t>2016</w:t>
      </w:r>
      <w:r>
        <w:rPr>
          <w:spacing w:val="-1"/>
        </w:rPr>
        <w:t>年，公司将重点做好</w:t>
      </w:r>
      <w:r>
        <w:rPr/>
        <w:t> 以下工作：</w:t>
      </w:r>
    </w:p>
    <w:p>
      <w:pPr>
        <w:pStyle w:val="Heading5"/>
        <w:spacing w:line="367" w:lineRule="auto" w:before="94"/>
        <w:ind w:left="636" w:right="0"/>
        <w:jc w:val="left"/>
      </w:pPr>
      <w:r>
        <w:rPr/>
        <w:t>（</w:t>
      </w:r>
      <w:r>
        <w:rPr>
          <w:rFonts w:ascii="Arial" w:hAnsi="Arial" w:cs="Arial" w:eastAsia="Arial" w:hint="default"/>
        </w:rPr>
        <w:t>1</w:t>
      </w:r>
      <w:r>
        <w:rPr/>
        <w:t>）互联网信息服务及互联网金融服务领域 继续完善</w:t>
      </w:r>
      <w:r>
        <w:rPr>
          <w:rFonts w:ascii="Arial" w:hAnsi="Arial" w:cs="Arial" w:eastAsia="Arial" w:hint="default"/>
        </w:rPr>
        <w:t>PC</w:t>
      </w:r>
      <w:r>
        <w:rPr/>
        <w:t>端生态，在</w:t>
      </w:r>
      <w:r>
        <w:rPr>
          <w:rFonts w:ascii="Arial" w:hAnsi="Arial" w:cs="Arial" w:eastAsia="Arial" w:hint="default"/>
        </w:rPr>
        <w:t>2345</w:t>
      </w:r>
      <w:r>
        <w:rPr/>
        <w:t>网址导航和</w:t>
      </w:r>
      <w:r>
        <w:rPr>
          <w:rFonts w:ascii="Arial" w:hAnsi="Arial" w:cs="Arial" w:eastAsia="Arial" w:hint="default"/>
        </w:rPr>
        <w:t>2345</w:t>
      </w:r>
      <w:r>
        <w:rPr/>
        <w:t>王牌浏览器等传统产品上继续加强研发优</w:t>
      </w:r>
    </w:p>
    <w:p>
      <w:pPr>
        <w:pStyle w:val="Heading5"/>
        <w:spacing w:line="357" w:lineRule="auto" w:before="0"/>
        <w:ind w:right="1129"/>
        <w:jc w:val="both"/>
      </w:pPr>
      <w:r>
        <w:rPr/>
        <w:t>化产品、增补产品线，并继续助推“内容型网址导航”的转型，实现网址导航“内容化、垂</w:t>
      </w:r>
      <w:r>
        <w:rPr>
          <w:spacing w:val="-107"/>
        </w:rPr>
        <w:t> </w:t>
      </w:r>
      <w:r>
        <w:rPr>
          <w:spacing w:val="-107"/>
        </w:rPr>
      </w:r>
      <w:r>
        <w:rPr/>
        <w:t>直化、个性化、平台化”。在商业模式上，继续重视基于内容的增值服务的挖掘，以及通过</w:t>
      </w:r>
      <w:r>
        <w:rPr>
          <w:spacing w:val="-117"/>
        </w:rPr>
        <w:t> </w:t>
      </w:r>
      <w:r>
        <w:rPr>
          <w:spacing w:val="-117"/>
        </w:rPr>
      </w:r>
      <w:r>
        <w:rPr/>
        <w:t>合作扩大共享经济。</w:t>
      </w:r>
    </w:p>
    <w:p>
      <w:pPr>
        <w:pStyle w:val="Heading5"/>
        <w:spacing w:line="338" w:lineRule="auto" w:before="74"/>
        <w:ind w:right="1015" w:firstLine="482"/>
        <w:jc w:val="left"/>
      </w:pPr>
      <w:r>
        <w:rPr>
          <w:rFonts w:ascii="Arial" w:hAnsi="Arial" w:cs="Arial" w:eastAsia="Arial" w:hint="default"/>
        </w:rPr>
        <w:t>2016</w:t>
      </w:r>
      <w:r>
        <w:rPr/>
        <w:t>年，公司将继续加大在移动端的投入力度，一方面关注产品本身，用研发和创新能 力驱动产品升级，扩大</w:t>
      </w:r>
      <w:r>
        <w:rPr>
          <w:rFonts w:ascii="Arial" w:hAnsi="Arial" w:cs="Arial" w:eastAsia="Arial" w:hint="default"/>
        </w:rPr>
        <w:t>2345</w:t>
      </w:r>
      <w:r>
        <w:rPr/>
        <w:t>移动产品线在国内的市场占有率；另一方面，同多渠道合作加速 </w:t>
      </w:r>
      <w:r>
        <w:rPr>
          <w:spacing w:val="2"/>
        </w:rPr>
        <w:t>与国内外移动市场的融合，不断提升</w:t>
      </w:r>
      <w:r>
        <w:rPr>
          <w:rFonts w:ascii="Arial" w:hAnsi="Arial" w:cs="Arial" w:eastAsia="Arial" w:hint="default"/>
          <w:spacing w:val="2"/>
        </w:rPr>
        <w:t>2345</w:t>
      </w:r>
      <w:r>
        <w:rPr>
          <w:spacing w:val="2"/>
        </w:rPr>
        <w:t>移动产品的品牌知名度、用户规模、行业影响力，</w:t>
      </w:r>
      <w:r>
        <w:rPr>
          <w:spacing w:val="-117"/>
        </w:rPr>
        <w:t> </w:t>
      </w:r>
      <w:r>
        <w:rPr>
          <w:spacing w:val="-117"/>
        </w:rPr>
      </w:r>
      <w:r>
        <w:rPr/>
        <w:t>并不断提升在移动端流量变现的能力。</w:t>
      </w:r>
    </w:p>
    <w:p>
      <w:pPr>
        <w:pStyle w:val="Heading5"/>
        <w:spacing w:line="348" w:lineRule="auto" w:before="95"/>
        <w:ind w:right="1132" w:firstLine="482"/>
        <w:jc w:val="both"/>
      </w:pPr>
      <w:r>
        <w:rPr>
          <w:rFonts w:ascii="Arial" w:hAnsi="Arial" w:cs="Arial" w:eastAsia="Arial" w:hint="default"/>
          <w:spacing w:val="-1"/>
        </w:rPr>
        <w:t>2016</w:t>
      </w:r>
      <w:r>
        <w:rPr>
          <w:spacing w:val="-1"/>
        </w:rPr>
        <w:t>年，公司将进一步提升互联网金融业务的战略地位，充分发挥二三四五海量用户优</w:t>
      </w:r>
      <w:r>
        <w:rPr/>
        <w:t> 势和互联网金融产品的研发优势，从战略层面进一步推进公司在互联网消费金融领域的业务 建设，用更“专”更“精”的产品定位，助推二三四五互联网金融平台的建设与发展。</w:t>
      </w:r>
    </w:p>
    <w:p>
      <w:pPr>
        <w:pStyle w:val="Heading5"/>
        <w:spacing w:line="367" w:lineRule="auto" w:before="85"/>
        <w:ind w:left="636" w:right="0"/>
        <w:jc w:val="left"/>
      </w:pPr>
      <w:r>
        <w:rPr/>
        <w:t>（</w:t>
      </w:r>
      <w:r>
        <w:rPr>
          <w:rFonts w:ascii="Arial" w:hAnsi="Arial" w:cs="Arial" w:eastAsia="Arial" w:hint="default"/>
        </w:rPr>
        <w:t>2</w:t>
      </w:r>
      <w:r>
        <w:rPr/>
        <w:t>）软件外包服务领域 公司将集中优势资源，不断扩大业务规模，开源节流提高盈利能力；加大开拓新客户的</w:t>
      </w:r>
    </w:p>
    <w:p>
      <w:pPr>
        <w:pStyle w:val="Heading5"/>
        <w:spacing w:line="240" w:lineRule="auto" w:before="28"/>
        <w:ind w:right="0"/>
        <w:jc w:val="both"/>
      </w:pPr>
      <w:r>
        <w:rPr/>
        <w:t>力度，扩大公司在软件外包行业的市场份额，并努力提高人均效益，提升盈利能力。</w:t>
      </w:r>
    </w:p>
    <w:p>
      <w:pPr>
        <w:pStyle w:val="Heading5"/>
        <w:spacing w:line="367" w:lineRule="auto" w:before="194"/>
        <w:ind w:left="636" w:right="0"/>
        <w:jc w:val="left"/>
      </w:pPr>
      <w:r>
        <w:rPr/>
        <w:t>（</w:t>
      </w:r>
      <w:r>
        <w:rPr>
          <w:rFonts w:ascii="Arial" w:hAnsi="Arial" w:cs="Arial" w:eastAsia="Arial" w:hint="default"/>
        </w:rPr>
        <w:t>3</w:t>
      </w:r>
      <w:r>
        <w:rPr/>
        <w:t>）加强募投项目建设与管理 </w:t>
      </w:r>
      <w:r>
        <w:rPr>
          <w:spacing w:val="-4"/>
        </w:rPr>
        <w:t>报告期内，公司继续加大研发力度，</w:t>
      </w:r>
      <w:r>
        <w:rPr>
          <w:rFonts w:ascii="Arial" w:hAnsi="Arial" w:cs="Arial" w:eastAsia="Arial" w:hint="default"/>
          <w:spacing w:val="-4"/>
        </w:rPr>
        <w:t>2014</w:t>
      </w:r>
      <w:r>
        <w:rPr>
          <w:spacing w:val="-4"/>
        </w:rPr>
        <w:t>年公司重大资产重组涉及的精准营销平台项目、</w:t>
      </w:r>
    </w:p>
    <w:p>
      <w:pPr>
        <w:pStyle w:val="Heading5"/>
        <w:spacing w:line="345" w:lineRule="auto" w:before="0"/>
        <w:ind w:left="154" w:right="1131"/>
        <w:jc w:val="both"/>
      </w:pPr>
      <w:r>
        <w:rPr>
          <w:spacing w:val="-2"/>
        </w:rPr>
        <w:t>移动互联网项目、</w:t>
      </w:r>
      <w:r>
        <w:rPr>
          <w:rFonts w:ascii="Arial" w:hAnsi="Arial" w:cs="Arial" w:eastAsia="Arial" w:hint="default"/>
          <w:spacing w:val="-2"/>
        </w:rPr>
        <w:t>PC</w:t>
      </w:r>
      <w:r>
        <w:rPr>
          <w:spacing w:val="-2"/>
        </w:rPr>
        <w:t>端用户增长项目、垂直搜索项目、研发中心项目等五个募投项目均按计</w:t>
      </w:r>
      <w:r>
        <w:rPr>
          <w:spacing w:val="-94"/>
        </w:rPr>
        <w:t> </w:t>
      </w:r>
      <w:r>
        <w:rPr>
          <w:spacing w:val="-94"/>
        </w:rPr>
      </w:r>
      <w:r>
        <w:rPr>
          <w:spacing w:val="-1"/>
        </w:rPr>
        <w:t>划顺利进行中；公司</w:t>
      </w:r>
      <w:r>
        <w:rPr>
          <w:rFonts w:ascii="Arial" w:hAnsi="Arial" w:cs="Arial" w:eastAsia="Arial" w:hint="default"/>
          <w:spacing w:val="-1"/>
        </w:rPr>
        <w:t>2015</w:t>
      </w:r>
      <w:r>
        <w:rPr>
          <w:spacing w:val="-1"/>
        </w:rPr>
        <w:t>年非公开发行股票计划涉及的互联网金融平台项目和互联网金融超</w:t>
      </w:r>
      <w:r>
        <w:rPr>
          <w:spacing w:val="-99"/>
        </w:rPr>
        <w:t> </w:t>
      </w:r>
      <w:r>
        <w:rPr/>
        <w:t>市项目等募投项目亦稳步推进中，为未来持续快速发展打下坚实基础。公司将根据证监会和 深交所的有关规定，继续加强募投项目建设与管理，合理、规范、高效地实施募投项目。</w:t>
      </w:r>
    </w:p>
    <w:p>
      <w:pPr>
        <w:pStyle w:val="Heading5"/>
        <w:spacing w:line="240" w:lineRule="auto" w:before="88"/>
        <w:ind w:left="636" w:right="0"/>
        <w:jc w:val="left"/>
      </w:pPr>
      <w:r>
        <w:rPr/>
        <w:t>（</w:t>
      </w:r>
      <w:r>
        <w:rPr>
          <w:rFonts w:ascii="Arial" w:hAnsi="Arial" w:cs="Arial" w:eastAsia="Arial" w:hint="default"/>
        </w:rPr>
        <w:t>4</w:t>
      </w:r>
      <w:r>
        <w:rPr/>
        <w:t>）积极采用收购兼并等方式整合行业内优质资源</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Heading5"/>
        <w:spacing w:line="357" w:lineRule="auto"/>
        <w:ind w:right="1136" w:firstLine="482"/>
        <w:jc w:val="both"/>
      </w:pPr>
      <w:r>
        <w:rPr/>
        <w:t>在“大众创业、万众创新”的大潮中，公司将抓住难得的历史机遇，继续根据整体发展 战略以及未来发展方向，在互联网及金融投资领域投入更多资源，积极采用收购兼并等方式 整合行业内优质资源，为公司发展长期可持续发展寻找新的增长点，为全体股东创造更多价 值。</w:t>
      </w:r>
    </w:p>
    <w:p>
      <w:pPr>
        <w:spacing w:line="240" w:lineRule="auto" w:before="5"/>
        <w:rPr>
          <w:rFonts w:ascii="宋体" w:hAnsi="宋体" w:cs="宋体" w:eastAsia="宋体" w:hint="default"/>
          <w:sz w:val="21"/>
          <w:szCs w:val="21"/>
        </w:rPr>
      </w:pPr>
    </w:p>
    <w:p>
      <w:pPr>
        <w:pStyle w:val="Heading6"/>
        <w:spacing w:line="240" w:lineRule="auto"/>
        <w:ind w:left="154" w:right="0"/>
        <w:jc w:val="both"/>
        <w:rPr>
          <w:b w:val="0"/>
          <w:bCs w:val="0"/>
        </w:rPr>
      </w:pPr>
      <w:bookmarkStart w:name="4、可能面临的风险因素" w:id="61"/>
      <w:bookmarkEnd w:id="61"/>
      <w:r>
        <w:rPr>
          <w:b w:val="0"/>
          <w:bCs w:val="0"/>
        </w:rPr>
      </w:r>
      <w:r>
        <w:rPr>
          <w:rFonts w:ascii="Times New Roman" w:hAnsi="Times New Roman" w:cs="Times New Roman" w:eastAsia="Times New Roman" w:hint="default"/>
        </w:rPr>
        <w:t>4</w:t>
      </w:r>
      <w:r>
        <w:rPr/>
        <w:t>、可能面临的风险因素</w:t>
      </w:r>
      <w:r>
        <w:rPr>
          <w:b w:val="0"/>
          <w:bCs w:val="0"/>
        </w:rPr>
      </w:r>
    </w:p>
    <w:p>
      <w:pPr>
        <w:spacing w:line="240" w:lineRule="auto" w:before="11"/>
        <w:rPr>
          <w:rFonts w:ascii="宋体" w:hAnsi="宋体" w:cs="宋体" w:eastAsia="宋体" w:hint="default"/>
          <w:b/>
          <w:bCs/>
          <w:sz w:val="28"/>
          <w:szCs w:val="28"/>
        </w:rPr>
      </w:pPr>
    </w:p>
    <w:p>
      <w:pPr>
        <w:pStyle w:val="Heading5"/>
        <w:spacing w:line="357" w:lineRule="auto" w:before="0"/>
        <w:ind w:left="154" w:right="1136" w:firstLine="482"/>
        <w:jc w:val="both"/>
      </w:pPr>
      <w:r>
        <w:rPr/>
        <w:t>除本报告“重大风险提示”章节列示的可能存在的重大风险外，公司目前不存在影响公 司正常经营的重大风险。公司的日常经营存在以下可能的风险因素：</w:t>
      </w:r>
    </w:p>
    <w:p>
      <w:pPr>
        <w:pStyle w:val="Heading5"/>
        <w:spacing w:line="367" w:lineRule="auto" w:before="76"/>
        <w:ind w:left="636" w:right="0"/>
        <w:jc w:val="left"/>
      </w:pPr>
      <w:r>
        <w:rPr/>
        <w:t>（</w:t>
      </w:r>
      <w:r>
        <w:rPr>
          <w:rFonts w:ascii="Arial" w:hAnsi="Arial" w:cs="Arial" w:eastAsia="Arial" w:hint="default"/>
        </w:rPr>
        <w:t>1</w:t>
      </w:r>
      <w:r>
        <w:rPr/>
        <w:t>）行业监管和产业政策风险 互联网信息服务领域，行业整体保持良好发展势头，但“流氓软件”、“钓鱼网站”等</w:t>
      </w:r>
    </w:p>
    <w:p>
      <w:pPr>
        <w:pStyle w:val="Heading5"/>
        <w:spacing w:line="357" w:lineRule="auto"/>
        <w:ind w:right="1136"/>
        <w:jc w:val="both"/>
      </w:pPr>
      <w:r>
        <w:rPr/>
        <w:t>不良行为仍大量存在，行业内企业为争夺用户资源而引发冲突的事件时有发生，严重损害了</w:t>
      </w:r>
      <w:r>
        <w:rPr>
          <w:spacing w:val="-116"/>
        </w:rPr>
        <w:t> </w:t>
      </w:r>
      <w:r>
        <w:rPr>
          <w:spacing w:val="-116"/>
        </w:rPr>
      </w:r>
      <w:r>
        <w:rPr/>
        <w:t>网民利益，干扰了市场的正常运营秩序。如果政府监管部门针对互联网安全管理、网址导航 站管理、软件下载监管以及电信资源等领域的政策发生变化，则可能对公司未来业务发展造 成一定影响。</w:t>
      </w:r>
    </w:p>
    <w:p>
      <w:pPr>
        <w:pStyle w:val="Heading5"/>
        <w:spacing w:line="355" w:lineRule="auto" w:before="74"/>
        <w:ind w:right="1130" w:firstLine="482"/>
        <w:jc w:val="both"/>
      </w:pPr>
      <w:r>
        <w:rPr/>
        <w:t>互联网金融服务领域，防范金融风险、守住不发生系统性和区域性金融风险的底线是所 </w:t>
      </w:r>
      <w:r>
        <w:rPr>
          <w:spacing w:val="-5"/>
        </w:rPr>
        <w:t>有工作的重中之重。随着互联网金融业务的迅猛发展，行业内企业良莠不齐，欺诈、“跑路”</w:t>
      </w:r>
      <w:r>
        <w:rPr>
          <w:spacing w:val="-118"/>
        </w:rPr>
        <w:t> </w:t>
      </w:r>
      <w:r>
        <w:rPr>
          <w:spacing w:val="-118"/>
        </w:rPr>
      </w:r>
      <w:r>
        <w:rPr/>
        <w:t>等各种风险事件时有发生。</w:t>
      </w:r>
      <w:r>
        <w:rPr>
          <w:rFonts w:ascii="Arial" w:hAnsi="Arial" w:cs="Arial" w:eastAsia="Arial" w:hint="default"/>
        </w:rPr>
        <w:t>2015</w:t>
      </w:r>
      <w:r>
        <w:rPr/>
        <w:t>年</w:t>
      </w:r>
      <w:r>
        <w:rPr>
          <w:rFonts w:ascii="Arial" w:hAnsi="Arial" w:cs="Arial" w:eastAsia="Arial" w:hint="default"/>
        </w:rPr>
        <w:t>7</w:t>
      </w:r>
      <w:r>
        <w:rPr/>
        <w:t>月</w:t>
      </w:r>
      <w:r>
        <w:rPr>
          <w:rFonts w:ascii="Arial" w:hAnsi="Arial" w:cs="Arial" w:eastAsia="Arial" w:hint="default"/>
        </w:rPr>
        <w:t>18</w:t>
      </w:r>
      <w:r>
        <w:rPr/>
        <w:t>日，央行等十部委联合印发《关于促进互联网金融</w:t>
      </w:r>
      <w:r>
        <w:rPr>
          <w:spacing w:val="-84"/>
        </w:rPr>
        <w:t> </w:t>
      </w:r>
      <w:r>
        <w:rPr>
          <w:spacing w:val="-84"/>
        </w:rPr>
      </w:r>
      <w:r>
        <w:rPr>
          <w:spacing w:val="-5"/>
        </w:rPr>
        <w:t>健康发展的指导意见》，明确提出鼓励金融创新，促进互联网金融健康发展，明确监管责任，</w:t>
      </w:r>
      <w:r>
        <w:rPr/>
        <w:t> 规范市场秩序，为公司互联网金融业务提供了良好的发展机遇和空间。但若未来国家对相关 产业政策进行调整，公司互联网金融业务将可能会受到一定影响。</w:t>
      </w:r>
    </w:p>
    <w:p>
      <w:pPr>
        <w:pStyle w:val="Heading5"/>
        <w:spacing w:line="367" w:lineRule="auto" w:before="78"/>
        <w:ind w:left="636" w:right="0"/>
        <w:jc w:val="left"/>
      </w:pPr>
      <w:r>
        <w:rPr/>
        <w:t>（</w:t>
      </w:r>
      <w:r>
        <w:rPr>
          <w:rFonts w:ascii="Arial" w:hAnsi="Arial" w:cs="Arial" w:eastAsia="Arial" w:hint="default"/>
        </w:rPr>
        <w:t>2</w:t>
      </w:r>
      <w:r>
        <w:rPr/>
        <w:t>）市场竞争的风险 </w:t>
      </w:r>
      <w:r>
        <w:rPr>
          <w:spacing w:val="-3"/>
        </w:rPr>
        <w:t>公司从事的互联网信息服务、互联网金融服务及软件外包服务均存在着激烈的市场竞争。</w:t>
      </w:r>
    </w:p>
    <w:p>
      <w:pPr>
        <w:pStyle w:val="Heading5"/>
        <w:spacing w:line="357" w:lineRule="auto"/>
        <w:ind w:right="1139"/>
        <w:jc w:val="both"/>
      </w:pPr>
      <w:r>
        <w:rPr/>
        <w:t>如果公司不能充分利用已有优势资源，不断巩固和扩大市场份额，可能导致公司未来持续快 速发展存在一定的不确定因素。</w:t>
      </w:r>
    </w:p>
    <w:p>
      <w:pPr>
        <w:pStyle w:val="Heading5"/>
        <w:spacing w:line="367" w:lineRule="auto" w:before="76"/>
        <w:ind w:left="636" w:right="0"/>
        <w:jc w:val="left"/>
      </w:pPr>
      <w:r>
        <w:rPr/>
        <w:t>（</w:t>
      </w:r>
      <w:r>
        <w:rPr>
          <w:rFonts w:ascii="Arial" w:hAnsi="Arial" w:cs="Arial" w:eastAsia="Arial" w:hint="default"/>
        </w:rPr>
        <w:t>3</w:t>
      </w:r>
      <w:r>
        <w:rPr/>
        <w:t>）信息安全的风险 公司从事的互联网信息服务、互联网金融服务兼具互联网和金融的双重属性，其信息安</w:t>
      </w:r>
    </w:p>
    <w:p>
      <w:pPr>
        <w:pStyle w:val="Heading5"/>
        <w:spacing w:line="357" w:lineRule="auto" w:before="27"/>
        <w:ind w:right="1139"/>
        <w:jc w:val="both"/>
      </w:pPr>
      <w:r>
        <w:rPr/>
        <w:t>全既包括网络信息安全又包括金融安全。一旦用户数据遭到窃取、泄露、非法篡改将对客户 隐私、客户权益甚至人身安全构成一定威胁；同时，互联网金融的金融属性，要求对用户的 资金信息、业务处理信息和数据交换信息等保证绝对安全和保密。因此，公司在业务开展过</w:t>
      </w:r>
    </w:p>
    <w:p>
      <w:pPr>
        <w:spacing w:after="0" w:line="357" w:lineRule="auto"/>
        <w:jc w:val="both"/>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Heading5"/>
        <w:spacing w:line="357" w:lineRule="auto"/>
        <w:ind w:right="1139"/>
        <w:jc w:val="both"/>
      </w:pPr>
      <w:r>
        <w:rPr/>
        <w:t>程中依然面临着计算机软硬件发生故障、系统遭到黑客攻击、数据安全受到威胁等信息安全 风险。</w:t>
      </w:r>
    </w:p>
    <w:p>
      <w:pPr>
        <w:pStyle w:val="Heading5"/>
        <w:spacing w:line="367" w:lineRule="auto" w:before="76"/>
        <w:ind w:left="636" w:right="0"/>
        <w:jc w:val="left"/>
      </w:pPr>
      <w:r>
        <w:rPr/>
        <w:t>（</w:t>
      </w:r>
      <w:r>
        <w:rPr>
          <w:rFonts w:ascii="Arial" w:hAnsi="Arial" w:cs="Arial" w:eastAsia="Arial" w:hint="default"/>
        </w:rPr>
        <w:t>4</w:t>
      </w:r>
      <w:r>
        <w:rPr/>
        <w:t>）经营管理的风险 </w:t>
      </w:r>
      <w:r>
        <w:rPr>
          <w:spacing w:val="-6"/>
        </w:rPr>
        <w:t>近年来公司的业务范围、资产规模、人员规模均不断扩大，公司在战略投资、经营管理、</w:t>
      </w:r>
    </w:p>
    <w:p>
      <w:pPr>
        <w:pStyle w:val="Heading5"/>
        <w:spacing w:line="357" w:lineRule="auto"/>
        <w:ind w:right="1137"/>
        <w:jc w:val="both"/>
      </w:pPr>
      <w:r>
        <w:rPr/>
        <w:t>内部控制、募集资金管理等方面面临一定的管理压力。如果公司管理层不能审时度势及时应</w:t>
      </w:r>
      <w:r>
        <w:rPr>
          <w:spacing w:val="-117"/>
        </w:rPr>
        <w:t> </w:t>
      </w:r>
      <w:r>
        <w:rPr>
          <w:spacing w:val="-117"/>
        </w:rPr>
      </w:r>
      <w:r>
        <w:rPr/>
        <w:t>对各种内部、外部环境的变化，并通过不但完善管理体制、健全激励与约束机制以及增强执 行力，将可能阻碍公司业务的正常推进或错失发展机遇，从而影响公司长远发展。</w:t>
      </w:r>
    </w:p>
    <w:p>
      <w:pPr>
        <w:pStyle w:val="Heading5"/>
        <w:spacing w:line="367" w:lineRule="auto" w:before="76"/>
        <w:ind w:left="636" w:right="0"/>
        <w:jc w:val="left"/>
      </w:pPr>
      <w:r>
        <w:rPr/>
        <w:t>（</w:t>
      </w:r>
      <w:r>
        <w:rPr>
          <w:rFonts w:ascii="Arial" w:hAnsi="Arial" w:cs="Arial" w:eastAsia="Arial" w:hint="default"/>
        </w:rPr>
        <w:t>5</w:t>
      </w:r>
      <w:r>
        <w:rPr/>
        <w:t>）人才资源的风险 人才资源是公司赖以生存和持续发展的关键因素。近年来随着互联网、金融等领域的快</w:t>
      </w:r>
    </w:p>
    <w:p>
      <w:pPr>
        <w:pStyle w:val="Heading5"/>
        <w:spacing w:line="357" w:lineRule="auto"/>
        <w:ind w:right="1139"/>
        <w:jc w:val="both"/>
      </w:pPr>
      <w:r>
        <w:rPr/>
        <w:t>速发展，对具有丰富经验的高端技术人才及管理人才的争夺日趋激烈，从而对公司的人力资 源扩张造成一定的威胁。此外，近年来人力成本的不断上升，亦导致公司的运营成本有所上 升，使得公司存在一定的人才引进、稳定和发展的风险。</w:t>
      </w:r>
    </w:p>
    <w:p>
      <w:pPr>
        <w:spacing w:line="240" w:lineRule="auto" w:before="10"/>
        <w:rPr>
          <w:rFonts w:ascii="宋体" w:hAnsi="宋体" w:cs="宋体" w:eastAsia="宋体" w:hint="default"/>
          <w:sz w:val="19"/>
          <w:szCs w:val="19"/>
        </w:rPr>
      </w:pPr>
    </w:p>
    <w:p>
      <w:pPr>
        <w:pStyle w:val="Heading4"/>
        <w:spacing w:line="240" w:lineRule="auto"/>
        <w:ind w:right="0"/>
        <w:jc w:val="both"/>
        <w:rPr>
          <w:b w:val="0"/>
          <w:bCs w:val="0"/>
        </w:rPr>
      </w:pPr>
      <w:bookmarkStart w:name="十、接待调研、沟通、采访等活动" w:id="62"/>
      <w:bookmarkEnd w:id="62"/>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both"/>
        <w:rPr>
          <w:b w:val="0"/>
          <w:bCs w:val="0"/>
        </w:rPr>
      </w:pPr>
      <w:bookmarkStart w:name="1、报告期内接待调研、沟通、采访等活动登记表" w:id="63"/>
      <w:bookmarkEnd w:id="63"/>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p>
            <w:pPr>
              <w:pStyle w:val="TableParagraph"/>
              <w:spacing w:line="302" w:lineRule="auto" w:before="61"/>
              <w:ind w:left="23" w:right="7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 </w:t>
            </w:r>
            <w:r>
              <w:rPr>
                <w:rFonts w:ascii="宋体" w:hAnsi="宋体" w:cs="宋体" w:eastAsia="宋体" w:hint="default"/>
                <w:spacing w:val="-6"/>
                <w:sz w:val="18"/>
                <w:szCs w:val="18"/>
              </w:rPr>
              <w:t>录表》（编号：</w:t>
            </w:r>
            <w:r>
              <w:rPr>
                <w:rFonts w:ascii="Times New Roman" w:hAnsi="Times New Roman" w:cs="Times New Roman" w:eastAsia="Times New Roman" w:hint="default"/>
                <w:spacing w:val="-6"/>
                <w:sz w:val="18"/>
                <w:szCs w:val="18"/>
              </w:rPr>
              <w:t>2015-001</w:t>
            </w:r>
            <w:r>
              <w:rPr>
                <w:rFonts w:ascii="宋体" w:hAnsi="宋体" w:cs="宋体" w:eastAsia="宋体" w:hint="default"/>
                <w:spacing w:val="-6"/>
                <w:sz w:val="18"/>
                <w:szCs w:val="18"/>
              </w:rPr>
              <w:t>）</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p>
            <w:pPr>
              <w:pStyle w:val="TableParagraph"/>
              <w:spacing w:line="302" w:lineRule="auto" w:before="61"/>
              <w:ind w:left="23" w:right="7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 </w:t>
            </w:r>
            <w:r>
              <w:rPr>
                <w:rFonts w:ascii="宋体" w:hAnsi="宋体" w:cs="宋体" w:eastAsia="宋体" w:hint="default"/>
                <w:spacing w:val="-6"/>
                <w:sz w:val="18"/>
                <w:szCs w:val="18"/>
              </w:rPr>
              <w:t>录表》（编号：</w:t>
            </w:r>
            <w:r>
              <w:rPr>
                <w:rFonts w:ascii="Times New Roman" w:hAnsi="Times New Roman" w:cs="Times New Roman" w:eastAsia="Times New Roman" w:hint="default"/>
                <w:spacing w:val="-6"/>
                <w:sz w:val="18"/>
                <w:szCs w:val="18"/>
              </w:rPr>
              <w:t>2015-002</w:t>
            </w:r>
            <w:r>
              <w:rPr>
                <w:rFonts w:ascii="宋体" w:hAnsi="宋体" w:cs="宋体" w:eastAsia="宋体" w:hint="default"/>
                <w:spacing w:val="-6"/>
                <w:sz w:val="18"/>
                <w:szCs w:val="18"/>
              </w:rPr>
              <w:t>）</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both"/>
              <w:rPr>
                <w:rFonts w:ascii="宋体" w:hAnsi="宋体" w:cs="宋体" w:eastAsia="宋体" w:hint="default"/>
                <w:sz w:val="18"/>
                <w:szCs w:val="18"/>
              </w:rPr>
            </w:pPr>
            <w:r>
              <w:rPr>
                <w:rFonts w:ascii="宋体" w:hAnsi="宋体" w:cs="宋体" w:eastAsia="宋体" w:hint="default"/>
                <w:spacing w:val="-5"/>
                <w:w w:val="99"/>
                <w:sz w:val="18"/>
                <w:szCs w:val="18"/>
              </w:rPr>
              <w:t>巨潮资讯网（</w:t>
            </w:r>
            <w:hyperlink r:id="rId11">
              <w:r>
                <w:rPr>
                  <w:rFonts w:ascii="Times New Roman" w:hAnsi="Times New Roman" w:cs="Times New Roman" w:eastAsia="Times New Roman" w:hint="default"/>
                  <w:spacing w:val="-5"/>
                  <w:w w:val="99"/>
                  <w:sz w:val="18"/>
                  <w:szCs w:val="18"/>
                </w:rPr>
                <w:t>www.cninfo.com.cn</w:t>
              </w:r>
            </w:hyperlink>
            <w:r>
              <w:rPr>
                <w:rFonts w:ascii="宋体" w:hAnsi="宋体" w:cs="宋体" w:eastAsia="宋体" w:hint="default"/>
                <w:spacing w:val="-5"/>
                <w:w w:val="99"/>
                <w:sz w:val="18"/>
                <w:szCs w:val="18"/>
              </w:rPr>
              <w:t>）《详</w:t>
            </w:r>
            <w:r>
              <w:rPr>
                <w:rFonts w:ascii="宋体" w:hAnsi="宋体" w:cs="宋体" w:eastAsia="宋体" w:hint="default"/>
                <w:spacing w:val="-69"/>
                <w:w w:val="99"/>
                <w:sz w:val="18"/>
                <w:szCs w:val="18"/>
              </w:rPr>
              <w:t> </w:t>
            </w:r>
            <w:r>
              <w:rPr>
                <w:rFonts w:ascii="宋体" w:hAnsi="宋体" w:cs="宋体" w:eastAsia="宋体" w:hint="default"/>
                <w:spacing w:val="-69"/>
                <w:w w:val="99"/>
                <w:sz w:val="18"/>
                <w:szCs w:val="18"/>
              </w:rPr>
            </w:r>
            <w:r>
              <w:rPr>
                <w:rFonts w:ascii="宋体" w:hAnsi="宋体" w:cs="宋体" w:eastAsia="宋体" w:hint="default"/>
                <w:sz w:val="18"/>
                <w:szCs w:val="18"/>
              </w:rPr>
              <w:t>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 </w:t>
            </w:r>
            <w:r>
              <w:rPr>
                <w:rFonts w:ascii="宋体" w:hAnsi="宋体" w:cs="宋体" w:eastAsia="宋体" w:hint="default"/>
                <w:spacing w:val="-6"/>
                <w:sz w:val="18"/>
                <w:szCs w:val="18"/>
              </w:rPr>
              <w:t>记录表》（编号：</w:t>
            </w:r>
            <w:r>
              <w:rPr>
                <w:rFonts w:ascii="Times New Roman" w:hAnsi="Times New Roman" w:cs="Times New Roman" w:eastAsia="Times New Roman" w:hint="default"/>
                <w:spacing w:val="-6"/>
                <w:sz w:val="18"/>
                <w:szCs w:val="18"/>
              </w:rPr>
              <w:t>2015-003</w:t>
            </w:r>
            <w:r>
              <w:rPr>
                <w:rFonts w:ascii="宋体" w:hAnsi="宋体" w:cs="宋体" w:eastAsia="宋体" w:hint="default"/>
                <w:spacing w:val="-6"/>
                <w:sz w:val="18"/>
                <w:szCs w:val="18"/>
              </w:rPr>
              <w:t>）</w:t>
            </w:r>
          </w:p>
        </w:tc>
      </w:tr>
    </w:tbl>
    <w:p>
      <w:pPr>
        <w:spacing w:after="0" w:line="300"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02"/>
        <w:jc w:val="center"/>
        <w:rPr>
          <w:b w:val="0"/>
          <w:bCs w:val="0"/>
        </w:rPr>
      </w:pPr>
      <w:bookmarkStart w:name="第五节 重要事项" w:id="64"/>
      <w:bookmarkEnd w:id="64"/>
      <w:r>
        <w:rPr>
          <w:b w:val="0"/>
          <w:bCs w:val="0"/>
        </w:rPr>
      </w:r>
      <w:bookmarkStart w:name="_bookmark3" w:id="65"/>
      <w:bookmarkEnd w:id="65"/>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4"/>
        <w:spacing w:line="240" w:lineRule="auto"/>
        <w:ind w:right="0"/>
        <w:jc w:val="both"/>
        <w:rPr>
          <w:b w:val="0"/>
          <w:bCs w:val="0"/>
        </w:rPr>
      </w:pPr>
      <w:bookmarkStart w:name="一、公司普通股利润分配及资本公积金转增股本情况" w:id="66"/>
      <w:bookmarkEnd w:id="66"/>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3" w:right="0"/>
        <w:jc w:val="both"/>
      </w:pPr>
      <w:r>
        <w:rPr/>
        <w:t>报告期内普通股利润分配政策，特别是现金分红政策的制定、执行或调整情况</w:t>
      </w:r>
    </w:p>
    <w:p>
      <w:pPr>
        <w:pStyle w:val="BodyText"/>
        <w:spacing w:line="240" w:lineRule="auto" w:before="117"/>
        <w:ind w:left="15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7"/>
        <w:spacing w:line="259" w:lineRule="auto" w:before="75"/>
        <w:ind w:right="1129" w:firstLine="482"/>
        <w:jc w:val="both"/>
      </w:pPr>
      <w:r>
        <w:rPr>
          <w:rFonts w:ascii="Arial" w:hAnsi="Arial" w:cs="Arial" w:eastAsia="Arial" w:hint="default"/>
          <w:spacing w:val="-6"/>
        </w:rPr>
        <w:t>1</w:t>
      </w:r>
      <w:r>
        <w:rPr>
          <w:spacing w:val="-6"/>
        </w:rPr>
        <w:t>、根据中国证监会《关于进一步落实上市公司现金分红有关事项的通知》（证监发【</w:t>
      </w:r>
      <w:r>
        <w:rPr>
          <w:rFonts w:ascii="Arial" w:hAnsi="Arial" w:cs="Arial" w:eastAsia="Arial" w:hint="default"/>
          <w:spacing w:val="-6"/>
        </w:rPr>
        <w:t>2012</w:t>
      </w:r>
      <w:r>
        <w:rPr>
          <w:spacing w:val="-6"/>
        </w:rPr>
        <w:t>】</w:t>
      </w:r>
      <w:r>
        <w:rPr>
          <w:rFonts w:ascii="Arial" w:hAnsi="Arial" w:cs="Arial" w:eastAsia="Arial" w:hint="default"/>
          <w:spacing w:val="-6"/>
        </w:rPr>
        <w:t>37</w:t>
      </w:r>
      <w:r>
        <w:rPr>
          <w:spacing w:val="-6"/>
        </w:rPr>
        <w:t>号）、</w:t>
      </w:r>
      <w:r>
        <w:rPr/>
        <w:t> </w:t>
      </w:r>
      <w:r>
        <w:rPr>
          <w:spacing w:val="3"/>
        </w:rPr>
        <w:t>中国证监会上海监管局《关于进一步做好上海辖区上市公司现金分红有关工作的通知》（沪证监公司字</w:t>
      </w:r>
    </w:p>
    <w:p>
      <w:pPr>
        <w:pStyle w:val="Heading7"/>
        <w:spacing w:line="259" w:lineRule="auto" w:before="20"/>
        <w:ind w:right="1129"/>
        <w:jc w:val="both"/>
      </w:pPr>
      <w:r>
        <w:rPr/>
        <w:t>【</w:t>
      </w:r>
      <w:r>
        <w:rPr>
          <w:rFonts w:ascii="Arial" w:hAnsi="Arial" w:cs="Arial" w:eastAsia="Arial" w:hint="default"/>
        </w:rPr>
        <w:t>2012</w:t>
      </w:r>
      <w:r>
        <w:rPr/>
        <w:t>】</w:t>
      </w:r>
      <w:r>
        <w:rPr>
          <w:rFonts w:ascii="Arial" w:hAnsi="Arial" w:cs="Arial" w:eastAsia="Arial" w:hint="default"/>
        </w:rPr>
        <w:t>145</w:t>
      </w:r>
      <w:r>
        <w:rPr/>
        <w:t>号）的相关规定，公司对《公司章程》中关于利润分配政策的部分条款作出修订，对现金分 红政策进行了进一步的细化，并制定了《利润分配管理制度》、《未来三年（</w:t>
      </w:r>
      <w:r>
        <w:rPr>
          <w:rFonts w:ascii="Arial" w:hAnsi="Arial" w:cs="Arial" w:eastAsia="Arial" w:hint="default"/>
        </w:rPr>
        <w:t>2012</w:t>
      </w:r>
      <w:r>
        <w:rPr/>
        <w:t>年</w:t>
      </w:r>
      <w:r>
        <w:rPr>
          <w:rFonts w:ascii="Arial" w:hAnsi="Arial" w:cs="Arial" w:eastAsia="Arial" w:hint="default"/>
        </w:rPr>
        <w:t>-2014</w:t>
      </w:r>
      <w:r>
        <w:rPr/>
        <w:t>年）股东回报</w:t>
      </w:r>
      <w:r>
        <w:rPr>
          <w:spacing w:val="-90"/>
        </w:rPr>
        <w:t> </w:t>
      </w:r>
      <w:r>
        <w:rPr>
          <w:spacing w:val="-90"/>
        </w:rPr>
      </w:r>
      <w:r>
        <w:rPr>
          <w:spacing w:val="-4"/>
        </w:rPr>
        <w:t>规划》和《未来三年（</w:t>
      </w:r>
      <w:r>
        <w:rPr>
          <w:rFonts w:ascii="Arial" w:hAnsi="Arial" w:cs="Arial" w:eastAsia="Arial" w:hint="default"/>
          <w:spacing w:val="-4"/>
        </w:rPr>
        <w:t>2015</w:t>
      </w:r>
      <w:r>
        <w:rPr>
          <w:spacing w:val="-4"/>
        </w:rPr>
        <w:t>年</w:t>
      </w:r>
      <w:r>
        <w:rPr>
          <w:rFonts w:ascii="Arial" w:hAnsi="Arial" w:cs="Arial" w:eastAsia="Arial" w:hint="default"/>
          <w:spacing w:val="-4"/>
        </w:rPr>
        <w:t>-2017</w:t>
      </w:r>
      <w:r>
        <w:rPr>
          <w:spacing w:val="-4"/>
        </w:rPr>
        <w:t>年）股东回报规划》。《公司章程》的修订、《利润分配管理制度》、</w:t>
      </w:r>
    </w:p>
    <w:p>
      <w:pPr>
        <w:pStyle w:val="Heading7"/>
        <w:spacing w:line="259" w:lineRule="auto" w:before="3"/>
        <w:ind w:right="1130"/>
        <w:jc w:val="both"/>
      </w:pPr>
      <w:r>
        <w:rPr/>
        <w:t>《未来三年（</w:t>
      </w:r>
      <w:r>
        <w:rPr>
          <w:rFonts w:ascii="Arial" w:hAnsi="Arial" w:cs="Arial" w:eastAsia="Arial" w:hint="default"/>
        </w:rPr>
        <w:t>2012</w:t>
      </w:r>
      <w:r>
        <w:rPr/>
        <w:t>年</w:t>
      </w:r>
      <w:r>
        <w:rPr>
          <w:rFonts w:ascii="Arial" w:hAnsi="Arial" w:cs="Arial" w:eastAsia="Arial" w:hint="default"/>
        </w:rPr>
        <w:t>-2014</w:t>
      </w:r>
      <w:r>
        <w:rPr/>
        <w:t>年）股东回报规划》及《未来三年（</w:t>
      </w:r>
      <w:r>
        <w:rPr>
          <w:rFonts w:ascii="Arial" w:hAnsi="Arial" w:cs="Arial" w:eastAsia="Arial" w:hint="default"/>
        </w:rPr>
        <w:t>2015</w:t>
      </w:r>
      <w:r>
        <w:rPr/>
        <w:t>年</w:t>
      </w:r>
      <w:r>
        <w:rPr>
          <w:rFonts w:ascii="Arial" w:hAnsi="Arial" w:cs="Arial" w:eastAsia="Arial" w:hint="default"/>
        </w:rPr>
        <w:t>-2017</w:t>
      </w:r>
      <w:r>
        <w:rPr/>
        <w:t>年）股东回报规划》已提交</w:t>
      </w:r>
      <w:r>
        <w:rPr>
          <w:spacing w:val="-50"/>
        </w:rPr>
        <w:t> </w:t>
      </w:r>
      <w:r>
        <w:rPr>
          <w:spacing w:val="-50"/>
        </w:rPr>
      </w:r>
      <w:r>
        <w:rPr/>
        <w:t>公司第四届董事会第十七次会议、</w:t>
      </w:r>
      <w:r>
        <w:rPr>
          <w:rFonts w:ascii="Arial" w:hAnsi="Arial" w:cs="Arial" w:eastAsia="Arial" w:hint="default"/>
        </w:rPr>
        <w:t>2012</w:t>
      </w:r>
      <w:r>
        <w:rPr/>
        <w:t>年第二次临时股东大会、</w:t>
      </w:r>
      <w:r>
        <w:rPr>
          <w:rFonts w:ascii="Arial" w:hAnsi="Arial" w:cs="Arial" w:eastAsia="Arial" w:hint="default"/>
        </w:rPr>
        <w:t>2014</w:t>
      </w:r>
      <w:r>
        <w:rPr/>
        <w:t>年度股东大会审议通过。决策程序</w:t>
      </w:r>
      <w:r>
        <w:rPr>
          <w:spacing w:val="-27"/>
        </w:rPr>
        <w:t> </w:t>
      </w:r>
      <w:r>
        <w:rPr>
          <w:spacing w:val="-27"/>
        </w:rPr>
      </w:r>
      <w:r>
        <w:rPr/>
        <w:t>透明，符合相关要求的规定。</w:t>
      </w:r>
    </w:p>
    <w:p>
      <w:pPr>
        <w:pStyle w:val="Heading7"/>
        <w:spacing w:line="268" w:lineRule="auto" w:before="58"/>
        <w:ind w:right="1132" w:firstLine="482"/>
        <w:jc w:val="both"/>
      </w:pPr>
      <w:r>
        <w:rPr>
          <w:rFonts w:ascii="Arial" w:hAnsi="Arial" w:cs="Arial" w:eastAsia="Arial" w:hint="default"/>
        </w:rPr>
        <w:t>2</w:t>
      </w:r>
      <w:r>
        <w:rPr/>
        <w:t>、现行《公司章程》第一百五十五条明确规定了利润分配政策的原则、利润分配的形式、现金分配 </w:t>
      </w:r>
      <w:r>
        <w:rPr>
          <w:spacing w:val="-1"/>
        </w:rPr>
        <w:t>的条件、现金分配的比例及时间、股票股利分配的条件、利润分配的决策程序和机制、利润分配政策的调</w:t>
      </w:r>
      <w:r>
        <w:rPr>
          <w:spacing w:val="-86"/>
        </w:rPr>
        <w:t> </w:t>
      </w:r>
      <w:r>
        <w:rPr>
          <w:spacing w:val="-86"/>
        </w:rPr>
      </w:r>
      <w:r>
        <w:rPr>
          <w:spacing w:val="-1"/>
        </w:rPr>
        <w:t>整原则等，公司一直严格按照《公司章程》的规定实施利润分配政策，强化回报股东意识，满足股东的合</w:t>
      </w:r>
      <w:r>
        <w:rPr>
          <w:spacing w:val="-83"/>
        </w:rPr>
        <w:t> </w:t>
      </w:r>
      <w:r>
        <w:rPr>
          <w:spacing w:val="-83"/>
        </w:rPr>
      </w:r>
      <w:r>
        <w:rPr/>
        <w:t>理投资回报和公司长远发展的要求。</w:t>
      </w:r>
    </w:p>
    <w:p>
      <w:pPr>
        <w:spacing w:line="240" w:lineRule="auto" w:before="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Heading7"/>
        <w:spacing w:line="259" w:lineRule="auto" w:before="77"/>
        <w:ind w:right="1131" w:firstLine="482"/>
        <w:jc w:val="both"/>
      </w:pPr>
      <w:r>
        <w:rPr>
          <w:rFonts w:ascii="Arial" w:hAnsi="Arial" w:cs="Arial" w:eastAsia="Arial" w:hint="default"/>
          <w:spacing w:val="-2"/>
        </w:rPr>
        <w:t>2013</w:t>
      </w:r>
      <w:r>
        <w:rPr>
          <w:spacing w:val="-2"/>
        </w:rPr>
        <w:t>年度利润分配方案为：以公司</w:t>
      </w:r>
      <w:r>
        <w:rPr>
          <w:rFonts w:ascii="Arial" w:hAnsi="Arial" w:cs="Arial" w:eastAsia="Arial" w:hint="default"/>
          <w:spacing w:val="-2"/>
        </w:rPr>
        <w:t>2013</w:t>
      </w:r>
      <w:r>
        <w:rPr>
          <w:spacing w:val="-2"/>
        </w:rPr>
        <w:t>年末股本总额</w:t>
      </w:r>
      <w:r>
        <w:rPr>
          <w:rFonts w:ascii="Arial" w:hAnsi="Arial" w:cs="Arial" w:eastAsia="Arial" w:hint="default"/>
          <w:spacing w:val="-2"/>
        </w:rPr>
        <w:t>113,330,000</w:t>
      </w:r>
      <w:r>
        <w:rPr>
          <w:spacing w:val="-2"/>
        </w:rPr>
        <w:t>股为基数，以未分配利润向全体股</w:t>
      </w:r>
      <w:r>
        <w:rPr/>
        <w:t> 东每</w:t>
      </w:r>
      <w:r>
        <w:rPr>
          <w:rFonts w:ascii="Arial" w:hAnsi="Arial" w:cs="Arial" w:eastAsia="Arial" w:hint="default"/>
        </w:rPr>
        <w:t>10</w:t>
      </w:r>
      <w:r>
        <w:rPr/>
        <w:t>股派现金</w:t>
      </w:r>
      <w:r>
        <w:rPr>
          <w:rFonts w:ascii="Arial" w:hAnsi="Arial" w:cs="Arial" w:eastAsia="Arial" w:hint="default"/>
        </w:rPr>
        <w:t>1.00</w:t>
      </w:r>
      <w:r>
        <w:rPr/>
        <w:t>元（含税），共分配利润</w:t>
      </w:r>
      <w:r>
        <w:rPr>
          <w:rFonts w:ascii="Arial" w:hAnsi="Arial" w:cs="Arial" w:eastAsia="Arial" w:hint="default"/>
        </w:rPr>
        <w:t>11,333,000.00</w:t>
      </w:r>
      <w:r>
        <w:rPr/>
        <w:t>元，尚余未分配利润</w:t>
      </w:r>
      <w:r>
        <w:rPr>
          <w:rFonts w:ascii="Arial" w:hAnsi="Arial" w:cs="Arial" w:eastAsia="Arial" w:hint="default"/>
        </w:rPr>
        <w:t>184,845,934.21</w:t>
      </w:r>
      <w:r>
        <w:rPr/>
        <w:t>元留待</w:t>
      </w:r>
      <w:r>
        <w:rPr>
          <w:spacing w:val="-15"/>
        </w:rPr>
        <w:t> </w:t>
      </w:r>
      <w:r>
        <w:rPr>
          <w:spacing w:val="-15"/>
        </w:rPr>
      </w:r>
      <w:r>
        <w:rPr/>
        <w:t>以后年度分配。</w:t>
      </w:r>
    </w:p>
    <w:p>
      <w:pPr>
        <w:pStyle w:val="Heading7"/>
        <w:spacing w:line="259" w:lineRule="auto" w:before="58"/>
        <w:ind w:right="1130" w:firstLine="420"/>
        <w:jc w:val="both"/>
      </w:pPr>
      <w:r>
        <w:rPr>
          <w:rFonts w:ascii="Arial" w:hAnsi="Arial" w:cs="Arial" w:eastAsia="Arial" w:hint="default"/>
          <w:spacing w:val="-1"/>
        </w:rPr>
        <w:t>2014</w:t>
      </w:r>
      <w:r>
        <w:rPr>
          <w:spacing w:val="-1"/>
        </w:rPr>
        <w:t>年度利润分配方案为：以公司</w:t>
      </w:r>
      <w:r>
        <w:rPr>
          <w:rFonts w:ascii="Arial" w:hAnsi="Arial" w:cs="Arial" w:eastAsia="Arial" w:hint="default"/>
          <w:spacing w:val="-1"/>
        </w:rPr>
        <w:t>2014</w:t>
      </w:r>
      <w:r>
        <w:rPr>
          <w:spacing w:val="-1"/>
        </w:rPr>
        <w:t>年末股本总额</w:t>
      </w:r>
      <w:r>
        <w:rPr>
          <w:rFonts w:ascii="Arial" w:hAnsi="Arial" w:cs="Arial" w:eastAsia="Arial" w:hint="default"/>
          <w:spacing w:val="-1"/>
        </w:rPr>
        <w:t>348,693,088</w:t>
      </w:r>
      <w:r>
        <w:rPr>
          <w:spacing w:val="-1"/>
        </w:rPr>
        <w:t>股为基数，以资本公积向全体股东</w:t>
      </w:r>
      <w:r>
        <w:rPr/>
        <w:t> </w:t>
      </w:r>
      <w:r>
        <w:rPr>
          <w:spacing w:val="-3"/>
        </w:rPr>
        <w:t>每</w:t>
      </w:r>
      <w:r>
        <w:rPr>
          <w:rFonts w:ascii="Arial" w:hAnsi="Arial" w:cs="Arial" w:eastAsia="Arial" w:hint="default"/>
          <w:spacing w:val="-3"/>
        </w:rPr>
        <w:t>10</w:t>
      </w:r>
      <w:r>
        <w:rPr>
          <w:spacing w:val="-3"/>
        </w:rPr>
        <w:t>股转增</w:t>
      </w:r>
      <w:r>
        <w:rPr>
          <w:rFonts w:ascii="Arial" w:hAnsi="Arial" w:cs="Arial" w:eastAsia="Arial" w:hint="default"/>
          <w:spacing w:val="-3"/>
        </w:rPr>
        <w:t>15</w:t>
      </w:r>
      <w:r>
        <w:rPr>
          <w:spacing w:val="-3"/>
        </w:rPr>
        <w:t>股，以未分配利润向全体股东每</w:t>
      </w:r>
      <w:r>
        <w:rPr>
          <w:rFonts w:ascii="Arial" w:hAnsi="Arial" w:cs="Arial" w:eastAsia="Arial" w:hint="default"/>
          <w:spacing w:val="-3"/>
        </w:rPr>
        <w:t>10</w:t>
      </w:r>
      <w:r>
        <w:rPr>
          <w:spacing w:val="-3"/>
        </w:rPr>
        <w:t>股派现金</w:t>
      </w:r>
      <w:r>
        <w:rPr>
          <w:rFonts w:ascii="Arial" w:hAnsi="Arial" w:cs="Arial" w:eastAsia="Arial" w:hint="default"/>
          <w:spacing w:val="-3"/>
        </w:rPr>
        <w:t>1.00</w:t>
      </w:r>
      <w:r>
        <w:rPr>
          <w:spacing w:val="-3"/>
        </w:rPr>
        <w:t>元（含税），共分配利润</w:t>
      </w:r>
      <w:r>
        <w:rPr>
          <w:rFonts w:ascii="Arial" w:hAnsi="Arial" w:cs="Arial" w:eastAsia="Arial" w:hint="default"/>
          <w:spacing w:val="-3"/>
        </w:rPr>
        <w:t>34,869,308.80</w:t>
      </w:r>
      <w:r>
        <w:rPr>
          <w:spacing w:val="-3"/>
        </w:rPr>
        <w:t>元，</w:t>
      </w:r>
      <w:r>
        <w:rPr>
          <w:spacing w:val="-103"/>
        </w:rPr>
        <w:t> </w:t>
      </w:r>
      <w:r>
        <w:rPr/>
        <w:t>尚余未分配利润</w:t>
      </w:r>
      <w:r>
        <w:rPr>
          <w:rFonts w:ascii="Arial" w:hAnsi="Arial" w:cs="Arial" w:eastAsia="Arial" w:hint="default"/>
        </w:rPr>
        <w:t>180,716,391.12</w:t>
      </w:r>
      <w:r>
        <w:rPr/>
        <w:t>元留待以后年度分配。</w:t>
      </w:r>
    </w:p>
    <w:p>
      <w:pPr>
        <w:pStyle w:val="Heading7"/>
        <w:spacing w:line="259" w:lineRule="auto" w:before="42"/>
        <w:ind w:right="1130" w:firstLine="420"/>
        <w:jc w:val="both"/>
      </w:pPr>
      <w:r>
        <w:rPr>
          <w:rFonts w:ascii="Arial" w:hAnsi="Arial" w:cs="Arial" w:eastAsia="Arial" w:hint="default"/>
        </w:rPr>
        <w:t>2015</w:t>
      </w:r>
      <w:r>
        <w:rPr/>
        <w:t>年度利润分配预案为：以截至目前公司最新股本总额</w:t>
      </w:r>
      <w:r>
        <w:rPr>
          <w:rFonts w:ascii="Arial" w:hAnsi="Arial" w:cs="Arial" w:eastAsia="Arial" w:hint="default"/>
        </w:rPr>
        <w:t>955,232,720</w:t>
      </w:r>
      <w:r>
        <w:rPr/>
        <w:t>股为基数，以资本公积向全体 </w:t>
      </w:r>
      <w:r>
        <w:rPr>
          <w:spacing w:val="-2"/>
        </w:rPr>
        <w:t>股东每</w:t>
      </w:r>
      <w:r>
        <w:rPr>
          <w:rFonts w:ascii="Arial" w:hAnsi="Arial" w:cs="Arial" w:eastAsia="Arial" w:hint="default"/>
          <w:spacing w:val="-2"/>
        </w:rPr>
        <w:t>10</w:t>
      </w:r>
      <w:r>
        <w:rPr>
          <w:spacing w:val="-2"/>
        </w:rPr>
        <w:t>股转增</w:t>
      </w:r>
      <w:r>
        <w:rPr>
          <w:rFonts w:ascii="Arial" w:hAnsi="Arial" w:cs="Arial" w:eastAsia="Arial" w:hint="default"/>
          <w:spacing w:val="-2"/>
        </w:rPr>
        <w:t>10</w:t>
      </w:r>
      <w:r>
        <w:rPr>
          <w:spacing w:val="-2"/>
        </w:rPr>
        <w:t>股，以未分配利润向全体股东每</w:t>
      </w:r>
      <w:r>
        <w:rPr>
          <w:rFonts w:ascii="Arial" w:hAnsi="Arial" w:cs="Arial" w:eastAsia="Arial" w:hint="default"/>
          <w:spacing w:val="-2"/>
        </w:rPr>
        <w:t>10</w:t>
      </w:r>
      <w:r>
        <w:rPr>
          <w:spacing w:val="-2"/>
        </w:rPr>
        <w:t>股派现金</w:t>
      </w:r>
      <w:r>
        <w:rPr>
          <w:rFonts w:ascii="Arial" w:hAnsi="Arial" w:cs="Arial" w:eastAsia="Arial" w:hint="default"/>
          <w:spacing w:val="-2"/>
        </w:rPr>
        <w:t>1.00</w:t>
      </w:r>
      <w:r>
        <w:rPr>
          <w:spacing w:val="-2"/>
        </w:rPr>
        <w:t>元（含税）。以上方案实施后，公司总</w:t>
      </w:r>
      <w:r>
        <w:rPr>
          <w:spacing w:val="-91"/>
        </w:rPr>
        <w:t> </w:t>
      </w:r>
      <w:r>
        <w:rPr>
          <w:spacing w:val="-91"/>
        </w:rPr>
      </w:r>
      <w:r>
        <w:rPr/>
        <w:t>股本将由</w:t>
      </w:r>
      <w:r>
        <w:rPr>
          <w:rFonts w:ascii="Arial" w:hAnsi="Arial" w:cs="Arial" w:eastAsia="Arial" w:hint="default"/>
        </w:rPr>
        <w:t>955,232,720</w:t>
      </w:r>
      <w:r>
        <w:rPr/>
        <w:t>股增加到</w:t>
      </w:r>
      <w:r>
        <w:rPr>
          <w:rFonts w:ascii="Arial" w:hAnsi="Arial" w:cs="Arial" w:eastAsia="Arial" w:hint="default"/>
        </w:rPr>
        <w:t>1,910,465,440</w:t>
      </w:r>
      <w:r>
        <w:rPr/>
        <w:t>股，资本公积余额为</w:t>
      </w:r>
      <w:r>
        <w:rPr>
          <w:rFonts w:ascii="Arial" w:hAnsi="Arial" w:cs="Arial" w:eastAsia="Arial" w:hint="default"/>
        </w:rPr>
        <w:t>1,867,436,516.79</w:t>
      </w:r>
      <w:r>
        <w:rPr/>
        <w:t>元；本次共分配利润</w:t>
      </w:r>
      <w:r>
        <w:rPr>
          <w:spacing w:val="-84"/>
        </w:rPr>
        <w:t> </w:t>
      </w:r>
      <w:r>
        <w:rPr>
          <w:spacing w:val="-84"/>
        </w:rPr>
      </w:r>
      <w:r>
        <w:rPr>
          <w:rFonts w:ascii="Arial" w:hAnsi="Arial" w:cs="Arial" w:eastAsia="Arial" w:hint="default"/>
        </w:rPr>
        <w:t>95,523,272.00</w:t>
      </w:r>
      <w:r>
        <w:rPr/>
        <w:t>元，尚余未分配利润</w:t>
      </w:r>
      <w:r>
        <w:rPr>
          <w:rFonts w:ascii="Arial" w:hAnsi="Arial" w:cs="Arial" w:eastAsia="Arial" w:hint="default"/>
        </w:rPr>
        <w:t>165,543,397.71</w:t>
      </w:r>
      <w:r>
        <w:rPr/>
        <w:t>元留待以后年度分配。</w:t>
      </w:r>
    </w:p>
    <w:p>
      <w:pPr>
        <w:pStyle w:val="Heading7"/>
        <w:spacing w:line="240" w:lineRule="auto" w:before="43"/>
        <w:ind w:left="636" w:right="0"/>
        <w:jc w:val="left"/>
      </w:pPr>
      <w:r>
        <w:rPr>
          <w:rFonts w:ascii="Arial" w:hAnsi="Arial" w:cs="Arial" w:eastAsia="Arial" w:hint="default"/>
        </w:rPr>
        <w:t>2015</w:t>
      </w:r>
      <w:r>
        <w:rPr/>
        <w:t>年度利润分配预案需提交</w:t>
      </w:r>
      <w:r>
        <w:rPr>
          <w:rFonts w:ascii="Arial" w:hAnsi="Arial" w:cs="Arial" w:eastAsia="Arial" w:hint="default"/>
        </w:rPr>
        <w:t>2015</w:t>
      </w:r>
      <w:r>
        <w:rPr/>
        <w:t>年度股东大会审议。</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left="153" w:right="0"/>
        <w:jc w:val="left"/>
      </w:pPr>
      <w:r>
        <w:rPr/>
        <w:t>公司近三年（包括本报告期）普通股现金分红情况表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3"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95,523,272.00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417,183,377.13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34,869,308.80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118,389,761.41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11,333,000.00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29,471,953.64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38.45%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bookmarkStart w:name="二、本报告期利润分配及资本公积金转增股本预案" w:id="67"/>
      <w:bookmarkEnd w:id="67"/>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784"/>
        <w:gridCol w:w="5784"/>
      </w:tblGrid>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955,232,720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95,523,272.00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261,066,669.71</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公司发展阶段属成熟期且无重大资金支出安排的，进行利润分配时，现金分红在本次利润分配中所占比例最低应达到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691"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日，公司第五届董事会第二十五次会议审议通过了</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年度利润分配预案为：以截至目前公司最新股本总</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955,232,720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股为基数，以资本公积向全体股东每</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股转增</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股，以未分配利润向全体股东每</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股派现金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6"/>
                <w:sz w:val="18"/>
                <w:szCs w:val="18"/>
              </w:rPr>
              <w:t> </w:t>
            </w:r>
            <w:r>
              <w:rPr>
                <w:rFonts w:ascii="宋体" w:hAnsi="宋体" w:cs="宋体" w:eastAsia="宋体" w:hint="default"/>
                <w:spacing w:val="-8"/>
                <w:sz w:val="18"/>
                <w:szCs w:val="18"/>
              </w:rPr>
              <w:t>元（含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税</w:t>
            </w:r>
            <w:r>
              <w:rPr>
                <w:rFonts w:ascii="宋体" w:hAnsi="宋体" w:cs="宋体" w:eastAsia="宋体" w:hint="default"/>
                <w:spacing w:val="-90"/>
                <w:sz w:val="18"/>
                <w:szCs w:val="18"/>
              </w:rPr>
              <w:t>）</w:t>
            </w:r>
            <w:r>
              <w:rPr>
                <w:rFonts w:ascii="宋体" w:hAnsi="宋体" w:cs="宋体" w:eastAsia="宋体" w:hint="default"/>
                <w:sz w:val="18"/>
                <w:szCs w:val="18"/>
              </w:rPr>
              <w:t>。以上方案实施后，公司总股本将由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955,232,720 </w:t>
            </w:r>
            <w:r>
              <w:rPr>
                <w:rFonts w:ascii="宋体" w:hAnsi="宋体" w:cs="宋体" w:eastAsia="宋体" w:hint="default"/>
                <w:sz w:val="18"/>
                <w:szCs w:val="18"/>
              </w:rPr>
              <w:t>股增</w:t>
            </w:r>
            <w:r>
              <w:rPr>
                <w:rFonts w:ascii="宋体" w:hAnsi="宋体" w:cs="宋体" w:eastAsia="宋体" w:hint="default"/>
                <w:spacing w:val="-2"/>
                <w:sz w:val="18"/>
                <w:szCs w:val="18"/>
              </w:rPr>
              <w:t>加</w:t>
            </w:r>
            <w:r>
              <w:rPr>
                <w:rFonts w:ascii="宋体" w:hAnsi="宋体" w:cs="宋体" w:eastAsia="宋体" w:hint="default"/>
                <w:sz w:val="18"/>
                <w:szCs w:val="18"/>
              </w:rPr>
              <w:t>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1,910,465,4</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0 </w:t>
            </w:r>
            <w:r>
              <w:rPr>
                <w:rFonts w:ascii="宋体" w:hAnsi="宋体" w:cs="宋体" w:eastAsia="宋体" w:hint="default"/>
                <w:sz w:val="18"/>
                <w:szCs w:val="18"/>
              </w:rPr>
              <w:t>股，资本公积余额为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1,867,4</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6,516.79 </w:t>
            </w:r>
            <w:r>
              <w:rPr>
                <w:rFonts w:ascii="宋体" w:hAnsi="宋体" w:cs="宋体" w:eastAsia="宋体" w:hint="default"/>
                <w:sz w:val="18"/>
                <w:szCs w:val="18"/>
              </w:rPr>
              <w:t>元；本</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次共分配利润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95,523,272.00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元，尚余未分配利润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165,543,397.71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元留待以后年度分配。</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年度利润分配预案需提交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Heading4"/>
        <w:spacing w:line="240" w:lineRule="auto" w:before="26"/>
        <w:ind w:left="154" w:right="0"/>
        <w:jc w:val="left"/>
        <w:rPr>
          <w:b w:val="0"/>
          <w:bCs w:val="0"/>
        </w:rPr>
      </w:pPr>
      <w:bookmarkStart w:name="三、承诺事项履行情况" w:id="68"/>
      <w:bookmarkEnd w:id="68"/>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6"/>
        <w:spacing w:line="259" w:lineRule="auto"/>
        <w:ind w:right="0"/>
        <w:jc w:val="left"/>
        <w:rPr>
          <w:b w:val="0"/>
          <w:bCs w:val="0"/>
        </w:rPr>
      </w:pPr>
      <w:bookmarkStart w:name="1、公司、股东、实际控制人、收购人、董事、监事、高级管理人员或其他关联方在报告期" w:id="69"/>
      <w:bookmarkEnd w:id="69"/>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51"/>
        <w:gridCol w:w="1277"/>
        <w:gridCol w:w="566"/>
        <w:gridCol w:w="4110"/>
        <w:gridCol w:w="994"/>
        <w:gridCol w:w="850"/>
        <w:gridCol w:w="920"/>
      </w:tblGrid>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8"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sz w:val="18"/>
                <w:szCs w:val="18"/>
              </w:rPr>
              <w:t>履行情况</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97.179993pt;margin-top:110.699982pt;width:49.2pt;height:56.6pt;mso-position-horizontal-relative:page;mso-position-vertical-relative:page;z-index:-922840" coordorigin="7944,2214" coordsize="984,1132">
            <v:group style="position:absolute;left:7944;top:2214;width:984;height:781" coordorigin="7944,2214" coordsize="984,781">
              <v:shape style="position:absolute;left:7944;top:2214;width:984;height:781" coordorigin="7944,2214" coordsize="984,781" path="m7944,2994l8927,2994,8927,2214,7944,2214,7944,2994xe" filled="true" fillcolor="#ffffff" stroked="false">
                <v:path arrowok="t"/>
                <v:fill type="solid"/>
              </v:shape>
            </v:group>
            <v:group style="position:absolute;left:7966;top:2994;width:938;height:352" coordorigin="7966,2994" coordsize="938,352">
              <v:shape style="position:absolute;left:7966;top:2994;width:938;height:352" coordorigin="7966,2994" coordsize="938,352" path="m7966,3346l8904,3346,8904,2994,7966,2994,7966,3346xe" filled="true" fillcolor="#ffffff" stroked="false">
                <v:path arrowok="t"/>
                <v:fill type="solid"/>
              </v:shape>
            </v:group>
            <w10:wrap type="none"/>
          </v:group>
        </w:pict>
      </w:r>
      <w:r>
        <w:rPr/>
        <w:pict>
          <v:group style="position:absolute;margin-left:397.179993pt;margin-top:410.299988pt;width:49.2pt;height:72.3pt;mso-position-horizontal-relative:page;mso-position-vertical-relative:page;z-index:-922816" coordorigin="7944,8206" coordsize="984,1446">
            <v:group style="position:absolute;left:7944;top:8559;width:984;height:1092" coordorigin="7944,8559" coordsize="984,1092">
              <v:shape style="position:absolute;left:7944;top:8559;width:984;height:1092" coordorigin="7944,8559" coordsize="984,1092" path="m7944,9651l8927,9651,8927,8559,7944,8559,7944,9651xe" filled="true" fillcolor="#ffffff" stroked="false">
                <v:path arrowok="t"/>
                <v:fill type="solid"/>
              </v:shape>
            </v:group>
            <v:group style="position:absolute;left:7966;top:8206;width:938;height:354" coordorigin="7966,8206" coordsize="938,354">
              <v:shape style="position:absolute;left:7966;top:8206;width:938;height:354" coordorigin="7966,8206" coordsize="938,354" path="m7966,8559l8904,8559,8904,8206,7966,8206,7966,8559xe" filled="true" fillcolor="#ffffff" stroked="false">
                <v:path arrowok="t"/>
                <v:fill type="solid"/>
              </v:shape>
            </v:group>
            <w10:wrap type="none"/>
          </v:group>
        </w:pict>
      </w:r>
      <w:r>
        <w:rPr/>
        <w:pict>
          <v:group style="position:absolute;margin-left:398.320007pt;margin-top:539.619995pt;width:46.9pt;height:17.650pt;mso-position-horizontal-relative:page;mso-position-vertical-relative:page;z-index:-922792" coordorigin="7966,10792" coordsize="938,353">
            <v:shape style="position:absolute;left:7966;top:10792;width:938;height:353" coordorigin="7966,10792" coordsize="938,353" path="m7966,11145l8904,11145,8904,10792,7966,10792,7966,1114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828"/>
        <w:gridCol w:w="1288"/>
        <w:gridCol w:w="566"/>
        <w:gridCol w:w="4110"/>
        <w:gridCol w:w="994"/>
        <w:gridCol w:w="850"/>
        <w:gridCol w:w="920"/>
      </w:tblGrid>
      <w:tr>
        <w:trPr>
          <w:trHeight w:val="362"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6" w:type="dxa"/>
            <w:tcBorders>
              <w:top w:val="single" w:sz="4" w:space="0" w:color="000000"/>
              <w:left w:val="single" w:sz="4" w:space="0" w:color="000000"/>
              <w:bottom w:val="single" w:sz="4" w:space="0" w:color="000000"/>
              <w:right w:val="single" w:sz="4" w:space="0" w:color="000000"/>
            </w:tcBorders>
          </w:tcPr>
          <w:p>
            <w:pPr/>
          </w:p>
        </w:tc>
        <w:tc>
          <w:tcPr>
            <w:tcW w:w="411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454" w:hRule="exact"/>
        </w:trPr>
        <w:tc>
          <w:tcPr>
            <w:tcW w:w="8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00" w:lineRule="auto"/>
              <w:ind w:left="27" w:right="73"/>
              <w:jc w:val="left"/>
              <w:rPr>
                <w:rFonts w:ascii="宋体" w:hAnsi="宋体" w:cs="宋体" w:eastAsia="宋体" w:hint="default"/>
                <w:sz w:val="18"/>
                <w:szCs w:val="18"/>
              </w:rPr>
            </w:pPr>
            <w:r>
              <w:rPr>
                <w:rFonts w:ascii="宋体" w:hAnsi="宋体" w:cs="宋体" w:eastAsia="宋体" w:hint="default"/>
                <w:sz w:val="18"/>
                <w:szCs w:val="18"/>
              </w:rPr>
              <w:t>包叔平等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位 自然人股东</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73"/>
              <w:jc w:val="both"/>
              <w:rPr>
                <w:rFonts w:ascii="宋体" w:hAnsi="宋体" w:cs="宋体" w:eastAsia="宋体" w:hint="default"/>
                <w:sz w:val="18"/>
                <w:szCs w:val="18"/>
              </w:rPr>
            </w:pPr>
            <w:r>
              <w:rPr>
                <w:rFonts w:ascii="宋体" w:hAnsi="宋体" w:cs="宋体" w:eastAsia="宋体" w:hint="default"/>
                <w:sz w:val="18"/>
                <w:szCs w:val="18"/>
              </w:rPr>
              <w:t>不减 持承 诺</w:t>
            </w:r>
          </w:p>
        </w:tc>
        <w:tc>
          <w:tcPr>
            <w:tcW w:w="4110" w:type="dxa"/>
            <w:vMerge w:val="restart"/>
            <w:tcBorders>
              <w:top w:val="single" w:sz="4" w:space="0" w:color="000000"/>
              <w:left w:val="single" w:sz="4" w:space="0" w:color="000000"/>
              <w:right w:val="single" w:sz="9" w:space="0" w:color="FFFFFF"/>
            </w:tcBorders>
          </w:tcPr>
          <w:p>
            <w:pPr>
              <w:pStyle w:val="TableParagraph"/>
              <w:spacing w:line="307" w:lineRule="auto" w:before="51"/>
              <w:ind w:left="22" w:right="14"/>
              <w:jc w:val="left"/>
              <w:rPr>
                <w:rFonts w:ascii="宋体" w:hAnsi="宋体" w:cs="宋体" w:eastAsia="宋体" w:hint="default"/>
                <w:sz w:val="18"/>
                <w:szCs w:val="18"/>
              </w:rPr>
            </w:pPr>
            <w:r>
              <w:rPr>
                <w:rFonts w:ascii="宋体" w:hAnsi="宋体" w:cs="宋体" w:eastAsia="宋体" w:hint="default"/>
                <w:sz w:val="18"/>
                <w:szCs w:val="18"/>
              </w:rPr>
              <w:t>本人作为上海海隆软件股份有限公司（以下简称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海 隆软件</w:t>
            </w:r>
            <w:r>
              <w:rPr>
                <w:rFonts w:ascii="Times New Roman" w:hAnsi="Times New Roman" w:cs="Times New Roman" w:eastAsia="Times New Roman" w:hint="default"/>
                <w:sz w:val="18"/>
                <w:szCs w:val="18"/>
              </w:rPr>
              <w:t>”</w:t>
            </w:r>
            <w:r>
              <w:rPr>
                <w:rFonts w:ascii="宋体" w:hAnsi="宋体" w:cs="宋体" w:eastAsia="宋体" w:hint="default"/>
                <w:sz w:val="18"/>
                <w:szCs w:val="18"/>
              </w:rPr>
              <w:t>）本次要约收购的收购主体包叔平先生之一 致行动人，目前持有海隆软件股票。本人在此承诺 在海隆软件本次停牌之日（</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日）起的</w:t>
            </w:r>
          </w:p>
          <w:p>
            <w:pPr>
              <w:pStyle w:val="TableParagraph"/>
              <w:spacing w:line="240" w:lineRule="auto" w:before="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个月内以及在本次要约收购完成前不买卖海隆软</w:t>
            </w:r>
          </w:p>
          <w:p>
            <w:pPr>
              <w:pStyle w:val="TableParagraph"/>
              <w:spacing w:line="302"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件的股票，并在本次要约收购完成后的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 转让所持海隆软件的股票。</w:t>
            </w:r>
          </w:p>
        </w:tc>
        <w:tc>
          <w:tcPr>
            <w:tcW w:w="994"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196"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0" w:lineRule="exact"/>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6"/>
              <w:ind w:left="22" w:right="20"/>
              <w:jc w:val="left"/>
              <w:rPr>
                <w:rFonts w:ascii="宋体" w:hAnsi="宋体" w:cs="宋体" w:eastAsia="宋体" w:hint="default"/>
                <w:sz w:val="18"/>
                <w:szCs w:val="18"/>
              </w:rPr>
            </w:pPr>
            <w:r>
              <w:rPr>
                <w:rFonts w:ascii="宋体" w:hAnsi="宋体" w:cs="宋体" w:eastAsia="宋体" w:hint="default"/>
                <w:sz w:val="18"/>
                <w:szCs w:val="18"/>
              </w:rPr>
              <w:t>本次要约 收购完成 后的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 月内</w:t>
            </w:r>
          </w:p>
        </w:tc>
        <w:tc>
          <w:tcPr>
            <w:tcW w:w="9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821" w:hRule="exact"/>
        </w:trPr>
        <w:tc>
          <w:tcPr>
            <w:tcW w:w="82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85"/>
              <w:jc w:val="both"/>
              <w:rPr>
                <w:rFonts w:ascii="宋体" w:hAnsi="宋体" w:cs="宋体" w:eastAsia="宋体" w:hint="default"/>
                <w:sz w:val="18"/>
                <w:szCs w:val="18"/>
              </w:rPr>
            </w:pPr>
            <w:r>
              <w:rPr>
                <w:rFonts w:ascii="宋体" w:hAnsi="宋体" w:cs="宋体" w:eastAsia="宋体" w:hint="default"/>
                <w:sz w:val="18"/>
                <w:szCs w:val="18"/>
              </w:rPr>
              <w:t>收购报告 书或权益 变动报告 书中所作 承诺</w:t>
            </w:r>
          </w:p>
        </w:tc>
        <w:tc>
          <w:tcPr>
            <w:tcW w:w="1288" w:type="dxa"/>
            <w:vMerge/>
            <w:tcBorders>
              <w:left w:val="single" w:sz="9" w:space="0" w:color="D2D2D2"/>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110" w:type="dxa"/>
            <w:vMerge/>
            <w:tcBorders>
              <w:left w:val="single" w:sz="4" w:space="0" w:color="000000"/>
              <w:bottom w:val="single" w:sz="4" w:space="0" w:color="000000"/>
              <w:right w:val="single" w:sz="9" w:space="0" w:color="FFFFFF"/>
            </w:tcBorders>
          </w:tcPr>
          <w:p>
            <w:pPr/>
          </w:p>
        </w:tc>
        <w:tc>
          <w:tcPr>
            <w:tcW w:w="994" w:type="dxa"/>
            <w:vMerge/>
            <w:tcBorders>
              <w:left w:val="single" w:sz="9" w:space="0" w:color="FFFFFF"/>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820" w:hRule="exact"/>
        </w:trPr>
        <w:tc>
          <w:tcPr>
            <w:tcW w:w="828" w:type="dxa"/>
            <w:vMerge/>
            <w:tcBorders>
              <w:left w:val="single" w:sz="4" w:space="0" w:color="000000"/>
              <w:bottom w:val="nil" w:sz="6" w:space="0" w:color="auto"/>
              <w:right w:val="single" w:sz="4" w:space="0" w:color="000000"/>
            </w:tcBorders>
            <w:shd w:val="clear" w:color="auto" w:fill="D2D2D2"/>
          </w:tcPr>
          <w:p>
            <w:pPr/>
          </w:p>
        </w:tc>
        <w:tc>
          <w:tcPr>
            <w:tcW w:w="128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7" w:right="162"/>
              <w:jc w:val="left"/>
              <w:rPr>
                <w:rFonts w:ascii="宋体" w:hAnsi="宋体" w:cs="宋体" w:eastAsia="宋体" w:hint="default"/>
                <w:sz w:val="18"/>
                <w:szCs w:val="18"/>
              </w:rPr>
            </w:pPr>
            <w:r>
              <w:rPr>
                <w:rFonts w:ascii="宋体" w:hAnsi="宋体" w:cs="宋体" w:eastAsia="宋体" w:hint="default"/>
                <w:sz w:val="18"/>
                <w:szCs w:val="18"/>
              </w:rPr>
              <w:t>上海古德投资 咨询有限公司</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73"/>
              <w:jc w:val="both"/>
              <w:rPr>
                <w:rFonts w:ascii="宋体" w:hAnsi="宋体" w:cs="宋体" w:eastAsia="宋体" w:hint="default"/>
                <w:sz w:val="18"/>
                <w:szCs w:val="18"/>
              </w:rPr>
            </w:pPr>
            <w:r>
              <w:rPr>
                <w:rFonts w:ascii="宋体" w:hAnsi="宋体" w:cs="宋体" w:eastAsia="宋体" w:hint="default"/>
                <w:sz w:val="18"/>
                <w:szCs w:val="18"/>
              </w:rPr>
              <w:t>不减 持承 诺</w:t>
            </w:r>
          </w:p>
        </w:tc>
        <w:tc>
          <w:tcPr>
            <w:tcW w:w="4110" w:type="dxa"/>
            <w:vMerge w:val="restart"/>
            <w:tcBorders>
              <w:top w:val="single" w:sz="4" w:space="0" w:color="000000"/>
              <w:left w:val="single" w:sz="4" w:space="0" w:color="000000"/>
              <w:right w:val="single" w:sz="4" w:space="0" w:color="000000"/>
            </w:tcBorders>
          </w:tcPr>
          <w:p>
            <w:pPr>
              <w:pStyle w:val="TableParagraph"/>
              <w:spacing w:line="312" w:lineRule="auto" w:before="51"/>
              <w:ind w:left="22" w:right="-10"/>
              <w:jc w:val="left"/>
              <w:rPr>
                <w:rFonts w:ascii="宋体" w:hAnsi="宋体" w:cs="宋体" w:eastAsia="宋体" w:hint="default"/>
                <w:sz w:val="18"/>
                <w:szCs w:val="18"/>
              </w:rPr>
            </w:pPr>
            <w:r>
              <w:rPr>
                <w:rFonts w:ascii="宋体" w:hAnsi="宋体" w:cs="宋体" w:eastAsia="宋体" w:hint="default"/>
                <w:sz w:val="18"/>
                <w:szCs w:val="18"/>
              </w:rPr>
              <w:t>本公司作为上海海隆软件股份有限公司（以下简称 </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海隆软件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）本次要约收购的收购主体包叔平先生之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一致行动人，目前持有海隆软件股票。本公司在此承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诺，在海隆软件本次停牌之日（</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3"/>
              <w:ind w:left="22" w:right="0"/>
              <w:jc w:val="left"/>
              <w:rPr>
                <w:rFonts w:ascii="宋体" w:hAnsi="宋体" w:cs="宋体" w:eastAsia="宋体" w:hint="default"/>
                <w:sz w:val="18"/>
                <w:szCs w:val="18"/>
              </w:rPr>
            </w:pPr>
            <w:r>
              <w:rPr>
                <w:rFonts w:ascii="宋体" w:hAnsi="宋体" w:cs="宋体" w:eastAsia="宋体" w:hint="default"/>
                <w:sz w:val="18"/>
                <w:szCs w:val="18"/>
              </w:rPr>
              <w:t>起的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个月内以及在本次要约收购完成前不买卖海</w:t>
            </w:r>
          </w:p>
          <w:p>
            <w:pPr>
              <w:pStyle w:val="TableParagraph"/>
              <w:spacing w:line="302" w:lineRule="auto" w:before="63"/>
              <w:ind w:left="22" w:right="26"/>
              <w:jc w:val="left"/>
              <w:rPr>
                <w:rFonts w:ascii="宋体" w:hAnsi="宋体" w:cs="宋体" w:eastAsia="宋体" w:hint="default"/>
                <w:sz w:val="18"/>
                <w:szCs w:val="18"/>
              </w:rPr>
            </w:pPr>
            <w:r>
              <w:rPr>
                <w:rFonts w:ascii="宋体" w:hAnsi="宋体" w:cs="宋体" w:eastAsia="宋体" w:hint="default"/>
                <w:sz w:val="18"/>
                <w:szCs w:val="18"/>
              </w:rPr>
              <w:t>隆软件的股票，并在本次要约收购完成后的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内不转让所持海隆软件的股票。</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2" w:right="20"/>
              <w:jc w:val="left"/>
              <w:rPr>
                <w:rFonts w:ascii="宋体" w:hAnsi="宋体" w:cs="宋体" w:eastAsia="宋体" w:hint="default"/>
                <w:sz w:val="18"/>
                <w:szCs w:val="18"/>
              </w:rPr>
            </w:pPr>
            <w:r>
              <w:rPr>
                <w:rFonts w:ascii="宋体" w:hAnsi="宋体" w:cs="宋体" w:eastAsia="宋体" w:hint="default"/>
                <w:sz w:val="18"/>
                <w:szCs w:val="18"/>
              </w:rPr>
              <w:t>本次要约 收购完成 后的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 月内</w:t>
            </w:r>
          </w:p>
        </w:tc>
        <w:tc>
          <w:tcPr>
            <w:tcW w:w="9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1454" w:hRule="exact"/>
        </w:trPr>
        <w:tc>
          <w:tcPr>
            <w:tcW w:w="8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8" w:type="dxa"/>
            <w:vMerge/>
            <w:tcBorders>
              <w:left w:val="single" w:sz="9" w:space="0" w:color="D2D2D2"/>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110"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2898" w:hRule="exact"/>
        </w:trPr>
        <w:tc>
          <w:tcPr>
            <w:tcW w:w="828" w:type="dxa"/>
            <w:vMerge w:val="restart"/>
            <w:tcBorders>
              <w:top w:val="single" w:sz="4" w:space="0" w:color="000000"/>
              <w:left w:val="single" w:sz="4" w:space="0" w:color="000000"/>
              <w:right w:val="single" w:sz="4" w:space="0" w:color="000000"/>
            </w:tcBorders>
            <w:shd w:val="clear" w:color="auto" w:fill="D2D2D2"/>
          </w:tcPr>
          <w:p>
            <w:pP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4" w:right="-16"/>
              <w:jc w:val="left"/>
              <w:rPr>
                <w:rFonts w:ascii="宋体" w:hAnsi="宋体" w:cs="宋体" w:eastAsia="宋体" w:hint="default"/>
                <w:sz w:val="18"/>
                <w:szCs w:val="18"/>
              </w:rPr>
            </w:pPr>
            <w:r>
              <w:rPr>
                <w:rFonts w:ascii="宋体" w:hAnsi="宋体" w:cs="宋体" w:eastAsia="宋体" w:hint="default"/>
                <w:sz w:val="18"/>
                <w:szCs w:val="18"/>
              </w:rPr>
              <w:t>浙富控股集团 股份有限公司、 吉隆瑞科投资 </w:t>
            </w:r>
            <w:r>
              <w:rPr>
                <w:rFonts w:ascii="宋体" w:hAnsi="宋体" w:cs="宋体" w:eastAsia="宋体" w:hint="default"/>
                <w:spacing w:val="-6"/>
                <w:sz w:val="18"/>
                <w:szCs w:val="18"/>
              </w:rPr>
              <w:t>有限公司、上海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瑞度投资有限 公司及庞升东、 张淑霞、秦海 丽、孙毅等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名自然人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110"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5"/>
              <w:jc w:val="left"/>
              <w:rPr>
                <w:rFonts w:ascii="宋体" w:hAnsi="宋体" w:cs="宋体" w:eastAsia="宋体" w:hint="default"/>
                <w:sz w:val="18"/>
                <w:szCs w:val="18"/>
              </w:rPr>
            </w:pPr>
            <w:r>
              <w:rPr>
                <w:rFonts w:ascii="宋体" w:hAnsi="宋体" w:cs="宋体" w:eastAsia="宋体" w:hint="default"/>
                <w:sz w:val="18"/>
                <w:szCs w:val="18"/>
              </w:rPr>
              <w:t>保证其为上海海隆软件股份有限公司发行股份购买 资产并募集配套资金暨关联交易项目所提供信息的 </w:t>
            </w:r>
            <w:r>
              <w:rPr>
                <w:rFonts w:ascii="宋体" w:hAnsi="宋体" w:cs="宋体" w:eastAsia="宋体" w:hint="default"/>
                <w:spacing w:val="-4"/>
                <w:sz w:val="18"/>
                <w:szCs w:val="18"/>
              </w:rPr>
              <w:t>真实性、准确性和完整性，保证不存在虚假记载、误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导性陈述或者重大遗漏，并对所提供信息的真实性 准确性和完整性承担个别和连带的法律责任。</w:t>
            </w:r>
          </w:p>
        </w:tc>
        <w:tc>
          <w:tcPr>
            <w:tcW w:w="99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02" w:lineRule="exact" w:before="63"/>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88"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829" w:hRule="exact"/>
        </w:trPr>
        <w:tc>
          <w:tcPr>
            <w:tcW w:w="828" w:type="dxa"/>
            <w:vMerge/>
            <w:tcBorders>
              <w:left w:val="single" w:sz="4" w:space="0" w:color="000000"/>
              <w:bottom w:val="nil" w:sz="6" w:space="0" w:color="auto"/>
              <w:right w:val="single" w:sz="4" w:space="0" w:color="000000"/>
            </w:tcBorders>
            <w:shd w:val="clear" w:color="auto" w:fill="D2D2D2"/>
          </w:tcPr>
          <w:p>
            <w:pPr/>
          </w:p>
        </w:tc>
        <w:tc>
          <w:tcPr>
            <w:tcW w:w="1288" w:type="dxa"/>
            <w:vMerge w:val="restart"/>
            <w:tcBorders>
              <w:top w:val="single" w:sz="4" w:space="0" w:color="000000"/>
              <w:left w:val="single" w:sz="9" w:space="0" w:color="D2D2D2"/>
              <w:right w:val="single" w:sz="9" w:space="0" w:color="FFFFFF"/>
            </w:tcBorders>
          </w:tcPr>
          <w:p>
            <w:pPr>
              <w:pStyle w:val="TableParagraph"/>
              <w:spacing w:line="314" w:lineRule="auto" w:before="51"/>
              <w:ind w:left="27" w:right="-23"/>
              <w:jc w:val="left"/>
              <w:rPr>
                <w:rFonts w:ascii="宋体" w:hAnsi="宋体" w:cs="宋体" w:eastAsia="宋体" w:hint="default"/>
                <w:sz w:val="18"/>
                <w:szCs w:val="18"/>
              </w:rPr>
            </w:pPr>
            <w:r>
              <w:rPr>
                <w:rFonts w:ascii="宋体" w:hAnsi="宋体" w:cs="宋体" w:eastAsia="宋体" w:hint="default"/>
                <w:sz w:val="18"/>
                <w:szCs w:val="18"/>
              </w:rPr>
              <w:t>吉隆瑞科投资 </w:t>
            </w:r>
            <w:r>
              <w:rPr>
                <w:rFonts w:ascii="宋体" w:hAnsi="宋体" w:cs="宋体" w:eastAsia="宋体" w:hint="default"/>
                <w:spacing w:val="-6"/>
                <w:sz w:val="18"/>
                <w:szCs w:val="18"/>
              </w:rPr>
              <w:t>有限公司、上海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瑞度投资有限 公司及庞升东、 张淑霞、秦海 丽、孙毅等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名自然人</w:t>
            </w:r>
          </w:p>
        </w:tc>
        <w:tc>
          <w:tcPr>
            <w:tcW w:w="566"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6" w:right="173"/>
              <w:jc w:val="left"/>
              <w:rPr>
                <w:rFonts w:ascii="宋体" w:hAnsi="宋体" w:cs="宋体" w:eastAsia="宋体" w:hint="default"/>
                <w:sz w:val="18"/>
                <w:szCs w:val="18"/>
              </w:rPr>
            </w:pPr>
            <w:r>
              <w:rPr>
                <w:rFonts w:ascii="宋体" w:hAnsi="宋体" w:cs="宋体" w:eastAsia="宋体" w:hint="default"/>
                <w:sz w:val="18"/>
                <w:szCs w:val="18"/>
              </w:rPr>
              <w:t>业绩 承诺</w:t>
            </w:r>
          </w:p>
        </w:tc>
        <w:tc>
          <w:tcPr>
            <w:tcW w:w="4110" w:type="dxa"/>
            <w:vMerge w:val="restart"/>
            <w:tcBorders>
              <w:top w:val="single" w:sz="4" w:space="0" w:color="000000"/>
              <w:left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5"/>
              <w:ind w:left="22" w:right="-40"/>
              <w:jc w:val="both"/>
              <w:rPr>
                <w:rFonts w:ascii="宋体" w:hAnsi="宋体" w:cs="宋体" w:eastAsia="宋体" w:hint="default"/>
                <w:sz w:val="18"/>
                <w:szCs w:val="18"/>
              </w:rPr>
            </w:pPr>
            <w:r>
              <w:rPr>
                <w:rFonts w:ascii="宋体" w:hAnsi="宋体" w:cs="宋体" w:eastAsia="宋体" w:hint="default"/>
                <w:sz w:val="18"/>
                <w:szCs w:val="18"/>
              </w:rPr>
              <w:t>上海二三四五网络科技股份有限公司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年实现的扣除非经常性损益后归属于母公 司股东的净利润分别不低于人民币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pacing w:val="-22"/>
                <w:sz w:val="18"/>
                <w:szCs w:val="18"/>
              </w:rPr>
              <w:t>亿元、</w:t>
            </w:r>
            <w:r>
              <w:rPr>
                <w:rFonts w:ascii="Times New Roman" w:hAnsi="Times New Roman" w:cs="Times New Roman" w:eastAsia="Times New Roman" w:hint="default"/>
                <w:spacing w:val="-22"/>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亿元、</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c>
          <w:tcPr>
            <w:tcW w:w="994"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016" w:hRule="exact"/>
        </w:trPr>
        <w:tc>
          <w:tcPr>
            <w:tcW w:w="8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85"/>
              <w:jc w:val="both"/>
              <w:rPr>
                <w:rFonts w:ascii="宋体" w:hAnsi="宋体" w:cs="宋体" w:eastAsia="宋体" w:hint="default"/>
                <w:sz w:val="18"/>
                <w:szCs w:val="18"/>
              </w:rPr>
            </w:pPr>
            <w:r>
              <w:rPr>
                <w:rFonts w:ascii="宋体" w:hAnsi="宋体" w:cs="宋体" w:eastAsia="宋体" w:hint="default"/>
                <w:sz w:val="18"/>
                <w:szCs w:val="18"/>
              </w:rPr>
              <w:t>资产重组 时所作承 诺</w:t>
            </w:r>
          </w:p>
        </w:tc>
        <w:tc>
          <w:tcPr>
            <w:tcW w:w="1288" w:type="dxa"/>
            <w:vMerge/>
            <w:tcBorders>
              <w:left w:val="single" w:sz="9" w:space="0" w:color="D2D2D2"/>
              <w:right w:val="single" w:sz="9" w:space="0" w:color="FFFFFF"/>
            </w:tcBorders>
          </w:tcPr>
          <w:p>
            <w:pPr/>
          </w:p>
        </w:tc>
        <w:tc>
          <w:tcPr>
            <w:tcW w:w="566" w:type="dxa"/>
            <w:vMerge/>
            <w:tcBorders>
              <w:left w:val="single" w:sz="9" w:space="0" w:color="FFFFFF"/>
              <w:right w:val="single" w:sz="4" w:space="0" w:color="000000"/>
            </w:tcBorders>
          </w:tcPr>
          <w:p>
            <w:pPr/>
          </w:p>
        </w:tc>
        <w:tc>
          <w:tcPr>
            <w:tcW w:w="4110" w:type="dxa"/>
            <w:vMerge/>
            <w:tcBorders>
              <w:left w:val="single" w:sz="4" w:space="0" w:color="000000"/>
              <w:right w:val="single" w:sz="9" w:space="0" w:color="FFFFFF"/>
            </w:tcBorders>
          </w:tcPr>
          <w:p>
            <w:pPr/>
          </w:p>
        </w:tc>
        <w:tc>
          <w:tcPr>
            <w:tcW w:w="994" w:type="dxa"/>
            <w:vMerge/>
            <w:tcBorders>
              <w:left w:val="single" w:sz="9" w:space="0" w:color="FFFFFF"/>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428" w:hRule="exact"/>
        </w:trPr>
        <w:tc>
          <w:tcPr>
            <w:tcW w:w="828" w:type="dxa"/>
            <w:vMerge w:val="restart"/>
            <w:tcBorders>
              <w:top w:val="nil" w:sz="6" w:space="0" w:color="auto"/>
              <w:left w:val="single" w:sz="4" w:space="0" w:color="000000"/>
              <w:right w:val="single" w:sz="4" w:space="0" w:color="000000"/>
            </w:tcBorders>
            <w:shd w:val="clear" w:color="auto" w:fill="D2D2D2"/>
          </w:tcPr>
          <w:p>
            <w:pPr/>
          </w:p>
        </w:tc>
        <w:tc>
          <w:tcPr>
            <w:tcW w:w="1288" w:type="dxa"/>
            <w:vMerge/>
            <w:tcBorders>
              <w:left w:val="single" w:sz="9" w:space="0" w:color="D2D2D2"/>
              <w:bottom w:val="single" w:sz="4" w:space="0" w:color="000000"/>
              <w:right w:val="single" w:sz="9" w:space="0" w:color="FFFFFF"/>
            </w:tcBorders>
          </w:tcPr>
          <w:p>
            <w:pPr/>
          </w:p>
        </w:tc>
        <w:tc>
          <w:tcPr>
            <w:tcW w:w="566" w:type="dxa"/>
            <w:vMerge/>
            <w:tcBorders>
              <w:left w:val="single" w:sz="9" w:space="0" w:color="FFFFFF"/>
              <w:bottom w:val="single" w:sz="4" w:space="0" w:color="000000"/>
              <w:right w:val="single" w:sz="4" w:space="0" w:color="000000"/>
            </w:tcBorders>
          </w:tcPr>
          <w:p>
            <w:pPr/>
          </w:p>
        </w:tc>
        <w:tc>
          <w:tcPr>
            <w:tcW w:w="4110" w:type="dxa"/>
            <w:vMerge/>
            <w:tcBorders>
              <w:left w:val="single" w:sz="4" w:space="0" w:color="000000"/>
              <w:bottom w:val="single" w:sz="4" w:space="0" w:color="000000"/>
              <w:right w:val="single" w:sz="9" w:space="0" w:color="FFFFFF"/>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2898" w:hRule="exact"/>
        </w:trPr>
        <w:tc>
          <w:tcPr>
            <w:tcW w:w="828" w:type="dxa"/>
            <w:vMerge/>
            <w:tcBorders>
              <w:left w:val="single" w:sz="4" w:space="0" w:color="000000"/>
              <w:right w:val="single" w:sz="4" w:space="0" w:color="000000"/>
            </w:tcBorders>
            <w:shd w:val="clear" w:color="auto" w:fill="D2D2D2"/>
          </w:tcPr>
          <w:p>
            <w:pPr/>
          </w:p>
        </w:tc>
        <w:tc>
          <w:tcPr>
            <w:tcW w:w="1288"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34" w:right="-23"/>
              <w:jc w:val="left"/>
              <w:rPr>
                <w:rFonts w:ascii="宋体" w:hAnsi="宋体" w:cs="宋体" w:eastAsia="宋体" w:hint="default"/>
                <w:sz w:val="18"/>
                <w:szCs w:val="18"/>
              </w:rPr>
            </w:pPr>
            <w:r>
              <w:rPr>
                <w:rFonts w:ascii="宋体" w:hAnsi="宋体" w:cs="宋体" w:eastAsia="宋体" w:hint="default"/>
                <w:sz w:val="18"/>
                <w:szCs w:val="18"/>
              </w:rPr>
              <w:t>浙富控股集团 股份有限公司、 吉隆瑞科投资 </w:t>
            </w:r>
            <w:r>
              <w:rPr>
                <w:rFonts w:ascii="宋体" w:hAnsi="宋体" w:cs="宋体" w:eastAsia="宋体" w:hint="default"/>
                <w:spacing w:val="-6"/>
                <w:sz w:val="18"/>
                <w:szCs w:val="18"/>
              </w:rPr>
              <w:t>有限公司、上海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瑞度投资有限 公司及庞升东、 张淑霞、秦海 丽、孙毅等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名自然人</w:t>
            </w:r>
          </w:p>
        </w:tc>
        <w:tc>
          <w:tcPr>
            <w:tcW w:w="56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16" w:right="173"/>
              <w:jc w:val="both"/>
              <w:rPr>
                <w:rFonts w:ascii="宋体" w:hAnsi="宋体" w:cs="宋体" w:eastAsia="宋体" w:hint="default"/>
                <w:sz w:val="18"/>
                <w:szCs w:val="18"/>
              </w:rPr>
            </w:pPr>
            <w:r>
              <w:rPr>
                <w:rFonts w:ascii="宋体" w:hAnsi="宋体" w:cs="宋体" w:eastAsia="宋体" w:hint="default"/>
                <w:sz w:val="18"/>
                <w:szCs w:val="18"/>
              </w:rPr>
              <w:t>不减 持承 诺</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22"/>
              <w:jc w:val="both"/>
              <w:rPr>
                <w:rFonts w:ascii="宋体" w:hAnsi="宋体" w:cs="宋体" w:eastAsia="宋体" w:hint="default"/>
                <w:sz w:val="18"/>
                <w:szCs w:val="18"/>
              </w:rPr>
            </w:pPr>
            <w:r>
              <w:rPr>
                <w:rFonts w:ascii="宋体" w:hAnsi="宋体" w:cs="宋体" w:eastAsia="宋体" w:hint="default"/>
                <w:spacing w:val="-4"/>
                <w:sz w:val="18"/>
                <w:szCs w:val="18"/>
              </w:rPr>
              <w:t>截至其取得本次交易对价股份时，其用于认购股份的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资产持续拥有权益的时间不足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个月的，该部分资</w:t>
            </w:r>
          </w:p>
          <w:p>
            <w:pPr>
              <w:pStyle w:val="TableParagraph"/>
              <w:spacing w:line="307" w:lineRule="auto"/>
              <w:ind w:left="22" w:right="22"/>
              <w:jc w:val="both"/>
              <w:rPr>
                <w:rFonts w:ascii="宋体" w:hAnsi="宋体" w:cs="宋体" w:eastAsia="宋体" w:hint="default"/>
                <w:sz w:val="18"/>
                <w:szCs w:val="18"/>
              </w:rPr>
            </w:pPr>
            <w:r>
              <w:rPr>
                <w:rFonts w:ascii="宋体" w:hAnsi="宋体" w:cs="宋体" w:eastAsia="宋体" w:hint="default"/>
                <w:sz w:val="18"/>
                <w:szCs w:val="18"/>
              </w:rPr>
              <w:t>产认购的海隆软件股份自本次发行结束之日起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w:t>
            </w:r>
            <w:r>
              <w:rPr>
                <w:rFonts w:ascii="宋体" w:hAnsi="宋体" w:cs="宋体" w:eastAsia="宋体" w:hint="default"/>
                <w:spacing w:val="-4"/>
                <w:sz w:val="18"/>
                <w:szCs w:val="18"/>
              </w:rPr>
              <w:t>月内不转让；其余资产认购的海隆软件股份自本次发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行结束之日起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个月内不转让。在此之后按中国证 监会及深圳证券交易所的有关规定执行。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402" w:hRule="exact"/>
        </w:trPr>
        <w:tc>
          <w:tcPr>
            <w:tcW w:w="828" w:type="dxa"/>
            <w:vMerge/>
            <w:tcBorders>
              <w:left w:val="single" w:sz="4" w:space="0" w:color="000000"/>
              <w:bottom w:val="single" w:sz="4" w:space="0" w:color="000000"/>
              <w:right w:val="single" w:sz="4" w:space="0" w:color="000000"/>
            </w:tcBorders>
            <w:shd w:val="clear" w:color="auto" w:fill="D2D2D2"/>
          </w:tcPr>
          <w:p>
            <w:pP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4" w:right="0"/>
              <w:jc w:val="left"/>
              <w:rPr>
                <w:rFonts w:ascii="宋体" w:hAnsi="宋体" w:cs="宋体" w:eastAsia="宋体" w:hint="default"/>
                <w:sz w:val="18"/>
                <w:szCs w:val="18"/>
              </w:rPr>
            </w:pPr>
            <w:r>
              <w:rPr>
                <w:rFonts w:ascii="宋体" w:hAnsi="宋体" w:cs="宋体" w:eastAsia="宋体" w:hint="default"/>
                <w:sz w:val="18"/>
                <w:szCs w:val="18"/>
              </w:rPr>
              <w:t>曲水信佳科技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不减</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自本次发行结束之日起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个月内不转让其在本次发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83.059998pt;margin-top:654.159973pt;width:163.3pt;height:109.25pt;mso-position-horizontal-relative:page;mso-position-vertical-relative:page;z-index:-922768" type="#_x0000_t202" filled="false" stroked="false">
            <v:textbox inset="0,0,0,0">
              <w:txbxContent>
                <w:p>
                  <w:pPr>
                    <w:spacing w:line="240" w:lineRule="auto" w:before="6"/>
                    <w:rPr>
                      <w:rFonts w:ascii="Times New Roman" w:hAnsi="Times New Roman" w:cs="Times New Roman" w:eastAsia="Times New Roman" w:hint="default"/>
                      <w:sz w:val="24"/>
                      <w:szCs w:val="24"/>
                    </w:rPr>
                  </w:pPr>
                </w:p>
                <w:p>
                  <w:pPr>
                    <w:pStyle w:val="BodyText"/>
                    <w:spacing w:line="240" w:lineRule="auto" w:before="0"/>
                    <w:ind w:left="0" w:right="0"/>
                    <w:jc w:val="left"/>
                  </w:pPr>
                  <w:r>
                    <w:rPr/>
                    <w:t>本人作为海隆软件股东期间，</w:t>
                  </w:r>
                </w:p>
              </w:txbxContent>
            </v:textbox>
            <w10:wrap type="none"/>
          </v:shape>
        </w:pict>
      </w:r>
      <w:r>
        <w:rPr/>
        <w:pict>
          <v:group style="position:absolute;margin-left:397.179993pt;margin-top:235.519989pt;width:49.2pt;height:70.2pt;mso-position-horizontal-relative:page;mso-position-vertical-relative:page;z-index:-922744" coordorigin="7944,4710" coordsize="984,1404">
            <v:shape style="position:absolute;left:7944;top:4710;width:984;height:1404" coordorigin="7944,4710" coordsize="984,1404" path="m7944,6114l8927,6114,8927,4710,7944,4710,7944,6114xe" filled="true" fillcolor="#ffffff" stroked="false">
              <v:path arrowok="t"/>
              <v:fill type="solid"/>
            </v:shape>
            <w10:wrap type="none"/>
          </v:group>
        </w:pict>
      </w:r>
      <w:r>
        <w:rPr/>
        <w:pict>
          <v:group style="position:absolute;margin-left:397.179993pt;margin-top:654.159973pt;width:49.2pt;height:109.25pt;mso-position-horizontal-relative:page;mso-position-vertical-relative:page;z-index:-922720" coordorigin="7944,13083" coordsize="984,2185">
            <v:shape style="position:absolute;left:7944;top:13083;width:984;height:2185" coordorigin="7944,13083" coordsize="984,2185" path="m7944,15268l8927,15268,8927,13083,7944,13083,7944,1526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51"/>
        <w:gridCol w:w="1277"/>
        <w:gridCol w:w="566"/>
        <w:gridCol w:w="4110"/>
        <w:gridCol w:w="994"/>
        <w:gridCol w:w="850"/>
        <w:gridCol w:w="920"/>
      </w:tblGrid>
      <w:tr>
        <w:trPr>
          <w:trHeight w:val="322" w:hRule="exact"/>
        </w:trPr>
        <w:tc>
          <w:tcPr>
            <w:tcW w:w="851" w:type="dxa"/>
            <w:vMerge w:val="restart"/>
            <w:tcBorders>
              <w:top w:val="single" w:sz="4" w:space="0" w:color="000000"/>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有限公司、广州</w:t>
            </w:r>
          </w:p>
        </w:tc>
        <w:tc>
          <w:tcPr>
            <w:tcW w:w="5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持承</w:t>
            </w:r>
          </w:p>
        </w:tc>
        <w:tc>
          <w:tcPr>
            <w:tcW w:w="41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行中新增的上市公司股份。</w:t>
            </w:r>
          </w:p>
        </w:tc>
        <w:tc>
          <w:tcPr>
            <w:tcW w:w="9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vMerge w:val="restart"/>
            <w:tcBorders>
              <w:top w:val="single" w:sz="4" w:space="0" w:color="000000"/>
              <w:left w:val="single" w:sz="4" w:space="0" w:color="000000"/>
              <w:right w:val="single" w:sz="4" w:space="0" w:color="000000"/>
            </w:tcBorders>
          </w:tcPr>
          <w:p>
            <w:pPr/>
          </w:p>
        </w:tc>
      </w:tr>
      <w:tr>
        <w:trPr>
          <w:trHeight w:val="307" w:hRule="exact"/>
        </w:trPr>
        <w:tc>
          <w:tcPr>
            <w:tcW w:w="851"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市动景计算机</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4110"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6"/>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566"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vMerge/>
            <w:tcBorders>
              <w:left w:val="single" w:sz="4" w:space="0" w:color="000000"/>
              <w:right w:val="single" w:sz="4" w:space="0" w:color="000000"/>
            </w:tcBorders>
          </w:tcPr>
          <w:p>
            <w:pPr/>
          </w:p>
        </w:tc>
      </w:tr>
      <w:tr>
        <w:trPr>
          <w:trHeight w:val="357" w:hRule="exact"/>
        </w:trPr>
        <w:tc>
          <w:tcPr>
            <w:tcW w:w="851"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pacing w:val="-6"/>
                <w:sz w:val="18"/>
                <w:szCs w:val="18"/>
              </w:rPr>
              <w:t>秦海丽、李春志</w:t>
            </w:r>
          </w:p>
        </w:tc>
        <w:tc>
          <w:tcPr>
            <w:tcW w:w="566" w:type="dxa"/>
            <w:tcBorders>
              <w:top w:val="nil" w:sz="6" w:space="0" w:color="auto"/>
              <w:left w:val="single" w:sz="4" w:space="0" w:color="000000"/>
              <w:bottom w:val="single" w:sz="4" w:space="0" w:color="000000"/>
              <w:right w:val="single" w:sz="4" w:space="0" w:color="000000"/>
            </w:tcBorders>
          </w:tcPr>
          <w:p>
            <w:pPr/>
          </w:p>
        </w:tc>
        <w:tc>
          <w:tcPr>
            <w:tcW w:w="4110"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358" w:hRule="exact"/>
        </w:trPr>
        <w:tc>
          <w:tcPr>
            <w:tcW w:w="851"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不谋</w:t>
            </w:r>
          </w:p>
        </w:tc>
        <w:tc>
          <w:tcPr>
            <w:tcW w:w="4110"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851"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孙毅</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73"/>
              <w:jc w:val="both"/>
              <w:rPr>
                <w:rFonts w:ascii="宋体" w:hAnsi="宋体" w:cs="宋体" w:eastAsia="宋体" w:hint="default"/>
                <w:sz w:val="18"/>
                <w:szCs w:val="18"/>
              </w:rPr>
            </w:pPr>
            <w:r>
              <w:rPr>
                <w:rFonts w:ascii="宋体" w:hAnsi="宋体" w:cs="宋体" w:eastAsia="宋体" w:hint="default"/>
                <w:sz w:val="18"/>
                <w:szCs w:val="18"/>
              </w:rPr>
              <w:t>求实 际控 制人 地位</w:t>
            </w: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4"/>
                <w:sz w:val="18"/>
                <w:szCs w:val="18"/>
              </w:rPr>
              <w:t>本次重组完成后，其不会通过直接和间接持有的海隆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软件股份对应的股东权益谋求海隆软件实际控制人 地位。</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57" w:hRule="exact"/>
        </w:trPr>
        <w:tc>
          <w:tcPr>
            <w:tcW w:w="851"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4110"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851"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41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承诺在本次交易完成后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个月内，放弃其直接持有</w:t>
            </w:r>
          </w:p>
        </w:tc>
        <w:tc>
          <w:tcPr>
            <w:tcW w:w="994"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851"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放弃</w:t>
            </w: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及通过瑞科投资间接持有的海隆软件股份所对应的</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851"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股东大会上的全部表决权、提名权、提案权，且不向</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7"/>
              <w:jc w:val="left"/>
              <w:rPr>
                <w:rFonts w:ascii="宋体" w:hAnsi="宋体" w:cs="宋体" w:eastAsia="宋体" w:hint="default"/>
                <w:sz w:val="18"/>
                <w:szCs w:val="18"/>
              </w:rPr>
            </w:pPr>
            <w:r>
              <w:rPr>
                <w:rFonts w:ascii="宋体" w:hAnsi="宋体" w:cs="宋体" w:eastAsia="宋体" w:hint="default"/>
                <w:sz w:val="18"/>
                <w:szCs w:val="18"/>
              </w:rPr>
              <w:t>权益、</w:t>
            </w: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上市公司提名、推荐任何董事、高级管理人员人选</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851"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pacing w:val="-6"/>
                <w:sz w:val="18"/>
                <w:szCs w:val="18"/>
              </w:rPr>
              <w:t>张淑霞、秦海丽</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73"/>
              <w:jc w:val="both"/>
              <w:rPr>
                <w:rFonts w:ascii="宋体" w:hAnsi="宋体" w:cs="宋体" w:eastAsia="宋体" w:hint="default"/>
                <w:sz w:val="18"/>
                <w:szCs w:val="18"/>
              </w:rPr>
            </w:pPr>
            <w:r>
              <w:rPr>
                <w:rFonts w:ascii="宋体" w:hAnsi="宋体" w:cs="宋体" w:eastAsia="宋体" w:hint="default"/>
                <w:sz w:val="18"/>
                <w:szCs w:val="18"/>
              </w:rPr>
              <w:t>不谋 求一 致行</w:t>
            </w: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both"/>
              <w:rPr>
                <w:rFonts w:ascii="宋体" w:hAnsi="宋体" w:cs="宋体" w:eastAsia="宋体" w:hint="default"/>
                <w:sz w:val="18"/>
                <w:szCs w:val="18"/>
              </w:rPr>
            </w:pPr>
            <w:r>
              <w:rPr>
                <w:rFonts w:ascii="宋体" w:hAnsi="宋体" w:cs="宋体" w:eastAsia="宋体" w:hint="default"/>
                <w:sz w:val="18"/>
                <w:szCs w:val="18"/>
              </w:rPr>
              <w:t>亦不以任何形式直接或间接增持上市公司股</w:t>
            </w:r>
            <w:r>
              <w:rPr>
                <w:rFonts w:ascii="宋体" w:hAnsi="宋体" w:cs="宋体" w:eastAsia="宋体" w:hint="default"/>
                <w:spacing w:val="-87"/>
                <w:sz w:val="18"/>
                <w:szCs w:val="18"/>
              </w:rPr>
              <w:t>份</w:t>
            </w:r>
            <w:r>
              <w:rPr>
                <w:rFonts w:ascii="宋体" w:hAnsi="宋体" w:cs="宋体" w:eastAsia="宋体" w:hint="default"/>
                <w:sz w:val="18"/>
                <w:szCs w:val="18"/>
              </w:rPr>
              <w:t>（包括</w:t>
            </w:r>
            <w:r>
              <w:rPr>
                <w:rFonts w:ascii="宋体" w:hAnsi="宋体" w:cs="宋体" w:eastAsia="宋体" w:hint="default"/>
                <w:sz w:val="18"/>
                <w:szCs w:val="18"/>
              </w:rPr>
              <w:t> 但不限于在二级市场增持上市公司股份</w:t>
            </w:r>
            <w:r>
              <w:rPr>
                <w:rFonts w:ascii="宋体" w:hAnsi="宋体" w:cs="宋体" w:eastAsia="宋体" w:hint="default"/>
                <w:spacing w:val="-87"/>
                <w:sz w:val="18"/>
                <w:szCs w:val="18"/>
              </w:rPr>
              <w:t>、</w:t>
            </w:r>
            <w:r>
              <w:rPr>
                <w:rFonts w:ascii="宋体" w:hAnsi="宋体" w:cs="宋体" w:eastAsia="宋体" w:hint="default"/>
                <w:sz w:val="18"/>
                <w:szCs w:val="18"/>
              </w:rPr>
              <w:t>协议受让上</w:t>
            </w:r>
            <w:r>
              <w:rPr>
                <w:rFonts w:ascii="宋体" w:hAnsi="宋体" w:cs="宋体" w:eastAsia="宋体" w:hint="default"/>
                <w:sz w:val="18"/>
                <w:szCs w:val="18"/>
              </w:rPr>
              <w:t> 市公司股份、认购上市公司新增股份等</w:t>
            </w:r>
            <w:r>
              <w:rPr>
                <w:rFonts w:ascii="宋体" w:hAnsi="宋体" w:cs="宋体" w:eastAsia="宋体" w:hint="default"/>
                <w:spacing w:val="-90"/>
                <w:sz w:val="18"/>
                <w:szCs w:val="18"/>
              </w:rPr>
              <w:t>）</w:t>
            </w:r>
            <w:r>
              <w:rPr>
                <w:rFonts w:ascii="宋体" w:hAnsi="宋体" w:cs="宋体" w:eastAsia="宋体" w:hint="default"/>
                <w:sz w:val="18"/>
                <w:szCs w:val="18"/>
              </w:rPr>
              <w:t>，也不通过</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动人</w:t>
            </w: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任何方式谋求对上市公司的控制地位</w:t>
            </w:r>
            <w:r>
              <w:rPr>
                <w:rFonts w:ascii="宋体" w:hAnsi="宋体" w:cs="宋体" w:eastAsia="宋体" w:hint="default"/>
                <w:spacing w:val="-87"/>
                <w:sz w:val="18"/>
                <w:szCs w:val="18"/>
              </w:rPr>
              <w:t>，</w:t>
            </w:r>
            <w:r>
              <w:rPr>
                <w:rFonts w:ascii="宋体" w:hAnsi="宋体" w:cs="宋体" w:eastAsia="宋体" w:hint="default"/>
                <w:sz w:val="18"/>
                <w:szCs w:val="18"/>
              </w:rPr>
              <w:t>不与上市公司</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关系</w:t>
            </w: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其他任何股东采取一致行动，不通过协议、其他安排</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851"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与上市公司其他股东共同扩大其所能够支配的上市</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851"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1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公司股份表决权。</w:t>
            </w:r>
          </w:p>
        </w:tc>
        <w:tc>
          <w:tcPr>
            <w:tcW w:w="99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851"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不谋</w:t>
            </w:r>
          </w:p>
        </w:tc>
        <w:tc>
          <w:tcPr>
            <w:tcW w:w="4110"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851"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庞升东、张淑 </w:t>
            </w:r>
            <w:r>
              <w:rPr>
                <w:rFonts w:ascii="宋体" w:hAnsi="宋体" w:cs="宋体" w:eastAsia="宋体" w:hint="default"/>
                <w:spacing w:val="-6"/>
                <w:sz w:val="18"/>
                <w:szCs w:val="18"/>
              </w:rPr>
              <w:t>霞、秦海丽、李</w:t>
            </w:r>
            <w:r>
              <w:rPr>
                <w:rFonts w:ascii="宋体" w:hAnsi="宋体" w:cs="宋体" w:eastAsia="宋体" w:hint="default"/>
                <w:sz w:val="18"/>
                <w:szCs w:val="18"/>
              </w:rPr>
              <w:t> 春志</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73"/>
              <w:jc w:val="both"/>
              <w:rPr>
                <w:rFonts w:ascii="宋体" w:hAnsi="宋体" w:cs="宋体" w:eastAsia="宋体" w:hint="default"/>
                <w:sz w:val="18"/>
                <w:szCs w:val="18"/>
              </w:rPr>
            </w:pPr>
            <w:r>
              <w:rPr>
                <w:rFonts w:ascii="宋体" w:hAnsi="宋体" w:cs="宋体" w:eastAsia="宋体" w:hint="default"/>
                <w:sz w:val="18"/>
                <w:szCs w:val="18"/>
              </w:rPr>
              <w:t>求一 致行 动人 关系</w:t>
            </w: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17"/>
              <w:jc w:val="left"/>
              <w:rPr>
                <w:rFonts w:ascii="宋体" w:hAnsi="宋体" w:cs="宋体" w:eastAsia="宋体" w:hint="default"/>
                <w:sz w:val="18"/>
                <w:szCs w:val="18"/>
              </w:rPr>
            </w:pPr>
            <w:r>
              <w:rPr>
                <w:rFonts w:ascii="宋体" w:hAnsi="宋体" w:cs="宋体" w:eastAsia="宋体" w:hint="default"/>
                <w:sz w:val="18"/>
                <w:szCs w:val="18"/>
              </w:rPr>
              <w:t>将来不会基于其所持有的海隆软件股份与除包叔平 外的其他股东谋求一致行动人关系。</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57" w:hRule="exact"/>
        </w:trPr>
        <w:tc>
          <w:tcPr>
            <w:tcW w:w="851"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4110"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851"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41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本人作为海隆软件的股东期间内，不</w:t>
            </w:r>
          </w:p>
        </w:tc>
        <w:tc>
          <w:tcPr>
            <w:tcW w:w="994"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851"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会在中国境内或者境外，以任何方式（包括但不限于</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其单独经营</w:t>
            </w:r>
            <w:r>
              <w:rPr>
                <w:rFonts w:ascii="宋体" w:hAnsi="宋体" w:cs="宋体" w:eastAsia="宋体" w:hint="default"/>
                <w:spacing w:val="-87"/>
                <w:sz w:val="18"/>
                <w:szCs w:val="18"/>
              </w:rPr>
              <w:t>、</w:t>
            </w:r>
            <w:r>
              <w:rPr>
                <w:rFonts w:ascii="宋体" w:hAnsi="宋体" w:cs="宋体" w:eastAsia="宋体" w:hint="default"/>
                <w:sz w:val="18"/>
                <w:szCs w:val="18"/>
              </w:rPr>
              <w:t>通过合资经营或拥有另一公司或企业的</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股权及其他权益</w:t>
            </w:r>
            <w:r>
              <w:rPr>
                <w:rFonts w:ascii="宋体" w:hAnsi="宋体" w:cs="宋体" w:eastAsia="宋体" w:hint="default"/>
                <w:spacing w:val="-87"/>
                <w:sz w:val="18"/>
                <w:szCs w:val="18"/>
              </w:rPr>
              <w:t>）</w:t>
            </w:r>
            <w:r>
              <w:rPr>
                <w:rFonts w:ascii="宋体" w:hAnsi="宋体" w:cs="宋体" w:eastAsia="宋体" w:hint="default"/>
                <w:sz w:val="18"/>
                <w:szCs w:val="18"/>
              </w:rPr>
              <w:t>直接或间接参与任何与海隆软件构</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1"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浙富控股集团</w:t>
            </w:r>
          </w:p>
        </w:tc>
        <w:tc>
          <w:tcPr>
            <w:tcW w:w="566"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成竞争的业务或活动；</w:t>
            </w:r>
            <w:r>
              <w:rPr>
                <w:rFonts w:ascii="宋体" w:hAnsi="宋体" w:cs="宋体" w:eastAsia="宋体" w:hint="default"/>
                <w:spacing w:val="-47"/>
                <w:sz w:val="18"/>
                <w:szCs w:val="18"/>
              </w:rPr>
              <w:t> </w:t>
            </w:r>
            <w:r>
              <w:rPr>
                <w:rFonts w:ascii="宋体" w:hAnsi="宋体" w:cs="宋体" w:eastAsia="宋体" w:hint="default"/>
                <w:sz w:val="18"/>
                <w:szCs w:val="18"/>
              </w:rPr>
              <w:t>（二）本公司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本人作为海隆</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51"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16"/>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566"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软件的股东期间</w:t>
            </w:r>
            <w:r>
              <w:rPr>
                <w:rFonts w:ascii="宋体" w:hAnsi="宋体" w:cs="宋体" w:eastAsia="宋体" w:hint="default"/>
                <w:spacing w:val="-87"/>
                <w:sz w:val="18"/>
                <w:szCs w:val="18"/>
              </w:rPr>
              <w:t>，</w:t>
            </w:r>
            <w:r>
              <w:rPr>
                <w:rFonts w:ascii="宋体" w:hAnsi="宋体" w:cs="宋体" w:eastAsia="宋体" w:hint="default"/>
                <w:sz w:val="18"/>
                <w:szCs w:val="18"/>
              </w:rPr>
              <w:t>不会利用在海隆软件主要股东地位</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曲水信佳科技</w:t>
            </w:r>
          </w:p>
        </w:tc>
        <w:tc>
          <w:tcPr>
            <w:tcW w:w="566"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损害海隆软件及其他股东（特别是中小股东）的合法</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630" w:hRule="exact"/>
        </w:trPr>
        <w:tc>
          <w:tcPr>
            <w:tcW w:w="851"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pacing w:val="-6"/>
                <w:sz w:val="18"/>
                <w:szCs w:val="18"/>
              </w:rPr>
              <w:t>有限公司、吉隆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瑞科投资有限</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104"/>
              <w:jc w:val="left"/>
              <w:rPr>
                <w:rFonts w:ascii="宋体" w:hAnsi="宋体" w:cs="宋体" w:eastAsia="宋体" w:hint="default"/>
                <w:sz w:val="18"/>
                <w:szCs w:val="18"/>
              </w:rPr>
            </w:pPr>
            <w:r>
              <w:rPr>
                <w:rFonts w:ascii="宋体" w:hAnsi="宋体" w:cs="宋体" w:eastAsia="宋体" w:hint="default"/>
                <w:spacing w:val="-4"/>
                <w:sz w:val="18"/>
                <w:szCs w:val="18"/>
              </w:rPr>
              <w:t>权益；（三）本公司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本人保证上述承诺在本公司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w:t>
            </w:r>
            <w:r>
              <w:rPr>
                <w:rFonts w:ascii="宋体" w:hAnsi="宋体" w:cs="宋体" w:eastAsia="宋体" w:hint="default"/>
                <w:spacing w:val="-84"/>
                <w:sz w:val="18"/>
                <w:szCs w:val="18"/>
              </w:rPr>
              <w:t> </w:t>
            </w:r>
            <w:r>
              <w:rPr>
                <w:rFonts w:ascii="宋体" w:hAnsi="宋体" w:cs="宋体" w:eastAsia="宋体" w:hint="default"/>
                <w:sz w:val="18"/>
                <w:szCs w:val="18"/>
              </w:rPr>
              <w:t>人作为海隆软件的股东期间持续有效且不可撤销；</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1" w:hRule="exact"/>
        </w:trPr>
        <w:tc>
          <w:tcPr>
            <w:tcW w:w="851"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16"/>
              <w:jc w:val="left"/>
              <w:rPr>
                <w:rFonts w:ascii="宋体" w:hAnsi="宋体" w:cs="宋体" w:eastAsia="宋体" w:hint="default"/>
                <w:sz w:val="18"/>
                <w:szCs w:val="18"/>
              </w:rPr>
            </w:pPr>
            <w:r>
              <w:rPr>
                <w:rFonts w:ascii="宋体" w:hAnsi="宋体" w:cs="宋体" w:eastAsia="宋体" w:hint="default"/>
                <w:sz w:val="18"/>
                <w:szCs w:val="18"/>
              </w:rPr>
              <w:t>公司、庞升东、</w:t>
            </w:r>
          </w:p>
        </w:tc>
        <w:tc>
          <w:tcPr>
            <w:tcW w:w="566"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（四）本公司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本人将忠实履行上述承诺，并承担相</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张淑霞、秦海</w:t>
            </w:r>
          </w:p>
        </w:tc>
        <w:tc>
          <w:tcPr>
            <w:tcW w:w="566"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应的法律责任，本公司</w:t>
            </w:r>
            <w:r>
              <w:rPr>
                <w:rFonts w:ascii="Times New Roman" w:hAnsi="Times New Roman" w:cs="Times New Roman" w:eastAsia="Times New Roman" w:hint="default"/>
                <w:spacing w:val="-5"/>
                <w:sz w:val="18"/>
                <w:szCs w:val="18"/>
              </w:rPr>
              <w:t>/</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丽、孙毅</w:t>
            </w:r>
          </w:p>
        </w:tc>
        <w:tc>
          <w:tcPr>
            <w:tcW w:w="566"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若违反上述承诺的</w:t>
            </w:r>
            <w:r>
              <w:rPr>
                <w:rFonts w:ascii="宋体" w:hAnsi="宋体" w:cs="宋体" w:eastAsia="宋体" w:hint="default"/>
                <w:spacing w:val="-87"/>
                <w:sz w:val="18"/>
                <w:szCs w:val="18"/>
              </w:rPr>
              <w:t>，</w:t>
            </w:r>
            <w:r>
              <w:rPr>
                <w:rFonts w:ascii="宋体" w:hAnsi="宋体" w:cs="宋体" w:eastAsia="宋体" w:hint="default"/>
                <w:sz w:val="18"/>
                <w:szCs w:val="18"/>
              </w:rPr>
              <w:t>将立即停止与海隆软件构成竞争</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之业务，并采取必要措施予以纠正补救，同时对因本</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1"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本人未履行本承诺函所作的承诺而给海隆软件</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及其他股东（特别是中小股东）造成的一切损失和后</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851"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1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果承担赔偿责任。</w:t>
            </w:r>
          </w:p>
        </w:tc>
        <w:tc>
          <w:tcPr>
            <w:tcW w:w="99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51"/>
        <w:gridCol w:w="1277"/>
        <w:gridCol w:w="566"/>
        <w:gridCol w:w="4110"/>
        <w:gridCol w:w="994"/>
        <w:gridCol w:w="850"/>
        <w:gridCol w:w="920"/>
      </w:tblGrid>
      <w:tr>
        <w:trPr>
          <w:trHeight w:val="352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
              <w:jc w:val="left"/>
              <w:rPr>
                <w:rFonts w:ascii="宋体" w:hAnsi="宋体" w:cs="宋体" w:eastAsia="宋体" w:hint="default"/>
                <w:sz w:val="18"/>
                <w:szCs w:val="18"/>
              </w:rPr>
            </w:pPr>
            <w:r>
              <w:rPr>
                <w:rFonts w:ascii="宋体" w:hAnsi="宋体" w:cs="宋体" w:eastAsia="宋体" w:hint="default"/>
                <w:sz w:val="18"/>
                <w:szCs w:val="18"/>
              </w:rPr>
              <w:t>浙富控股集团 股份有限公司、 曲水信佳科技 </w:t>
            </w:r>
            <w:r>
              <w:rPr>
                <w:rFonts w:ascii="宋体" w:hAnsi="宋体" w:cs="宋体" w:eastAsia="宋体" w:hint="default"/>
                <w:spacing w:val="-6"/>
                <w:sz w:val="18"/>
                <w:szCs w:val="18"/>
              </w:rPr>
              <w:t>有限公司、吉隆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瑞科投资有限 公司、包叔平、 庞升东、张淑 </w:t>
            </w:r>
            <w:r>
              <w:rPr>
                <w:rFonts w:ascii="宋体" w:hAnsi="宋体" w:cs="宋体" w:eastAsia="宋体" w:hint="default"/>
                <w:spacing w:val="-6"/>
                <w:sz w:val="18"/>
                <w:szCs w:val="18"/>
              </w:rPr>
              <w:t>霞、秦海丽、孙</w:t>
            </w:r>
            <w:r>
              <w:rPr>
                <w:rFonts w:ascii="宋体" w:hAnsi="宋体" w:cs="宋体" w:eastAsia="宋体" w:hint="default"/>
                <w:sz w:val="18"/>
                <w:szCs w:val="18"/>
              </w:rPr>
              <w:t> 毅</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（一）本公司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本人及控制的其他企业与海隆软件将 </w:t>
            </w:r>
            <w:r>
              <w:rPr>
                <w:rFonts w:ascii="宋体" w:hAnsi="宋体" w:cs="宋体" w:eastAsia="宋体" w:hint="default"/>
                <w:spacing w:val="-4"/>
                <w:sz w:val="18"/>
                <w:szCs w:val="18"/>
              </w:rPr>
              <w:t>来无法避免或有合理原因而发生的关联交易事项，本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本人及控制的其他企业将遵循市场交易的公 </w:t>
            </w:r>
            <w:r>
              <w:rPr>
                <w:rFonts w:ascii="宋体" w:hAnsi="宋体" w:cs="宋体" w:eastAsia="宋体" w:hint="default"/>
                <w:spacing w:val="-4"/>
                <w:sz w:val="18"/>
                <w:szCs w:val="18"/>
              </w:rPr>
              <w:t>开、公平、公正的原则，按照公允、合理的市场价格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进行交易，并依据有关法律、法规及规范性文件的相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关规定履行关联交易决策程序，并依法进行信息披 </w:t>
            </w:r>
            <w:r>
              <w:rPr>
                <w:rFonts w:ascii="宋体" w:hAnsi="宋体" w:cs="宋体" w:eastAsia="宋体" w:hint="default"/>
                <w:spacing w:val="-6"/>
                <w:sz w:val="18"/>
                <w:szCs w:val="18"/>
              </w:rPr>
              <w:t>露；（二）本公司</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本人及控制的其他企业将不通过与</w:t>
            </w:r>
            <w:r>
              <w:rPr>
                <w:rFonts w:ascii="宋体" w:hAnsi="宋体" w:cs="宋体" w:eastAsia="宋体" w:hint="default"/>
                <w:spacing w:val="-82"/>
                <w:sz w:val="18"/>
                <w:szCs w:val="18"/>
              </w:rPr>
              <w:t> </w:t>
            </w:r>
            <w:r>
              <w:rPr>
                <w:rFonts w:ascii="宋体" w:hAnsi="宋体" w:cs="宋体" w:eastAsia="宋体" w:hint="default"/>
                <w:sz w:val="18"/>
                <w:szCs w:val="18"/>
              </w:rPr>
              <w:t>海隆软件的关联交易取得任何不正当的利益或使海 </w:t>
            </w:r>
            <w:r>
              <w:rPr>
                <w:rFonts w:ascii="宋体" w:hAnsi="宋体" w:cs="宋体" w:eastAsia="宋体" w:hint="default"/>
                <w:spacing w:val="-4"/>
                <w:sz w:val="18"/>
                <w:szCs w:val="18"/>
              </w:rPr>
              <w:t>隆软件承担任何不正当的义务；（三）如违反上述承</w:t>
            </w:r>
            <w:r>
              <w:rPr>
                <w:rFonts w:ascii="宋体" w:hAnsi="宋体" w:cs="宋体" w:eastAsia="宋体" w:hint="default"/>
                <w:sz w:val="18"/>
                <w:szCs w:val="18"/>
              </w:rPr>
              <w:t> </w:t>
            </w:r>
            <w:r>
              <w:rPr>
                <w:rFonts w:ascii="宋体" w:hAnsi="宋体" w:cs="宋体" w:eastAsia="宋体" w:hint="default"/>
                <w:spacing w:val="-4"/>
                <w:sz w:val="18"/>
                <w:szCs w:val="18"/>
              </w:rPr>
              <w:t>诺与海隆软件进行交易而给海隆软件造成损失，由本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本人承担赔偿责任。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2586"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96"/>
              <w:jc w:val="both"/>
              <w:rPr>
                <w:rFonts w:ascii="宋体" w:hAnsi="宋体" w:cs="宋体" w:eastAsia="宋体" w:hint="default"/>
                <w:sz w:val="18"/>
                <w:szCs w:val="18"/>
              </w:rPr>
            </w:pPr>
            <w:r>
              <w:rPr>
                <w:rFonts w:ascii="宋体" w:hAnsi="宋体" w:cs="宋体" w:eastAsia="宋体" w:hint="default"/>
                <w:sz w:val="18"/>
                <w:szCs w:val="18"/>
              </w:rPr>
              <w:t>首次公开 发行或再 融资时所 作承诺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包叔平等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位 </w:t>
            </w:r>
            <w:r>
              <w:rPr>
                <w:rFonts w:ascii="宋体" w:hAnsi="宋体" w:cs="宋体" w:eastAsia="宋体" w:hint="default"/>
                <w:spacing w:val="-6"/>
                <w:sz w:val="18"/>
                <w:szCs w:val="18"/>
              </w:rPr>
              <w:t>自然人股东、上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海慧盛创业投 </w:t>
            </w:r>
            <w:r>
              <w:rPr>
                <w:rFonts w:ascii="宋体" w:hAnsi="宋体" w:cs="宋体" w:eastAsia="宋体" w:hint="default"/>
                <w:spacing w:val="-6"/>
                <w:sz w:val="18"/>
                <w:szCs w:val="18"/>
              </w:rPr>
              <w:t>资有限公司、上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海古德投资咨 </w:t>
            </w:r>
            <w:r>
              <w:rPr>
                <w:rFonts w:ascii="宋体" w:hAnsi="宋体" w:cs="宋体" w:eastAsia="宋体" w:hint="default"/>
                <w:spacing w:val="-6"/>
                <w:sz w:val="18"/>
                <w:szCs w:val="18"/>
              </w:rPr>
              <w:t>询有限公司、欧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姆龙（中国）有</w:t>
            </w:r>
            <w:r>
              <w:rPr>
                <w:rFonts w:ascii="宋体" w:hAnsi="宋体" w:cs="宋体" w:eastAsia="宋体" w:hint="default"/>
                <w:sz w:val="18"/>
                <w:szCs w:val="18"/>
              </w:rPr>
              <w:t> 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2" w:right="22"/>
              <w:jc w:val="left"/>
              <w:rPr>
                <w:rFonts w:ascii="宋体" w:hAnsi="宋体" w:cs="宋体" w:eastAsia="宋体" w:hint="default"/>
                <w:sz w:val="18"/>
                <w:szCs w:val="18"/>
              </w:rPr>
            </w:pPr>
            <w:r>
              <w:rPr>
                <w:rFonts w:ascii="宋体" w:hAnsi="宋体" w:cs="宋体" w:eastAsia="宋体" w:hint="default"/>
                <w:sz w:val="18"/>
                <w:szCs w:val="18"/>
              </w:rPr>
              <w:t>包叔平等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位自然人股东、上海古德投资咨询有限 </w:t>
            </w:r>
            <w:r>
              <w:rPr>
                <w:rFonts w:ascii="宋体" w:hAnsi="宋体" w:cs="宋体" w:eastAsia="宋体" w:hint="default"/>
                <w:spacing w:val="-4"/>
                <w:sz w:val="18"/>
                <w:szCs w:val="18"/>
              </w:rPr>
              <w:t>公司关于不从事同业竞争生产经营活动的承诺；上海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慧盛创业投资有限公司、欧姆龙（中国）有限公司关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于不从事有损于海隆软件利益的生产经营活动的承 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股权激励 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6" w:type="dxa"/>
            <w:tcBorders>
              <w:top w:val="single" w:sz="4" w:space="0" w:color="000000"/>
              <w:left w:val="single" w:sz="4" w:space="0" w:color="000000"/>
              <w:bottom w:val="single" w:sz="4" w:space="0" w:color="000000"/>
              <w:right w:val="single" w:sz="4" w:space="0" w:color="000000"/>
            </w:tcBorders>
          </w:tcPr>
          <w:p>
            <w:pPr/>
          </w:p>
        </w:tc>
        <w:tc>
          <w:tcPr>
            <w:tcW w:w="411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其他对公 司中小股 东所作承 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6" w:type="dxa"/>
            <w:tcBorders>
              <w:top w:val="single" w:sz="4" w:space="0" w:color="000000"/>
              <w:left w:val="single" w:sz="4" w:space="0" w:color="000000"/>
              <w:bottom w:val="single" w:sz="4" w:space="0" w:color="000000"/>
              <w:right w:val="single" w:sz="4" w:space="0" w:color="000000"/>
            </w:tcBorders>
          </w:tcPr>
          <w:p>
            <w:pPr/>
          </w:p>
        </w:tc>
        <w:tc>
          <w:tcPr>
            <w:tcW w:w="411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承诺是否 按时履行</w:t>
            </w:r>
          </w:p>
        </w:tc>
        <w:tc>
          <w:tcPr>
            <w:tcW w:w="871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10"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如承诺超 期未履行 完毕的， 应当详细 说明未完 成履行的 具体原因 及下一步 的工作计 划</w:t>
            </w:r>
          </w:p>
        </w:tc>
        <w:tc>
          <w:tcPr>
            <w:tcW w:w="871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6"/>
        <w:spacing w:line="259" w:lineRule="auto" w:before="35"/>
        <w:ind w:left="154" w:right="0"/>
        <w:jc w:val="left"/>
        <w:rPr>
          <w:b w:val="0"/>
          <w:bCs w:val="0"/>
        </w:rPr>
      </w:pPr>
      <w:bookmarkStart w:name="2、公司资产或项目存在盈利预测，且报告期仍处在盈利预测期间，公司就资产或项目达到" w:id="70"/>
      <w:bookmarkEnd w:id="70"/>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4" w:right="45"/>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95" w:right="44"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93" w:right="43"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227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上海二三四五 网络科技有限 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653" w:right="0"/>
              <w:jc w:val="left"/>
              <w:rPr>
                <w:rFonts w:ascii="Times New Roman" w:hAnsi="Times New Roman" w:cs="Times New Roman" w:eastAsia="Times New Roman" w:hint="default"/>
                <w:sz w:val="18"/>
                <w:szCs w:val="18"/>
              </w:rPr>
            </w:pPr>
            <w:r>
              <w:rPr>
                <w:rFonts w:ascii="Times New Roman"/>
                <w:sz w:val="18"/>
              </w:rPr>
              <w:t>20,000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27" w:right="0"/>
              <w:jc w:val="left"/>
              <w:rPr>
                <w:rFonts w:ascii="Times New Roman" w:hAnsi="Times New Roman" w:cs="Times New Roman" w:eastAsia="Times New Roman" w:hint="default"/>
                <w:sz w:val="18"/>
                <w:szCs w:val="18"/>
              </w:rPr>
            </w:pPr>
            <w:r>
              <w:rPr>
                <w:rFonts w:ascii="Times New Roman"/>
                <w:sz w:val="18"/>
              </w:rPr>
              <w:t>37,776.85</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2" w:lineRule="auto" w:before="76"/>
              <w:ind w:left="22"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www.cninfo. </w:t>
            </w:r>
            <w:r>
              <w:rPr>
                <w:rFonts w:ascii="Times New Roman" w:hAnsi="Times New Roman" w:cs="Times New Roman" w:eastAsia="Times New Roman" w:hint="default"/>
                <w:spacing w:val="-13"/>
                <w:sz w:val="18"/>
                <w:szCs w:val="18"/>
              </w:rPr>
              <w:t>com.cn</w:t>
            </w:r>
            <w:r>
              <w:rPr>
                <w:rFonts w:ascii="宋体" w:hAnsi="宋体" w:cs="宋体" w:eastAsia="宋体" w:hint="default"/>
                <w:spacing w:val="-13"/>
                <w:sz w:val="18"/>
                <w:szCs w:val="18"/>
              </w:rPr>
              <w:t>）《发行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股份购买资产 并募集配套资 金暨关联交易 报告书》</w:t>
            </w:r>
          </w:p>
        </w:tc>
      </w:tr>
    </w:tbl>
    <w:p>
      <w:pPr>
        <w:pStyle w:val="BodyText"/>
        <w:spacing w:line="240" w:lineRule="auto" w:before="51"/>
        <w:ind w:right="0"/>
        <w:jc w:val="left"/>
      </w:pPr>
      <w:r>
        <w:rPr/>
        <w:t>公司股东、交易对手方在报告年度经营业绩做出的承诺情况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7" w:lineRule="auto" w:before="101"/>
        <w:ind w:left="153" w:right="1132" w:firstLine="360"/>
        <w:jc w:val="both"/>
      </w:pPr>
      <w:r>
        <w:rPr>
          <w:spacing w:val="-4"/>
        </w:rPr>
        <w:t>为保护公司中小投资者利益，公司 </w:t>
      </w:r>
      <w:r>
        <w:rPr>
          <w:rFonts w:ascii="Times New Roman" w:hAnsi="Times New Roman" w:cs="Times New Roman" w:eastAsia="Times New Roman" w:hint="default"/>
        </w:rPr>
        <w:t>2014</w:t>
      </w:r>
      <w:r>
        <w:rPr>
          <w:rFonts w:ascii="Times New Roman" w:hAnsi="Times New Roman" w:cs="Times New Roman" w:eastAsia="Times New Roman" w:hint="default"/>
          <w:spacing w:val="-19"/>
        </w:rPr>
        <w:t> </w:t>
      </w:r>
      <w:r>
        <w:rPr>
          <w:spacing w:val="-4"/>
        </w:rPr>
        <w:t>年重大资产重组的交易对方（吉隆瑞科投资有限公司、上海瑞度投资有限公司、</w:t>
      </w:r>
      <w:r>
        <w:rPr/>
        <w:t> </w:t>
      </w:r>
      <w:r>
        <w:rPr>
          <w:spacing w:val="-2"/>
        </w:rPr>
        <w:t>庞升东、张淑霞、秦海丽、孙毅、赵娜、何涛峰、威震、徐灵甫、吴化清、罗玉婷、李伟、康峰、谢茜、李春志、寇杰毅等</w:t>
      </w:r>
      <w:r>
        <w:rPr>
          <w:spacing w:val="-65"/>
        </w:rPr>
        <w:t> </w:t>
      </w:r>
      <w:r>
        <w:rPr>
          <w:spacing w:val="-65"/>
        </w:rPr>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名）承诺上海二三四五网络科技有限公司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年实现的扣除非经常性损益后归属于母公司股东的净 利润不低于</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亿元、</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亿元、</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亿元。</w:t>
      </w:r>
    </w:p>
    <w:p>
      <w:pPr>
        <w:pStyle w:val="BodyText"/>
        <w:spacing w:line="240" w:lineRule="auto" w:before="46"/>
        <w:ind w:left="513"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年度网络科技子公司合并利润表归属于母公司所有者的净利润为</w:t>
      </w:r>
      <w:r>
        <w:rPr>
          <w:spacing w:val="-47"/>
        </w:rPr>
        <w:t> </w:t>
      </w:r>
      <w:r>
        <w:rPr>
          <w:rFonts w:ascii="Times New Roman" w:hAnsi="Times New Roman" w:cs="Times New Roman" w:eastAsia="Times New Roman" w:hint="default"/>
        </w:rPr>
        <w:t>21,760.28</w:t>
      </w:r>
      <w:r>
        <w:rPr>
          <w:rFonts w:ascii="Times New Roman" w:hAnsi="Times New Roman" w:cs="Times New Roman" w:eastAsia="Times New Roman" w:hint="default"/>
          <w:spacing w:val="-2"/>
        </w:rPr>
        <w:t> </w:t>
      </w:r>
      <w:r>
        <w:rPr>
          <w:spacing w:val="-4"/>
        </w:rPr>
        <w:t>万元，非经常性损益为</w:t>
      </w:r>
      <w:r>
        <w:rPr>
          <w:spacing w:val="-47"/>
        </w:rPr>
        <w:t> </w:t>
      </w:r>
      <w:r>
        <w:rPr>
          <w:rFonts w:ascii="Times New Roman" w:hAnsi="Times New Roman" w:cs="Times New Roman" w:eastAsia="Times New Roman" w:hint="default"/>
        </w:rPr>
        <w:t>115.94</w:t>
      </w:r>
      <w:r>
        <w:rPr>
          <w:rFonts w:ascii="Times New Roman" w:hAnsi="Times New Roman" w:cs="Times New Roman" w:eastAsia="Times New Roman" w:hint="default"/>
          <w:spacing w:val="-2"/>
        </w:rPr>
        <w:t> </w:t>
      </w:r>
      <w:r>
        <w:rPr>
          <w:spacing w:val="-10"/>
        </w:rPr>
        <w:t>万元，扣</w:t>
      </w:r>
    </w:p>
    <w:p>
      <w:pPr>
        <w:pStyle w:val="BodyText"/>
        <w:spacing w:line="240" w:lineRule="auto" w:before="64"/>
        <w:ind w:left="153" w:right="0"/>
        <w:jc w:val="left"/>
      </w:pPr>
      <w:r>
        <w:rPr/>
        <w:t>除非经常性损益后归属于母公司所有者的净利润为</w:t>
      </w:r>
      <w:r>
        <w:rPr>
          <w:spacing w:val="-45"/>
        </w:rPr>
        <w:t> </w:t>
      </w:r>
      <w:r>
        <w:rPr>
          <w:rFonts w:ascii="Times New Roman" w:hAnsi="Times New Roman" w:cs="Times New Roman" w:eastAsia="Times New Roman" w:hint="default"/>
        </w:rPr>
        <w:t>21,644.34</w:t>
      </w:r>
      <w:r>
        <w:rPr>
          <w:rFonts w:ascii="Times New Roman" w:hAnsi="Times New Roman" w:cs="Times New Roman" w:eastAsia="Times New Roman" w:hint="default"/>
          <w:spacing w:val="-1"/>
        </w:rPr>
        <w:t> </w:t>
      </w:r>
      <w:r>
        <w:rPr/>
        <w:t>万元，网络科技子公司实现了</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年度的业绩承诺。</w:t>
      </w:r>
    </w:p>
    <w:p>
      <w:pPr>
        <w:pStyle w:val="BodyText"/>
        <w:spacing w:line="240" w:lineRule="auto" w:before="101"/>
        <w:ind w:left="514"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年度网络科技子公司合并利润表归属于母公司所有者的净利润为</w:t>
      </w:r>
      <w:r>
        <w:rPr>
          <w:spacing w:val="-35"/>
        </w:rPr>
        <w:t> </w:t>
      </w:r>
      <w:r>
        <w:rPr>
          <w:rFonts w:ascii="Times New Roman" w:hAnsi="Times New Roman" w:cs="Times New Roman" w:eastAsia="Times New Roman" w:hint="default"/>
        </w:rPr>
        <w:t>39,909.02</w:t>
      </w:r>
      <w:r>
        <w:rPr>
          <w:rFonts w:ascii="Times New Roman" w:hAnsi="Times New Roman" w:cs="Times New Roman" w:eastAsia="Times New Roman" w:hint="default"/>
          <w:spacing w:val="9"/>
        </w:rPr>
        <w:t> </w:t>
      </w:r>
      <w:r>
        <w:rPr/>
        <w:t>万元，非经常性损益为</w:t>
      </w:r>
      <w:r>
        <w:rPr>
          <w:spacing w:val="-36"/>
        </w:rPr>
        <w:t> </w:t>
      </w:r>
      <w:r>
        <w:rPr>
          <w:rFonts w:ascii="Times New Roman" w:hAnsi="Times New Roman" w:cs="Times New Roman" w:eastAsia="Times New Roman" w:hint="default"/>
        </w:rPr>
        <w:t>2,132.17</w:t>
      </w:r>
      <w:r>
        <w:rPr>
          <w:rFonts w:ascii="Times New Roman" w:hAnsi="Times New Roman" w:cs="Times New Roman" w:eastAsia="Times New Roman" w:hint="default"/>
          <w:spacing w:val="9"/>
        </w:rPr>
        <w:t> </w:t>
      </w:r>
      <w:r>
        <w:rPr/>
        <w:t>万元，</w:t>
      </w:r>
    </w:p>
    <w:p>
      <w:pPr>
        <w:pStyle w:val="BodyText"/>
        <w:spacing w:line="338" w:lineRule="auto" w:before="64"/>
        <w:ind w:left="513" w:right="1575" w:hanging="360"/>
        <w:jc w:val="left"/>
      </w:pPr>
      <w:r>
        <w:rPr/>
        <w:t>扣除非经常性损益后归属于母公司所有者的净利润为</w:t>
      </w:r>
      <w:r>
        <w:rPr>
          <w:spacing w:val="-45"/>
        </w:rPr>
        <w:t> </w:t>
      </w:r>
      <w:r>
        <w:rPr>
          <w:rFonts w:ascii="Times New Roman" w:hAnsi="Times New Roman" w:cs="Times New Roman" w:eastAsia="Times New Roman" w:hint="default"/>
        </w:rPr>
        <w:t>37,776.85</w:t>
      </w:r>
      <w:r>
        <w:rPr>
          <w:rFonts w:ascii="Times New Roman" w:hAnsi="Times New Roman" w:cs="Times New Roman" w:eastAsia="Times New Roman" w:hint="default"/>
          <w:spacing w:val="-1"/>
        </w:rPr>
        <w:t> </w:t>
      </w:r>
      <w:r>
        <w:rPr/>
        <w:t>万元，网络科技子公司实现了</w:t>
      </w:r>
      <w:r>
        <w:rPr>
          <w:spacing w:val="-46"/>
        </w:rPr>
        <w:t> </w:t>
      </w:r>
      <w:r>
        <w:rPr>
          <w:rFonts w:ascii="Times New Roman" w:hAnsi="Times New Roman" w:cs="Times New Roman" w:eastAsia="Times New Roman" w:hint="default"/>
        </w:rPr>
        <w:t>2015 </w:t>
      </w:r>
      <w:r>
        <w:rPr/>
        <w:t>年度的业绩承诺。 截至目前，</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年的盈利预测已经实现。</w:t>
      </w:r>
    </w:p>
    <w:p>
      <w:pPr>
        <w:spacing w:line="240" w:lineRule="auto" w:before="11"/>
        <w:rPr>
          <w:rFonts w:ascii="宋体" w:hAnsi="宋体" w:cs="宋体" w:eastAsia="宋体" w:hint="default"/>
          <w:sz w:val="17"/>
          <w:szCs w:val="17"/>
        </w:rPr>
      </w:pPr>
    </w:p>
    <w:p>
      <w:pPr>
        <w:pStyle w:val="Heading4"/>
        <w:spacing w:line="240" w:lineRule="auto"/>
        <w:ind w:left="154" w:right="0"/>
        <w:jc w:val="left"/>
        <w:rPr>
          <w:b w:val="0"/>
          <w:bCs w:val="0"/>
        </w:rPr>
      </w:pPr>
      <w:bookmarkStart w:name="四、控股股东及其关联方对上市公司的非经营性占用资金情况" w:id="71"/>
      <w:bookmarkEnd w:id="71"/>
      <w:r>
        <w:rPr>
          <w:b w:val="0"/>
          <w:bCs w:val="0"/>
        </w:rPr>
      </w: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before="0"/>
        <w:ind w:left="153"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bookmarkStart w:name="五、董事会、监事会、独立董事（如有）对会计师事务所本报告期“非标准审计报告”的说" w:id="72"/>
      <w:bookmarkEnd w:id="72"/>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bookmarkStart w:name="六、与上年度财务报告相比，会计政策、会计估计和核算方法发生变化的情况说明" w:id="73"/>
      <w:bookmarkEnd w:id="73"/>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left="153" w:right="5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公司报告期无会计政策、会计估计和核算方法发生变化的情况。</w:t>
      </w:r>
    </w:p>
    <w:p>
      <w:pPr>
        <w:spacing w:line="240" w:lineRule="auto" w:before="6"/>
        <w:rPr>
          <w:rFonts w:ascii="宋体" w:hAnsi="宋体" w:cs="宋体" w:eastAsia="宋体" w:hint="default"/>
          <w:sz w:val="19"/>
          <w:szCs w:val="19"/>
        </w:rPr>
      </w:pPr>
    </w:p>
    <w:p>
      <w:pPr>
        <w:pStyle w:val="Heading4"/>
        <w:spacing w:line="240" w:lineRule="auto"/>
        <w:ind w:left="154" w:right="0"/>
        <w:jc w:val="left"/>
        <w:rPr>
          <w:b w:val="0"/>
          <w:bCs w:val="0"/>
        </w:rPr>
      </w:pPr>
      <w:bookmarkStart w:name="七、报告期内发生重大会计差错更正需追溯重述的情况说明" w:id="74"/>
      <w:bookmarkEnd w:id="74"/>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before="0"/>
        <w:ind w:left="153"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3"/>
        <w:rPr>
          <w:rFonts w:ascii="宋体" w:hAnsi="宋体" w:cs="宋体" w:eastAsia="宋体" w:hint="default"/>
          <w:sz w:val="19"/>
          <w:szCs w:val="19"/>
        </w:rPr>
      </w:pPr>
    </w:p>
    <w:p>
      <w:pPr>
        <w:pStyle w:val="Heading4"/>
        <w:spacing w:line="240" w:lineRule="auto"/>
        <w:ind w:left="154" w:right="0"/>
        <w:jc w:val="left"/>
        <w:rPr>
          <w:b w:val="0"/>
          <w:bCs w:val="0"/>
        </w:rPr>
      </w:pPr>
      <w:bookmarkStart w:name="八、与上年度财务报告相比，合并报表范围发生变化的情况说明" w:id="75"/>
      <w:bookmarkEnd w:id="75"/>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left="153" w:right="0"/>
        <w:jc w:val="left"/>
      </w:pPr>
      <w:r>
        <w:rPr/>
        <w:t>（一）本期新增合并企业如下：</w:t>
      </w:r>
    </w:p>
    <w:p>
      <w:pPr>
        <w:pStyle w:val="BodyText"/>
        <w:spacing w:line="240" w:lineRule="auto" w:before="116"/>
        <w:ind w:left="153" w:right="0"/>
        <w:jc w:val="left"/>
      </w:pPr>
      <w:r>
        <w:rPr>
          <w:rFonts w:ascii="Times New Roman" w:hAnsi="Times New Roman" w:cs="Times New Roman" w:eastAsia="Times New Roman" w:hint="default"/>
        </w:rPr>
        <w:t>1</w:t>
      </w:r>
      <w:r>
        <w:rPr/>
        <w:t>、本期收购子公司：</w:t>
      </w:r>
    </w:p>
    <w:p>
      <w:pPr>
        <w:pStyle w:val="BodyText"/>
        <w:spacing w:line="240" w:lineRule="auto" w:before="102"/>
        <w:ind w:right="0"/>
        <w:jc w:val="left"/>
      </w:pPr>
      <w:r>
        <w:rPr/>
        <w:t>（</w:t>
      </w:r>
      <w:r>
        <w:rPr>
          <w:rFonts w:ascii="Times New Roman" w:hAnsi="Times New Roman" w:cs="Times New Roman" w:eastAsia="Times New Roman" w:hint="default"/>
        </w:rPr>
        <w:t>1</w:t>
      </w:r>
      <w:r>
        <w:rPr>
          <w:spacing w:val="-82"/>
        </w:rPr>
        <w:t>）</w:t>
      </w:r>
      <w:r>
        <w:rPr/>
        <w:t>本公司全资子公司上海海隆软件有限公司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2 </w:t>
      </w:r>
      <w:r>
        <w:rPr/>
        <w:t>月以自有资金通过直接收购方式收购张继伦持有的江苏天听信息技</w:t>
      </w:r>
    </w:p>
    <w:p>
      <w:pPr>
        <w:pStyle w:val="BodyText"/>
        <w:spacing w:line="240" w:lineRule="auto" w:before="63"/>
        <w:ind w:left="153" w:right="0"/>
        <w:jc w:val="left"/>
        <w:rPr>
          <w:rFonts w:ascii="Times New Roman" w:hAnsi="Times New Roman" w:cs="Times New Roman" w:eastAsia="Times New Roman" w:hint="default"/>
        </w:rPr>
      </w:pPr>
      <w:r>
        <w:rPr/>
        <w:t>术有限公司（以下简称</w:t>
      </w:r>
      <w:r>
        <w:rPr>
          <w:rFonts w:ascii="Times New Roman" w:hAnsi="Times New Roman" w:cs="Times New Roman" w:eastAsia="Times New Roman" w:hint="default"/>
        </w:rPr>
        <w:t>“</w:t>
      </w:r>
      <w:r>
        <w:rPr/>
        <w:t>江苏天听</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股权，本次收购完成后，江苏天听更名为</w:t>
      </w:r>
      <w:r>
        <w:rPr>
          <w:rFonts w:ascii="Times New Roman" w:hAnsi="Times New Roman" w:cs="Times New Roman" w:eastAsia="Times New Roman" w:hint="default"/>
        </w:rPr>
        <w:t>“</w:t>
      </w:r>
      <w:r>
        <w:rPr/>
        <w:t>海隆软件（昆山）有限公司</w:t>
      </w:r>
      <w:r>
        <w:rPr>
          <w:rFonts w:ascii="Times New Roman" w:hAnsi="Times New Roman" w:cs="Times New Roman" w:eastAsia="Times New Roman" w:hint="default"/>
        </w:rPr>
        <w:t>”</w:t>
      </w:r>
      <w:r>
        <w:rPr/>
        <w:t>，从</w:t>
      </w:r>
      <w:r>
        <w:rPr>
          <w:spacing w:val="-48"/>
        </w:rPr>
        <w:t> </w:t>
      </w:r>
      <w:r>
        <w:rPr>
          <w:rFonts w:ascii="Times New Roman" w:hAnsi="Times New Roman" w:cs="Times New Roman" w:eastAsia="Times New Roman" w:hint="default"/>
        </w:rPr>
        <w:t>2015</w:t>
      </w:r>
    </w:p>
    <w:p>
      <w:pPr>
        <w:pStyle w:val="BodyText"/>
        <w:spacing w:line="240" w:lineRule="auto" w:before="64"/>
        <w:ind w:left="153" w:right="0"/>
        <w:jc w:val="left"/>
      </w:pPr>
      <w:r>
        <w:rPr/>
        <w:t>年开始将其纳入合并报表范围。</w:t>
      </w:r>
    </w:p>
    <w:p>
      <w:pPr>
        <w:pStyle w:val="BodyText"/>
        <w:spacing w:line="302" w:lineRule="auto" w:before="115"/>
        <w:ind w:left="153" w:right="1122"/>
        <w:jc w:val="left"/>
      </w:pPr>
      <w:r>
        <w:rPr>
          <w:spacing w:val="-13"/>
        </w:rPr>
        <w:t>（</w:t>
      </w:r>
      <w:r>
        <w:rPr>
          <w:rFonts w:ascii="Times New Roman" w:hAnsi="Times New Roman" w:cs="Times New Roman" w:eastAsia="Times New Roman" w:hint="default"/>
          <w:spacing w:val="-13"/>
        </w:rPr>
        <w:t>2</w:t>
      </w:r>
      <w:r>
        <w:rPr>
          <w:spacing w:val="-13"/>
        </w:rPr>
        <w:t>）</w:t>
      </w:r>
      <w:r>
        <w:rPr>
          <w:rFonts w:ascii="Times New Roman" w:hAnsi="Times New Roman" w:cs="Times New Roman" w:eastAsia="Times New Roman" w:hint="default"/>
          <w:spacing w:val="-13"/>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spacing w:val="-3"/>
        </w:rPr>
        <w:t>月，公司全资子公司上海海隆软件有限公司的全资子公司日本海隆通过吸收合并方式完成了株式会社</w:t>
      </w:r>
      <w:r>
        <w:rPr>
          <w:spacing w:val="-44"/>
        </w:rPr>
        <w:t> </w:t>
      </w:r>
      <w:r>
        <w:rPr>
          <w:rFonts w:ascii="Times New Roman" w:hAnsi="Times New Roman" w:cs="Times New Roman" w:eastAsia="Times New Roman" w:hint="default"/>
          <w:spacing w:val="-1"/>
          <w:w w:val="99"/>
        </w:rPr>
        <w:t>SKYING</w:t>
      </w:r>
      <w:r>
        <w:rPr>
          <w:rFonts w:ascii="Times New Roman" w:hAnsi="Times New Roman" w:cs="Times New Roman" w:eastAsia="Times New Roman" w:hint="default"/>
          <w:spacing w:val="-42"/>
          <w:w w:val="99"/>
        </w:rPr>
        <w:t> </w:t>
      </w:r>
      <w:r>
        <w:rPr>
          <w:rFonts w:ascii="Times New Roman" w:hAnsi="Times New Roman" w:cs="Times New Roman" w:eastAsia="Times New Roman" w:hint="default"/>
          <w:spacing w:val="-42"/>
          <w:w w:val="99"/>
        </w:rPr>
      </w:r>
      <w:r>
        <w:rPr>
          <w:rFonts w:ascii="Times New Roman" w:hAnsi="Times New Roman" w:cs="Times New Roman" w:eastAsia="Times New Roman" w:hint="default"/>
        </w:rPr>
        <w:t>100%</w:t>
      </w:r>
      <w:r>
        <w:rPr/>
        <w:t>股权的收购。</w:t>
      </w:r>
    </w:p>
    <w:p>
      <w:pPr>
        <w:pStyle w:val="BodyText"/>
        <w:spacing w:line="240" w:lineRule="auto" w:before="50"/>
        <w:ind w:left="153" w:right="0"/>
        <w:jc w:val="left"/>
      </w:pPr>
      <w:r>
        <w:rPr>
          <w:rFonts w:ascii="Times New Roman" w:hAnsi="Times New Roman" w:cs="Times New Roman" w:eastAsia="Times New Roman" w:hint="default"/>
        </w:rPr>
        <w:t>2</w:t>
      </w:r>
      <w:r>
        <w:rPr/>
        <w:t>、本期新设子公司：</w:t>
      </w:r>
    </w:p>
    <w:p>
      <w:pPr>
        <w:pStyle w:val="BodyText"/>
        <w:spacing w:line="240" w:lineRule="auto" w:before="102"/>
        <w:ind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）公司于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日在上海设立全资子公司上海二三四五海隆金融信息服务有限公司，注册资本人民币</w:t>
      </w:r>
      <w:r>
        <w:rPr>
          <w:spacing w:val="-45"/>
        </w:rPr>
        <w:t> </w:t>
      </w:r>
      <w:r>
        <w:rPr>
          <w:rFonts w:ascii="Times New Roman" w:hAnsi="Times New Roman" w:cs="Times New Roman" w:eastAsia="Times New Roman" w:hint="default"/>
        </w:rPr>
        <w:t>10,000.00</w:t>
      </w:r>
    </w:p>
    <w:p>
      <w:pPr>
        <w:pStyle w:val="BodyText"/>
        <w:spacing w:line="240" w:lineRule="auto" w:before="64"/>
        <w:ind w:left="153" w:right="0"/>
        <w:jc w:val="left"/>
      </w:pPr>
      <w:r>
        <w:rPr/>
        <w:t>万元，</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年开始将其纳入合并报表范围。</w:t>
      </w:r>
    </w:p>
    <w:p>
      <w:pPr>
        <w:pStyle w:val="BodyText"/>
        <w:spacing w:line="240" w:lineRule="auto" w:before="101"/>
        <w:ind w:left="153"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spacing w:val="-90"/>
        </w:rPr>
        <w:t>）</w:t>
      </w:r>
      <w:r>
        <w:rPr/>
        <w:t>公司子公司上海二三四五海隆金融信息服务有限公司于</w:t>
      </w:r>
      <w:r>
        <w:rPr>
          <w:spacing w:val="-5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w:t>
      </w:r>
      <w:r>
        <w:rPr>
          <w:spacing w:val="-51"/>
        </w:rPr>
        <w:t> </w:t>
      </w:r>
      <w:r>
        <w:rPr>
          <w:rFonts w:ascii="Times New Roman" w:hAnsi="Times New Roman" w:cs="Times New Roman" w:eastAsia="Times New Roman" w:hint="default"/>
        </w:rPr>
        <w:t>25</w:t>
      </w:r>
      <w:r>
        <w:rPr>
          <w:rFonts w:ascii="Times New Roman" w:hAnsi="Times New Roman" w:cs="Times New Roman" w:eastAsia="Times New Roman" w:hint="default"/>
          <w:spacing w:val="-6"/>
        </w:rPr>
        <w:t> </w:t>
      </w:r>
      <w:r>
        <w:rPr/>
        <w:t>日与上海千机投资有限公司分别出资人民币</w:t>
      </w:r>
      <w:r>
        <w:rPr>
          <w:spacing w:val="-50"/>
        </w:rPr>
        <w:t> </w:t>
      </w:r>
      <w:r>
        <w:rPr>
          <w:rFonts w:ascii="Times New Roman" w:hAnsi="Times New Roman" w:cs="Times New Roman" w:eastAsia="Times New Roman" w:hint="default"/>
        </w:rPr>
        <w:t>399</w:t>
      </w:r>
    </w:p>
    <w:p>
      <w:pPr>
        <w:pStyle w:val="BodyText"/>
        <w:spacing w:line="240" w:lineRule="auto" w:before="64"/>
        <w:ind w:right="0"/>
        <w:jc w:val="left"/>
      </w:pPr>
      <w:r>
        <w:rPr/>
        <w:t>万元、人民币</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万元设立有限合伙企业上海善拢泗海投资管理中心（有限合伙</w:t>
      </w:r>
      <w:r>
        <w:rPr>
          <w:spacing w:val="-90"/>
        </w:rPr>
        <w:t>）</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年开始将其纳入合并报表范围。</w:t>
      </w:r>
    </w:p>
    <w:p>
      <w:pPr>
        <w:pStyle w:val="BodyText"/>
        <w:spacing w:line="240" w:lineRule="auto" w:before="101"/>
        <w:ind w:left="153" w:right="0"/>
        <w:jc w:val="left"/>
      </w:pPr>
      <w:r>
        <w:rPr/>
        <w:t>（</w:t>
      </w:r>
      <w:r>
        <w:rPr>
          <w:rFonts w:ascii="Times New Roman" w:hAnsi="Times New Roman" w:cs="Times New Roman" w:eastAsia="Times New Roman" w:hint="default"/>
        </w:rPr>
        <w:t>3</w:t>
      </w:r>
      <w:r>
        <w:rPr/>
        <w:t>）公司子公司上海二三四五海隆金融信息服务有限公司于</w:t>
      </w:r>
      <w:r>
        <w:rPr>
          <w:spacing w:val="-5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spacing w:val="-3"/>
        </w:rPr>
        <w:t>日与上海善拢泗海投资管理中心（有限合伙）分</w:t>
      </w:r>
    </w:p>
    <w:p>
      <w:pPr>
        <w:pStyle w:val="BodyText"/>
        <w:spacing w:line="240" w:lineRule="auto" w:before="64"/>
        <w:ind w:right="0"/>
        <w:jc w:val="left"/>
      </w:pPr>
      <w:r>
        <w:rPr/>
        <w:t>别出资人民币</w:t>
      </w:r>
      <w:r>
        <w:rPr>
          <w:spacing w:val="-61"/>
        </w:rPr>
        <w:t> </w:t>
      </w:r>
      <w:r>
        <w:rPr>
          <w:rFonts w:ascii="Times New Roman" w:hAnsi="Times New Roman" w:cs="Times New Roman" w:eastAsia="Times New Roman" w:hint="default"/>
        </w:rPr>
        <w:t>1,600</w:t>
      </w:r>
      <w:r>
        <w:rPr>
          <w:rFonts w:ascii="Times New Roman" w:hAnsi="Times New Roman" w:cs="Times New Roman" w:eastAsia="Times New Roman" w:hint="default"/>
          <w:spacing w:val="-16"/>
        </w:rPr>
        <w:t> </w:t>
      </w:r>
      <w:r>
        <w:rPr/>
        <w:t>万元</w:t>
      </w:r>
      <w:r>
        <w:rPr>
          <w:spacing w:val="-90"/>
        </w:rPr>
        <w:t>、</w:t>
      </w:r>
      <w:r>
        <w:rPr/>
        <w:t>人</w:t>
      </w:r>
      <w:r>
        <w:rPr>
          <w:spacing w:val="-2"/>
        </w:rPr>
        <w:t>民</w:t>
      </w:r>
      <w:r>
        <w:rPr/>
        <w:t>币</w:t>
      </w:r>
      <w:r>
        <w:rPr>
          <w:spacing w:val="-62"/>
        </w:rPr>
        <w:t> </w:t>
      </w:r>
      <w:r>
        <w:rPr>
          <w:rFonts w:ascii="Times New Roman" w:hAnsi="Times New Roman" w:cs="Times New Roman" w:eastAsia="Times New Roman" w:hint="default"/>
        </w:rPr>
        <w:t>400</w:t>
      </w:r>
      <w:r>
        <w:rPr>
          <w:rFonts w:ascii="Times New Roman" w:hAnsi="Times New Roman" w:cs="Times New Roman" w:eastAsia="Times New Roman" w:hint="default"/>
          <w:spacing w:val="-17"/>
        </w:rPr>
        <w:t> </w:t>
      </w:r>
      <w:r>
        <w:rPr/>
        <w:t>万元设立上海薪想互联网金融信息服务有限公司</w:t>
      </w:r>
      <w:r>
        <w:rPr>
          <w:spacing w:val="-90"/>
        </w:rPr>
        <w:t>，</w:t>
      </w:r>
      <w:r>
        <w:rPr>
          <w:rFonts w:ascii="Times New Roman" w:hAnsi="Times New Roman" w:cs="Times New Roman" w:eastAsia="Times New Roman" w:hint="default"/>
        </w:rPr>
        <w:t>2015</w:t>
      </w:r>
      <w:r>
        <w:rPr>
          <w:rFonts w:ascii="Times New Roman" w:hAnsi="Times New Roman" w:cs="Times New Roman" w:eastAsia="Times New Roman" w:hint="default"/>
          <w:spacing w:val="-16"/>
        </w:rPr>
        <w:t> </w:t>
      </w:r>
      <w:r>
        <w:rPr/>
        <w:t>年开始将其纳入合并报表范围。</w:t>
      </w:r>
    </w:p>
    <w:p>
      <w:pPr>
        <w:pStyle w:val="BodyText"/>
        <w:spacing w:line="240" w:lineRule="auto" w:before="103"/>
        <w:ind w:left="153" w:right="0"/>
        <w:jc w:val="left"/>
      </w:pPr>
      <w:r>
        <w:rPr/>
        <w:t>（二）本期未有因子公司因股权变化而导致合并范围发生变动情况。</w:t>
      </w:r>
    </w:p>
    <w:p>
      <w:pPr>
        <w:spacing w:line="240" w:lineRule="auto" w:before="13"/>
        <w:rPr>
          <w:rFonts w:ascii="宋体" w:hAnsi="宋体" w:cs="宋体" w:eastAsia="宋体" w:hint="default"/>
          <w:sz w:val="24"/>
          <w:szCs w:val="24"/>
        </w:rPr>
      </w:pPr>
    </w:p>
    <w:p>
      <w:pPr>
        <w:pStyle w:val="Heading4"/>
        <w:spacing w:line="240" w:lineRule="auto"/>
        <w:ind w:right="0"/>
        <w:jc w:val="left"/>
        <w:rPr>
          <w:b w:val="0"/>
          <w:bCs w:val="0"/>
        </w:rPr>
      </w:pPr>
      <w:bookmarkStart w:name="九、聘任、解聘会计师事务所情况" w:id="76"/>
      <w:bookmarkEnd w:id="76"/>
      <w:r>
        <w:rPr>
          <w:b w:val="0"/>
          <w:bCs w:val="0"/>
        </w:rPr>
      </w:r>
      <w:r>
        <w:rPr/>
        <w:t>九、聘任、解聘会计师事务所情况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3"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郑斌、范翃</w:t>
            </w:r>
          </w:p>
        </w:tc>
      </w:tr>
    </w:tbl>
    <w:p>
      <w:pPr>
        <w:pStyle w:val="BodyText"/>
        <w:spacing w:line="240" w:lineRule="auto" w:before="51"/>
        <w:ind w:right="0"/>
        <w:jc w:val="left"/>
      </w:pPr>
      <w:r>
        <w:rPr/>
        <w:t>当期是否改聘会计师事务所</w:t>
      </w:r>
    </w:p>
    <w:p>
      <w:pPr>
        <w:pStyle w:val="BodyText"/>
        <w:spacing w:line="338" w:lineRule="auto" w:before="117"/>
        <w:ind w:left="153"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314" w:lineRule="auto" w:before="43"/>
        <w:ind w:left="153"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、报告期内，东吴证券股份有限公司作为公司</w:t>
      </w:r>
      <w:r>
        <w:rPr>
          <w:rFonts w:ascii="Times New Roman" w:hAnsi="Times New Roman" w:cs="Times New Roman" w:eastAsia="Times New Roman" w:hint="default"/>
        </w:rPr>
        <w:t>2014</w:t>
      </w:r>
      <w:r>
        <w:rPr/>
        <w:t>年重大资产重组之独立财务顾问，继续负责公司重大资产重组的持续督 导工作，报告期内未向其支付财务顾问费。 </w:t>
      </w:r>
      <w:r>
        <w:rPr>
          <w:rFonts w:ascii="Times New Roman" w:hAnsi="Times New Roman" w:cs="Times New Roman" w:eastAsia="Times New Roman" w:hint="default"/>
        </w:rPr>
        <w:t>2</w:t>
      </w:r>
      <w:r>
        <w:rPr/>
        <w:t>、报告期内，公司聘请东吴证券股份有限公司为公司</w:t>
      </w:r>
      <w:r>
        <w:rPr>
          <w:rFonts w:ascii="Times New Roman" w:hAnsi="Times New Roman" w:cs="Times New Roman" w:eastAsia="Times New Roman" w:hint="default"/>
        </w:rPr>
        <w:t>2015</w:t>
      </w:r>
      <w:r>
        <w:rPr/>
        <w:t>年非公开发行股票的保荐机构，负责公司非公开发行股票工作， 报告期内共支付保荐费</w:t>
      </w:r>
      <w:r>
        <w:rPr>
          <w:rFonts w:ascii="Times New Roman" w:hAnsi="Times New Roman" w:cs="Times New Roman" w:eastAsia="Times New Roman" w:hint="default"/>
        </w:rPr>
        <w:t>800</w:t>
      </w:r>
      <w:r>
        <w:rPr/>
        <w:t>万元。</w:t>
      </w:r>
    </w:p>
    <w:p>
      <w:pPr>
        <w:pStyle w:val="BodyText"/>
        <w:spacing w:line="300" w:lineRule="auto" w:before="1"/>
        <w:ind w:right="1122"/>
        <w:jc w:val="left"/>
      </w:pPr>
      <w:r>
        <w:rPr>
          <w:rFonts w:ascii="Times New Roman" w:hAnsi="Times New Roman" w:cs="Times New Roman" w:eastAsia="Times New Roman" w:hint="default"/>
        </w:rPr>
        <w:t>3</w:t>
      </w:r>
      <w:r>
        <w:rPr/>
        <w:t>、报告期内，公司聘请立信会计师事务所（特殊普通合伙）为公司内部控制审计会计师事务所，报告期内未向其支付内部 控制审计费。</w:t>
      </w:r>
    </w:p>
    <w:p>
      <w:pPr>
        <w:spacing w:line="240" w:lineRule="auto" w:before="9"/>
        <w:rPr>
          <w:rFonts w:ascii="宋体" w:hAnsi="宋体" w:cs="宋体" w:eastAsia="宋体" w:hint="default"/>
          <w:sz w:val="21"/>
          <w:szCs w:val="21"/>
        </w:rPr>
      </w:pPr>
    </w:p>
    <w:p>
      <w:pPr>
        <w:pStyle w:val="Heading4"/>
        <w:spacing w:line="240" w:lineRule="auto"/>
        <w:ind w:right="0"/>
        <w:jc w:val="left"/>
        <w:rPr>
          <w:b w:val="0"/>
          <w:bCs w:val="0"/>
        </w:rPr>
      </w:pPr>
      <w:bookmarkStart w:name="十、年度报告披露后面临暂停上市和终止上市情况" w:id="77"/>
      <w:bookmarkEnd w:id="77"/>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4"/>
        <w:spacing w:line="240" w:lineRule="auto"/>
        <w:ind w:right="0"/>
        <w:jc w:val="left"/>
        <w:rPr>
          <w:b w:val="0"/>
          <w:bCs w:val="0"/>
        </w:rPr>
      </w:pPr>
      <w:bookmarkStart w:name="十一、破产重整相关事项" w:id="78"/>
      <w:bookmarkEnd w:id="78"/>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left="153" w:right="0"/>
        <w:jc w:val="left"/>
      </w:pPr>
      <w:r>
        <w:rPr/>
        <w:t>公司报告期未发生破产重整相关事项。</w:t>
      </w:r>
    </w:p>
    <w:p>
      <w:pPr>
        <w:spacing w:line="240" w:lineRule="auto" w:before="13"/>
        <w:rPr>
          <w:rFonts w:ascii="宋体" w:hAnsi="宋体" w:cs="宋体" w:eastAsia="宋体" w:hint="default"/>
          <w:sz w:val="24"/>
          <w:szCs w:val="24"/>
        </w:rPr>
      </w:pPr>
    </w:p>
    <w:p>
      <w:pPr>
        <w:pStyle w:val="Heading4"/>
        <w:spacing w:line="240" w:lineRule="auto"/>
        <w:ind w:right="0"/>
        <w:jc w:val="left"/>
        <w:rPr>
          <w:b w:val="0"/>
          <w:bCs w:val="0"/>
        </w:rPr>
      </w:pPr>
      <w:bookmarkStart w:name="十二、重大诉讼、仲裁事项" w:id="79"/>
      <w:bookmarkEnd w:id="79"/>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left="153"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6"/>
        <w:rPr>
          <w:rFonts w:ascii="宋体" w:hAnsi="宋体" w:cs="宋体" w:eastAsia="宋体" w:hint="default"/>
          <w:sz w:val="19"/>
          <w:szCs w:val="19"/>
        </w:rPr>
      </w:pPr>
    </w:p>
    <w:p>
      <w:pPr>
        <w:pStyle w:val="Heading4"/>
        <w:spacing w:line="240" w:lineRule="auto"/>
        <w:ind w:right="0"/>
        <w:jc w:val="left"/>
        <w:rPr>
          <w:b w:val="0"/>
          <w:bCs w:val="0"/>
        </w:rPr>
      </w:pPr>
      <w:bookmarkStart w:name="十三、处罚及整改情况" w:id="80"/>
      <w:bookmarkEnd w:id="80"/>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before="0"/>
        <w:ind w:left="153"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bookmarkStart w:name="十四、公司及其控股股东、实际控制人的诚信状况" w:id="81"/>
      <w:bookmarkEnd w:id="81"/>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left="153" w:right="15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公司及公司实际控制人包叔平先生诚实守信，不存在未履行法院生效判决、所负数额较大的债务到期未清偿等情况。</w:t>
      </w:r>
    </w:p>
    <w:p>
      <w:pPr>
        <w:spacing w:line="240" w:lineRule="auto" w:before="6"/>
        <w:rPr>
          <w:rFonts w:ascii="宋体" w:hAnsi="宋体" w:cs="宋体" w:eastAsia="宋体" w:hint="default"/>
          <w:sz w:val="19"/>
          <w:szCs w:val="19"/>
        </w:rPr>
      </w:pPr>
    </w:p>
    <w:p>
      <w:pPr>
        <w:pStyle w:val="Heading4"/>
        <w:spacing w:line="240" w:lineRule="auto"/>
        <w:ind w:right="0"/>
        <w:jc w:val="left"/>
        <w:rPr>
          <w:b w:val="0"/>
          <w:bCs w:val="0"/>
        </w:rPr>
      </w:pPr>
      <w:bookmarkStart w:name="十五、公司股权激励计划、员工持股计划或其他员工激励措施的实施情况" w:id="82"/>
      <w:bookmarkEnd w:id="82"/>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before="0"/>
        <w:ind w:left="153" w:right="4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bookmarkStart w:name="十六、重大关联交易" w:id="83"/>
      <w:bookmarkEnd w:id="83"/>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与日常经营相关的关联交易" w:id="84"/>
      <w:bookmarkEnd w:id="84"/>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1032"/>
        <w:gridCol w:w="674"/>
        <w:gridCol w:w="673"/>
        <w:gridCol w:w="675"/>
        <w:gridCol w:w="674"/>
        <w:gridCol w:w="673"/>
        <w:gridCol w:w="671"/>
        <w:gridCol w:w="642"/>
      </w:tblGrid>
      <w:tr>
        <w:trPr>
          <w:trHeight w:val="1338"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04"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1" w:right="63"/>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9" w:right="60"/>
              <w:jc w:val="left"/>
              <w:rPr>
                <w:rFonts w:ascii="宋体" w:hAnsi="宋体" w:cs="宋体" w:eastAsia="宋体" w:hint="default"/>
                <w:sz w:val="18"/>
                <w:szCs w:val="18"/>
              </w:rPr>
            </w:pPr>
            <w:r>
              <w:rPr>
                <w:rFonts w:ascii="宋体" w:hAnsi="宋体" w:cs="宋体" w:eastAsia="宋体" w:hint="default"/>
                <w:sz w:val="18"/>
                <w:szCs w:val="18"/>
              </w:rPr>
              <w:t>关联交易金 额（万元）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61"/>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1" w:right="63"/>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1" w:right="61"/>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60"/>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0"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5" w:right="44"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227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46"/>
              <w:jc w:val="both"/>
              <w:rPr>
                <w:rFonts w:ascii="宋体" w:hAnsi="宋体" w:cs="宋体" w:eastAsia="宋体" w:hint="default"/>
                <w:sz w:val="18"/>
                <w:szCs w:val="18"/>
              </w:rPr>
            </w:pPr>
            <w:r>
              <w:rPr>
                <w:rFonts w:ascii="宋体" w:hAnsi="宋体" w:cs="宋体" w:eastAsia="宋体" w:hint="default"/>
                <w:sz w:val="18"/>
                <w:szCs w:val="18"/>
              </w:rPr>
              <w:t>上海我要 网络发展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持有本 公司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股份的 股东控 制的企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02"/>
              <w:jc w:val="left"/>
              <w:rPr>
                <w:rFonts w:ascii="宋体" w:hAnsi="宋体" w:cs="宋体" w:eastAsia="宋体" w:hint="default"/>
                <w:sz w:val="18"/>
                <w:szCs w:val="18"/>
              </w:rPr>
            </w:pPr>
            <w:r>
              <w:rPr>
                <w:rFonts w:ascii="宋体" w:hAnsi="宋体" w:cs="宋体" w:eastAsia="宋体" w:hint="default"/>
                <w:sz w:val="18"/>
                <w:szCs w:val="18"/>
              </w:rPr>
              <w:t>提供软 件服务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31"/>
              <w:jc w:val="left"/>
              <w:rPr>
                <w:rFonts w:ascii="宋体" w:hAnsi="宋体" w:cs="宋体" w:eastAsia="宋体" w:hint="default"/>
                <w:sz w:val="18"/>
                <w:szCs w:val="18"/>
              </w:rPr>
            </w:pPr>
            <w:r>
              <w:rPr>
                <w:rFonts w:ascii="宋体" w:hAnsi="宋体" w:cs="宋体" w:eastAsia="宋体" w:hint="default"/>
                <w:sz w:val="18"/>
                <w:szCs w:val="18"/>
              </w:rPr>
              <w:t>软件推 广服务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04"/>
              <w:jc w:val="left"/>
              <w:rPr>
                <w:rFonts w:ascii="宋体" w:hAnsi="宋体" w:cs="宋体" w:eastAsia="宋体" w:hint="default"/>
                <w:sz w:val="18"/>
                <w:szCs w:val="18"/>
              </w:rPr>
            </w:pPr>
            <w:r>
              <w:rPr>
                <w:rFonts w:ascii="宋体" w:hAnsi="宋体" w:cs="宋体" w:eastAsia="宋体" w:hint="default"/>
                <w:sz w:val="18"/>
                <w:szCs w:val="18"/>
              </w:rPr>
              <w:t>参照市 场价格</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00"/>
              <w:jc w:val="left"/>
              <w:rPr>
                <w:rFonts w:ascii="宋体" w:hAnsi="宋体" w:cs="宋体" w:eastAsia="宋体" w:hint="default"/>
                <w:sz w:val="18"/>
                <w:szCs w:val="18"/>
              </w:rPr>
            </w:pPr>
            <w:r>
              <w:rPr>
                <w:rFonts w:ascii="宋体" w:hAnsi="宋体" w:cs="宋体" w:eastAsia="宋体" w:hint="default"/>
                <w:sz w:val="18"/>
                <w:szCs w:val="18"/>
              </w:rPr>
              <w:t>市场公 允价格</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721.28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0.96%</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2,800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01"/>
              <w:jc w:val="left"/>
              <w:rPr>
                <w:rFonts w:ascii="宋体" w:hAnsi="宋体" w:cs="宋体" w:eastAsia="宋体" w:hint="default"/>
                <w:sz w:val="18"/>
                <w:szCs w:val="18"/>
              </w:rPr>
            </w:pPr>
            <w:r>
              <w:rPr>
                <w:rFonts w:ascii="宋体" w:hAnsi="宋体" w:cs="宋体" w:eastAsia="宋体" w:hint="default"/>
                <w:sz w:val="18"/>
                <w:szCs w:val="18"/>
              </w:rPr>
              <w:t>按协议 结算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98"/>
              <w:jc w:val="left"/>
              <w:rPr>
                <w:rFonts w:ascii="宋体" w:hAnsi="宋体" w:cs="宋体" w:eastAsia="宋体" w:hint="default"/>
                <w:sz w:val="18"/>
                <w:szCs w:val="18"/>
              </w:rPr>
            </w:pPr>
            <w:r>
              <w:rPr>
                <w:rFonts w:ascii="宋体" w:hAnsi="宋体" w:cs="宋体" w:eastAsia="宋体" w:hint="default"/>
                <w:sz w:val="18"/>
                <w:szCs w:val="18"/>
              </w:rPr>
              <w:t>市场公 允价格</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7"/>
              <w:jc w:val="both"/>
              <w:rPr>
                <w:rFonts w:ascii="宋体" w:hAnsi="宋体" w:cs="宋体" w:eastAsia="宋体" w:hint="default"/>
                <w:sz w:val="18"/>
                <w:szCs w:val="18"/>
              </w:rPr>
            </w:pPr>
            <w:r>
              <w:rPr>
                <w:rFonts w:ascii="宋体" w:hAnsi="宋体" w:cs="宋体" w:eastAsia="宋体" w:hint="default"/>
                <w:sz w:val="18"/>
                <w:szCs w:val="18"/>
              </w:rPr>
              <w:t>巨潮资 讯网， 公告编 号：</w:t>
            </w:r>
          </w:p>
          <w:p>
            <w:pPr>
              <w:pStyle w:val="TableParagraph"/>
              <w:spacing w:line="240" w:lineRule="auto" w:before="58"/>
              <w:ind w:left="22" w:right="0"/>
              <w:jc w:val="both"/>
              <w:rPr>
                <w:rFonts w:ascii="Times New Roman" w:hAnsi="Times New Roman" w:cs="Times New Roman" w:eastAsia="Times New Roman" w:hint="default"/>
                <w:sz w:val="18"/>
                <w:szCs w:val="18"/>
              </w:rPr>
            </w:pPr>
            <w:r>
              <w:rPr>
                <w:rFonts w:ascii="Times New Roman"/>
                <w:sz w:val="18"/>
              </w:rPr>
              <w:t>2015-0</w:t>
            </w:r>
          </w:p>
          <w:p>
            <w:pPr>
              <w:pStyle w:val="TableParagraph"/>
              <w:spacing w:line="240" w:lineRule="auto" w:before="106"/>
              <w:ind w:left="22" w:right="0"/>
              <w:jc w:val="both"/>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721.28</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7069"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7069"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859"/>
        <w:gridCol w:w="7069"/>
      </w:tblGrid>
      <w:tr>
        <w:trPr>
          <w:trHeight w:val="332" w:hRule="exact"/>
        </w:trPr>
        <w:tc>
          <w:tcPr>
            <w:tcW w:w="2859" w:type="dxa"/>
            <w:tcBorders>
              <w:top w:val="single" w:sz="6" w:space="0" w:color="000000"/>
              <w:left w:val="nil" w:sz="6" w:space="0" w:color="auto"/>
              <w:bottom w:val="single" w:sz="4" w:space="0" w:color="000000"/>
              <w:right w:val="nil" w:sz="6" w:space="0" w:color="auto"/>
            </w:tcBorders>
          </w:tcPr>
          <w:p>
            <w:pPr/>
          </w:p>
        </w:tc>
        <w:tc>
          <w:tcPr>
            <w:tcW w:w="7069" w:type="dxa"/>
            <w:tcBorders>
              <w:top w:val="single" w:sz="6" w:space="0" w:color="000000"/>
              <w:left w:val="nil" w:sz="6" w:space="0" w:color="auto"/>
              <w:bottom w:val="single" w:sz="4" w:space="0" w:color="000000"/>
              <w:right w:val="nil" w:sz="6" w:space="0" w:color="auto"/>
            </w:tcBorders>
          </w:tcPr>
          <w:p>
            <w:pPr/>
          </w:p>
        </w:tc>
      </w:tr>
      <w:tr>
        <w:trPr>
          <w:trHeight w:val="714" w:hRule="exact"/>
        </w:trPr>
        <w:tc>
          <w:tcPr>
            <w:tcW w:w="2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7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6"/>
        <w:spacing w:line="240" w:lineRule="auto" w:before="35"/>
        <w:ind w:left="114" w:right="6433"/>
        <w:jc w:val="left"/>
        <w:rPr>
          <w:b w:val="0"/>
          <w:bCs w:val="0"/>
        </w:rPr>
      </w:pPr>
      <w:bookmarkStart w:name="2、资产或股权收购、出售发生的关联交易" w:id="85"/>
      <w:bookmarkEnd w:id="85"/>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left="113"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2"/>
        <w:rPr>
          <w:rFonts w:ascii="宋体" w:hAnsi="宋体" w:cs="宋体" w:eastAsia="宋体" w:hint="default"/>
          <w:sz w:val="20"/>
          <w:szCs w:val="20"/>
        </w:rPr>
      </w:pPr>
    </w:p>
    <w:p>
      <w:pPr>
        <w:pStyle w:val="Heading6"/>
        <w:spacing w:line="240" w:lineRule="auto"/>
        <w:ind w:left="114" w:right="6433"/>
        <w:jc w:val="left"/>
        <w:rPr>
          <w:b w:val="0"/>
          <w:bCs w:val="0"/>
        </w:rPr>
      </w:pPr>
      <w:bookmarkStart w:name="3、共同对外投资的关联交易" w:id="86"/>
      <w:bookmarkEnd w:id="86"/>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4"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077"/>
        <w:gridCol w:w="1073"/>
        <w:gridCol w:w="1076"/>
        <w:gridCol w:w="1224"/>
        <w:gridCol w:w="1080"/>
        <w:gridCol w:w="1350"/>
        <w:gridCol w:w="1347"/>
        <w:gridCol w:w="1342"/>
      </w:tblGrid>
      <w:tr>
        <w:trPr>
          <w:trHeight w:val="714" w:hRule="exact"/>
        </w:trPr>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62" w:right="83"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7" w:right="65" w:hanging="180"/>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5" w:right="83"/>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9" w:right="38" w:hanging="90"/>
              <w:jc w:val="left"/>
              <w:rPr>
                <w:rFonts w:ascii="宋体" w:hAnsi="宋体" w:cs="宋体" w:eastAsia="宋体" w:hint="default"/>
                <w:sz w:val="18"/>
                <w:szCs w:val="18"/>
              </w:rPr>
            </w:pPr>
            <w:r>
              <w:rPr>
                <w:rFonts w:ascii="宋体" w:hAnsi="宋体" w:cs="宋体" w:eastAsia="宋体" w:hint="default"/>
                <w:sz w:val="18"/>
                <w:szCs w:val="18"/>
              </w:rPr>
              <w:t>被投资企业的总 资产（万元）</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8" w:right="36" w:hanging="91"/>
              <w:jc w:val="left"/>
              <w:rPr>
                <w:rFonts w:ascii="宋体" w:hAnsi="宋体" w:cs="宋体" w:eastAsia="宋体" w:hint="default"/>
                <w:sz w:val="18"/>
                <w:szCs w:val="18"/>
              </w:rPr>
            </w:pPr>
            <w:r>
              <w:rPr>
                <w:rFonts w:ascii="宋体" w:hAnsi="宋体" w:cs="宋体" w:eastAsia="宋体" w:hint="default"/>
                <w:sz w:val="18"/>
                <w:szCs w:val="18"/>
              </w:rPr>
              <w:t>被投资企业的净 资产（万元）</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6" w:right="35" w:hanging="90"/>
              <w:jc w:val="left"/>
              <w:rPr>
                <w:rFonts w:ascii="宋体" w:hAnsi="宋体" w:cs="宋体" w:eastAsia="宋体" w:hint="default"/>
                <w:sz w:val="18"/>
                <w:szCs w:val="18"/>
              </w:rPr>
            </w:pPr>
            <w:r>
              <w:rPr>
                <w:rFonts w:ascii="宋体" w:hAnsi="宋体" w:cs="宋体" w:eastAsia="宋体" w:hint="default"/>
                <w:sz w:val="18"/>
                <w:szCs w:val="18"/>
              </w:rPr>
              <w:t>被投资企业的净 利润（万元）</w:t>
            </w:r>
          </w:p>
        </w:tc>
      </w:tr>
      <w:tr>
        <w:trPr>
          <w:trHeight w:val="1338"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42"/>
              <w:jc w:val="left"/>
              <w:rPr>
                <w:rFonts w:ascii="宋体" w:hAnsi="宋体" w:cs="宋体" w:eastAsia="宋体" w:hint="default"/>
                <w:sz w:val="18"/>
                <w:szCs w:val="18"/>
              </w:rPr>
            </w:pPr>
            <w:r>
              <w:rPr>
                <w:rFonts w:ascii="宋体" w:hAnsi="宋体" w:cs="宋体" w:eastAsia="宋体" w:hint="default"/>
                <w:sz w:val="18"/>
                <w:szCs w:val="18"/>
              </w:rPr>
              <w:t>上海千机投 资有限公司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8"/>
              <w:jc w:val="both"/>
              <w:rPr>
                <w:rFonts w:ascii="宋体" w:hAnsi="宋体" w:cs="宋体" w:eastAsia="宋体" w:hint="default"/>
                <w:sz w:val="18"/>
                <w:szCs w:val="18"/>
              </w:rPr>
            </w:pPr>
            <w:r>
              <w:rPr>
                <w:rFonts w:ascii="宋体" w:hAnsi="宋体" w:cs="宋体" w:eastAsia="宋体" w:hint="default"/>
                <w:sz w:val="18"/>
                <w:szCs w:val="18"/>
              </w:rPr>
              <w:t>公司实际控 制人的一致 行动人控制 的企业</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上海善拢泗 海投资管理 </w:t>
            </w:r>
            <w:r>
              <w:rPr>
                <w:rFonts w:ascii="宋体" w:hAnsi="宋体" w:cs="宋体" w:eastAsia="宋体" w:hint="default"/>
                <w:spacing w:val="-10"/>
                <w:sz w:val="18"/>
                <w:szCs w:val="18"/>
              </w:rPr>
              <w:t>中心（有限合</w:t>
            </w:r>
            <w:r>
              <w:rPr>
                <w:rFonts w:ascii="宋体" w:hAnsi="宋体" w:cs="宋体" w:eastAsia="宋体" w:hint="default"/>
                <w:sz w:val="18"/>
                <w:szCs w:val="18"/>
              </w:rPr>
              <w:t> 伙）</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400.72</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400.72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0.72</w:t>
            </w:r>
          </w:p>
        </w:tc>
      </w:tr>
      <w:tr>
        <w:trPr>
          <w:trHeight w:val="1338"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上海善拢泗 海投资管理 </w:t>
            </w:r>
            <w:r>
              <w:rPr>
                <w:rFonts w:ascii="宋体" w:hAnsi="宋体" w:cs="宋体" w:eastAsia="宋体" w:hint="default"/>
                <w:spacing w:val="-10"/>
                <w:sz w:val="18"/>
                <w:szCs w:val="18"/>
              </w:rPr>
              <w:t>中心（有限合</w:t>
            </w:r>
            <w:r>
              <w:rPr>
                <w:rFonts w:ascii="宋体" w:hAnsi="宋体" w:cs="宋体" w:eastAsia="宋体" w:hint="default"/>
                <w:sz w:val="18"/>
                <w:szCs w:val="18"/>
              </w:rPr>
              <w:t> 伙）</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8"/>
              <w:jc w:val="both"/>
              <w:rPr>
                <w:rFonts w:ascii="宋体" w:hAnsi="宋体" w:cs="宋体" w:eastAsia="宋体" w:hint="default"/>
                <w:sz w:val="18"/>
                <w:szCs w:val="18"/>
              </w:rPr>
            </w:pPr>
            <w:r>
              <w:rPr>
                <w:rFonts w:ascii="宋体" w:hAnsi="宋体" w:cs="宋体" w:eastAsia="宋体" w:hint="default"/>
                <w:sz w:val="18"/>
                <w:szCs w:val="18"/>
              </w:rPr>
              <w:t>公司实际控 制人的一致 行动人控制 的企业</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3"/>
              <w:jc w:val="both"/>
              <w:rPr>
                <w:rFonts w:ascii="宋体" w:hAnsi="宋体" w:cs="宋体" w:eastAsia="宋体" w:hint="default"/>
                <w:sz w:val="18"/>
                <w:szCs w:val="18"/>
              </w:rPr>
            </w:pPr>
            <w:r>
              <w:rPr>
                <w:rFonts w:ascii="宋体" w:hAnsi="宋体" w:cs="宋体" w:eastAsia="宋体" w:hint="default"/>
                <w:sz w:val="18"/>
                <w:szCs w:val="18"/>
              </w:rPr>
              <w:t>上海薪想互 联网金融信 息服务有限 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108"/>
              <w:jc w:val="left"/>
              <w:rPr>
                <w:rFonts w:ascii="宋体" w:hAnsi="宋体" w:cs="宋体" w:eastAsia="宋体" w:hint="default"/>
                <w:sz w:val="18"/>
                <w:szCs w:val="18"/>
              </w:rPr>
            </w:pPr>
            <w:r>
              <w:rPr>
                <w:rFonts w:ascii="宋体" w:hAnsi="宋体" w:cs="宋体" w:eastAsia="宋体" w:hint="default"/>
                <w:sz w:val="18"/>
                <w:szCs w:val="18"/>
              </w:rPr>
              <w:t>互联网金融服 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2,001.33</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1,291.18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-708.82</w:t>
            </w:r>
          </w:p>
        </w:tc>
      </w:tr>
      <w:tr>
        <w:trPr>
          <w:trHeight w:val="714" w:hRule="exact"/>
        </w:trPr>
        <w:tc>
          <w:tcPr>
            <w:tcW w:w="21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5"/>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1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被投资企业没有重大在建项目。</w:t>
            </w:r>
          </w:p>
        </w:tc>
      </w:tr>
    </w:tbl>
    <w:p>
      <w:pPr>
        <w:spacing w:line="240" w:lineRule="auto" w:before="2"/>
        <w:rPr>
          <w:rFonts w:ascii="宋体" w:hAnsi="宋体" w:cs="宋体" w:eastAsia="宋体" w:hint="default"/>
          <w:sz w:val="19"/>
          <w:szCs w:val="19"/>
        </w:rPr>
      </w:pPr>
    </w:p>
    <w:p>
      <w:pPr>
        <w:pStyle w:val="Heading6"/>
        <w:spacing w:line="240" w:lineRule="auto" w:before="35"/>
        <w:ind w:left="114" w:right="6433"/>
        <w:jc w:val="left"/>
        <w:rPr>
          <w:b w:val="0"/>
          <w:bCs w:val="0"/>
        </w:rPr>
      </w:pPr>
      <w:bookmarkStart w:name="4、关联债权债务往来" w:id="87"/>
      <w:bookmarkEnd w:id="87"/>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left="113"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
        <w:rPr>
          <w:rFonts w:ascii="宋体" w:hAnsi="宋体" w:cs="宋体" w:eastAsia="宋体" w:hint="default"/>
          <w:sz w:val="21"/>
          <w:szCs w:val="21"/>
        </w:rPr>
      </w:pPr>
    </w:p>
    <w:p>
      <w:pPr>
        <w:pStyle w:val="Heading6"/>
        <w:spacing w:line="240" w:lineRule="auto"/>
        <w:ind w:left="113" w:right="6433"/>
        <w:jc w:val="left"/>
        <w:rPr>
          <w:b w:val="0"/>
          <w:bCs w:val="0"/>
        </w:rPr>
      </w:pPr>
      <w:bookmarkStart w:name="5、其他重大关联交易" w:id="88"/>
      <w:bookmarkEnd w:id="88"/>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left="113"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6"/>
        <w:rPr>
          <w:rFonts w:ascii="宋体" w:hAnsi="宋体" w:cs="宋体" w:eastAsia="宋体" w:hint="default"/>
          <w:sz w:val="19"/>
          <w:szCs w:val="19"/>
        </w:rPr>
      </w:pPr>
    </w:p>
    <w:p>
      <w:pPr>
        <w:pStyle w:val="Heading4"/>
        <w:spacing w:line="240" w:lineRule="auto"/>
        <w:ind w:left="113" w:right="6433"/>
        <w:jc w:val="left"/>
        <w:rPr>
          <w:b w:val="0"/>
          <w:bCs w:val="0"/>
        </w:rPr>
      </w:pPr>
      <w:bookmarkStart w:name="十七、重大合同及其履行情况" w:id="89"/>
      <w:bookmarkEnd w:id="89"/>
      <w:r>
        <w:rPr>
          <w:b w:val="0"/>
          <w:bCs w:val="0"/>
        </w:rPr>
      </w: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 w:right="6433"/>
        <w:jc w:val="left"/>
        <w:rPr>
          <w:b w:val="0"/>
          <w:bCs w:val="0"/>
        </w:rPr>
      </w:pPr>
      <w:bookmarkStart w:name="1、托管、承包、租赁事项情况" w:id="90"/>
      <w:bookmarkEnd w:id="90"/>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13" w:right="6433"/>
        <w:jc w:val="left"/>
        <w:rPr>
          <w:b w:val="0"/>
          <w:bCs w:val="0"/>
        </w:rPr>
      </w:pPr>
      <w:bookmarkStart w:name="（1）托管情况" w:id="91"/>
      <w:bookmarkEnd w:id="91"/>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left="11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after="0" w:line="338" w:lineRule="auto"/>
        <w:jc w:val="left"/>
        <w:sectPr>
          <w:pgSz w:w="11910" w:h="16840"/>
          <w:pgMar w:header="747" w:footer="979" w:top="1060" w:bottom="1160" w:left="102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0"/>
          <w:szCs w:val="20"/>
        </w:rPr>
      </w:pPr>
    </w:p>
    <w:p>
      <w:pPr>
        <w:pStyle w:val="Heading6"/>
        <w:spacing w:line="240" w:lineRule="auto" w:before="35"/>
        <w:ind w:right="0"/>
        <w:jc w:val="left"/>
        <w:rPr>
          <w:b w:val="0"/>
          <w:bCs w:val="0"/>
        </w:rPr>
      </w:pPr>
      <w:bookmarkStart w:name="（2）承包情况" w:id="92"/>
      <w:bookmarkEnd w:id="92"/>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left="15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3"/>
        <w:rPr>
          <w:rFonts w:ascii="宋体" w:hAnsi="宋体" w:cs="宋体" w:eastAsia="宋体" w:hint="default"/>
          <w:sz w:val="21"/>
          <w:szCs w:val="21"/>
        </w:rPr>
      </w:pPr>
    </w:p>
    <w:p>
      <w:pPr>
        <w:pStyle w:val="Heading6"/>
        <w:spacing w:line="240" w:lineRule="auto"/>
        <w:ind w:right="0"/>
        <w:jc w:val="left"/>
        <w:rPr>
          <w:b w:val="0"/>
          <w:bCs w:val="0"/>
        </w:rPr>
      </w:pPr>
      <w:bookmarkStart w:name="（3）租赁情况" w:id="93"/>
      <w:bookmarkEnd w:id="93"/>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left="15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2"/>
        <w:rPr>
          <w:rFonts w:ascii="宋体" w:hAnsi="宋体" w:cs="宋体" w:eastAsia="宋体" w:hint="default"/>
          <w:sz w:val="20"/>
          <w:szCs w:val="20"/>
        </w:rPr>
      </w:pPr>
    </w:p>
    <w:p>
      <w:pPr>
        <w:pStyle w:val="Heading6"/>
        <w:spacing w:line="240" w:lineRule="auto"/>
        <w:ind w:right="0"/>
        <w:jc w:val="left"/>
        <w:rPr>
          <w:b w:val="0"/>
          <w:bCs w:val="0"/>
        </w:rPr>
      </w:pPr>
      <w:bookmarkStart w:name="2、重大担保" w:id="94"/>
      <w:bookmarkEnd w:id="94"/>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left="153"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2"/>
        <w:rPr>
          <w:rFonts w:ascii="宋体" w:hAnsi="宋体" w:cs="宋体" w:eastAsia="宋体" w:hint="default"/>
          <w:sz w:val="21"/>
          <w:szCs w:val="21"/>
        </w:rPr>
      </w:pPr>
    </w:p>
    <w:p>
      <w:pPr>
        <w:pStyle w:val="Heading6"/>
        <w:spacing w:line="240" w:lineRule="auto"/>
        <w:ind w:right="0"/>
        <w:jc w:val="left"/>
        <w:rPr>
          <w:b w:val="0"/>
          <w:bCs w:val="0"/>
        </w:rPr>
      </w:pPr>
      <w:bookmarkStart w:name="3、委托他人进行现金资产管理情况" w:id="95"/>
      <w:bookmarkEnd w:id="95"/>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委托理财情况" w:id="96"/>
      <w:bookmarkEnd w:id="96"/>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1062"/>
        <w:gridCol w:w="649"/>
        <w:gridCol w:w="850"/>
        <w:gridCol w:w="851"/>
        <w:gridCol w:w="803"/>
        <w:gridCol w:w="804"/>
        <w:gridCol w:w="863"/>
        <w:gridCol w:w="802"/>
        <w:gridCol w:w="757"/>
        <w:gridCol w:w="850"/>
      </w:tblGrid>
      <w:tr>
        <w:trPr>
          <w:trHeight w:val="1026"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04" w:right="34"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0" w:right="49"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9" w:right="48"/>
              <w:jc w:val="left"/>
              <w:rPr>
                <w:rFonts w:ascii="宋体" w:hAnsi="宋体" w:cs="宋体" w:eastAsia="宋体" w:hint="default"/>
                <w:sz w:val="18"/>
                <w:szCs w:val="18"/>
              </w:rPr>
            </w:pPr>
            <w:r>
              <w:rPr>
                <w:rFonts w:ascii="宋体" w:hAnsi="宋体" w:cs="宋体" w:eastAsia="宋体" w:hint="default"/>
                <w:sz w:val="18"/>
                <w:szCs w:val="18"/>
              </w:rPr>
              <w:t>委托理 财金额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0"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0"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7" w:right="35"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6" w:right="36"/>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6" w:right="65"/>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18"/>
              <w:ind w:left="66"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5"/>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2"/>
              <w:jc w:val="both"/>
              <w:rPr>
                <w:rFonts w:ascii="宋体" w:hAnsi="宋体" w:cs="宋体" w:eastAsia="宋体" w:hint="default"/>
                <w:sz w:val="18"/>
                <w:szCs w:val="18"/>
              </w:rPr>
            </w:pPr>
            <w:r>
              <w:rPr>
                <w:rFonts w:ascii="宋体" w:hAnsi="宋体" w:cs="宋体" w:eastAsia="宋体" w:hint="default"/>
                <w:sz w:val="18"/>
                <w:szCs w:val="18"/>
              </w:rPr>
              <w:t>报告期 实际损 益金额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0" w:right="59"/>
              <w:jc w:val="both"/>
              <w:rPr>
                <w:rFonts w:ascii="宋体" w:hAnsi="宋体" w:cs="宋体" w:eastAsia="宋体" w:hint="default"/>
                <w:sz w:val="18"/>
                <w:szCs w:val="18"/>
              </w:rPr>
            </w:pPr>
            <w:r>
              <w:rPr>
                <w:rFonts w:ascii="宋体" w:hAnsi="宋体" w:cs="宋体" w:eastAsia="宋体" w:hint="default"/>
                <w:sz w:val="18"/>
                <w:szCs w:val="18"/>
              </w:rPr>
              <w:t>报告期损 益实际收 回情况</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6"/>
              <w:jc w:val="left"/>
              <w:rPr>
                <w:rFonts w:ascii="宋体" w:hAnsi="宋体" w:cs="宋体" w:eastAsia="宋体" w:hint="default"/>
                <w:sz w:val="18"/>
                <w:szCs w:val="18"/>
              </w:rPr>
            </w:pPr>
            <w:r>
              <w:rPr>
                <w:rFonts w:ascii="宋体" w:hAnsi="宋体" w:cs="宋体" w:eastAsia="宋体" w:hint="default"/>
                <w:sz w:val="18"/>
                <w:szCs w:val="18"/>
              </w:rPr>
              <w:t>厦门国际 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w:t>
            </w:r>
            <w:r>
              <w:rPr>
                <w:rFonts w:ascii="宋体" w:hAnsi="宋体" w:cs="宋体" w:eastAsia="宋体" w:hint="default"/>
                <w:sz w:val="18"/>
                <w:szCs w:val="18"/>
              </w:rPr>
              <w:t>步步 为赢</w:t>
            </w:r>
            <w:r>
              <w:rPr>
                <w:rFonts w:ascii="Times New Roman" w:hAnsi="Times New Roman" w:cs="Times New Roman" w:eastAsia="Times New Roman" w:hint="default"/>
                <w:sz w:val="18"/>
                <w:szCs w:val="18"/>
              </w:rPr>
              <w:t>”</w:t>
            </w:r>
            <w:r>
              <w:rPr>
                <w:rFonts w:ascii="宋体" w:hAnsi="宋体" w:cs="宋体" w:eastAsia="宋体" w:hint="default"/>
                <w:sz w:val="18"/>
                <w:szCs w:val="18"/>
              </w:rPr>
              <w:t>结构性 存款产品</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7"/>
              <w:jc w:val="right"/>
              <w:rPr>
                <w:rFonts w:ascii="宋体" w:hAnsi="宋体" w:cs="宋体" w:eastAsia="宋体" w:hint="default"/>
                <w:sz w:val="18"/>
                <w:szCs w:val="18"/>
              </w:rPr>
            </w:pPr>
            <w:r>
              <w:rPr>
                <w:rFonts w:ascii="宋体" w:hAnsi="宋体" w:cs="宋体" w:eastAsia="宋体" w:hint="default"/>
                <w:sz w:val="18"/>
                <w:szCs w:val="18"/>
              </w:rPr>
              <w:t>签署协议</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w:t>
            </w:r>
          </w:p>
        </w:tc>
        <w:tc>
          <w:tcPr>
            <w:tcW w:w="86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2,481.88</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2,481.88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2,481.88</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6"/>
              <w:jc w:val="left"/>
              <w:rPr>
                <w:rFonts w:ascii="宋体" w:hAnsi="宋体" w:cs="宋体" w:eastAsia="宋体" w:hint="default"/>
                <w:sz w:val="18"/>
                <w:szCs w:val="18"/>
              </w:rPr>
            </w:pPr>
            <w:r>
              <w:rPr>
                <w:rFonts w:ascii="宋体" w:hAnsi="宋体" w:cs="宋体" w:eastAsia="宋体" w:hint="default"/>
                <w:sz w:val="18"/>
                <w:szCs w:val="18"/>
              </w:rPr>
              <w:t>厦门国际 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w:t>
            </w:r>
            <w:r>
              <w:rPr>
                <w:rFonts w:ascii="宋体" w:hAnsi="宋体" w:cs="宋体" w:eastAsia="宋体" w:hint="default"/>
                <w:sz w:val="18"/>
                <w:szCs w:val="18"/>
              </w:rPr>
              <w:t>步步 为赢</w:t>
            </w:r>
            <w:r>
              <w:rPr>
                <w:rFonts w:ascii="Times New Roman" w:hAnsi="Times New Roman" w:cs="Times New Roman" w:eastAsia="Times New Roman" w:hint="default"/>
                <w:sz w:val="18"/>
                <w:szCs w:val="18"/>
              </w:rPr>
              <w:t>”</w:t>
            </w:r>
            <w:r>
              <w:rPr>
                <w:rFonts w:ascii="宋体" w:hAnsi="宋体" w:cs="宋体" w:eastAsia="宋体" w:hint="default"/>
                <w:sz w:val="18"/>
                <w:szCs w:val="18"/>
              </w:rPr>
              <w:t>结构性 存款产品</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7"/>
              <w:jc w:val="right"/>
              <w:rPr>
                <w:rFonts w:ascii="宋体" w:hAnsi="宋体" w:cs="宋体" w:eastAsia="宋体" w:hint="default"/>
                <w:sz w:val="18"/>
                <w:szCs w:val="18"/>
              </w:rPr>
            </w:pPr>
            <w:r>
              <w:rPr>
                <w:rFonts w:ascii="宋体" w:hAnsi="宋体" w:cs="宋体" w:eastAsia="宋体" w:hint="default"/>
                <w:sz w:val="18"/>
                <w:szCs w:val="18"/>
              </w:rPr>
              <w:t>签署协议</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86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827.29</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827.29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827.2917</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上海银行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127"/>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人民币理产 品（赢家 </w:t>
            </w:r>
            <w:r>
              <w:rPr>
                <w:rFonts w:ascii="Times New Roman" w:hAnsi="Times New Roman" w:cs="Times New Roman" w:eastAsia="Times New Roman" w:hint="default"/>
                <w:sz w:val="18"/>
                <w:szCs w:val="18"/>
              </w:rPr>
              <w:t>WG14235S</w:t>
            </w:r>
          </w:p>
          <w:p>
            <w:pPr>
              <w:pStyle w:val="TableParagraph"/>
              <w:spacing w:line="220" w:lineRule="exact"/>
              <w:ind w:left="22" w:right="0"/>
              <w:jc w:val="left"/>
              <w:rPr>
                <w:rFonts w:ascii="宋体" w:hAnsi="宋体" w:cs="宋体" w:eastAsia="宋体" w:hint="default"/>
                <w:sz w:val="18"/>
                <w:szCs w:val="18"/>
              </w:rPr>
            </w:pPr>
            <w:r>
              <w:rPr>
                <w:rFonts w:ascii="宋体" w:hAnsi="宋体" w:cs="宋体" w:eastAsia="宋体" w:hint="default"/>
                <w:sz w:val="18"/>
                <w:szCs w:val="18"/>
              </w:rPr>
              <w:t>期）</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签署协议</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6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254.3</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254.3014</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上海银行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人民币理产 品（赢家 </w:t>
            </w:r>
            <w:r>
              <w:rPr>
                <w:rFonts w:ascii="Times New Roman" w:hAnsi="Times New Roman" w:cs="Times New Roman" w:eastAsia="Times New Roman" w:hint="default"/>
                <w:sz w:val="18"/>
                <w:szCs w:val="18"/>
              </w:rPr>
              <w:t>WG14M0104</w:t>
            </w:r>
          </w:p>
          <w:p>
            <w:pPr>
              <w:pStyle w:val="TableParagraph"/>
              <w:spacing w:line="234"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签署协议</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86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18.44</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18.4438</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上海银行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人民币理产 品（赢家 </w:t>
            </w:r>
            <w:r>
              <w:rPr>
                <w:rFonts w:ascii="Times New Roman" w:hAnsi="Times New Roman" w:cs="Times New Roman" w:eastAsia="Times New Roman" w:hint="default"/>
                <w:sz w:val="18"/>
                <w:szCs w:val="18"/>
              </w:rPr>
              <w:t>WG15M0200</w:t>
            </w:r>
          </w:p>
          <w:p>
            <w:pPr>
              <w:pStyle w:val="TableParagraph"/>
              <w:spacing w:line="234"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签署协议</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6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17.6</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17.6024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1062"/>
        <w:gridCol w:w="649"/>
        <w:gridCol w:w="850"/>
        <w:gridCol w:w="851"/>
        <w:gridCol w:w="803"/>
        <w:gridCol w:w="804"/>
        <w:gridCol w:w="863"/>
        <w:gridCol w:w="802"/>
        <w:gridCol w:w="757"/>
        <w:gridCol w:w="850"/>
      </w:tblGrid>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46"/>
              <w:jc w:val="right"/>
              <w:rPr>
                <w:rFonts w:ascii="宋体" w:hAnsi="宋体" w:cs="宋体" w:eastAsia="宋体" w:hint="default"/>
                <w:sz w:val="18"/>
                <w:szCs w:val="18"/>
              </w:rPr>
            </w:pPr>
            <w:r>
              <w:rPr>
                <w:rFonts w:ascii="宋体" w:hAnsi="宋体" w:cs="宋体" w:eastAsia="宋体" w:hint="default"/>
                <w:sz w:val="18"/>
                <w:szCs w:val="18"/>
              </w:rPr>
              <w:t>海通证券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both"/>
              <w:rPr>
                <w:rFonts w:ascii="Times New Roman" w:hAnsi="Times New Roman" w:cs="Times New Roman" w:eastAsia="Times New Roman" w:hint="default"/>
                <w:sz w:val="18"/>
                <w:szCs w:val="18"/>
              </w:rPr>
            </w:pPr>
            <w:r>
              <w:rPr>
                <w:rFonts w:ascii="宋体" w:hAnsi="宋体" w:cs="宋体" w:eastAsia="宋体" w:hint="default"/>
                <w:sz w:val="18"/>
                <w:szCs w:val="18"/>
              </w:rPr>
              <w:t>海创理财宝 系列收益凭 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2015003</w:t>
            </w: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号</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9,800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center"/>
              <w:rPr>
                <w:rFonts w:ascii="宋体" w:hAnsi="宋体" w:cs="宋体" w:eastAsia="宋体" w:hint="default"/>
                <w:sz w:val="18"/>
                <w:szCs w:val="18"/>
              </w:rPr>
            </w:pPr>
            <w:r>
              <w:rPr>
                <w:rFonts w:ascii="宋体" w:hAnsi="宋体" w:cs="宋体" w:eastAsia="宋体" w:hint="default"/>
                <w:sz w:val="18"/>
                <w:szCs w:val="18"/>
              </w:rPr>
              <w:t>签署协议</w:t>
            </w:r>
          </w:p>
        </w:tc>
        <w:tc>
          <w:tcPr>
            <w:tcW w:w="804"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254.1</w:t>
            </w:r>
          </w:p>
        </w:tc>
        <w:tc>
          <w:tcPr>
            <w:tcW w:w="75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46"/>
              <w:jc w:val="right"/>
              <w:rPr>
                <w:rFonts w:ascii="宋体" w:hAnsi="宋体" w:cs="宋体" w:eastAsia="宋体" w:hint="default"/>
                <w:sz w:val="18"/>
                <w:szCs w:val="18"/>
              </w:rPr>
            </w:pPr>
            <w:r>
              <w:rPr>
                <w:rFonts w:ascii="宋体" w:hAnsi="宋体" w:cs="宋体" w:eastAsia="宋体" w:hint="default"/>
                <w:sz w:val="18"/>
                <w:szCs w:val="18"/>
              </w:rPr>
              <w:t>中信证券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中信证券信 泽财富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 </w:t>
            </w:r>
            <w:r>
              <w:rPr>
                <w:rFonts w:ascii="宋体" w:hAnsi="宋体" w:cs="宋体" w:eastAsia="宋体" w:hint="default"/>
                <w:sz w:val="18"/>
                <w:szCs w:val="18"/>
              </w:rPr>
              <w:t>号集合资产 管理计划</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600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3"/>
              <w:jc w:val="center"/>
              <w:rPr>
                <w:rFonts w:ascii="宋体" w:hAnsi="宋体" w:cs="宋体" w:eastAsia="宋体" w:hint="default"/>
                <w:sz w:val="18"/>
                <w:szCs w:val="18"/>
              </w:rPr>
            </w:pPr>
            <w:r>
              <w:rPr>
                <w:rFonts w:ascii="宋体" w:hAnsi="宋体" w:cs="宋体" w:eastAsia="宋体" w:hint="default"/>
                <w:sz w:val="18"/>
                <w:szCs w:val="18"/>
              </w:rPr>
              <w:t>签署协议</w:t>
            </w:r>
          </w:p>
        </w:tc>
        <w:tc>
          <w:tcPr>
            <w:tcW w:w="804"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16.45</w:t>
            </w:r>
          </w:p>
        </w:tc>
        <w:tc>
          <w:tcPr>
            <w:tcW w:w="75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46"/>
              <w:jc w:val="right"/>
              <w:rPr>
                <w:rFonts w:ascii="宋体" w:hAnsi="宋体" w:cs="宋体" w:eastAsia="宋体" w:hint="default"/>
                <w:sz w:val="18"/>
                <w:szCs w:val="18"/>
              </w:rPr>
            </w:pPr>
            <w:r>
              <w:rPr>
                <w:rFonts w:ascii="宋体" w:hAnsi="宋体" w:cs="宋体" w:eastAsia="宋体" w:hint="default"/>
                <w:sz w:val="18"/>
                <w:szCs w:val="18"/>
              </w:rPr>
              <w:t>东兴证券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东兴金选兴 盛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号集 合资产管理 计划</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center"/>
              <w:rPr>
                <w:rFonts w:ascii="宋体" w:hAnsi="宋体" w:cs="宋体" w:eastAsia="宋体" w:hint="default"/>
                <w:sz w:val="18"/>
                <w:szCs w:val="18"/>
              </w:rPr>
            </w:pPr>
            <w:r>
              <w:rPr>
                <w:rFonts w:ascii="宋体" w:hAnsi="宋体" w:cs="宋体" w:eastAsia="宋体" w:hint="default"/>
                <w:sz w:val="18"/>
                <w:szCs w:val="18"/>
              </w:rPr>
              <w:t>签署协议</w:t>
            </w:r>
          </w:p>
        </w:tc>
        <w:tc>
          <w:tcPr>
            <w:tcW w:w="804"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147</w:t>
            </w:r>
          </w:p>
        </w:tc>
        <w:tc>
          <w:tcPr>
            <w:tcW w:w="75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招商银行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127"/>
              <w:jc w:val="left"/>
              <w:rPr>
                <w:rFonts w:ascii="Times New Roman" w:hAnsi="Times New Roman" w:cs="Times New Roman" w:eastAsia="Times New Roman" w:hint="default"/>
                <w:sz w:val="18"/>
                <w:szCs w:val="18"/>
              </w:rPr>
            </w:pPr>
            <w:r>
              <w:rPr>
                <w:rFonts w:ascii="宋体" w:hAnsi="宋体" w:cs="宋体" w:eastAsia="宋体" w:hint="default"/>
                <w:sz w:val="18"/>
                <w:szCs w:val="18"/>
              </w:rPr>
              <w:t>招商银行结 构性存款 </w:t>
            </w:r>
            <w:r>
              <w:rPr>
                <w:rFonts w:ascii="Times New Roman" w:hAnsi="Times New Roman" w:cs="Times New Roman" w:eastAsia="Times New Roman" w:hint="default"/>
                <w:sz w:val="18"/>
                <w:szCs w:val="18"/>
              </w:rPr>
              <w:t>CGZ00119</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center"/>
              <w:rPr>
                <w:rFonts w:ascii="宋体" w:hAnsi="宋体" w:cs="宋体" w:eastAsia="宋体" w:hint="default"/>
                <w:sz w:val="18"/>
                <w:szCs w:val="18"/>
              </w:rPr>
            </w:pPr>
            <w:r>
              <w:rPr>
                <w:rFonts w:ascii="宋体" w:hAnsi="宋体" w:cs="宋体" w:eastAsia="宋体" w:hint="default"/>
                <w:sz w:val="18"/>
                <w:szCs w:val="18"/>
              </w:rPr>
              <w:t>签署协议</w:t>
            </w:r>
          </w:p>
        </w:tc>
        <w:tc>
          <w:tcPr>
            <w:tcW w:w="804"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76.93</w:t>
            </w:r>
          </w:p>
        </w:tc>
        <w:tc>
          <w:tcPr>
            <w:tcW w:w="75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46"/>
              <w:jc w:val="left"/>
              <w:rPr>
                <w:rFonts w:ascii="宋体" w:hAnsi="宋体" w:cs="宋体" w:eastAsia="宋体" w:hint="default"/>
                <w:sz w:val="18"/>
                <w:szCs w:val="18"/>
              </w:rPr>
            </w:pPr>
            <w:r>
              <w:rPr>
                <w:rFonts w:ascii="宋体" w:hAnsi="宋体" w:cs="宋体" w:eastAsia="宋体" w:hint="default"/>
                <w:sz w:val="18"/>
                <w:szCs w:val="18"/>
              </w:rPr>
              <w:t>厦门国际 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w:t>
            </w:r>
            <w:r>
              <w:rPr>
                <w:rFonts w:ascii="宋体" w:hAnsi="宋体" w:cs="宋体" w:eastAsia="宋体" w:hint="default"/>
                <w:sz w:val="18"/>
                <w:szCs w:val="18"/>
              </w:rPr>
              <w:t>利利 共赢</w:t>
            </w:r>
            <w:r>
              <w:rPr>
                <w:rFonts w:ascii="Times New Roman" w:hAnsi="Times New Roman" w:cs="Times New Roman" w:eastAsia="Times New Roman" w:hint="default"/>
                <w:sz w:val="18"/>
                <w:szCs w:val="18"/>
              </w:rPr>
              <w:t>”</w:t>
            </w:r>
            <w:r>
              <w:rPr>
                <w:rFonts w:ascii="宋体" w:hAnsi="宋体" w:cs="宋体" w:eastAsia="宋体" w:hint="default"/>
                <w:sz w:val="18"/>
                <w:szCs w:val="18"/>
              </w:rPr>
              <w:t>结构性 存款产品</w:t>
            </w:r>
          </w:p>
          <w:p>
            <w:pPr>
              <w:pStyle w:val="TableParagraph"/>
              <w:spacing w:line="240" w:lineRule="auto" w:before="31"/>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152004</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期）</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center"/>
              <w:rPr>
                <w:rFonts w:ascii="宋体" w:hAnsi="宋体" w:cs="宋体" w:eastAsia="宋体" w:hint="default"/>
                <w:sz w:val="18"/>
                <w:szCs w:val="18"/>
              </w:rPr>
            </w:pPr>
            <w:r>
              <w:rPr>
                <w:rFonts w:ascii="宋体" w:hAnsi="宋体" w:cs="宋体" w:eastAsia="宋体" w:hint="default"/>
                <w:sz w:val="18"/>
                <w:szCs w:val="18"/>
              </w:rPr>
              <w:t>签署协议</w:t>
            </w:r>
          </w:p>
        </w:tc>
        <w:tc>
          <w:tcPr>
            <w:tcW w:w="804"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1,604.44</w:t>
            </w:r>
          </w:p>
        </w:tc>
        <w:tc>
          <w:tcPr>
            <w:tcW w:w="75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46"/>
              <w:jc w:val="left"/>
              <w:rPr>
                <w:rFonts w:ascii="宋体" w:hAnsi="宋体" w:cs="宋体" w:eastAsia="宋体" w:hint="default"/>
                <w:sz w:val="18"/>
                <w:szCs w:val="18"/>
              </w:rPr>
            </w:pPr>
            <w:r>
              <w:rPr>
                <w:rFonts w:ascii="宋体" w:hAnsi="宋体" w:cs="宋体" w:eastAsia="宋体" w:hint="default"/>
                <w:sz w:val="18"/>
                <w:szCs w:val="18"/>
              </w:rPr>
              <w:t>厦门国际 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w:t>
            </w:r>
            <w:r>
              <w:rPr>
                <w:rFonts w:ascii="宋体" w:hAnsi="宋体" w:cs="宋体" w:eastAsia="宋体" w:hint="default"/>
                <w:sz w:val="18"/>
                <w:szCs w:val="18"/>
              </w:rPr>
              <w:t>利利 共赢</w:t>
            </w:r>
            <w:r>
              <w:rPr>
                <w:rFonts w:ascii="Times New Roman" w:hAnsi="Times New Roman" w:cs="Times New Roman" w:eastAsia="Times New Roman" w:hint="default"/>
                <w:sz w:val="18"/>
                <w:szCs w:val="18"/>
              </w:rPr>
              <w:t>”</w:t>
            </w:r>
            <w:r>
              <w:rPr>
                <w:rFonts w:ascii="宋体" w:hAnsi="宋体" w:cs="宋体" w:eastAsia="宋体" w:hint="default"/>
                <w:sz w:val="18"/>
                <w:szCs w:val="18"/>
              </w:rPr>
              <w:t>结构性 存款产品</w:t>
            </w:r>
          </w:p>
          <w:p>
            <w:pPr>
              <w:pStyle w:val="TableParagraph"/>
              <w:spacing w:line="240" w:lineRule="auto" w:before="31"/>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152003</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期）</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3"/>
              <w:jc w:val="center"/>
              <w:rPr>
                <w:rFonts w:ascii="宋体" w:hAnsi="宋体" w:cs="宋体" w:eastAsia="宋体" w:hint="default"/>
                <w:sz w:val="18"/>
                <w:szCs w:val="18"/>
              </w:rPr>
            </w:pPr>
            <w:r>
              <w:rPr>
                <w:rFonts w:ascii="宋体" w:hAnsi="宋体" w:cs="宋体" w:eastAsia="宋体" w:hint="default"/>
                <w:sz w:val="18"/>
                <w:szCs w:val="18"/>
              </w:rPr>
              <w:t>签署协议</w:t>
            </w:r>
          </w:p>
        </w:tc>
        <w:tc>
          <w:tcPr>
            <w:tcW w:w="804"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368.33</w:t>
            </w:r>
          </w:p>
        </w:tc>
        <w:tc>
          <w:tcPr>
            <w:tcW w:w="75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46"/>
              <w:jc w:val="left"/>
              <w:rPr>
                <w:rFonts w:ascii="宋体" w:hAnsi="宋体" w:cs="宋体" w:eastAsia="宋体" w:hint="default"/>
                <w:sz w:val="18"/>
                <w:szCs w:val="18"/>
              </w:rPr>
            </w:pPr>
            <w:r>
              <w:rPr>
                <w:rFonts w:ascii="宋体" w:hAnsi="宋体" w:cs="宋体" w:eastAsia="宋体" w:hint="default"/>
                <w:sz w:val="18"/>
                <w:szCs w:val="18"/>
              </w:rPr>
              <w:t>厦门国际 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w:t>
            </w:r>
            <w:r>
              <w:rPr>
                <w:rFonts w:ascii="宋体" w:hAnsi="宋体" w:cs="宋体" w:eastAsia="宋体" w:hint="default"/>
                <w:sz w:val="18"/>
                <w:szCs w:val="18"/>
              </w:rPr>
              <w:t>利利 共赢</w:t>
            </w:r>
            <w:r>
              <w:rPr>
                <w:rFonts w:ascii="Times New Roman" w:hAnsi="Times New Roman" w:cs="Times New Roman" w:eastAsia="Times New Roman" w:hint="default"/>
                <w:sz w:val="18"/>
                <w:szCs w:val="18"/>
              </w:rPr>
              <w:t>”</w:t>
            </w:r>
            <w:r>
              <w:rPr>
                <w:rFonts w:ascii="宋体" w:hAnsi="宋体" w:cs="宋体" w:eastAsia="宋体" w:hint="default"/>
                <w:sz w:val="18"/>
                <w:szCs w:val="18"/>
              </w:rPr>
              <w:t>结构性 存款产品</w:t>
            </w:r>
          </w:p>
          <w:p>
            <w:pPr>
              <w:pStyle w:val="TableParagraph"/>
              <w:spacing w:line="240" w:lineRule="auto" w:before="31"/>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152002</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期）</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center"/>
              <w:rPr>
                <w:rFonts w:ascii="宋体" w:hAnsi="宋体" w:cs="宋体" w:eastAsia="宋体" w:hint="default"/>
                <w:sz w:val="18"/>
                <w:szCs w:val="18"/>
              </w:rPr>
            </w:pPr>
            <w:r>
              <w:rPr>
                <w:rFonts w:ascii="宋体" w:hAnsi="宋体" w:cs="宋体" w:eastAsia="宋体" w:hint="default"/>
                <w:sz w:val="18"/>
                <w:szCs w:val="18"/>
              </w:rPr>
              <w:t>签署协议</w:t>
            </w:r>
          </w:p>
        </w:tc>
        <w:tc>
          <w:tcPr>
            <w:tcW w:w="804"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50.56</w:t>
            </w:r>
          </w:p>
        </w:tc>
        <w:tc>
          <w:tcPr>
            <w:tcW w:w="75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46"/>
              <w:jc w:val="right"/>
              <w:rPr>
                <w:rFonts w:ascii="宋体" w:hAnsi="宋体" w:cs="宋体" w:eastAsia="宋体" w:hint="default"/>
                <w:sz w:val="18"/>
                <w:szCs w:val="18"/>
              </w:rPr>
            </w:pPr>
            <w:r>
              <w:rPr>
                <w:rFonts w:ascii="宋体" w:hAnsi="宋体" w:cs="宋体" w:eastAsia="宋体" w:hint="default"/>
                <w:sz w:val="18"/>
                <w:szCs w:val="18"/>
              </w:rPr>
              <w:t>海通证券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both"/>
              <w:rPr>
                <w:rFonts w:ascii="Times New Roman" w:hAnsi="Times New Roman" w:cs="Times New Roman" w:eastAsia="Times New Roman" w:hint="default"/>
                <w:sz w:val="18"/>
                <w:szCs w:val="18"/>
              </w:rPr>
            </w:pPr>
            <w:r>
              <w:rPr>
                <w:rFonts w:ascii="宋体" w:hAnsi="宋体" w:cs="宋体" w:eastAsia="宋体" w:hint="default"/>
                <w:sz w:val="18"/>
                <w:szCs w:val="18"/>
              </w:rPr>
              <w:t>海创理财宝 系列收益凭 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2015008</w:t>
            </w: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号</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center"/>
              <w:rPr>
                <w:rFonts w:ascii="宋体" w:hAnsi="宋体" w:cs="宋体" w:eastAsia="宋体" w:hint="default"/>
                <w:sz w:val="18"/>
                <w:szCs w:val="18"/>
              </w:rPr>
            </w:pPr>
            <w:r>
              <w:rPr>
                <w:rFonts w:ascii="宋体" w:hAnsi="宋体" w:cs="宋体" w:eastAsia="宋体" w:hint="default"/>
                <w:sz w:val="18"/>
                <w:szCs w:val="18"/>
              </w:rPr>
              <w:t>签署协议</w:t>
            </w:r>
          </w:p>
        </w:tc>
        <w:tc>
          <w:tcPr>
            <w:tcW w:w="804"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556.93</w:t>
            </w:r>
          </w:p>
        </w:tc>
        <w:tc>
          <w:tcPr>
            <w:tcW w:w="75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6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161,500</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6" w:right="0"/>
              <w:jc w:val="left"/>
              <w:rPr>
                <w:rFonts w:ascii="Times New Roman" w:hAnsi="Times New Roman" w:cs="Times New Roman" w:eastAsia="Times New Roman" w:hint="default"/>
                <w:sz w:val="18"/>
                <w:szCs w:val="18"/>
              </w:rPr>
            </w:pPr>
            <w:r>
              <w:rPr>
                <w:rFonts w:ascii="Times New Roman"/>
                <w:sz w:val="18"/>
              </w:rPr>
              <w:t>76,000</w:t>
            </w:r>
          </w:p>
        </w:tc>
        <w:tc>
          <w:tcPr>
            <w:tcW w:w="86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6,674.25</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3,599.51</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6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722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暂时闲置募集资金及部分自有资金</w:t>
            </w:r>
          </w:p>
        </w:tc>
      </w:tr>
      <w:tr>
        <w:trPr>
          <w:trHeight w:val="714" w:hRule="exact"/>
        </w:trPr>
        <w:tc>
          <w:tcPr>
            <w:tcW w:w="26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 额</w:t>
            </w:r>
          </w:p>
        </w:tc>
        <w:tc>
          <w:tcPr>
            <w:tcW w:w="722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6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722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26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委托理财审批董事会公告披露日</w:t>
            </w:r>
          </w:p>
        </w:tc>
        <w:tc>
          <w:tcPr>
            <w:tcW w:w="722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694"/>
        <w:gridCol w:w="7228"/>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期（如有</w:t>
            </w:r>
            <w:r>
              <w:rPr>
                <w:rFonts w:ascii="Times New Roman" w:hAnsi="Times New Roman" w:cs="Times New Roman" w:eastAsia="Times New Roman" w:hint="default"/>
                <w:sz w:val="18"/>
                <w:szCs w:val="18"/>
              </w:rPr>
              <w:t>)</w:t>
            </w:r>
          </w:p>
        </w:tc>
        <w:tc>
          <w:tcPr>
            <w:tcW w:w="7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1"/>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委托理财审批股东会公告披露日 期（如有</w:t>
            </w:r>
            <w:r>
              <w:rPr>
                <w:rFonts w:ascii="Times New Roman" w:hAnsi="Times New Roman" w:cs="Times New Roman" w:eastAsia="Times New Roman" w:hint="default"/>
                <w:sz w:val="18"/>
                <w:szCs w:val="18"/>
              </w:rPr>
              <w:t>)</w:t>
            </w:r>
          </w:p>
        </w:tc>
        <w:tc>
          <w:tcPr>
            <w:tcW w:w="7228"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未来是否还有委托理财计划</w:t>
            </w:r>
          </w:p>
        </w:tc>
        <w:tc>
          <w:tcPr>
            <w:tcW w:w="722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日，上海二三四五网络控股集团股份有限公司（以下简称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）第五届董 </w:t>
            </w:r>
            <w:r>
              <w:rPr>
                <w:rFonts w:ascii="宋体" w:hAnsi="宋体" w:cs="宋体" w:eastAsia="宋体" w:hint="default"/>
                <w:spacing w:val="-1"/>
                <w:sz w:val="18"/>
                <w:szCs w:val="18"/>
              </w:rPr>
              <w:t>事会第二十三次会议审议通过了《关于全资子公司使用部分闲置募集资金投资保本型理财产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品的议案》，同意公司全资子公司上海二三四五网络科技有限公司（以下简称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网络科技子公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）根据《上市公司监管指引第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上市公司募集资金管理和使用的监管要求》及深圳证 </w:t>
            </w:r>
            <w:r>
              <w:rPr>
                <w:rFonts w:ascii="宋体" w:hAnsi="宋体" w:cs="宋体" w:eastAsia="宋体" w:hint="default"/>
                <w:spacing w:val="-1"/>
                <w:sz w:val="18"/>
                <w:szCs w:val="18"/>
              </w:rPr>
              <w:t>券交易所《中小企业板上市公司规范运作指引》的有关规定，本着股东利益最大化原则，为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提高募集资金使用效率，在确保不影响募集资金项目建设和募集资金使用的前提下，使用部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分闲置募集资金不超过人民币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元（大写：人民币陆亿元）投资安全性高、流动</w:t>
            </w:r>
          </w:p>
          <w:p>
            <w:pPr>
              <w:pStyle w:val="TableParagraph"/>
              <w:spacing w:line="309" w:lineRule="auto" w:before="5"/>
              <w:ind w:left="22" w:right="22"/>
              <w:jc w:val="left"/>
              <w:rPr>
                <w:rFonts w:ascii="宋体" w:hAnsi="宋体" w:cs="宋体" w:eastAsia="宋体" w:hint="default"/>
                <w:sz w:val="18"/>
                <w:szCs w:val="18"/>
              </w:rPr>
            </w:pPr>
            <w:r>
              <w:rPr>
                <w:rFonts w:ascii="宋体" w:hAnsi="宋体" w:cs="宋体" w:eastAsia="宋体" w:hint="default"/>
                <w:sz w:val="18"/>
                <w:szCs w:val="18"/>
              </w:rPr>
              <w:t>性好、有保本约定的理财产品。自董事会审议通过之日起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个月内有效，在决议有效期内 </w:t>
            </w:r>
            <w:r>
              <w:rPr>
                <w:rFonts w:ascii="宋体" w:hAnsi="宋体" w:cs="宋体" w:eastAsia="宋体" w:hint="default"/>
                <w:spacing w:val="-1"/>
                <w:sz w:val="18"/>
                <w:szCs w:val="18"/>
              </w:rPr>
              <w:t>该等资金额度可滚动使用。详见公司同日披露的《关于全资子公司使用部分闲置募集资金投</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0"/>
                <w:sz w:val="18"/>
                <w:szCs w:val="18"/>
              </w:rPr>
              <w:t>资保本型理财产品的公告》（公告编号：</w:t>
            </w:r>
            <w:r>
              <w:rPr>
                <w:rFonts w:ascii="Times New Roman" w:hAnsi="Times New Roman" w:cs="Times New Roman" w:eastAsia="Times New Roman" w:hint="default"/>
                <w:spacing w:val="-10"/>
                <w:sz w:val="18"/>
                <w:szCs w:val="18"/>
              </w:rPr>
              <w:t>2015-094</w:t>
            </w:r>
            <w:r>
              <w:rPr>
                <w:rFonts w:ascii="宋体" w:hAnsi="宋体" w:cs="宋体" w:eastAsia="宋体" w:hint="default"/>
                <w:spacing w:val="-10"/>
                <w:sz w:val="18"/>
                <w:szCs w:val="18"/>
              </w:rPr>
              <w:t>）。</w:t>
            </w:r>
            <w:r>
              <w:rPr>
                <w:rFonts w:ascii="宋体" w:hAnsi="宋体" w:cs="宋体" w:eastAsia="宋体" w:hint="default"/>
                <w:sz w:val="18"/>
                <w:szCs w:val="18"/>
              </w:rPr>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5"/>
        <w:ind w:left="154" w:right="0"/>
        <w:jc w:val="both"/>
        <w:rPr>
          <w:b w:val="0"/>
          <w:bCs w:val="0"/>
        </w:rPr>
      </w:pPr>
      <w:bookmarkStart w:name="（2）委托贷款情况" w:id="97"/>
      <w:bookmarkEnd w:id="97"/>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left="15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2"/>
        <w:rPr>
          <w:rFonts w:ascii="宋体" w:hAnsi="宋体" w:cs="宋体" w:eastAsia="宋体" w:hint="default"/>
          <w:sz w:val="20"/>
          <w:szCs w:val="20"/>
        </w:rPr>
      </w:pPr>
    </w:p>
    <w:p>
      <w:pPr>
        <w:pStyle w:val="Heading6"/>
        <w:spacing w:line="240" w:lineRule="auto"/>
        <w:ind w:right="0"/>
        <w:jc w:val="both"/>
        <w:rPr>
          <w:b w:val="0"/>
          <w:bCs w:val="0"/>
        </w:rPr>
      </w:pPr>
      <w:bookmarkStart w:name="4、其他重大合同" w:id="98"/>
      <w:bookmarkEnd w:id="98"/>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left="153"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4"/>
        <w:rPr>
          <w:rFonts w:ascii="宋体" w:hAnsi="宋体" w:cs="宋体" w:eastAsia="宋体" w:hint="default"/>
          <w:sz w:val="19"/>
          <w:szCs w:val="19"/>
        </w:rPr>
      </w:pPr>
    </w:p>
    <w:p>
      <w:pPr>
        <w:pStyle w:val="Heading4"/>
        <w:spacing w:line="240" w:lineRule="auto"/>
        <w:ind w:right="0"/>
        <w:jc w:val="both"/>
        <w:rPr>
          <w:b w:val="0"/>
          <w:bCs w:val="0"/>
        </w:rPr>
      </w:pPr>
      <w:bookmarkStart w:name="十八、其他重大事项的说明" w:id="99"/>
      <w:bookmarkEnd w:id="99"/>
      <w:r>
        <w:rPr>
          <w:b w:val="0"/>
          <w:bCs w:val="0"/>
        </w:rPr>
      </w:r>
      <w:r>
        <w:rPr/>
        <w:t>十八、其他重大事项的说明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2" w:lineRule="auto" w:before="102"/>
        <w:ind w:left="153" w:right="1129" w:firstLine="360"/>
        <w:jc w:val="both"/>
      </w:pPr>
      <w:r>
        <w:rPr>
          <w:spacing w:val="-2"/>
        </w:rPr>
        <w:t>（</w:t>
      </w:r>
      <w:r>
        <w:rPr>
          <w:rFonts w:ascii="Times New Roman" w:hAnsi="Times New Roman" w:cs="Times New Roman" w:eastAsia="Times New Roman" w:hint="default"/>
          <w:spacing w:val="-2"/>
        </w:rPr>
        <w:t>1</w:t>
      </w:r>
      <w:r>
        <w:rPr>
          <w:spacing w:val="-2"/>
        </w:rPr>
        <w:t>）</w:t>
      </w:r>
      <w:r>
        <w:rPr>
          <w:rFonts w:ascii="宋体" w:hAnsi="宋体" w:cs="宋体" w:eastAsia="宋体" w:hint="default"/>
          <w:spacing w:val="-2"/>
        </w:rPr>
        <w:t>2015</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10</w:t>
      </w:r>
      <w:r>
        <w:rPr>
          <w:spacing w:val="-2"/>
        </w:rPr>
        <w:t>日，公司披露了《关于实际控制人及部分董事、高级管理人员计划增持公司股份的提示性公告》（公</w:t>
      </w:r>
      <w:r>
        <w:rPr/>
        <w:t> </w:t>
      </w:r>
      <w:r>
        <w:rPr>
          <w:spacing w:val="-2"/>
        </w:rPr>
        <w:t>告编号：</w:t>
      </w:r>
      <w:r>
        <w:rPr>
          <w:rFonts w:ascii="宋体" w:hAnsi="宋体" w:cs="宋体" w:eastAsia="宋体" w:hint="default"/>
          <w:spacing w:val="-2"/>
        </w:rPr>
        <w:t>2015-056</w:t>
      </w:r>
      <w:r>
        <w:rPr>
          <w:spacing w:val="-2"/>
        </w:rPr>
        <w:t>），基于对公司未来发展前景的信心以及对公司价值的认可，并看好国内资本市场长期投资的价值，为了</w:t>
      </w:r>
      <w:r>
        <w:rPr>
          <w:spacing w:val="-58"/>
        </w:rPr>
        <w:t> </w:t>
      </w:r>
      <w:r>
        <w:rPr>
          <w:spacing w:val="-58"/>
        </w:rPr>
      </w:r>
      <w:r>
        <w:rPr>
          <w:spacing w:val="-2"/>
        </w:rPr>
        <w:t>促进公司持续、稳定、健康发展及维护股东利益，以实际行动切实维护市场稳定，保护投资者利益，公司实际控制人包叔平</w:t>
      </w:r>
      <w:r>
        <w:rPr>
          <w:spacing w:val="-66"/>
        </w:rPr>
        <w:t> </w:t>
      </w:r>
      <w:r>
        <w:rPr>
          <w:spacing w:val="-66"/>
        </w:rPr>
      </w:r>
      <w:r>
        <w:rPr>
          <w:spacing w:val="-2"/>
        </w:rPr>
        <w:t>先生、董事兼副总经理潘世雷先生以及李静女士、董樑先生自</w:t>
      </w:r>
      <w:r>
        <w:rPr>
          <w:rFonts w:ascii="宋体" w:hAnsi="宋体" w:cs="宋体" w:eastAsia="宋体" w:hint="default"/>
          <w:spacing w:val="-2"/>
        </w:rPr>
        <w:t>2015</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9</w:t>
      </w:r>
      <w:r>
        <w:rPr>
          <w:spacing w:val="-2"/>
        </w:rPr>
        <w:t>日起六个月内，根据中国证监会和深圳证券交易所</w:t>
      </w:r>
    </w:p>
    <w:p>
      <w:pPr>
        <w:pStyle w:val="BodyText"/>
        <w:spacing w:line="319" w:lineRule="auto" w:before="22"/>
        <w:ind w:left="153" w:right="1131"/>
        <w:jc w:val="both"/>
      </w:pPr>
      <w:r>
        <w:rPr/>
        <w:t>（以下简称“深交所”）的有关规定，拟计划通过中国证监会、深交所允许的方式增持本公司股份。</w:t>
      </w:r>
      <w:r>
        <w:rPr>
          <w:rFonts w:ascii="宋体" w:hAnsi="宋体" w:cs="宋体" w:eastAsia="宋体" w:hint="default"/>
        </w:rPr>
        <w:t>2015</w:t>
      </w:r>
      <w:r>
        <w:rPr/>
        <w:t>年</w:t>
      </w:r>
      <w:r>
        <w:rPr>
          <w:rFonts w:ascii="宋体" w:hAnsi="宋体" w:cs="宋体" w:eastAsia="宋体" w:hint="default"/>
        </w:rPr>
        <w:t>9</w:t>
      </w:r>
      <w:r>
        <w:rPr/>
        <w:t>月，公司实际 </w:t>
      </w:r>
      <w:r>
        <w:rPr>
          <w:spacing w:val="-2"/>
        </w:rPr>
        <w:t>控制人包叔平先生、董事兼副总经理潘世雷先生、李静女士和董樑先生已完成了增持公司股份的计划，详见《关于实际控制</w:t>
      </w:r>
      <w:r>
        <w:rPr>
          <w:spacing w:val="-66"/>
        </w:rPr>
        <w:t> </w:t>
      </w:r>
      <w:r>
        <w:rPr>
          <w:spacing w:val="-66"/>
        </w:rPr>
      </w:r>
      <w:r>
        <w:rPr>
          <w:spacing w:val="-2"/>
        </w:rPr>
        <w:t>人完成增持公司股份计划的公告》（公告编号：</w:t>
      </w:r>
      <w:r>
        <w:rPr>
          <w:rFonts w:ascii="宋体" w:hAnsi="宋体" w:cs="宋体" w:eastAsia="宋体" w:hint="default"/>
          <w:spacing w:val="-2"/>
        </w:rPr>
        <w:t>2015-082</w:t>
      </w:r>
      <w:r>
        <w:rPr>
          <w:spacing w:val="-2"/>
        </w:rPr>
        <w:t>）及《关于实际控制人及部分董事、监事和高级管理人员完成增持</w:t>
      </w:r>
      <w:r>
        <w:rPr>
          <w:spacing w:val="-60"/>
        </w:rPr>
        <w:t> </w:t>
      </w:r>
      <w:r>
        <w:rPr>
          <w:spacing w:val="-60"/>
        </w:rPr>
      </w:r>
      <w:r>
        <w:rPr/>
        <w:t>公司股份计划的公告》（公告编号：</w:t>
      </w:r>
      <w:r>
        <w:rPr>
          <w:rFonts w:ascii="宋体" w:hAnsi="宋体" w:cs="宋体" w:eastAsia="宋体" w:hint="default"/>
        </w:rPr>
        <w:t>2015-083</w:t>
      </w:r>
      <w:r>
        <w:rPr/>
        <w:t>）。</w:t>
      </w:r>
    </w:p>
    <w:p>
      <w:pPr>
        <w:pStyle w:val="BodyText"/>
        <w:spacing w:line="304" w:lineRule="auto" w:before="55"/>
        <w:ind w:left="153" w:right="1129" w:firstLine="360"/>
        <w:jc w:val="both"/>
      </w:pPr>
      <w:r>
        <w:rPr>
          <w:spacing w:val="-1"/>
        </w:rPr>
        <w:t>（</w:t>
      </w:r>
      <w:r>
        <w:rPr>
          <w:rFonts w:ascii="Times New Roman" w:hAnsi="Times New Roman" w:cs="Times New Roman" w:eastAsia="Times New Roman" w:hint="default"/>
          <w:spacing w:val="-1"/>
        </w:rPr>
        <w:t>2</w:t>
      </w:r>
      <w:r>
        <w:rPr>
          <w:spacing w:val="-1"/>
        </w:rPr>
        <w:t>）为实现将公司打造成为</w:t>
      </w:r>
      <w:r>
        <w:rPr>
          <w:rFonts w:ascii="Times New Roman" w:hAnsi="Times New Roman" w:cs="Times New Roman" w:eastAsia="Times New Roman" w:hint="default"/>
          <w:spacing w:val="-1"/>
        </w:rPr>
        <w:t>“</w:t>
      </w:r>
      <w:r>
        <w:rPr>
          <w:spacing w:val="-1"/>
        </w:rPr>
        <w:t>基于互联网平台的一流综合服务商</w:t>
      </w:r>
      <w:r>
        <w:rPr>
          <w:rFonts w:ascii="Times New Roman" w:hAnsi="Times New Roman" w:cs="Times New Roman" w:eastAsia="Times New Roman" w:hint="default"/>
          <w:spacing w:val="-1"/>
        </w:rPr>
        <w:t>”</w:t>
      </w:r>
      <w:r>
        <w:rPr>
          <w:spacing w:val="-1"/>
        </w:rPr>
        <w:t>这一战略目标，根据公司</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金融创新</w:t>
      </w:r>
      <w:r>
        <w:rPr>
          <w:rFonts w:ascii="Times New Roman" w:hAnsi="Times New Roman" w:cs="Times New Roman" w:eastAsia="Times New Roman" w:hint="default"/>
          <w:spacing w:val="-1"/>
        </w:rPr>
        <w:t>”</w:t>
      </w:r>
      <w:r>
        <w:rPr>
          <w:spacing w:val="-1"/>
        </w:rPr>
        <w:t>的战略规</w:t>
      </w:r>
      <w:r>
        <w:rPr/>
        <w:t> </w:t>
      </w:r>
      <w:r>
        <w:rPr>
          <w:spacing w:val="-2"/>
        </w:rPr>
        <w:t>划，公司的全资子公司上海二三四五网络科技有限公司（以下简称</w:t>
      </w:r>
      <w:r>
        <w:rPr>
          <w:rFonts w:ascii="Times New Roman" w:hAnsi="Times New Roman" w:cs="Times New Roman" w:eastAsia="Times New Roman" w:hint="default"/>
          <w:spacing w:val="-2"/>
        </w:rPr>
        <w:t>“</w:t>
      </w:r>
      <w:r>
        <w:rPr>
          <w:spacing w:val="-2"/>
        </w:rPr>
        <w:t>网络科技子公司</w:t>
      </w:r>
      <w:r>
        <w:rPr>
          <w:rFonts w:ascii="Times New Roman" w:hAnsi="Times New Roman" w:cs="Times New Roman" w:eastAsia="Times New Roman" w:hint="default"/>
          <w:spacing w:val="-2"/>
        </w:rPr>
        <w:t>”</w:t>
      </w:r>
      <w:r>
        <w:rPr>
          <w:spacing w:val="-2"/>
        </w:rPr>
        <w:t>）与其全资子公司二三四五（香港）有</w:t>
      </w:r>
      <w:r>
        <w:rPr>
          <w:spacing w:val="-46"/>
        </w:rPr>
        <w:t> </w:t>
      </w:r>
      <w:r>
        <w:rPr>
          <w:spacing w:val="-46"/>
        </w:rPr>
      </w:r>
      <w:r>
        <w:rPr/>
        <w:t>限公司（</w:t>
      </w:r>
      <w:r>
        <w:rPr>
          <w:rFonts w:ascii="Times New Roman" w:hAnsi="Times New Roman" w:cs="Times New Roman" w:eastAsia="Times New Roman" w:hint="default"/>
        </w:rPr>
        <w:t>2345</w:t>
      </w:r>
      <w:r>
        <w:rPr>
          <w:rFonts w:ascii="Times New Roman" w:hAnsi="Times New Roman" w:cs="Times New Roman" w:eastAsia="Times New Roman" w:hint="default"/>
          <w:spacing w:val="-33"/>
        </w:rPr>
        <w:t> </w:t>
      </w:r>
      <w:r>
        <w:rPr>
          <w:rFonts w:ascii="Times New Roman" w:hAnsi="Times New Roman" w:cs="Times New Roman" w:eastAsia="Times New Roman" w:hint="default"/>
        </w:rPr>
        <w:t>HK</w:t>
      </w:r>
      <w:r>
        <w:rPr>
          <w:rFonts w:ascii="Times New Roman" w:hAnsi="Times New Roman" w:cs="Times New Roman" w:eastAsia="Times New Roman" w:hint="default"/>
          <w:spacing w:val="-33"/>
        </w:rPr>
        <w:t> </w:t>
      </w:r>
      <w:r>
        <w:rPr>
          <w:rFonts w:ascii="Times New Roman" w:hAnsi="Times New Roman" w:cs="Times New Roman" w:eastAsia="Times New Roman" w:hint="default"/>
        </w:rPr>
        <w:t>LIMITED</w:t>
      </w:r>
      <w:r>
        <w:rPr/>
        <w:t>）（以下简称</w:t>
      </w:r>
      <w:r>
        <w:rPr>
          <w:rFonts w:ascii="Times New Roman" w:hAnsi="Times New Roman" w:cs="Times New Roman" w:eastAsia="Times New Roman" w:hint="default"/>
        </w:rPr>
        <w:t>“</w:t>
      </w:r>
      <w:r>
        <w:rPr/>
        <w:t>香港公司</w:t>
      </w:r>
      <w:r>
        <w:rPr>
          <w:rFonts w:ascii="Times New Roman" w:hAnsi="Times New Roman" w:cs="Times New Roman" w:eastAsia="Times New Roman" w:hint="default"/>
        </w:rPr>
        <w:t>”</w:t>
      </w:r>
      <w:r>
        <w:rPr/>
        <w:t>）以各自的自有资金投资设立上海二三四五融资租赁有限公司（以下简 称</w:t>
      </w:r>
      <w:r>
        <w:rPr>
          <w:rFonts w:ascii="Times New Roman" w:hAnsi="Times New Roman" w:cs="Times New Roman" w:eastAsia="Times New Roman" w:hint="default"/>
        </w:rPr>
        <w:t>“</w:t>
      </w:r>
      <w:r>
        <w:rPr/>
        <w:t>融资租赁公司</w:t>
      </w:r>
      <w:r>
        <w:rPr>
          <w:rFonts w:ascii="Times New Roman" w:hAnsi="Times New Roman" w:cs="Times New Roman" w:eastAsia="Times New Roman" w:hint="default"/>
        </w:rPr>
        <w:t>”</w:t>
      </w:r>
      <w:r>
        <w:rPr/>
        <w:t>）。融资租赁公司的注册资本为人民币</w:t>
      </w:r>
      <w:r>
        <w:rPr>
          <w:rFonts w:ascii="Times New Roman" w:hAnsi="Times New Roman" w:cs="Times New Roman" w:eastAsia="Times New Roman" w:hint="default"/>
        </w:rPr>
        <w:t>20,000</w:t>
      </w:r>
      <w:r>
        <w:rPr/>
        <w:t>万元，其中网络科技公司投资额为人民币</w:t>
      </w:r>
      <w:r>
        <w:rPr>
          <w:rFonts w:ascii="Times New Roman" w:hAnsi="Times New Roman" w:cs="Times New Roman" w:eastAsia="Times New Roman" w:hint="default"/>
        </w:rPr>
        <w:t>15,000</w:t>
      </w:r>
      <w:r>
        <w:rPr/>
        <w:t>万元，持股 </w:t>
      </w:r>
      <w:r>
        <w:rPr>
          <w:spacing w:val="-2"/>
        </w:rPr>
        <w:t>比例为</w:t>
      </w:r>
      <w:r>
        <w:rPr>
          <w:rFonts w:ascii="Times New Roman" w:hAnsi="Times New Roman" w:cs="Times New Roman" w:eastAsia="Times New Roman" w:hint="default"/>
          <w:spacing w:val="-2"/>
        </w:rPr>
        <w:t>75%</w:t>
      </w:r>
      <w:r>
        <w:rPr>
          <w:spacing w:val="-2"/>
        </w:rPr>
        <w:t>；香港公司投资额为人民币</w:t>
      </w:r>
      <w:r>
        <w:rPr>
          <w:rFonts w:ascii="Times New Roman" w:hAnsi="Times New Roman" w:cs="Times New Roman" w:eastAsia="Times New Roman" w:hint="default"/>
          <w:spacing w:val="-2"/>
        </w:rPr>
        <w:t>5,000</w:t>
      </w:r>
      <w:r>
        <w:rPr>
          <w:spacing w:val="-2"/>
        </w:rPr>
        <w:t>万元，持股比例为</w:t>
      </w:r>
      <w:r>
        <w:rPr>
          <w:rFonts w:ascii="Times New Roman" w:hAnsi="Times New Roman" w:cs="Times New Roman" w:eastAsia="Times New Roman" w:hint="default"/>
          <w:spacing w:val="-2"/>
        </w:rPr>
        <w:t>25%</w:t>
      </w:r>
      <w:r>
        <w:rPr>
          <w:spacing w:val="-2"/>
        </w:rPr>
        <w:t>。本次对外投资经公司总经理办公会议审议通过后报告公</w:t>
      </w:r>
      <w:r>
        <w:rPr>
          <w:spacing w:val="-41"/>
        </w:rPr>
        <w:t> </w:t>
      </w:r>
      <w:r>
        <w:rPr>
          <w:spacing w:val="-41"/>
        </w:rPr>
      </w:r>
      <w:r>
        <w:rPr>
          <w:spacing w:val="-2"/>
        </w:rPr>
        <w:t>司董事长，并已获得公司董事长的批准，符合公司《公司章程》、《公司重大经营与投资决策管理制度》及其他法律法规的</w:t>
      </w:r>
      <w:r>
        <w:rPr>
          <w:spacing w:val="-70"/>
        </w:rPr>
        <w:t> </w:t>
      </w:r>
      <w:r>
        <w:rPr>
          <w:spacing w:val="-70"/>
        </w:rPr>
      </w:r>
      <w:r>
        <w:rPr>
          <w:spacing w:val="-2"/>
        </w:rPr>
        <w:t>相关规定。本次对外投资设立融资租赁公司事项不属于风险投资，不构成关联交易，亦不构成《上市公司重大资产重组管理</w:t>
      </w:r>
      <w:r>
        <w:rPr>
          <w:spacing w:val="-66"/>
        </w:rPr>
        <w:t> </w:t>
      </w:r>
      <w:r>
        <w:rPr>
          <w:spacing w:val="-66"/>
        </w:rPr>
      </w:r>
      <w:r>
        <w:rPr/>
        <w:t>办法》规定的重大资产重组。</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月，公司接到网络科技公司及香港公司的通知，融资租赁公司的设立已经获得上海市</w:t>
      </w:r>
    </w:p>
    <w:p>
      <w:pPr>
        <w:spacing w:after="0" w:line="304"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ind w:left="153" w:right="1040"/>
        <w:jc w:val="left"/>
      </w:pPr>
      <w:r>
        <w:rPr/>
        <w:t>工商行政管理局的批准，并已获得上海市工商行政管理局颁发的营业执照（统一社会信用代码：</w:t>
      </w:r>
      <w:r>
        <w:rPr>
          <w:rFonts w:ascii="Times New Roman" w:hAnsi="Times New Roman" w:cs="Times New Roman" w:eastAsia="Times New Roman" w:hint="default"/>
        </w:rPr>
        <w:t>91310000MA1FL1G449</w:t>
      </w:r>
      <w:r>
        <w:rPr/>
        <w:t>）。</w:t>
      </w:r>
      <w:r>
        <w:rPr>
          <w:spacing w:val="-85"/>
        </w:rPr>
        <w:t> </w:t>
      </w:r>
      <w:r>
        <w:rPr>
          <w:spacing w:val="-8"/>
        </w:rPr>
        <w:t>详见公司</w:t>
      </w:r>
      <w:r>
        <w:rPr>
          <w:rFonts w:ascii="Times New Roman" w:hAnsi="Times New Roman" w:cs="Times New Roman" w:eastAsia="Times New Roman" w:hint="default"/>
          <w:spacing w:val="-8"/>
        </w:rPr>
        <w:t>2016</w:t>
      </w:r>
      <w:r>
        <w:rPr>
          <w:spacing w:val="-8"/>
        </w:rPr>
        <w:t>年</w:t>
      </w:r>
      <w:r>
        <w:rPr>
          <w:rFonts w:ascii="Times New Roman" w:hAnsi="Times New Roman" w:cs="Times New Roman" w:eastAsia="Times New Roman" w:hint="default"/>
          <w:spacing w:val="-8"/>
        </w:rPr>
        <w:t>1</w:t>
      </w:r>
      <w:r>
        <w:rPr>
          <w:spacing w:val="-8"/>
        </w:rPr>
        <w:t>月</w:t>
      </w:r>
      <w:r>
        <w:rPr>
          <w:rFonts w:ascii="Times New Roman" w:hAnsi="Times New Roman" w:cs="Times New Roman" w:eastAsia="Times New Roman" w:hint="default"/>
          <w:spacing w:val="-8"/>
        </w:rPr>
        <w:t>26</w:t>
      </w:r>
      <w:r>
        <w:rPr>
          <w:spacing w:val="-8"/>
        </w:rPr>
        <w:t>日发布在巨潮资讯网的《关于投资设立上海二三四五融资租赁有限公司的公告》（公告编号：</w:t>
      </w:r>
      <w:r>
        <w:rPr>
          <w:rFonts w:ascii="Times New Roman" w:hAnsi="Times New Roman" w:cs="Times New Roman" w:eastAsia="Times New Roman" w:hint="default"/>
          <w:spacing w:val="-8"/>
        </w:rPr>
        <w:t>2016-002</w:t>
      </w:r>
      <w:r>
        <w:rPr>
          <w:spacing w:val="-8"/>
        </w:rPr>
        <w:t>）。</w:t>
      </w:r>
      <w:r>
        <w:rPr/>
      </w:r>
    </w:p>
    <w:p>
      <w:pPr>
        <w:pStyle w:val="BodyText"/>
        <w:spacing w:line="300" w:lineRule="auto" w:before="49"/>
        <w:ind w:left="153" w:right="1043" w:firstLine="360"/>
        <w:jc w:val="left"/>
      </w:pPr>
      <w:r>
        <w:rPr/>
        <w:t>（</w:t>
      </w:r>
      <w:r>
        <w:rPr>
          <w:rFonts w:ascii="Times New Roman" w:hAnsi="Times New Roman" w:cs="Times New Roman" w:eastAsia="Times New Roman" w:hint="default"/>
        </w:rPr>
        <w:t>3</w:t>
      </w:r>
      <w:r>
        <w:rPr/>
        <w:t>）公司于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月非公开发行了人民币普通股（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83,500,000</w:t>
      </w:r>
      <w:r>
        <w:rPr/>
        <w:t>股，发行价格每股</w:t>
      </w:r>
      <w:r>
        <w:rPr>
          <w:rFonts w:ascii="Times New Roman" w:hAnsi="Times New Roman" w:cs="Times New Roman" w:eastAsia="Times New Roman" w:hint="default"/>
        </w:rPr>
        <w:t>20</w:t>
      </w:r>
      <w:r>
        <w:rPr/>
        <w:t>元，募集资金总额为人民币 </w:t>
      </w:r>
      <w:r>
        <w:rPr>
          <w:rFonts w:ascii="Times New Roman" w:hAnsi="Times New Roman" w:cs="Times New Roman" w:eastAsia="Times New Roman" w:hint="default"/>
          <w:spacing w:val="-2"/>
        </w:rPr>
        <w:t>1,670,000,000.00</w:t>
      </w:r>
      <w:r>
        <w:rPr>
          <w:spacing w:val="-2"/>
        </w:rPr>
        <w:t>元。详见公司</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w:t>
      </w:r>
      <w:r>
        <w:rPr>
          <w:spacing w:val="-2"/>
        </w:rPr>
        <w:t>日发布在巨潮资讯网的《非公开发行股票之发行情况报告书暨上市公告书》。新增</w:t>
      </w:r>
      <w:r>
        <w:rPr>
          <w:spacing w:val="-46"/>
        </w:rPr>
        <w:t> </w:t>
      </w:r>
      <w:r>
        <w:rPr>
          <w:spacing w:val="-46"/>
        </w:rPr>
      </w:r>
      <w:r>
        <w:rPr/>
        <w:t>股份已于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3</w:t>
      </w:r>
      <w:r>
        <w:rPr/>
        <w:t>日在深圳证券交易所上市，公司股本总数由</w:t>
      </w:r>
      <w:r>
        <w:rPr>
          <w:rFonts w:ascii="Times New Roman" w:hAnsi="Times New Roman" w:cs="Times New Roman" w:eastAsia="Times New Roman" w:hint="default"/>
        </w:rPr>
        <w:t>871,732,720</w:t>
      </w:r>
      <w:r>
        <w:rPr/>
        <w:t>股增至</w:t>
      </w:r>
      <w:r>
        <w:rPr>
          <w:rFonts w:ascii="Times New Roman" w:hAnsi="Times New Roman" w:cs="Times New Roman" w:eastAsia="Times New Roman" w:hint="default"/>
        </w:rPr>
        <w:t>955,232,720</w:t>
      </w:r>
      <w:r>
        <w:rPr/>
        <w:t>股</w:t>
      </w:r>
      <w:r>
        <w:rPr>
          <w:rFonts w:ascii="Times New Roman" w:hAnsi="Times New Roman" w:cs="Times New Roman" w:eastAsia="Times New Roman" w:hint="default"/>
        </w:rPr>
        <w:t>,</w:t>
      </w:r>
      <w:r>
        <w:rPr/>
        <w:t>公司注册资本由 </w:t>
      </w:r>
      <w:r>
        <w:rPr>
          <w:rFonts w:ascii="Times New Roman" w:hAnsi="Times New Roman" w:cs="Times New Roman" w:eastAsia="Times New Roman" w:hint="default"/>
        </w:rPr>
        <w:t>871,732,720</w:t>
      </w:r>
      <w:r>
        <w:rPr/>
        <w:t>元增至</w:t>
      </w:r>
      <w:r>
        <w:rPr>
          <w:rFonts w:ascii="Times New Roman" w:hAnsi="Times New Roman" w:cs="Times New Roman" w:eastAsia="Times New Roman" w:hint="default"/>
        </w:rPr>
        <w:t>955,232,720</w:t>
      </w:r>
      <w:r>
        <w:rPr/>
        <w:t>元。公司已于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月完成了上述增加注册资本的工商变更登记手续，并领取了</w:t>
      </w:r>
      <w:r>
        <w:rPr>
          <w:rFonts w:ascii="Times New Roman" w:hAnsi="Times New Roman" w:cs="Times New Roman" w:eastAsia="Times New Roman" w:hint="default"/>
        </w:rPr>
        <w:t>“</w:t>
      </w:r>
      <w:r>
        <w:rPr/>
        <w:t>三证合一</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的营业执照，公司统一社会信用代码：</w:t>
      </w:r>
      <w:r>
        <w:rPr>
          <w:rFonts w:ascii="Times New Roman" w:hAnsi="Times New Roman" w:cs="Times New Roman" w:eastAsia="Times New Roman" w:hint="default"/>
        </w:rPr>
        <w:t>91310000607203699D</w:t>
      </w:r>
      <w:r>
        <w:rPr/>
        <w:t>，原《企业法人营业执照》注册号</w:t>
      </w:r>
      <w:r>
        <w:rPr>
          <w:rFonts w:ascii="Times New Roman" w:hAnsi="Times New Roman" w:cs="Times New Roman" w:eastAsia="Times New Roman" w:hint="default"/>
        </w:rPr>
        <w:t>310000000003153</w:t>
      </w:r>
      <w:r>
        <w:rPr/>
        <w:t>在</w:t>
      </w:r>
      <w:r>
        <w:rPr>
          <w:rFonts w:ascii="Times New Roman" w:hAnsi="Times New Roman" w:cs="Times New Roman" w:eastAsia="Times New Roman" w:hint="default"/>
        </w:rPr>
        <w:t>“</w:t>
      </w:r>
      <w:r>
        <w:rPr/>
        <w:t>三证合 一</w:t>
      </w:r>
      <w:r>
        <w:rPr>
          <w:rFonts w:ascii="Times New Roman" w:hAnsi="Times New Roman" w:cs="Times New Roman" w:eastAsia="Times New Roman" w:hint="default"/>
        </w:rPr>
        <w:t>”</w:t>
      </w:r>
      <w:r>
        <w:rPr/>
        <w:t>后不再使用，其他原登记事项不变。详见公司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29</w:t>
      </w:r>
      <w:r>
        <w:rPr/>
        <w:t>日发布在巨潮资讯网的《关于完成公司工商变更登记的公告》</w:t>
      </w:r>
    </w:p>
    <w:p>
      <w:pPr>
        <w:pStyle w:val="BodyText"/>
        <w:spacing w:line="240" w:lineRule="auto" w:before="14"/>
        <w:ind w:left="153" w:right="0"/>
        <w:jc w:val="both"/>
      </w:pPr>
      <w:r>
        <w:rPr/>
        <w:t>（公告编号：</w:t>
      </w:r>
      <w:r>
        <w:rPr>
          <w:rFonts w:ascii="Times New Roman" w:hAnsi="Times New Roman" w:cs="Times New Roman" w:eastAsia="Times New Roman" w:hint="default"/>
        </w:rPr>
        <w:t>2016-007</w:t>
      </w:r>
      <w:r>
        <w:rPr/>
        <w:t>）。</w:t>
      </w:r>
    </w:p>
    <w:p>
      <w:pPr>
        <w:pStyle w:val="BodyText"/>
        <w:spacing w:line="300" w:lineRule="auto" w:before="102"/>
        <w:ind w:left="153" w:right="1129" w:firstLine="360"/>
        <w:jc w:val="left"/>
      </w:pPr>
      <w:r>
        <w:rPr/>
        <w:t>（</w:t>
      </w:r>
      <w:r>
        <w:rPr>
          <w:rFonts w:ascii="Times New Roman" w:hAnsi="Times New Roman" w:cs="Times New Roman" w:eastAsia="Times New Roman" w:hint="default"/>
        </w:rPr>
        <w:t>4</w:t>
      </w:r>
      <w:r>
        <w:rPr/>
        <w:t>）公司于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4</w:t>
      </w:r>
      <w:r>
        <w:rPr/>
        <w:t>日收到实际控制人包叔平先生的通知，包叔平先生解除了与其一致行动人（包括</w:t>
      </w:r>
      <w:r>
        <w:rPr>
          <w:rFonts w:ascii="Times New Roman" w:hAnsi="Times New Roman" w:cs="Times New Roman" w:eastAsia="Times New Roman" w:hint="default"/>
        </w:rPr>
        <w:t>34</w:t>
      </w:r>
      <w:r>
        <w:rPr/>
        <w:t>名自然人股 </w:t>
      </w:r>
      <w:r>
        <w:rPr>
          <w:spacing w:val="-1"/>
        </w:rPr>
        <w:t>东及</w:t>
      </w:r>
      <w:r>
        <w:rPr>
          <w:rFonts w:ascii="Times New Roman" w:hAnsi="Times New Roman" w:cs="Times New Roman" w:eastAsia="Times New Roman" w:hint="default"/>
          <w:spacing w:val="-1"/>
        </w:rPr>
        <w:t>1</w:t>
      </w:r>
      <w:r>
        <w:rPr>
          <w:spacing w:val="-1"/>
        </w:rPr>
        <w:t>名法人股东）的一致行动协议。解除一致行动协议后，包叔平先生直接和间接控制公司总股份</w:t>
      </w:r>
      <w:r>
        <w:rPr>
          <w:rFonts w:ascii="Times New Roman" w:hAnsi="Times New Roman" w:cs="Times New Roman" w:eastAsia="Times New Roman" w:hint="default"/>
          <w:spacing w:val="-1"/>
        </w:rPr>
        <w:t>20.42%</w:t>
      </w:r>
      <w:r>
        <w:rPr>
          <w:spacing w:val="-1"/>
        </w:rPr>
        <w:t>的表决权，仍为</w:t>
      </w:r>
      <w:r>
        <w:rPr>
          <w:spacing w:val="-42"/>
        </w:rPr>
        <w:t> </w:t>
      </w:r>
      <w:r>
        <w:rPr>
          <w:spacing w:val="-42"/>
        </w:rPr>
      </w:r>
      <w:r>
        <w:rPr/>
        <w:t>公司实际控制人。详见公司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5</w:t>
      </w:r>
      <w:r>
        <w:rPr/>
        <w:t>日发布在巨潮资讯网的《关于实际控制人解除一致行动协议的公告》（公告编号： </w:t>
      </w:r>
      <w:r>
        <w:rPr>
          <w:rFonts w:ascii="Times New Roman" w:hAnsi="Times New Roman" w:cs="Times New Roman" w:eastAsia="Times New Roman" w:hint="default"/>
        </w:rPr>
        <w:t>2016-003</w:t>
      </w:r>
      <w:r>
        <w:rPr/>
        <w:t>）。</w:t>
      </w:r>
    </w:p>
    <w:p>
      <w:pPr>
        <w:spacing w:line="240" w:lineRule="auto" w:before="2"/>
        <w:rPr>
          <w:rFonts w:ascii="宋体" w:hAnsi="宋体" w:cs="宋体" w:eastAsia="宋体" w:hint="default"/>
          <w:sz w:val="20"/>
          <w:szCs w:val="20"/>
        </w:rPr>
      </w:pPr>
    </w:p>
    <w:p>
      <w:pPr>
        <w:pStyle w:val="Heading4"/>
        <w:spacing w:line="240" w:lineRule="auto"/>
        <w:ind w:right="0"/>
        <w:jc w:val="both"/>
        <w:rPr>
          <w:b w:val="0"/>
          <w:bCs w:val="0"/>
        </w:rPr>
      </w:pPr>
      <w:bookmarkStart w:name="十九、公司子公司重大事项" w:id="100"/>
      <w:bookmarkEnd w:id="100"/>
      <w:r>
        <w:rPr>
          <w:b w:val="0"/>
          <w:bCs w:val="0"/>
        </w:rPr>
      </w:r>
      <w:r>
        <w:rPr/>
        <w:t>十九、公司子公司重大事项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513" w:right="0"/>
        <w:jc w:val="left"/>
      </w:pPr>
      <w:r>
        <w:rPr>
          <w:spacing w:val="-5"/>
        </w:rPr>
        <w:t>（</w:t>
      </w:r>
      <w:r>
        <w:rPr>
          <w:rFonts w:ascii="Times New Roman" w:hAnsi="Times New Roman" w:cs="Times New Roman" w:eastAsia="Times New Roman" w:hint="default"/>
          <w:spacing w:val="-5"/>
        </w:rPr>
        <w:t>1</w:t>
      </w:r>
      <w:r>
        <w:rPr>
          <w:spacing w:val="-5"/>
        </w:rPr>
        <w:t>）公司于</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9"/>
        </w:rPr>
        <w:t> </w:t>
      </w:r>
      <w:r>
        <w:rPr/>
        <w:t>月</w:t>
      </w:r>
      <w:r>
        <w:rPr>
          <w:spacing w:val="-54"/>
        </w:rPr>
        <w:t> </w:t>
      </w:r>
      <w:r>
        <w:rPr>
          <w:rFonts w:ascii="Times New Roman" w:hAnsi="Times New Roman" w:cs="Times New Roman" w:eastAsia="Times New Roman" w:hint="default"/>
        </w:rPr>
        <w:t>14</w:t>
      </w:r>
      <w:r>
        <w:rPr>
          <w:rFonts w:ascii="Times New Roman" w:hAnsi="Times New Roman" w:cs="Times New Roman" w:eastAsia="Times New Roman" w:hint="default"/>
          <w:spacing w:val="-8"/>
        </w:rPr>
        <w:t> </w:t>
      </w:r>
      <w:r>
        <w:rPr/>
        <w:t>日召开第五届董事会第十三次会议，审议通过了《关于以自有资金及软件外包服务业务全</w:t>
      </w:r>
    </w:p>
    <w:p>
      <w:pPr>
        <w:pStyle w:val="BodyText"/>
        <w:spacing w:line="300" w:lineRule="auto" w:before="63"/>
        <w:ind w:left="153" w:right="1132"/>
        <w:jc w:val="both"/>
      </w:pPr>
      <w:r>
        <w:rPr>
          <w:spacing w:val="-5"/>
        </w:rPr>
        <w:t>部资产出资设立全资子公司的议案》（详见公司</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日发布在巨潮资讯网的《关于以自有资金及软件外包服务业 </w:t>
      </w:r>
      <w:r>
        <w:rPr>
          <w:spacing w:val="-4"/>
        </w:rPr>
        <w:t>务全部资产出资设立全资子公司的进展公告》，公告编号：</w:t>
      </w:r>
      <w:r>
        <w:rPr>
          <w:rFonts w:ascii="Times New Roman" w:hAnsi="Times New Roman" w:cs="Times New Roman" w:eastAsia="Times New Roman" w:hint="default"/>
          <w:spacing w:val="-4"/>
        </w:rPr>
        <w:t>2014-119</w:t>
      </w:r>
      <w:r>
        <w:rPr>
          <w:spacing w:val="-4"/>
        </w:rPr>
        <w:t>）。截至本报告披露日，相关出资工作已经完成，全资子</w:t>
      </w:r>
      <w:r>
        <w:rPr/>
        <w:t> 公司上海海隆软件有限公司的注册资本为人民币</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亿元。</w:t>
      </w:r>
    </w:p>
    <w:p>
      <w:pPr>
        <w:pStyle w:val="BodyText"/>
        <w:spacing w:line="240" w:lineRule="auto" w:before="51"/>
        <w:ind w:left="513" w:right="0"/>
        <w:jc w:val="left"/>
      </w:pPr>
      <w:r>
        <w:rPr/>
        <w:t>（</w:t>
      </w:r>
      <w:r>
        <w:rPr>
          <w:rFonts w:ascii="Times New Roman" w:hAnsi="Times New Roman" w:cs="Times New Roman" w:eastAsia="Times New Roman" w:hint="default"/>
        </w:rPr>
        <w:t>2</w:t>
      </w:r>
      <w:r>
        <w:rPr>
          <w:spacing w:val="-90"/>
        </w:rPr>
        <w:t>）</w:t>
      </w:r>
      <w:r>
        <w:rPr/>
        <w:t>公司于</w:t>
      </w:r>
      <w:r>
        <w:rPr>
          <w:spacing w:val="-5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1"/>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月</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日在上海设立全资子公司上海二三四五海隆金融信息服务有限公司</w:t>
      </w:r>
      <w:r>
        <w:rPr>
          <w:spacing w:val="-90"/>
        </w:rPr>
        <w:t>，</w:t>
      </w:r>
      <w:r>
        <w:rPr/>
        <w:t>注册资本</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亿元人民币，</w:t>
      </w:r>
    </w:p>
    <w:p>
      <w:pPr>
        <w:pStyle w:val="BodyText"/>
        <w:spacing w:line="240" w:lineRule="auto" w:before="63"/>
        <w:ind w:left="153" w:right="0"/>
        <w:jc w:val="both"/>
      </w:pPr>
      <w:r>
        <w:rPr/>
        <w:t>截至</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日已完成货币资金出资。详见公司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2 </w:t>
      </w:r>
      <w:r>
        <w:rPr/>
        <w:t>月</w:t>
      </w:r>
      <w:r>
        <w:rPr>
          <w:spacing w:val="-46"/>
        </w:rPr>
        <w:t> </w:t>
      </w:r>
      <w:r>
        <w:rPr>
          <w:rFonts w:ascii="Times New Roman" w:hAnsi="Times New Roman" w:cs="Times New Roman" w:eastAsia="Times New Roman" w:hint="default"/>
        </w:rPr>
        <w:t>13 </w:t>
      </w:r>
      <w:r>
        <w:rPr/>
        <w:t>日发布在巨潮资讯网的《关于设立互联网金融全资</w:t>
      </w:r>
    </w:p>
    <w:p>
      <w:pPr>
        <w:pStyle w:val="BodyText"/>
        <w:spacing w:line="240" w:lineRule="auto" w:before="63"/>
        <w:ind w:left="153" w:right="0"/>
        <w:jc w:val="both"/>
      </w:pPr>
      <w:r>
        <w:rPr/>
        <w:t>子公司的公告</w:t>
      </w:r>
      <w:r>
        <w:rPr>
          <w:spacing w:val="-90"/>
        </w:rPr>
        <w:t>》</w:t>
      </w:r>
      <w:r>
        <w:rPr/>
        <w:t>（公告编号：</w:t>
      </w:r>
      <w:r>
        <w:rPr>
          <w:rFonts w:ascii="Times New Roman" w:hAnsi="Times New Roman" w:cs="Times New Roman" w:eastAsia="Times New Roman" w:hint="default"/>
        </w:rPr>
        <w:t>2015-017</w:t>
      </w:r>
      <w:r>
        <w:rPr/>
        <w:t>）及</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spacing w:val="1"/>
        </w:rPr>
        <w:t>日</w:t>
      </w:r>
      <w:r>
        <w:rPr/>
        <w:t>发布的《关于互联网金融全资子公司完成工商注册登记的公告》</w:t>
      </w:r>
    </w:p>
    <w:p>
      <w:pPr>
        <w:pStyle w:val="BodyText"/>
        <w:spacing w:line="240" w:lineRule="auto" w:before="63"/>
        <w:ind w:right="0"/>
        <w:jc w:val="both"/>
      </w:pPr>
      <w:r>
        <w:rPr/>
        <w:t>（公告编号：</w:t>
      </w:r>
      <w:r>
        <w:rPr>
          <w:rFonts w:ascii="Times New Roman" w:hAnsi="Times New Roman" w:cs="Times New Roman" w:eastAsia="Times New Roman" w:hint="default"/>
        </w:rPr>
        <w:t>2015-022</w:t>
      </w:r>
      <w:r>
        <w:rPr>
          <w:spacing w:val="-90"/>
        </w:rPr>
        <w:t>）</w:t>
      </w:r>
      <w:r>
        <w:rPr/>
        <w:t>。公司</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日召开的第五届董事会第二十四次会议审议通过《关于以募集资金增资全资</w:t>
      </w:r>
    </w:p>
    <w:p>
      <w:pPr>
        <w:pStyle w:val="BodyText"/>
        <w:spacing w:line="240" w:lineRule="auto" w:before="63"/>
        <w:ind w:right="0"/>
        <w:jc w:val="both"/>
      </w:pPr>
      <w:r>
        <w:rPr/>
        <w:t>子公司上海二三四五海隆金融信息服务有限公司的议案</w:t>
      </w:r>
      <w:r>
        <w:rPr>
          <w:spacing w:val="-90"/>
        </w:rPr>
        <w:t>》</w:t>
      </w:r>
      <w:r>
        <w:rPr/>
        <w:t>，根据公司</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w:t>
      </w:r>
      <w:r>
        <w:rPr>
          <w:spacing w:val="1"/>
        </w:rPr>
        <w:t>召</w:t>
      </w:r>
      <w:r>
        <w:rPr/>
        <w:t>开的</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1"/>
        </w:rPr>
        <w:t>度</w:t>
      </w:r>
      <w:r>
        <w:rPr/>
        <w:t>股东大会审议通过的</w:t>
      </w:r>
    </w:p>
    <w:p>
      <w:pPr>
        <w:pStyle w:val="BodyText"/>
        <w:spacing w:line="300" w:lineRule="auto" w:before="63"/>
        <w:ind w:left="153" w:right="1130"/>
        <w:jc w:val="both"/>
      </w:pPr>
      <w:r>
        <w:rPr>
          <w:spacing w:val="-2"/>
        </w:rPr>
        <w:t>《关于公司</w:t>
      </w:r>
      <w:r>
        <w:rPr>
          <w:rFonts w:ascii="Times New Roman" w:hAnsi="Times New Roman" w:cs="Times New Roman" w:eastAsia="Times New Roman" w:hint="default"/>
          <w:spacing w:val="-2"/>
        </w:rPr>
        <w:t>&lt;</w:t>
      </w:r>
      <w:r>
        <w:rPr>
          <w:spacing w:val="-2"/>
        </w:rPr>
        <w:t>非公开发行股票方案</w:t>
      </w:r>
      <w:r>
        <w:rPr>
          <w:rFonts w:ascii="Times New Roman" w:hAnsi="Times New Roman" w:cs="Times New Roman" w:eastAsia="Times New Roman" w:hint="default"/>
          <w:spacing w:val="-2"/>
        </w:rPr>
        <w:t>&gt;</w:t>
      </w:r>
      <w:r>
        <w:rPr>
          <w:spacing w:val="-2"/>
        </w:rPr>
        <w:t>的议案》，本次募投项目中互联网金融平台项目、互联网金融超市项目等两个项目拟通过</w:t>
      </w:r>
      <w:r>
        <w:rPr>
          <w:spacing w:val="-86"/>
        </w:rPr>
        <w:t> </w:t>
      </w:r>
      <w:r>
        <w:rPr>
          <w:spacing w:val="-86"/>
        </w:rPr>
      </w:r>
      <w:r>
        <w:rPr>
          <w:spacing w:val="-2"/>
        </w:rPr>
        <w:t>增资全资子公司上海二三四五海隆金融信息服务有限公司（以下简称</w:t>
      </w:r>
      <w:r>
        <w:rPr>
          <w:rFonts w:ascii="Times New Roman" w:hAnsi="Times New Roman" w:cs="Times New Roman" w:eastAsia="Times New Roman" w:hint="default"/>
          <w:spacing w:val="-2"/>
        </w:rPr>
        <w:t>“</w:t>
      </w:r>
      <w:r>
        <w:rPr>
          <w:spacing w:val="-2"/>
        </w:rPr>
        <w:t>金融子公司</w:t>
      </w:r>
      <w:r>
        <w:rPr>
          <w:rFonts w:ascii="Times New Roman" w:hAnsi="Times New Roman" w:cs="Times New Roman" w:eastAsia="Times New Roman" w:hint="default"/>
          <w:spacing w:val="-2"/>
        </w:rPr>
        <w:t>”</w:t>
      </w:r>
      <w:r>
        <w:rPr>
          <w:spacing w:val="-2"/>
        </w:rPr>
        <w:t>）的方式来实施。根据前述非公开发行股</w:t>
      </w:r>
      <w:r>
        <w:rPr>
          <w:spacing w:val="-45"/>
        </w:rPr>
        <w:t> </w:t>
      </w:r>
      <w:r>
        <w:rPr>
          <w:spacing w:val="-45"/>
        </w:rPr>
      </w:r>
      <w:r>
        <w:rPr/>
        <w:t>票的实际结果和股东大会的授权，公司董事会同意以本次非公开发行的募集资金净额</w:t>
      </w:r>
      <w:r>
        <w:rPr>
          <w:spacing w:val="-46"/>
        </w:rPr>
        <w:t> </w:t>
      </w:r>
      <w:r>
        <w:rPr>
          <w:rFonts w:ascii="Times New Roman" w:hAnsi="Times New Roman" w:cs="Times New Roman" w:eastAsia="Times New Roman" w:hint="default"/>
        </w:rPr>
        <w:t>1,646,952,848.80</w:t>
      </w:r>
      <w:r>
        <w:rPr>
          <w:rFonts w:ascii="Times New Roman" w:hAnsi="Times New Roman" w:cs="Times New Roman" w:eastAsia="Times New Roman" w:hint="default"/>
          <w:spacing w:val="-1"/>
        </w:rPr>
        <w:t> </w:t>
      </w:r>
      <w:r>
        <w:rPr/>
        <w:t>元向金融子公司进行 </w:t>
      </w:r>
      <w:r>
        <w:rPr>
          <w:spacing w:val="-6"/>
        </w:rPr>
        <w:t>增资，其中</w:t>
      </w:r>
      <w:r>
        <w:rPr>
          <w:spacing w:val="-63"/>
        </w:rPr>
        <w:t> </w:t>
      </w:r>
      <w:r>
        <w:rPr>
          <w:rFonts w:ascii="Times New Roman" w:hAnsi="Times New Roman" w:cs="Times New Roman" w:eastAsia="Times New Roman" w:hint="default"/>
        </w:rPr>
        <w:t>1,640,000,000.00</w:t>
      </w:r>
      <w:r>
        <w:rPr>
          <w:rFonts w:ascii="Times New Roman" w:hAnsi="Times New Roman" w:cs="Times New Roman" w:eastAsia="Times New Roman" w:hint="default"/>
          <w:spacing w:val="-18"/>
        </w:rPr>
        <w:t> </w:t>
      </w:r>
      <w:r>
        <w:rPr/>
        <w:t>元计入金融子公司的注册资本，</w:t>
      </w:r>
      <w:r>
        <w:rPr>
          <w:rFonts w:ascii="Times New Roman" w:hAnsi="Times New Roman" w:cs="Times New Roman" w:eastAsia="Times New Roman" w:hint="default"/>
        </w:rPr>
        <w:t>6,952,848.80</w:t>
      </w:r>
      <w:r>
        <w:rPr>
          <w:rFonts w:ascii="Times New Roman" w:hAnsi="Times New Roman" w:cs="Times New Roman" w:eastAsia="Times New Roman" w:hint="default"/>
          <w:spacing w:val="-18"/>
        </w:rPr>
        <w:t> </w:t>
      </w:r>
      <w:r>
        <w:rPr/>
        <w:t>元计入金融子公司的资本公积。本次增资金融子公 </w:t>
      </w:r>
      <w:r>
        <w:rPr>
          <w:spacing w:val="-3"/>
        </w:rPr>
        <w:t>司实施完成后，金融子公司的注册资本由</w:t>
      </w:r>
      <w:r>
        <w:rPr>
          <w:spacing w:val="-53"/>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7"/>
        </w:rPr>
        <w:t> </w:t>
      </w:r>
      <w:r>
        <w:rPr/>
        <w:t>万元增至</w:t>
      </w:r>
      <w:r>
        <w:rPr>
          <w:spacing w:val="-53"/>
        </w:rPr>
        <w:t> </w:t>
      </w:r>
      <w:r>
        <w:rPr>
          <w:rFonts w:ascii="Times New Roman" w:hAnsi="Times New Roman" w:cs="Times New Roman" w:eastAsia="Times New Roman" w:hint="default"/>
        </w:rPr>
        <w:t>174,000</w:t>
      </w:r>
      <w:r>
        <w:rPr>
          <w:rFonts w:ascii="Times New Roman" w:hAnsi="Times New Roman" w:cs="Times New Roman" w:eastAsia="Times New Roman" w:hint="default"/>
          <w:spacing w:val="-8"/>
        </w:rPr>
        <w:t> </w:t>
      </w:r>
      <w:r>
        <w:rPr/>
        <w:t>万元。金融子公司已完成了上述增加注册资本的工商变更</w:t>
      </w:r>
    </w:p>
    <w:p>
      <w:pPr>
        <w:pStyle w:val="BodyText"/>
        <w:spacing w:line="240" w:lineRule="auto" w:before="13"/>
        <w:ind w:left="153" w:right="0"/>
        <w:jc w:val="both"/>
      </w:pPr>
      <w:r>
        <w:rPr/>
        <w:t>登记手续</w:t>
      </w:r>
      <w:r>
        <w:rPr>
          <w:spacing w:val="-20"/>
        </w:rPr>
        <w:t>，</w:t>
      </w:r>
      <w:r>
        <w:rPr/>
        <w:t>并领取了营业执</w:t>
      </w:r>
      <w:r>
        <w:rPr>
          <w:spacing w:val="-20"/>
        </w:rPr>
        <w:t>照</w:t>
      </w:r>
      <w:r>
        <w:rPr/>
        <w:t>（统一社会信用代码</w:t>
      </w:r>
      <w:r>
        <w:rPr>
          <w:spacing w:val="-19"/>
        </w:rPr>
        <w:t>：</w:t>
      </w:r>
      <w:r>
        <w:rPr>
          <w:rFonts w:ascii="Times New Roman" w:hAnsi="Times New Roman" w:cs="Times New Roman" w:eastAsia="Times New Roman" w:hint="default"/>
        </w:rPr>
        <w:t>91310</w:t>
      </w:r>
      <w:r>
        <w:rPr>
          <w:rFonts w:ascii="Times New Roman" w:hAnsi="Times New Roman" w:cs="Times New Roman" w:eastAsia="Times New Roman" w:hint="default"/>
          <w:spacing w:val="-8"/>
        </w:rPr>
        <w:t>1</w:t>
      </w:r>
      <w:r>
        <w:rPr>
          <w:rFonts w:ascii="Times New Roman" w:hAnsi="Times New Roman" w:cs="Times New Roman" w:eastAsia="Times New Roman" w:hint="default"/>
        </w:rPr>
        <w:t>153328</w:t>
      </w:r>
      <w:r>
        <w:rPr>
          <w:rFonts w:ascii="Times New Roman" w:hAnsi="Times New Roman" w:cs="Times New Roman" w:eastAsia="Times New Roman" w:hint="default"/>
          <w:spacing w:val="-8"/>
        </w:rPr>
        <w:t>1</w:t>
      </w:r>
      <w:r>
        <w:rPr>
          <w:rFonts w:ascii="Times New Roman" w:hAnsi="Times New Roman" w:cs="Times New Roman" w:eastAsia="Times New Roman" w:hint="default"/>
        </w:rPr>
        <w:t>18</w:t>
      </w:r>
      <w:r>
        <w:rPr>
          <w:rFonts w:ascii="Times New Roman" w:hAnsi="Times New Roman" w:cs="Times New Roman" w:eastAsia="Times New Roman" w:hint="default"/>
          <w:spacing w:val="1"/>
        </w:rPr>
        <w:t>0</w:t>
      </w:r>
      <w:r>
        <w:rPr>
          <w:rFonts w:ascii="Times New Roman" w:hAnsi="Times New Roman" w:cs="Times New Roman" w:eastAsia="Times New Roman" w:hint="default"/>
          <w:w w:val="99"/>
        </w:rPr>
        <w:t>3</w:t>
      </w:r>
      <w:r>
        <w:rPr>
          <w:rFonts w:ascii="Times New Roman" w:hAnsi="Times New Roman" w:cs="Times New Roman" w:eastAsia="Times New Roman" w:hint="default"/>
          <w:spacing w:val="-1"/>
          <w:w w:val="99"/>
        </w:rPr>
        <w:t>P</w:t>
      </w:r>
      <w:r>
        <w:rPr>
          <w:spacing w:val="-90"/>
        </w:rPr>
        <w:t>）</w:t>
      </w:r>
      <w:r>
        <w:rPr>
          <w:spacing w:val="-20"/>
        </w:rPr>
        <w:t>。</w:t>
      </w:r>
      <w:r>
        <w:rPr/>
        <w:t>详见公司</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6 </w:t>
      </w:r>
      <w:r>
        <w:rPr/>
        <w:t>日发布在巨潮资讯网的</w:t>
      </w:r>
    </w:p>
    <w:p>
      <w:pPr>
        <w:pStyle w:val="BodyText"/>
        <w:spacing w:line="240" w:lineRule="auto" w:before="64"/>
        <w:ind w:left="153" w:right="0"/>
        <w:jc w:val="both"/>
      </w:pPr>
      <w:r>
        <w:rPr/>
        <w:t>《关于全资子公司完成工商变更登记的公告</w:t>
      </w:r>
      <w:r>
        <w:rPr>
          <w:spacing w:val="-90"/>
        </w:rPr>
        <w:t>》</w:t>
      </w:r>
      <w:r>
        <w:rPr/>
        <w:t>（公告编号：</w:t>
      </w:r>
      <w:r>
        <w:rPr>
          <w:rFonts w:ascii="Times New Roman" w:hAnsi="Times New Roman" w:cs="Times New Roman" w:eastAsia="Times New Roman" w:hint="default"/>
        </w:rPr>
        <w:t>2016-0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spacing w:val="-90"/>
        </w:rPr>
        <w:t>）。</w:t>
      </w:r>
      <w:r>
        <w:rPr/>
      </w:r>
    </w:p>
    <w:p>
      <w:pPr>
        <w:pStyle w:val="BodyText"/>
        <w:spacing w:line="240" w:lineRule="auto" w:before="102"/>
        <w:ind w:left="513" w:right="0"/>
        <w:jc w:val="left"/>
      </w:pPr>
      <w:r>
        <w:rPr/>
        <w:t>（</w:t>
      </w:r>
      <w:r>
        <w:rPr>
          <w:rFonts w:ascii="Times New Roman" w:hAnsi="Times New Roman" w:cs="Times New Roman" w:eastAsia="Times New Roman" w:hint="default"/>
        </w:rPr>
        <w:t>3</w:t>
      </w:r>
      <w:r>
        <w:rPr>
          <w:spacing w:val="-90"/>
        </w:rPr>
        <w:t>）</w:t>
      </w:r>
      <w:r>
        <w:rPr/>
        <w:t>公司子上海二三四五海隆金融信息服务有限公司于</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1"/>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月</w:t>
      </w:r>
      <w:r>
        <w:rPr>
          <w:spacing w:val="-56"/>
        </w:rPr>
        <w:t> </w:t>
      </w:r>
      <w:r>
        <w:rPr>
          <w:rFonts w:ascii="Times New Roman" w:hAnsi="Times New Roman" w:cs="Times New Roman" w:eastAsia="Times New Roman" w:hint="default"/>
        </w:rPr>
        <w:t>25</w:t>
      </w:r>
      <w:r>
        <w:rPr>
          <w:rFonts w:ascii="Times New Roman" w:hAnsi="Times New Roman" w:cs="Times New Roman" w:eastAsia="Times New Roman" w:hint="default"/>
          <w:spacing w:val="-11"/>
        </w:rPr>
        <w:t> </w:t>
      </w:r>
      <w:r>
        <w:rPr/>
        <w:t>日与上海千机投资有限公司分别出资</w:t>
      </w:r>
      <w:r>
        <w:rPr>
          <w:spacing w:val="-55"/>
        </w:rPr>
        <w:t> </w:t>
      </w:r>
      <w:r>
        <w:rPr>
          <w:rFonts w:ascii="Times New Roman" w:hAnsi="Times New Roman" w:cs="Times New Roman" w:eastAsia="Times New Roman" w:hint="default"/>
        </w:rPr>
        <w:t>399</w:t>
      </w:r>
      <w:r>
        <w:rPr>
          <w:rFonts w:ascii="Times New Roman" w:hAnsi="Times New Roman" w:cs="Times New Roman" w:eastAsia="Times New Roman" w:hint="default"/>
          <w:spacing w:val="-11"/>
        </w:rPr>
        <w:t> </w:t>
      </w:r>
      <w:r>
        <w:rPr/>
        <w:t>万元、</w:t>
      </w:r>
    </w:p>
    <w:p>
      <w:pPr>
        <w:pStyle w:val="BodyText"/>
        <w:spacing w:line="240" w:lineRule="auto" w:before="63"/>
        <w:ind w:right="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万元设立有限合伙企业上海善拢泗海投资管理中心</w:t>
      </w:r>
      <w:r>
        <w:rPr>
          <w:rFonts w:ascii="Times New Roman" w:hAnsi="Times New Roman" w:cs="Times New Roman" w:eastAsia="Times New Roman" w:hint="default"/>
        </w:rPr>
        <w:t>(</w:t>
      </w:r>
      <w:r>
        <w:rPr/>
        <w:t>有限合伙</w:t>
      </w:r>
      <w:r>
        <w:rPr>
          <w:spacing w:val="-90"/>
        </w:rPr>
        <w:t>）</w:t>
      </w:r>
      <w:r>
        <w:rPr/>
        <w:t>，截止</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日上海善拢泗海投资管理中心（有</w:t>
      </w:r>
    </w:p>
    <w:p>
      <w:pPr>
        <w:pStyle w:val="BodyText"/>
        <w:spacing w:line="240" w:lineRule="auto" w:before="64"/>
        <w:ind w:right="0"/>
        <w:jc w:val="both"/>
      </w:pPr>
      <w:r>
        <w:rPr/>
        <w:t>限合伙）实收出资额</w:t>
      </w:r>
      <w:r>
        <w:rPr>
          <w:spacing w:val="-46"/>
        </w:rPr>
        <w:t> </w:t>
      </w:r>
      <w:r>
        <w:rPr>
          <w:rFonts w:ascii="Times New Roman" w:hAnsi="Times New Roman" w:cs="Times New Roman" w:eastAsia="Times New Roman" w:hint="default"/>
        </w:rPr>
        <w:t>400</w:t>
      </w:r>
      <w:r>
        <w:rPr>
          <w:rFonts w:ascii="Times New Roman" w:hAnsi="Times New Roman" w:cs="Times New Roman" w:eastAsia="Times New Roman" w:hint="default"/>
          <w:spacing w:val="-1"/>
        </w:rPr>
        <w:t> </w:t>
      </w:r>
      <w:r>
        <w:rPr/>
        <w:t>万元。</w:t>
      </w:r>
    </w:p>
    <w:p>
      <w:pPr>
        <w:pStyle w:val="BodyText"/>
        <w:spacing w:line="240" w:lineRule="auto" w:before="101"/>
        <w:ind w:left="514" w:right="0"/>
        <w:jc w:val="left"/>
      </w:pPr>
      <w:r>
        <w:rPr/>
        <w:t>（</w:t>
      </w:r>
      <w:r>
        <w:rPr>
          <w:rFonts w:ascii="Times New Roman" w:hAnsi="Times New Roman" w:cs="Times New Roman" w:eastAsia="Times New Roman" w:hint="default"/>
        </w:rPr>
        <w:t>4</w:t>
      </w:r>
      <w:r>
        <w:rPr/>
        <w:t>）公司子上海二三四五海隆金融信息服务有限公司于</w:t>
      </w:r>
      <w:r>
        <w:rPr>
          <w:spacing w:val="-5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spacing w:val="-3"/>
        </w:rPr>
        <w:t>日与上海善拢泗海投资管理中心（有限合伙）分</w:t>
      </w:r>
    </w:p>
    <w:p>
      <w:pPr>
        <w:pStyle w:val="BodyText"/>
        <w:spacing w:line="240" w:lineRule="auto" w:before="63"/>
        <w:ind w:right="0"/>
        <w:jc w:val="both"/>
      </w:pPr>
      <w:r>
        <w:rPr/>
        <w:t>别出资</w:t>
      </w:r>
      <w:r>
        <w:rPr>
          <w:spacing w:val="-48"/>
        </w:rPr>
        <w:t> </w:t>
      </w:r>
      <w:r>
        <w:rPr>
          <w:rFonts w:ascii="Times New Roman" w:hAnsi="Times New Roman" w:cs="Times New Roman" w:eastAsia="Times New Roman" w:hint="default"/>
        </w:rPr>
        <w:t>1600</w:t>
      </w:r>
      <w:r>
        <w:rPr>
          <w:rFonts w:ascii="Times New Roman" w:hAnsi="Times New Roman" w:cs="Times New Roman" w:eastAsia="Times New Roman" w:hint="default"/>
          <w:spacing w:val="-3"/>
        </w:rPr>
        <w:t> </w:t>
      </w:r>
      <w:r>
        <w:rPr>
          <w:spacing w:val="-3"/>
        </w:rPr>
        <w:t>万元、</w:t>
      </w:r>
      <w:r>
        <w:rPr>
          <w:rFonts w:ascii="Times New Roman" w:hAnsi="Times New Roman" w:cs="Times New Roman" w:eastAsia="Times New Roman" w:hint="default"/>
          <w:spacing w:val="-3"/>
        </w:rPr>
        <w:t>400 </w:t>
      </w:r>
      <w:r>
        <w:rPr/>
        <w:t>万元设立上海薪想互联网金融信息服务有限公司，截止</w:t>
      </w:r>
      <w:r>
        <w:rPr>
          <w:spacing w:val="-4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日上海薪想互联网金融信息</w:t>
      </w:r>
    </w:p>
    <w:p>
      <w:pPr>
        <w:pStyle w:val="BodyText"/>
        <w:spacing w:line="240" w:lineRule="auto" w:before="64"/>
        <w:ind w:right="0"/>
        <w:jc w:val="both"/>
      </w:pPr>
      <w:r>
        <w:rPr/>
        <w:t>服务有限公司注册资本</w:t>
      </w:r>
      <w:r>
        <w:rPr>
          <w:spacing w:val="-46"/>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万元。</w:t>
      </w:r>
    </w:p>
    <w:p>
      <w:pPr>
        <w:spacing w:line="240" w:lineRule="auto" w:before="13"/>
        <w:rPr>
          <w:rFonts w:ascii="宋体" w:hAnsi="宋体" w:cs="宋体" w:eastAsia="宋体" w:hint="default"/>
          <w:sz w:val="23"/>
          <w:szCs w:val="23"/>
        </w:rPr>
      </w:pPr>
    </w:p>
    <w:p>
      <w:pPr>
        <w:pStyle w:val="Heading4"/>
        <w:spacing w:line="240" w:lineRule="auto"/>
        <w:ind w:right="0"/>
        <w:jc w:val="both"/>
        <w:rPr>
          <w:b w:val="0"/>
          <w:bCs w:val="0"/>
        </w:rPr>
      </w:pPr>
      <w:bookmarkStart w:name="二十、社会责任情况" w:id="101"/>
      <w:bookmarkEnd w:id="101"/>
      <w:r>
        <w:rPr>
          <w:b w:val="0"/>
          <w:bCs w:val="0"/>
        </w:rPr>
      </w:r>
      <w:r>
        <w:rPr/>
        <w:t>二十、社会责任情况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603" w:right="1102"/>
        <w:jc w:val="center"/>
      </w:pPr>
      <w:r>
        <w:rPr/>
        <w:t>公司积极践行作为上市公司的社会责任，充分尊重和维护上市公司各相关方的合法权益，实现股东、员工、社会等各</w:t>
      </w:r>
    </w:p>
    <w:p>
      <w:pPr>
        <w:spacing w:after="0" w:line="240" w:lineRule="auto"/>
        <w:jc w:val="cente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left="633" w:right="1121" w:hanging="480"/>
        <w:jc w:val="left"/>
      </w:pPr>
      <w:r>
        <w:rPr/>
        <w:t>方利益的协调平衡，推动公司持续健康发展。 </w:t>
      </w:r>
      <w:r>
        <w:rPr>
          <w:spacing w:val="-4"/>
        </w:rPr>
        <w:t>在保障股东利益方面，公司严格按照《公司章程》、《股东大会议事规则》等规定，规范股东大会的召集、召开程序，</w:t>
      </w:r>
    </w:p>
    <w:p>
      <w:pPr>
        <w:pStyle w:val="BodyText"/>
        <w:spacing w:line="316" w:lineRule="auto" w:before="19"/>
        <w:ind w:left="636" w:right="1118" w:hanging="483"/>
        <w:jc w:val="left"/>
      </w:pPr>
      <w:r>
        <w:rPr/>
        <w:t>通过合法有效的方式，确保更多的股东参与股东大会，保障全体股东特别是中小股东的权益。 </w:t>
      </w:r>
      <w:r>
        <w:rPr>
          <w:spacing w:val="-4"/>
        </w:rPr>
        <w:t>在信息披露及投资者交流方面，公司根据监管部门的规范进行投资者来访咨询的接待工作，指定《中国证券报》、《上</w:t>
      </w:r>
    </w:p>
    <w:p>
      <w:pPr>
        <w:pStyle w:val="BodyText"/>
        <w:spacing w:line="307" w:lineRule="auto" w:before="19"/>
        <w:ind w:left="156" w:right="1126"/>
        <w:jc w:val="left"/>
      </w:pPr>
      <w:r>
        <w:rPr/>
        <w:t>海证券报》、《证券时报》、《证券日报》和巨潮资讯网（</w:t>
      </w:r>
      <w:r>
        <w:rPr>
          <w:rFonts w:ascii="Times New Roman" w:hAnsi="Times New Roman" w:cs="Times New Roman" w:eastAsia="Times New Roman" w:hint="default"/>
          <w:color w:val="0000FF"/>
        </w:rPr>
      </w:r>
      <w:hyperlink r:id="rId11">
        <w:r>
          <w:rPr>
            <w:rFonts w:ascii="Times New Roman" w:hAnsi="Times New Roman" w:cs="Times New Roman" w:eastAsia="Times New Roman" w:hint="default"/>
            <w:color w:val="0000FF"/>
            <w:u w:val="single" w:color="0000FF"/>
          </w:rPr>
          <w:t>www.cninfo.com.cn</w:t>
        </w:r>
        <w:r>
          <w:rPr>
            <w:rFonts w:ascii="Times New Roman" w:hAnsi="Times New Roman" w:cs="Times New Roman" w:eastAsia="Times New Roman" w:hint="default"/>
            <w:color w:val="0000FF"/>
          </w:rPr>
        </w:r>
      </w:hyperlink>
      <w:r>
        <w:rPr/>
        <w:t>）作为公司指定信息披露媒体。公司严格按</w:t>
      </w:r>
      <w:r>
        <w:rPr>
          <w:w w:val="99"/>
        </w:rPr>
        <w:t> </w:t>
      </w:r>
      <w:r>
        <w:rPr>
          <w:spacing w:val="-2"/>
        </w:rPr>
        <w:t>照有关法律法规的要求，真实、准确、完整、及时地披露有关信息。公司注重与投资者沟通交流，制定了《投资者关系管理</w:t>
      </w:r>
      <w:r>
        <w:rPr>
          <w:spacing w:val="-73"/>
        </w:rPr>
        <w:t> </w:t>
      </w:r>
      <w:r>
        <w:rPr>
          <w:spacing w:val="-73"/>
        </w:rPr>
      </w:r>
      <w:r>
        <w:rPr>
          <w:spacing w:val="-1"/>
        </w:rPr>
        <w:t>制度》，高效利用</w:t>
      </w:r>
      <w:r>
        <w:rPr>
          <w:rFonts w:ascii="Times New Roman" w:hAnsi="Times New Roman" w:cs="Times New Roman" w:eastAsia="Times New Roman" w:hint="default"/>
          <w:spacing w:val="-1"/>
        </w:rPr>
        <w:t>“</w:t>
      </w:r>
      <w:r>
        <w:rPr>
          <w:spacing w:val="-1"/>
        </w:rPr>
        <w:t>投资者关系互动平台</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互动易</w:t>
      </w:r>
      <w:r>
        <w:rPr>
          <w:rFonts w:ascii="Times New Roman" w:hAnsi="Times New Roman" w:cs="Times New Roman" w:eastAsia="Times New Roman" w:hint="default"/>
          <w:spacing w:val="-1"/>
        </w:rPr>
        <w:t>”</w:t>
      </w:r>
      <w:r>
        <w:rPr>
          <w:spacing w:val="-1"/>
        </w:rPr>
        <w:t>等工具与投资者特别是中小投资者及时沟通，有效地做好投资者关系管</w:t>
      </w:r>
      <w:r>
        <w:rPr>
          <w:spacing w:val="-80"/>
        </w:rPr>
        <w:t> </w:t>
      </w:r>
      <w:r>
        <w:rPr>
          <w:spacing w:val="-80"/>
        </w:rPr>
      </w:r>
      <w:r>
        <w:rPr/>
        <w:t>理工作。</w:t>
      </w:r>
    </w:p>
    <w:p>
      <w:pPr>
        <w:pStyle w:val="BodyText"/>
        <w:spacing w:line="316" w:lineRule="auto" w:before="26"/>
        <w:ind w:right="1130" w:firstLine="480"/>
        <w:jc w:val="both"/>
      </w:pPr>
      <w:r>
        <w:rPr>
          <w:spacing w:val="-1"/>
        </w:rPr>
        <w:t>在劳资关系与员工发展方面，公司坚持以人为本，严格遵守《劳动法》、《劳动合同法》等法律法规的要求，构建和</w:t>
      </w:r>
      <w:r>
        <w:rPr/>
        <w:t> </w:t>
      </w:r>
      <w:r>
        <w:rPr>
          <w:spacing w:val="-2"/>
        </w:rPr>
        <w:t>谐的劳资关系，为员工提供良好的工作、生活环境和各种内部、外部培训机会；公司注重对员工职业发展进行规划，提升员</w:t>
      </w:r>
      <w:r>
        <w:rPr>
          <w:spacing w:val="-66"/>
        </w:rPr>
        <w:t> </w:t>
      </w:r>
      <w:r>
        <w:rPr>
          <w:spacing w:val="-66"/>
        </w:rPr>
      </w:r>
      <w:r>
        <w:rPr/>
        <w:t>工的主人翁意识，为员工提供平等的发展机会和晋升渠道，尊重和维护员工的个人利益，推动员工的快速成长。</w:t>
      </w:r>
    </w:p>
    <w:p>
      <w:pPr>
        <w:pStyle w:val="BodyText"/>
        <w:spacing w:line="316" w:lineRule="auto" w:before="19"/>
        <w:ind w:left="153" w:right="1133" w:firstLine="480"/>
        <w:jc w:val="both"/>
      </w:pPr>
      <w:r>
        <w:rPr>
          <w:spacing w:val="-1"/>
        </w:rPr>
        <w:t>在行业协会与社会活动方面，公司始终积极支持相关行业协会的工作，献言献策；积极参加社区活动，向需要帮助的</w:t>
      </w:r>
      <w:r>
        <w:rPr/>
        <w:t> 人们送温暖、献爱心，实现企业与社会和谐发展。</w:t>
      </w:r>
    </w:p>
    <w:p>
      <w:pPr>
        <w:pStyle w:val="BodyText"/>
        <w:spacing w:line="316" w:lineRule="auto" w:before="19"/>
        <w:ind w:left="153" w:right="1130" w:firstLine="465"/>
        <w:jc w:val="both"/>
      </w:pPr>
      <w:r>
        <w:rPr>
          <w:spacing w:val="-1"/>
        </w:rPr>
        <w:t>在客户服务方面，公司始终坚持客户至上的原则，为客户提供优质的服务，充分保障客户利益。公司注重加强与客户</w:t>
      </w:r>
      <w:r>
        <w:rPr/>
        <w:t> </w:t>
      </w:r>
      <w:r>
        <w:rPr>
          <w:spacing w:val="-2"/>
        </w:rPr>
        <w:t>的沟通和交流，以合作为纽带，以诚信为基础，形成了长期友好合作的战略伙伴关系，达到供需双方的互惠共赢，共同为社</w:t>
      </w:r>
      <w:r>
        <w:rPr>
          <w:spacing w:val="-66"/>
        </w:rPr>
        <w:t> </w:t>
      </w:r>
      <w:r>
        <w:rPr>
          <w:spacing w:val="-66"/>
        </w:rPr>
      </w:r>
      <w:r>
        <w:rPr/>
        <w:t>会创造财富。</w:t>
      </w:r>
    </w:p>
    <w:p>
      <w:pPr>
        <w:pStyle w:val="BodyText"/>
        <w:spacing w:line="240" w:lineRule="auto" w:before="59"/>
        <w:ind w:left="153" w:right="0"/>
        <w:jc w:val="left"/>
      </w:pPr>
      <w:r>
        <w:rPr/>
        <w:t>上市公司及其子公司是否属于国家环境保护部门规定的重污染行业</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4"/>
        <w:spacing w:line="240" w:lineRule="auto"/>
        <w:ind w:left="154" w:right="0"/>
        <w:jc w:val="left"/>
        <w:rPr>
          <w:b w:val="0"/>
          <w:bCs w:val="0"/>
        </w:rPr>
      </w:pPr>
      <w:bookmarkStart w:name="二十一、公司债券相关情况" w:id="102"/>
      <w:bookmarkEnd w:id="102"/>
      <w:r>
        <w:rPr>
          <w:b w:val="0"/>
          <w:bCs w:val="0"/>
        </w:rPr>
      </w:r>
      <w:r>
        <w:rPr/>
        <w:t>二十一、公司债券相关情况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left="153"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第六节 股份变动及股东情况" w:id="103"/>
      <w:bookmarkEnd w:id="103"/>
      <w:r>
        <w:rPr>
          <w:b w:val="0"/>
          <w:bCs w:val="0"/>
        </w:rPr>
      </w:r>
      <w:bookmarkStart w:name="_bookmark4" w:id="104"/>
      <w:bookmarkEnd w:id="104"/>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0"/>
        <w:jc w:val="left"/>
        <w:rPr>
          <w:b w:val="0"/>
          <w:bCs w:val="0"/>
        </w:rPr>
      </w:pPr>
      <w:bookmarkStart w:name="一、股份变动情况" w:id="105"/>
      <w:bookmarkEnd w:id="105"/>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股份变动情况" w:id="106"/>
      <w:bookmarkEnd w:id="106"/>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71"/>
        <w:gridCol w:w="1003"/>
        <w:gridCol w:w="823"/>
        <w:gridCol w:w="823"/>
        <w:gridCol w:w="822"/>
        <w:gridCol w:w="1076"/>
        <w:gridCol w:w="1134"/>
        <w:gridCol w:w="1134"/>
        <w:gridCol w:w="1134"/>
        <w:gridCol w:w="793"/>
      </w:tblGrid>
      <w:tr>
        <w:trPr>
          <w:trHeight w:val="205" w:hRule="exact"/>
        </w:trPr>
        <w:tc>
          <w:tcPr>
            <w:tcW w:w="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99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49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0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971" w:type="dxa"/>
            <w:vMerge w:val="restart"/>
            <w:tcBorders>
              <w:top w:val="nil" w:sz="6" w:space="0" w:color="auto"/>
              <w:left w:val="single" w:sz="4" w:space="0" w:color="000000"/>
              <w:right w:val="single" w:sz="4" w:space="0" w:color="000000"/>
            </w:tcBorders>
            <w:shd w:val="clear" w:color="auto" w:fill="D2D2D2"/>
          </w:tcPr>
          <w:p>
            <w:pPr/>
          </w:p>
        </w:tc>
        <w:tc>
          <w:tcPr>
            <w:tcW w:w="1826" w:type="dxa"/>
            <w:gridSpan w:val="2"/>
            <w:vMerge/>
            <w:tcBorders>
              <w:left w:val="single" w:sz="4" w:space="0" w:color="000000"/>
              <w:bottom w:val="single" w:sz="4" w:space="0" w:color="000000"/>
              <w:right w:val="single" w:sz="4" w:space="0" w:color="000000"/>
            </w:tcBorders>
            <w:shd w:val="clear" w:color="auto" w:fill="D2D2D2"/>
          </w:tcPr>
          <w:p>
            <w:pPr/>
          </w:p>
        </w:tc>
        <w:tc>
          <w:tcPr>
            <w:tcW w:w="4990" w:type="dxa"/>
            <w:gridSpan w:val="5"/>
            <w:vMerge/>
            <w:tcBorders>
              <w:left w:val="single" w:sz="4" w:space="0" w:color="000000"/>
              <w:bottom w:val="single" w:sz="4" w:space="0" w:color="000000"/>
              <w:right w:val="single" w:sz="4" w:space="0" w:color="000000"/>
            </w:tcBorders>
            <w:shd w:val="clear" w:color="auto" w:fill="D2D2D2"/>
          </w:tcPr>
          <w:p>
            <w:pPr/>
          </w:p>
        </w:tc>
        <w:tc>
          <w:tcPr>
            <w:tcW w:w="1927"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971" w:type="dxa"/>
            <w:vMerge/>
            <w:tcBorders>
              <w:left w:val="single" w:sz="4" w:space="0" w:color="000000"/>
              <w:bottom w:val="nil" w:sz="6" w:space="0" w:color="auto"/>
              <w:right w:val="single" w:sz="4" w:space="0" w:color="000000"/>
            </w:tcBorders>
            <w:shd w:val="clear" w:color="auto" w:fill="D2D2D2"/>
          </w:tcPr>
          <w:p>
            <w:pP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1076"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793"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7"/>
              <w:jc w:val="left"/>
              <w:rPr>
                <w:rFonts w:ascii="宋体" w:hAnsi="宋体" w:cs="宋体" w:eastAsia="宋体" w:hint="default"/>
                <w:sz w:val="18"/>
                <w:szCs w:val="18"/>
              </w:rPr>
            </w:pPr>
            <w:r>
              <w:rPr>
                <w:rFonts w:ascii="宋体" w:hAnsi="宋体" w:cs="宋体" w:eastAsia="宋体" w:hint="default"/>
                <w:sz w:val="18"/>
                <w:szCs w:val="18"/>
              </w:rPr>
              <w:t>一、有限售 条件股份</w:t>
            </w:r>
          </w:p>
        </w:tc>
        <w:tc>
          <w:tcPr>
            <w:tcW w:w="10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266,631,152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76.47%</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399,946,728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-245,449,821</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154,496,907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421,128,059</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48.31%</w:t>
            </w:r>
          </w:p>
        </w:tc>
      </w:tr>
      <w:tr>
        <w:trPr>
          <w:trHeight w:val="714"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、其他内资</w:t>
            </w:r>
            <w:r>
              <w:rPr>
                <w:rFonts w:ascii="宋体" w:hAnsi="宋体" w:cs="宋体" w:eastAsia="宋体" w:hint="default"/>
                <w:sz w:val="18"/>
                <w:szCs w:val="18"/>
              </w:rPr>
              <w:t> 持股</w:t>
            </w:r>
          </w:p>
        </w:tc>
        <w:tc>
          <w:tcPr>
            <w:tcW w:w="10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266,631,152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76.47%</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399,946,728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-245,449,821</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154,496,907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421,128,059</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48.31%</w:t>
            </w:r>
          </w:p>
        </w:tc>
      </w:tr>
      <w:tr>
        <w:trPr>
          <w:trHeight w:val="714"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7"/>
              <w:jc w:val="left"/>
              <w:rPr>
                <w:rFonts w:ascii="宋体" w:hAnsi="宋体" w:cs="宋体" w:eastAsia="宋体" w:hint="default"/>
                <w:sz w:val="18"/>
                <w:szCs w:val="18"/>
              </w:rPr>
            </w:pPr>
            <w:r>
              <w:rPr>
                <w:rFonts w:ascii="宋体" w:hAnsi="宋体" w:cs="宋体" w:eastAsia="宋体" w:hint="default"/>
                <w:sz w:val="18"/>
                <w:szCs w:val="18"/>
              </w:rPr>
              <w:t>其中：境内 法人持股</w:t>
            </w:r>
          </w:p>
        </w:tc>
        <w:tc>
          <w:tcPr>
            <w:tcW w:w="10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142,939,288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214,408,932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-74,629,755</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139,779,177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282,718,465</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32.43%</w:t>
            </w:r>
          </w:p>
        </w:tc>
      </w:tr>
      <w:tr>
        <w:trPr>
          <w:trHeight w:val="714"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7" w:firstLine="540"/>
              <w:jc w:val="left"/>
              <w:rPr>
                <w:rFonts w:ascii="宋体" w:hAnsi="宋体" w:cs="宋体" w:eastAsia="宋体" w:hint="default"/>
                <w:sz w:val="18"/>
                <w:szCs w:val="18"/>
              </w:rPr>
            </w:pPr>
            <w:r>
              <w:rPr>
                <w:rFonts w:ascii="宋体" w:hAnsi="宋体" w:cs="宋体" w:eastAsia="宋体" w:hint="default"/>
                <w:sz w:val="18"/>
                <w:szCs w:val="18"/>
              </w:rPr>
              <w:t>境内 自然人持股</w:t>
            </w:r>
          </w:p>
        </w:tc>
        <w:tc>
          <w:tcPr>
            <w:tcW w:w="10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123,691,864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35.47%</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185,537,796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-170,820,066</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14,717,730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138,409,594</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15.88%</w:t>
            </w:r>
          </w:p>
        </w:tc>
      </w:tr>
      <w:tr>
        <w:trPr>
          <w:trHeight w:val="714"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7"/>
              <w:jc w:val="left"/>
              <w:rPr>
                <w:rFonts w:ascii="宋体" w:hAnsi="宋体" w:cs="宋体" w:eastAsia="宋体" w:hint="default"/>
                <w:sz w:val="18"/>
                <w:szCs w:val="18"/>
              </w:rPr>
            </w:pPr>
            <w:r>
              <w:rPr>
                <w:rFonts w:ascii="宋体" w:hAnsi="宋体" w:cs="宋体" w:eastAsia="宋体" w:hint="default"/>
                <w:sz w:val="18"/>
                <w:szCs w:val="18"/>
              </w:rPr>
              <w:t>二、无限售 条件股份</w:t>
            </w:r>
          </w:p>
        </w:tc>
        <w:tc>
          <w:tcPr>
            <w:tcW w:w="10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82,061,936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23.53%</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123,092,904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245,449,821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368,542,725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450,604,661</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51.69%</w:t>
            </w:r>
          </w:p>
        </w:tc>
      </w:tr>
      <w:tr>
        <w:trPr>
          <w:trHeight w:val="714"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、人民币普</w:t>
            </w:r>
            <w:r>
              <w:rPr>
                <w:rFonts w:ascii="宋体" w:hAnsi="宋体" w:cs="宋体" w:eastAsia="宋体" w:hint="default"/>
                <w:sz w:val="18"/>
                <w:szCs w:val="18"/>
              </w:rPr>
              <w:t> 通股</w:t>
            </w:r>
          </w:p>
        </w:tc>
        <w:tc>
          <w:tcPr>
            <w:tcW w:w="10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82,061,936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23.53%</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123,092,904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245,449,821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368,542,725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450,604,661</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51.69%</w:t>
            </w:r>
          </w:p>
        </w:tc>
      </w:tr>
      <w:tr>
        <w:trPr>
          <w:trHeight w:val="714"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7"/>
              <w:jc w:val="left"/>
              <w:rPr>
                <w:rFonts w:ascii="宋体" w:hAnsi="宋体" w:cs="宋体" w:eastAsia="宋体" w:hint="default"/>
                <w:sz w:val="18"/>
                <w:szCs w:val="18"/>
              </w:rPr>
            </w:pPr>
            <w:r>
              <w:rPr>
                <w:rFonts w:ascii="宋体" w:hAnsi="宋体" w:cs="宋体" w:eastAsia="宋体" w:hint="default"/>
                <w:sz w:val="18"/>
                <w:szCs w:val="18"/>
              </w:rPr>
              <w:t>三、股份总 数</w:t>
            </w:r>
          </w:p>
        </w:tc>
        <w:tc>
          <w:tcPr>
            <w:tcW w:w="10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348,693,088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523,039,632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523,039,632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871,732,720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股份变动的原因</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153" w:right="1130"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17</w:t>
      </w:r>
      <w:r>
        <w:rPr>
          <w:spacing w:val="-2"/>
        </w:rPr>
        <w:t>日，公司实施完成了《</w:t>
      </w:r>
      <w:r>
        <w:rPr>
          <w:rFonts w:ascii="Times New Roman" w:hAnsi="Times New Roman" w:cs="Times New Roman" w:eastAsia="Times New Roman" w:hint="default"/>
          <w:spacing w:val="-2"/>
        </w:rPr>
        <w:t>2014</w:t>
      </w:r>
      <w:r>
        <w:rPr>
          <w:spacing w:val="-2"/>
        </w:rPr>
        <w:t>年度利润分配方案》，以公司总股本</w:t>
      </w:r>
      <w:r>
        <w:rPr>
          <w:rFonts w:ascii="Times New Roman" w:hAnsi="Times New Roman" w:cs="Times New Roman" w:eastAsia="Times New Roman" w:hint="default"/>
          <w:spacing w:val="-2"/>
        </w:rPr>
        <w:t>348,693,088</w:t>
      </w:r>
      <w:r>
        <w:rPr>
          <w:spacing w:val="-2"/>
        </w:rPr>
        <w:t>股为基数，以资本公积金向</w:t>
      </w:r>
      <w:r>
        <w:rPr/>
        <w:t> 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15</w:t>
      </w:r>
      <w:r>
        <w:rPr/>
        <w:t>股（公告编号：</w:t>
      </w:r>
      <w:r>
        <w:rPr>
          <w:rFonts w:ascii="Times New Roman" w:hAnsi="Times New Roman" w:cs="Times New Roman" w:eastAsia="Times New Roman" w:hint="default"/>
        </w:rPr>
        <w:t>2015-025</w:t>
      </w:r>
      <w:r>
        <w:rPr/>
        <w:t>）。</w:t>
      </w:r>
    </w:p>
    <w:p>
      <w:pPr>
        <w:pStyle w:val="BodyText"/>
        <w:spacing w:line="302" w:lineRule="auto" w:before="13"/>
        <w:ind w:left="153" w:right="1130"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月，公司董事会收到公司实际控制人包叔平先生及其一致行动人出具的承诺函，基于包叔平先生作为收购 </w:t>
      </w:r>
      <w:r>
        <w:rPr>
          <w:spacing w:val="-2"/>
        </w:rPr>
        <w:t>主体以要约方式收购公司股份事宜（相关内容详见公司在</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w:t>
      </w:r>
      <w:r>
        <w:rPr>
          <w:spacing w:val="-2"/>
        </w:rPr>
        <w:t>日披露的《要约收购报告书摘要》），包叔平先生及</w:t>
      </w:r>
      <w:r>
        <w:rPr>
          <w:spacing w:val="-58"/>
        </w:rPr>
        <w:t> </w:t>
      </w:r>
      <w:r>
        <w:rPr>
          <w:spacing w:val="-58"/>
        </w:rPr>
      </w:r>
      <w:r>
        <w:rPr>
          <w:spacing w:val="-2"/>
        </w:rPr>
        <w:t>其一致行动人就所持公司股份追加限售期等事项作出承诺：基于包叔平先生作为收购主体以要约方式收购公司股份事宜，包</w:t>
      </w:r>
      <w:r>
        <w:rPr>
          <w:spacing w:val="-64"/>
        </w:rPr>
        <w:t> </w:t>
      </w:r>
      <w:r>
        <w:rPr>
          <w:spacing w:val="-64"/>
        </w:rPr>
      </w:r>
      <w:r>
        <w:rPr>
          <w:spacing w:val="-2"/>
        </w:rPr>
        <w:t>叔平先生及其</w:t>
      </w:r>
      <w:r>
        <w:rPr>
          <w:rFonts w:ascii="Times New Roman" w:hAnsi="Times New Roman" w:cs="Times New Roman" w:eastAsia="Times New Roman" w:hint="default"/>
          <w:spacing w:val="-2"/>
        </w:rPr>
        <w:t>37</w:t>
      </w:r>
      <w:r>
        <w:rPr>
          <w:spacing w:val="-2"/>
        </w:rPr>
        <w:t>位法人和自然人一致行动人作出承诺，在海隆软件停牌之日（</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w:t>
      </w:r>
      <w:r>
        <w:rPr>
          <w:spacing w:val="-2"/>
        </w:rPr>
        <w:t>日）起的</w:t>
      </w:r>
      <w:r>
        <w:rPr>
          <w:rFonts w:ascii="Times New Roman" w:hAnsi="Times New Roman" w:cs="Times New Roman" w:eastAsia="Times New Roman" w:hint="default"/>
          <w:spacing w:val="-2"/>
        </w:rPr>
        <w:t>6</w:t>
      </w:r>
      <w:r>
        <w:rPr>
          <w:spacing w:val="-2"/>
        </w:rPr>
        <w:t>个月内以及本次要约收</w:t>
      </w:r>
      <w:r>
        <w:rPr>
          <w:spacing w:val="-57"/>
        </w:rPr>
        <w:t> </w:t>
      </w:r>
      <w:r>
        <w:rPr>
          <w:spacing w:val="-2"/>
        </w:rPr>
        <w:t>购完成前不买卖海隆软件的股票，并在本次要约收购完成后的</w:t>
      </w:r>
      <w:r>
        <w:rPr>
          <w:rFonts w:ascii="Times New Roman" w:hAnsi="Times New Roman" w:cs="Times New Roman" w:eastAsia="Times New Roman" w:hint="default"/>
          <w:spacing w:val="-2"/>
        </w:rPr>
        <w:t>12</w:t>
      </w:r>
      <w:r>
        <w:rPr>
          <w:spacing w:val="-2"/>
        </w:rPr>
        <w:t>个月内不转让所持海隆软件的股票。公司于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8</w:t>
      </w:r>
      <w:r>
        <w:rPr>
          <w:spacing w:val="-2"/>
        </w:rPr>
        <w:t>日披</w:t>
      </w:r>
      <w:r>
        <w:rPr>
          <w:spacing w:val="-56"/>
        </w:rPr>
        <w:t> </w:t>
      </w:r>
      <w:r>
        <w:rPr>
          <w:spacing w:val="-7"/>
        </w:rPr>
        <w:t>露了《</w:t>
      </w:r>
      <w:r>
        <w:rPr>
          <w:spacing w:val="-13"/>
        </w:rPr>
        <w:t> </w:t>
      </w:r>
      <w:r>
        <w:rPr>
          <w:spacing w:val="-2"/>
        </w:rPr>
        <w:t>关于实际控制人及其一致行动人追加承诺的公告》（公告号：</w:t>
      </w:r>
      <w:r>
        <w:rPr>
          <w:rFonts w:ascii="Times New Roman" w:hAnsi="Times New Roman" w:cs="Times New Roman" w:eastAsia="Times New Roman" w:hint="default"/>
          <w:spacing w:val="-2"/>
        </w:rPr>
        <w:t>2014-003</w:t>
      </w:r>
      <w:r>
        <w:rPr>
          <w:spacing w:val="-2"/>
        </w:rPr>
        <w:t>）。以包叔平作为收购主体的要约收购于</w:t>
      </w:r>
      <w:r>
        <w:rPr>
          <w:rFonts w:ascii="Times New Roman" w:hAnsi="Times New Roman" w:cs="Times New Roman" w:eastAsia="Times New Roman" w:hint="default"/>
          <w:spacing w:val="-2"/>
        </w:rPr>
        <w:t>2014</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日完成股份登记，公司于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日披露《</w:t>
      </w:r>
      <w:r>
        <w:rPr>
          <w:spacing w:val="-50"/>
        </w:rPr>
        <w:t> </w:t>
      </w:r>
      <w:r>
        <w:rPr/>
        <w:t>要约收购情况报告暨复牌公告》（公告编号：</w:t>
      </w:r>
      <w:r>
        <w:rPr>
          <w:rFonts w:ascii="Times New Roman" w:hAnsi="Times New Roman" w:cs="Times New Roman" w:eastAsia="Times New Roman" w:hint="default"/>
        </w:rPr>
        <w:t>2014-072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 </w:t>
      </w:r>
      <w:r>
        <w:rPr>
          <w:spacing w:val="-3"/>
        </w:rPr>
        <w:t>月</w:t>
      </w:r>
      <w:r>
        <w:rPr>
          <w:rFonts w:ascii="Times New Roman" w:hAnsi="Times New Roman" w:cs="Times New Roman" w:eastAsia="Times New Roman" w:hint="default"/>
          <w:spacing w:val="-3"/>
        </w:rPr>
        <w:t>13</w:t>
      </w:r>
      <w:r>
        <w:rPr>
          <w:spacing w:val="-3"/>
        </w:rPr>
        <w:t>日，上述股份的限售承诺到期，</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14</w:t>
      </w:r>
      <w:r>
        <w:rPr>
          <w:spacing w:val="-3"/>
        </w:rPr>
        <w:t>日，上述限售股计</w:t>
      </w:r>
      <w:r>
        <w:rPr>
          <w:rFonts w:ascii="Times New Roman" w:hAnsi="Times New Roman" w:cs="Times New Roman" w:eastAsia="Times New Roman" w:hint="default"/>
          <w:spacing w:val="-3"/>
        </w:rPr>
        <w:t>75,978,410</w:t>
      </w:r>
      <w:r>
        <w:rPr>
          <w:spacing w:val="-3"/>
        </w:rPr>
        <w:t>股（占公司股本总额的</w:t>
      </w:r>
      <w:r>
        <w:rPr>
          <w:rFonts w:ascii="Times New Roman" w:hAnsi="Times New Roman" w:cs="Times New Roman" w:eastAsia="Times New Roman" w:hint="default"/>
          <w:spacing w:val="-3"/>
        </w:rPr>
        <w:t>8.72%</w:t>
      </w:r>
      <w:r>
        <w:rPr>
          <w:spacing w:val="-3"/>
        </w:rPr>
        <w:t>）上市流通（公告编号：</w:t>
      </w:r>
      <w:r>
        <w:rPr/>
        <w:t> </w:t>
      </w:r>
      <w:r>
        <w:rPr>
          <w:rFonts w:ascii="Times New Roman" w:hAnsi="Times New Roman" w:cs="Times New Roman" w:eastAsia="Times New Roman" w:hint="default"/>
        </w:rPr>
        <w:t>2015-035</w:t>
      </w:r>
      <w:r>
        <w:rPr/>
        <w:t>）。</w:t>
      </w:r>
    </w:p>
    <w:p>
      <w:pPr>
        <w:pStyle w:val="BodyText"/>
        <w:spacing w:line="300" w:lineRule="auto" w:before="11"/>
        <w:ind w:left="153" w:right="1130" w:firstLine="360"/>
        <w:jc w:val="both"/>
      </w:pPr>
      <w:r>
        <w:rPr>
          <w:rFonts w:ascii="Times New Roman" w:hAnsi="Times New Roman" w:cs="Times New Roman" w:eastAsia="Times New Roman" w:hint="default"/>
          <w:spacing w:val="-2"/>
        </w:rPr>
        <w:t>3</w:t>
      </w:r>
      <w:r>
        <w:rPr>
          <w:spacing w:val="-2"/>
        </w:rPr>
        <w:t>、中国证券监督管理委员会于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28</w:t>
      </w:r>
      <w:r>
        <w:rPr>
          <w:spacing w:val="-2"/>
        </w:rPr>
        <w:t>日印发《关于核准上海海隆软件股份有限公司向庞升东等发行股份购买资产</w:t>
      </w:r>
      <w:r>
        <w:rPr/>
        <w:t> </w:t>
      </w:r>
      <w:r>
        <w:rPr>
          <w:spacing w:val="-1"/>
        </w:rPr>
        <w:t>并募集配套资金的批复》（证监许可</w:t>
      </w:r>
      <w:r>
        <w:rPr>
          <w:rFonts w:ascii="Times New Roman" w:hAnsi="Times New Roman" w:cs="Times New Roman" w:eastAsia="Times New Roman" w:hint="default"/>
          <w:spacing w:val="-1"/>
        </w:rPr>
        <w:t>[2014]760</w:t>
      </w:r>
      <w:r>
        <w:rPr>
          <w:spacing w:val="-1"/>
        </w:rPr>
        <w:t>号），核准公司发行股份购买资产并募集配套资金。公司于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26</w:t>
      </w:r>
      <w:r>
        <w:rPr>
          <w:spacing w:val="-1"/>
        </w:rPr>
        <w:t>日披</w:t>
      </w:r>
      <w:r>
        <w:rPr>
          <w:spacing w:val="-51"/>
        </w:rPr>
        <w:t> </w:t>
      </w:r>
      <w:r>
        <w:rPr/>
        <w:t>露了《发行股份购买资产并募集配套资金暨关联交易之发行情况报告暨上市公告书》，</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日新增上市股份</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ind w:left="153" w:right="1139"/>
        <w:jc w:val="left"/>
      </w:pPr>
      <w:r>
        <w:rPr>
          <w:rFonts w:ascii="Times New Roman" w:hAnsi="Times New Roman" w:cs="Times New Roman" w:eastAsia="Times New Roman" w:hint="default"/>
        </w:rPr>
        <w:t>236,163,088</w:t>
      </w:r>
      <w:r>
        <w:rPr/>
        <w:t>股。同时，公司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日实施了</w:t>
      </w:r>
      <w:r>
        <w:rPr>
          <w:rFonts w:ascii="Times New Roman" w:hAnsi="Times New Roman" w:cs="Times New Roman" w:eastAsia="Times New Roman" w:hint="default"/>
        </w:rPr>
        <w:t>2014</w:t>
      </w:r>
      <w:r>
        <w:rPr/>
        <w:t>年度利润分配方案（以公司</w:t>
      </w:r>
      <w:r>
        <w:rPr>
          <w:rFonts w:ascii="Times New Roman" w:hAnsi="Times New Roman" w:cs="Times New Roman" w:eastAsia="Times New Roman" w:hint="default"/>
        </w:rPr>
        <w:t>2014</w:t>
      </w:r>
      <w:r>
        <w:rPr/>
        <w:t>年末的总股本为基数，每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15 </w:t>
      </w:r>
      <w:r>
        <w:rPr/>
        <w:t>股）。</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日，上述股份的限售承诺到期，</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日，上述限售股计</w:t>
      </w:r>
      <w:r>
        <w:rPr>
          <w:rFonts w:ascii="Times New Roman" w:hAnsi="Times New Roman" w:cs="Times New Roman" w:eastAsia="Times New Roman" w:hint="default"/>
        </w:rPr>
        <w:t>261,379,833</w:t>
      </w:r>
      <w:r>
        <w:rPr/>
        <w:t>股（占公司股本总额的</w:t>
      </w:r>
      <w:r>
        <w:rPr>
          <w:rFonts w:ascii="Times New Roman" w:hAnsi="Times New Roman" w:cs="Times New Roman" w:eastAsia="Times New Roman" w:hint="default"/>
        </w:rPr>
        <w:t>29.98%</w:t>
      </w:r>
      <w:r>
        <w:rPr/>
        <w:t>）上 市流通。详见公司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t>日的《关于部分重大资产重组限售股份上市流通的提示性公告》（公告编号：</w:t>
      </w:r>
      <w:r>
        <w:rPr>
          <w:rFonts w:ascii="Times New Roman" w:hAnsi="Times New Roman" w:cs="Times New Roman" w:eastAsia="Times New Roman" w:hint="default"/>
        </w:rPr>
        <w:t>2015-086</w:t>
      </w:r>
      <w:r>
        <w:rPr/>
        <w:t>）。</w:t>
      </w:r>
    </w:p>
    <w:p>
      <w:pPr>
        <w:pStyle w:val="BodyText"/>
        <w:spacing w:line="240" w:lineRule="auto" w:before="53"/>
        <w:ind w:left="153" w:right="0"/>
        <w:jc w:val="left"/>
      </w:pPr>
      <w:r>
        <w:rPr/>
        <w:t>股份变动的批准情况</w:t>
      </w:r>
    </w:p>
    <w:p>
      <w:pPr>
        <w:pStyle w:val="BodyText"/>
        <w:spacing w:line="336" w:lineRule="auto" w:before="117"/>
        <w:ind w:left="513" w:right="121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6</w:t>
      </w:r>
      <w:r>
        <w:rPr/>
        <w:t>日召开了</w:t>
      </w:r>
      <w:r>
        <w:rPr>
          <w:rFonts w:ascii="Times New Roman" w:hAnsi="Times New Roman" w:cs="Times New Roman" w:eastAsia="Times New Roman" w:hint="default"/>
        </w:rPr>
        <w:t>2014</w:t>
      </w:r>
      <w:r>
        <w:rPr/>
        <w:t>年度股东大会审议通过公司《</w:t>
      </w:r>
      <w:r>
        <w:rPr>
          <w:rFonts w:ascii="Times New Roman" w:hAnsi="Times New Roman" w:cs="Times New Roman" w:eastAsia="Times New Roman" w:hint="default"/>
        </w:rPr>
        <w:t>2014</w:t>
      </w:r>
      <w:r>
        <w:rPr/>
        <w:t>年度利润分配方案》，其中，以公司</w:t>
      </w:r>
      <w:r>
        <w:rPr>
          <w:rFonts w:ascii="Times New Roman" w:hAnsi="Times New Roman" w:cs="Times New Roman" w:eastAsia="Times New Roman" w:hint="default"/>
        </w:rPr>
        <w:t>2014</w:t>
      </w:r>
      <w:r>
        <w:rPr/>
        <w:t>年末的总</w:t>
      </w:r>
    </w:p>
    <w:p>
      <w:pPr>
        <w:pStyle w:val="BodyText"/>
        <w:spacing w:line="232" w:lineRule="exact" w:before="0"/>
        <w:ind w:left="153" w:right="0"/>
        <w:jc w:val="left"/>
      </w:pPr>
      <w:r>
        <w:rPr/>
        <w:t>股本</w:t>
      </w:r>
      <w:r>
        <w:rPr>
          <w:rFonts w:ascii="Times New Roman" w:hAnsi="Times New Roman" w:cs="Times New Roman" w:eastAsia="Times New Roman" w:hint="default"/>
        </w:rPr>
        <w:t>34,869.3088</w:t>
      </w:r>
      <w:r>
        <w:rPr/>
        <w:t>万股为基数，每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15</w:t>
      </w:r>
      <w:r>
        <w:rPr/>
        <w:t>股。本次转增后，公司股本总额为</w:t>
      </w:r>
      <w:r>
        <w:rPr>
          <w:rFonts w:ascii="Times New Roman" w:hAnsi="Times New Roman" w:cs="Times New Roman" w:eastAsia="Times New Roman" w:hint="default"/>
        </w:rPr>
        <w:t>87,173.2720</w:t>
      </w:r>
      <w:r>
        <w:rPr/>
        <w:t>万股。</w:t>
      </w:r>
    </w:p>
    <w:p>
      <w:pPr>
        <w:pStyle w:val="BodyText"/>
        <w:spacing w:line="240" w:lineRule="auto" w:before="106"/>
        <w:ind w:left="153" w:right="0"/>
        <w:jc w:val="left"/>
      </w:pPr>
      <w:r>
        <w:rPr/>
        <w:t>股份变动的过户情况</w:t>
      </w:r>
    </w:p>
    <w:p>
      <w:pPr>
        <w:pStyle w:val="BodyText"/>
        <w:spacing w:line="336" w:lineRule="auto" w:before="117"/>
        <w:ind w:left="513" w:right="112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日，公司完成资本公积转增股本相关手续，股本总额变更为</w:t>
      </w:r>
      <w:r>
        <w:rPr>
          <w:rFonts w:ascii="Times New Roman" w:hAnsi="Times New Roman" w:cs="Times New Roman" w:eastAsia="Times New Roman" w:hint="default"/>
        </w:rPr>
        <w:t>871,732,720</w:t>
      </w:r>
      <w:r>
        <w:rPr/>
        <w:t>元。上述股本增加已经立信会</w:t>
      </w:r>
    </w:p>
    <w:p>
      <w:pPr>
        <w:pStyle w:val="BodyText"/>
        <w:spacing w:line="232" w:lineRule="exact" w:before="0"/>
        <w:ind w:left="153" w:right="0"/>
        <w:jc w:val="left"/>
      </w:pPr>
      <w:r>
        <w:rPr/>
        <w:t>计师事务所（特殊普通合伙）出具信会师报字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115847</w:t>
      </w:r>
      <w:r>
        <w:rPr/>
        <w:t>号验资报告验证。</w:t>
      </w:r>
    </w:p>
    <w:p>
      <w:pPr>
        <w:pStyle w:val="BodyText"/>
        <w:spacing w:line="240" w:lineRule="auto" w:before="106"/>
        <w:ind w:left="153" w:right="0"/>
        <w:jc w:val="left"/>
      </w:pPr>
      <w:r>
        <w:rPr/>
        <w:t>股份变动对最近一年和最近一期基本每股收益和稀释每股收益、归属于公司普通股股东的每股净资产等财务指标的影响</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tabs>
          <w:tab w:pos="9059" w:val="left" w:leader="none"/>
        </w:tabs>
        <w:spacing w:line="240" w:lineRule="auto" w:before="99"/>
        <w:ind w:left="513" w:right="0"/>
        <w:jc w:val="left"/>
      </w:pPr>
      <w:r>
        <w:rPr/>
        <w:t>因上述资本公积转增股本，具体影响如下：</w:t>
        <w:tab/>
        <w:t>单位：元</w:t>
      </w:r>
    </w:p>
    <w:p>
      <w:pPr>
        <w:spacing w:line="240" w:lineRule="auto" w:before="3"/>
        <w:rPr>
          <w:rFonts w:ascii="宋体" w:hAnsi="宋体" w:cs="宋体" w:eastAsia="宋体" w:hint="default"/>
          <w:sz w:val="5"/>
          <w:szCs w:val="5"/>
        </w:rPr>
      </w:pPr>
    </w:p>
    <w:tbl>
      <w:tblPr>
        <w:tblW w:w="0" w:type="auto"/>
        <w:jc w:val="left"/>
        <w:tblInd w:w="134" w:type="dxa"/>
        <w:tblLayout w:type="fixed"/>
        <w:tblCellMar>
          <w:top w:w="0" w:type="dxa"/>
          <w:left w:w="0" w:type="dxa"/>
          <w:bottom w:w="0" w:type="dxa"/>
          <w:right w:w="0" w:type="dxa"/>
        </w:tblCellMar>
        <w:tblLook w:val="01E0"/>
      </w:tblPr>
      <w:tblGrid>
        <w:gridCol w:w="2608"/>
        <w:gridCol w:w="4125"/>
        <w:gridCol w:w="2926"/>
      </w:tblGrid>
      <w:tr>
        <w:trPr>
          <w:trHeight w:val="352" w:hRule="exact"/>
        </w:trPr>
        <w:tc>
          <w:tcPr>
            <w:tcW w:w="2608" w:type="dxa"/>
            <w:tcBorders>
              <w:top w:val="single" w:sz="8" w:space="0" w:color="000000"/>
              <w:left w:val="single" w:sz="8" w:space="0" w:color="000000"/>
              <w:bottom w:val="single" w:sz="8" w:space="0" w:color="000000"/>
              <w:right w:val="single" w:sz="8" w:space="0" w:color="000000"/>
            </w:tcBorders>
            <w:shd w:val="clear" w:color="auto" w:fill="D2D2D2"/>
          </w:tcPr>
          <w:p>
            <w:pPr/>
          </w:p>
        </w:tc>
        <w:tc>
          <w:tcPr>
            <w:tcW w:w="41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调整前</w:t>
            </w:r>
          </w:p>
        </w:tc>
        <w:tc>
          <w:tcPr>
            <w:tcW w:w="29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调整后</w:t>
            </w:r>
          </w:p>
        </w:tc>
      </w:tr>
      <w:tr>
        <w:trPr>
          <w:trHeight w:val="353" w:hRule="exact"/>
        </w:trPr>
        <w:tc>
          <w:tcPr>
            <w:tcW w:w="260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41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0.69</w:t>
            </w:r>
          </w:p>
        </w:tc>
        <w:tc>
          <w:tcPr>
            <w:tcW w:w="29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0.27</w:t>
            </w:r>
          </w:p>
        </w:tc>
      </w:tr>
      <w:tr>
        <w:trPr>
          <w:trHeight w:val="352" w:hRule="exact"/>
        </w:trPr>
        <w:tc>
          <w:tcPr>
            <w:tcW w:w="260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41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0.69</w:t>
            </w:r>
          </w:p>
        </w:tc>
        <w:tc>
          <w:tcPr>
            <w:tcW w:w="29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0.27</w:t>
            </w:r>
          </w:p>
        </w:tc>
      </w:tr>
      <w:tr>
        <w:trPr>
          <w:trHeight w:val="352" w:hRule="exact"/>
        </w:trPr>
        <w:tc>
          <w:tcPr>
            <w:tcW w:w="260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41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8.59%</w:t>
            </w:r>
          </w:p>
        </w:tc>
        <w:tc>
          <w:tcPr>
            <w:tcW w:w="29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8.59%</w:t>
            </w:r>
          </w:p>
        </w:tc>
      </w:tr>
      <w:tr>
        <w:trPr>
          <w:trHeight w:val="665" w:hRule="exact"/>
        </w:trPr>
        <w:tc>
          <w:tcPr>
            <w:tcW w:w="260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6" w:lineRule="auto" w:before="21"/>
              <w:ind w:right="66"/>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 产</w:t>
            </w:r>
          </w:p>
        </w:tc>
        <w:tc>
          <w:tcPr>
            <w:tcW w:w="41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11.65</w:t>
            </w:r>
          </w:p>
        </w:tc>
        <w:tc>
          <w:tcPr>
            <w:tcW w:w="29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4.66</w:t>
            </w:r>
          </w:p>
        </w:tc>
      </w:tr>
    </w:tbl>
    <w:p>
      <w:pPr>
        <w:spacing w:line="240" w:lineRule="auto" w:before="5"/>
        <w:rPr>
          <w:rFonts w:ascii="宋体" w:hAnsi="宋体" w:cs="宋体" w:eastAsia="宋体" w:hint="default"/>
          <w:sz w:val="24"/>
          <w:szCs w:val="24"/>
        </w:rPr>
      </w:pPr>
    </w:p>
    <w:p>
      <w:pPr>
        <w:pStyle w:val="BodyText"/>
        <w:spacing w:line="240" w:lineRule="auto"/>
        <w:ind w:right="0"/>
        <w:jc w:val="left"/>
      </w:pPr>
      <w:r>
        <w:rPr/>
        <w:t>公司认为必要或证券监管机构要求披露的其他内容</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2、限售股份变动情况" w:id="107"/>
      <w:bookmarkEnd w:id="107"/>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7"/>
              <w:jc w:val="righ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75"/>
              <w:jc w:val="left"/>
              <w:rPr>
                <w:rFonts w:ascii="宋体" w:hAnsi="宋体" w:cs="宋体" w:eastAsia="宋体" w:hint="default"/>
                <w:sz w:val="18"/>
                <w:szCs w:val="18"/>
              </w:rPr>
            </w:pPr>
            <w:r>
              <w:rPr>
                <w:rFonts w:ascii="宋体" w:hAnsi="宋体" w:cs="宋体" w:eastAsia="宋体" w:hint="default"/>
                <w:sz w:val="18"/>
                <w:szCs w:val="18"/>
              </w:rPr>
              <w:t>浙富控股集团股 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57,405,569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86,108,354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143,513,923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因公司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309" w:lineRule="auto" w:before="61"/>
              <w:ind w:left="22" w:right="23"/>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日资本公积 转增股本，增加 </w:t>
            </w:r>
            <w:r>
              <w:rPr>
                <w:rFonts w:ascii="Times New Roman" w:hAnsi="Times New Roman" w:cs="Times New Roman" w:eastAsia="Times New Roman" w:hint="default"/>
                <w:sz w:val="18"/>
                <w:szCs w:val="18"/>
              </w:rPr>
              <w:t>86,108,354 </w:t>
            </w:r>
            <w:r>
              <w:rPr>
                <w:rFonts w:ascii="宋体" w:hAnsi="宋体" w:cs="宋体" w:eastAsia="宋体" w:hint="default"/>
                <w:sz w:val="18"/>
                <w:szCs w:val="18"/>
              </w:rPr>
              <w:t>股限</w:t>
            </w:r>
          </w:p>
          <w:p>
            <w:pPr>
              <w:pStyle w:val="TableParagraph"/>
              <w:spacing w:line="240" w:lineRule="auto" w:before="6"/>
              <w:ind w:left="22" w:right="0"/>
              <w:jc w:val="both"/>
              <w:rPr>
                <w:rFonts w:ascii="宋体" w:hAnsi="宋体" w:cs="宋体" w:eastAsia="宋体" w:hint="default"/>
                <w:sz w:val="18"/>
                <w:szCs w:val="18"/>
              </w:rPr>
            </w:pPr>
            <w:r>
              <w:rPr>
                <w:rFonts w:ascii="宋体" w:hAnsi="宋体" w:cs="宋体" w:eastAsia="宋体" w:hint="default"/>
                <w:sz w:val="18"/>
                <w:szCs w:val="18"/>
              </w:rPr>
              <w:t>售股份。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拟在</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日解除限售股</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143,513,923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股</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75"/>
              <w:jc w:val="left"/>
              <w:rPr>
                <w:rFonts w:ascii="宋体" w:hAnsi="宋体" w:cs="宋体" w:eastAsia="宋体" w:hint="default"/>
                <w:sz w:val="18"/>
                <w:szCs w:val="18"/>
              </w:rPr>
            </w:pPr>
            <w:r>
              <w:rPr>
                <w:rFonts w:ascii="宋体" w:hAnsi="宋体" w:cs="宋体" w:eastAsia="宋体" w:hint="default"/>
                <w:sz w:val="18"/>
                <w:szCs w:val="18"/>
              </w:rPr>
              <w:t>曲水信佳科技有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54,344,919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81,517,378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135,862,297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因公司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309" w:lineRule="auto" w:before="61"/>
              <w:ind w:left="22" w:right="23"/>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日资本公积 转增股本，增加 </w:t>
            </w:r>
            <w:r>
              <w:rPr>
                <w:rFonts w:ascii="Times New Roman" w:hAnsi="Times New Roman" w:cs="Times New Roman" w:eastAsia="Times New Roman" w:hint="default"/>
                <w:sz w:val="18"/>
                <w:szCs w:val="18"/>
              </w:rPr>
              <w:t>81,517,378 </w:t>
            </w:r>
            <w:r>
              <w:rPr>
                <w:rFonts w:ascii="宋体" w:hAnsi="宋体" w:cs="宋体" w:eastAsia="宋体" w:hint="default"/>
                <w:sz w:val="18"/>
                <w:szCs w:val="18"/>
              </w:rPr>
              <w:t>股限</w:t>
            </w:r>
          </w:p>
          <w:p>
            <w:pPr>
              <w:pStyle w:val="TableParagraph"/>
              <w:spacing w:line="240" w:lineRule="auto" w:before="6"/>
              <w:ind w:left="22" w:right="0"/>
              <w:jc w:val="both"/>
              <w:rPr>
                <w:rFonts w:ascii="宋体" w:hAnsi="宋体" w:cs="宋体" w:eastAsia="宋体" w:hint="default"/>
                <w:sz w:val="18"/>
                <w:szCs w:val="18"/>
              </w:rPr>
            </w:pPr>
            <w:r>
              <w:rPr>
                <w:rFonts w:ascii="宋体" w:hAnsi="宋体" w:cs="宋体" w:eastAsia="宋体" w:hint="default"/>
                <w:sz w:val="18"/>
                <w:szCs w:val="18"/>
              </w:rPr>
              <w:t>售股份。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拟在</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日解除限售股</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135,862,297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股</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庞升东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37,220,855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93,052,137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55,831,282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69,789,102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
              <w:jc w:val="center"/>
              <w:rPr>
                <w:rFonts w:ascii="Times New Roman" w:hAnsi="Times New Roman" w:cs="Times New Roman" w:eastAsia="Times New Roman" w:hint="default"/>
                <w:sz w:val="18"/>
                <w:szCs w:val="18"/>
              </w:rPr>
            </w:pPr>
            <w:r>
              <w:rPr>
                <w:rFonts w:ascii="宋体" w:hAnsi="宋体" w:cs="宋体" w:eastAsia="宋体" w:hint="default"/>
                <w:sz w:val="18"/>
                <w:szCs w:val="18"/>
              </w:rPr>
              <w:t>因公司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6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35pt;height:683.3pt;mso-position-horizontal-relative:page;mso-position-vertical-relative:page;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3795"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日资本公积 转增股本，增加 的限售股份 </w:t>
                        </w:r>
                        <w:r>
                          <w:rPr>
                            <w:rFonts w:ascii="Times New Roman" w:hAnsi="Times New Roman" w:cs="Times New Roman" w:eastAsia="Times New Roman" w:hint="default"/>
                            <w:sz w:val="18"/>
                            <w:szCs w:val="18"/>
                          </w:rPr>
                          <w:t>55,831,282</w:t>
                        </w:r>
                        <w:r>
                          <w:rPr>
                            <w:rFonts w:ascii="Times New Roman" w:hAnsi="Times New Roman" w:cs="Times New Roman" w:eastAsia="Times New Roman" w:hint="default"/>
                            <w:spacing w:val="1"/>
                            <w:sz w:val="18"/>
                            <w:szCs w:val="18"/>
                          </w:rPr>
                          <w:t> </w:t>
                        </w:r>
                        <w:r>
                          <w:rPr>
                            <w:rFonts w:ascii="宋体" w:hAnsi="宋体" w:cs="宋体" w:eastAsia="宋体" w:hint="default"/>
                            <w:spacing w:val="-29"/>
                            <w:sz w:val="18"/>
                            <w:szCs w:val="18"/>
                          </w:rPr>
                          <w:t>股。由</w:t>
                        </w:r>
                      </w:p>
                      <w:p>
                        <w:pPr>
                          <w:pStyle w:val="TableParagraph"/>
                          <w:spacing w:line="309" w:lineRule="auto" w:before="3"/>
                          <w:ind w:left="22" w:right="22"/>
                          <w:jc w:val="both"/>
                          <w:rPr>
                            <w:rFonts w:ascii="宋体" w:hAnsi="宋体" w:cs="宋体" w:eastAsia="宋体" w:hint="default"/>
                            <w:sz w:val="18"/>
                            <w:szCs w:val="18"/>
                          </w:rPr>
                        </w:pPr>
                        <w:r>
                          <w:rPr>
                            <w:rFonts w:ascii="宋体" w:hAnsi="宋体" w:cs="宋体" w:eastAsia="宋体" w:hint="default"/>
                            <w:sz w:val="18"/>
                            <w:szCs w:val="18"/>
                          </w:rPr>
                          <w:t>于庞升东先生为 公司董事，</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日解除 原限售条件的同 时，其所持该部 分股份的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即 </w:t>
                        </w:r>
                        <w:r>
                          <w:rPr>
                            <w:rFonts w:ascii="Times New Roman" w:hAnsi="Times New Roman" w:cs="Times New Roman" w:eastAsia="Times New Roman" w:hint="default"/>
                            <w:sz w:val="18"/>
                            <w:szCs w:val="18"/>
                          </w:rPr>
                          <w:t>69,789,102 </w:t>
                        </w:r>
                        <w:r>
                          <w:rPr>
                            <w:rFonts w:ascii="宋体" w:hAnsi="宋体" w:cs="宋体" w:eastAsia="宋体" w:hint="default"/>
                            <w:sz w:val="18"/>
                            <w:szCs w:val="18"/>
                          </w:rPr>
                          <w:t>股转</w:t>
                        </w:r>
                      </w:p>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为高管锁定股。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日解除限售股份</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93,052,137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张淑霞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28,375,995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70,788,700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42,563,992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151,287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因公司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309" w:lineRule="auto" w:before="61"/>
                          <w:ind w:left="22" w:right="23"/>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日资本公积 转增股本，增加 </w:t>
                        </w:r>
                        <w:r>
                          <w:rPr>
                            <w:rFonts w:ascii="Times New Roman" w:hAnsi="Times New Roman" w:cs="Times New Roman" w:eastAsia="Times New Roman" w:hint="default"/>
                            <w:sz w:val="18"/>
                            <w:szCs w:val="18"/>
                          </w:rPr>
                          <w:t>42,563,992 </w:t>
                        </w:r>
                        <w:r>
                          <w:rPr>
                            <w:rFonts w:ascii="宋体" w:hAnsi="宋体" w:cs="宋体" w:eastAsia="宋体" w:hint="default"/>
                            <w:sz w:val="18"/>
                            <w:szCs w:val="18"/>
                          </w:rPr>
                          <w:t>股限</w:t>
                        </w:r>
                      </w:p>
                      <w:p>
                        <w:pPr>
                          <w:pStyle w:val="TableParagraph"/>
                          <w:spacing w:line="240" w:lineRule="auto" w:before="6"/>
                          <w:ind w:left="22" w:right="0"/>
                          <w:jc w:val="both"/>
                          <w:rPr>
                            <w:rFonts w:ascii="宋体" w:hAnsi="宋体" w:cs="宋体" w:eastAsia="宋体" w:hint="default"/>
                            <w:sz w:val="18"/>
                            <w:szCs w:val="18"/>
                          </w:rPr>
                        </w:pPr>
                        <w:r>
                          <w:rPr>
                            <w:rFonts w:ascii="宋体" w:hAnsi="宋体" w:cs="宋体" w:eastAsia="宋体" w:hint="default"/>
                            <w:sz w:val="18"/>
                            <w:szCs w:val="18"/>
                          </w:rPr>
                          <w:t>售股份。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日解除限售股份</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70,788,700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秦海丽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24,631,980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42,707,222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36,947,970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18,872,728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因公司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309" w:lineRule="auto" w:before="61"/>
                          <w:ind w:left="22" w:right="23"/>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日资本公积 转增股本，增加 </w:t>
                        </w:r>
                        <w:r>
                          <w:rPr>
                            <w:rFonts w:ascii="Times New Roman" w:hAnsi="Times New Roman" w:cs="Times New Roman" w:eastAsia="Times New Roman" w:hint="default"/>
                            <w:sz w:val="18"/>
                            <w:szCs w:val="18"/>
                          </w:rPr>
                          <w:t>36,947,970 </w:t>
                        </w:r>
                        <w:r>
                          <w:rPr>
                            <w:rFonts w:ascii="宋体" w:hAnsi="宋体" w:cs="宋体" w:eastAsia="宋体" w:hint="default"/>
                            <w:sz w:val="18"/>
                            <w:szCs w:val="18"/>
                          </w:rPr>
                          <w:t>股限</w:t>
                        </w:r>
                      </w:p>
                      <w:p>
                        <w:pPr>
                          <w:pStyle w:val="TableParagraph"/>
                          <w:spacing w:line="240" w:lineRule="auto" w:before="6"/>
                          <w:ind w:left="22" w:right="0"/>
                          <w:jc w:val="both"/>
                          <w:rPr>
                            <w:rFonts w:ascii="宋体" w:hAnsi="宋体" w:cs="宋体" w:eastAsia="宋体" w:hint="default"/>
                            <w:sz w:val="18"/>
                            <w:szCs w:val="18"/>
                          </w:rPr>
                        </w:pPr>
                        <w:r>
                          <w:rPr>
                            <w:rFonts w:ascii="宋体" w:hAnsi="宋体" w:cs="宋体" w:eastAsia="宋体" w:hint="default"/>
                            <w:sz w:val="18"/>
                            <w:szCs w:val="18"/>
                          </w:rPr>
                          <w:t>售股份。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日解除限售股份</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42,707,222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75"/>
                          <w:jc w:val="left"/>
                          <w:rPr>
                            <w:rFonts w:ascii="宋体" w:hAnsi="宋体" w:cs="宋体" w:eastAsia="宋体" w:hint="default"/>
                            <w:sz w:val="18"/>
                            <w:szCs w:val="18"/>
                          </w:rPr>
                        </w:pPr>
                        <w:r>
                          <w:rPr>
                            <w:rFonts w:ascii="宋体" w:hAnsi="宋体" w:cs="宋体" w:eastAsia="宋体" w:hint="default"/>
                            <w:sz w:val="18"/>
                            <w:szCs w:val="18"/>
                          </w:rPr>
                          <w:t>吉隆瑞科投资有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16,779,374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41,948,435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25,169,061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因公司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309" w:lineRule="auto" w:before="61"/>
                          <w:ind w:left="22" w:right="23"/>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日资本公积 转增股本，增加 </w:t>
                        </w:r>
                        <w:r>
                          <w:rPr>
                            <w:rFonts w:ascii="Times New Roman" w:hAnsi="Times New Roman" w:cs="Times New Roman" w:eastAsia="Times New Roman" w:hint="default"/>
                            <w:sz w:val="18"/>
                            <w:szCs w:val="18"/>
                          </w:rPr>
                          <w:t>25,169,061 </w:t>
                        </w:r>
                        <w:r>
                          <w:rPr>
                            <w:rFonts w:ascii="宋体" w:hAnsi="宋体" w:cs="宋体" w:eastAsia="宋体" w:hint="default"/>
                            <w:sz w:val="18"/>
                            <w:szCs w:val="18"/>
                          </w:rPr>
                          <w:t>股限</w:t>
                        </w:r>
                      </w:p>
                      <w:p>
                        <w:pPr>
                          <w:pStyle w:val="TableParagraph"/>
                          <w:spacing w:line="240" w:lineRule="auto" w:before="6"/>
                          <w:ind w:left="22" w:right="0"/>
                          <w:jc w:val="both"/>
                          <w:rPr>
                            <w:rFonts w:ascii="宋体" w:hAnsi="宋体" w:cs="宋体" w:eastAsia="宋体" w:hint="default"/>
                            <w:sz w:val="18"/>
                            <w:szCs w:val="18"/>
                          </w:rPr>
                        </w:pPr>
                        <w:r>
                          <w:rPr>
                            <w:rFonts w:ascii="宋体" w:hAnsi="宋体" w:cs="宋体" w:eastAsia="宋体" w:hint="default"/>
                            <w:sz w:val="18"/>
                            <w:szCs w:val="18"/>
                          </w:rPr>
                          <w:t>售股份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日解除限售股份</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41,948,435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9,711,897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14,567,845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24,279,742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因公司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312"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日资本公积 转增股本所增加 的限售股份 </w:t>
                        </w:r>
                        <w:r>
                          <w:rPr>
                            <w:rFonts w:ascii="Times New Roman" w:hAnsi="Times New Roman" w:cs="Times New Roman" w:eastAsia="Times New Roman" w:hint="default"/>
                            <w:sz w:val="18"/>
                            <w:szCs w:val="18"/>
                          </w:rPr>
                          <w:t>14,567,845 </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拟在</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日解除限售股</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24,279,742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股</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75"/>
                          <w:jc w:val="left"/>
                          <w:rPr>
                            <w:rFonts w:ascii="宋体" w:hAnsi="宋体" w:cs="宋体" w:eastAsia="宋体" w:hint="default"/>
                            <w:sz w:val="18"/>
                            <w:szCs w:val="18"/>
                          </w:rPr>
                        </w:pPr>
                        <w:r>
                          <w:rPr>
                            <w:rFonts w:ascii="宋体" w:hAnsi="宋体" w:cs="宋体" w:eastAsia="宋体" w:hint="default"/>
                            <w:sz w:val="18"/>
                            <w:szCs w:val="18"/>
                          </w:rPr>
                          <w:t>上海古德投资咨 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9,325,327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23,313,317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13,987,990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因公司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309" w:lineRule="auto" w:before="61"/>
                          <w:ind w:left="22" w:right="23"/>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日资本公积 转增股本，增加 </w:t>
                        </w:r>
                        <w:r>
                          <w:rPr>
                            <w:rFonts w:ascii="Times New Roman" w:hAnsi="Times New Roman" w:cs="Times New Roman" w:eastAsia="Times New Roman" w:hint="default"/>
                            <w:sz w:val="18"/>
                            <w:szCs w:val="18"/>
                          </w:rPr>
                          <w:t>13,987,990 </w:t>
                        </w:r>
                        <w:r>
                          <w:rPr>
                            <w:rFonts w:ascii="宋体" w:hAnsi="宋体" w:cs="宋体" w:eastAsia="宋体" w:hint="default"/>
                            <w:sz w:val="18"/>
                            <w:szCs w:val="18"/>
                          </w:rPr>
                          <w:t>股限</w:t>
                        </w:r>
                      </w:p>
                      <w:p>
                        <w:pPr>
                          <w:pStyle w:val="TableParagraph"/>
                          <w:spacing w:line="240" w:lineRule="auto" w:before="6"/>
                          <w:ind w:left="22" w:right="0"/>
                          <w:jc w:val="both"/>
                          <w:rPr>
                            <w:rFonts w:ascii="宋体" w:hAnsi="宋体" w:cs="宋体" w:eastAsia="宋体" w:hint="default"/>
                            <w:sz w:val="18"/>
                            <w:szCs w:val="18"/>
                          </w:rPr>
                        </w:pPr>
                        <w:r>
                          <w:rPr>
                            <w:rFonts w:ascii="宋体" w:hAnsi="宋体" w:cs="宋体" w:eastAsia="宋体" w:hint="default"/>
                            <w:sz w:val="18"/>
                            <w:szCs w:val="18"/>
                          </w:rPr>
                          <w:t>售股份。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日解除限售股份</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23,313,317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61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包叔平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4,290,000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11,746,692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16,036,692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因公司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312" w:lineRule="auto" w:before="62"/>
                          <w:ind w:left="22" w:right="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日资本公积 转增股本所增加 的限售股份 </w:t>
                        </w:r>
                        <w:r>
                          <w:rPr>
                            <w:rFonts w:ascii="Times New Roman" w:hAnsi="Times New Roman" w:cs="Times New Roman" w:eastAsia="Times New Roman" w:hint="default"/>
                            <w:sz w:val="18"/>
                            <w:szCs w:val="18"/>
                          </w:rPr>
                          <w:t>6,435,000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240" w:lineRule="auto" w:before="45"/>
        <w:ind w:left="0" w:right="1138"/>
        <w:jc w:val="right"/>
      </w:pPr>
      <w:r>
        <w:rPr>
          <w:spacing w:val="-2"/>
        </w:rPr>
        <w:t>。</w:t>
      </w:r>
      <w:r>
        <w:rPr/>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1923"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叔平先生</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月从二级市场</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增持的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7,082,256</w:t>
            </w:r>
          </w:p>
          <w:p>
            <w:pPr>
              <w:pStyle w:val="TableParagraph"/>
              <w:spacing w:line="300" w:lineRule="auto" w:before="63"/>
              <w:ind w:left="22" w:right="35"/>
              <w:jc w:val="left"/>
              <w:rPr>
                <w:rFonts w:ascii="宋体" w:hAnsi="宋体" w:cs="宋体" w:eastAsia="宋体" w:hint="default"/>
                <w:sz w:val="18"/>
                <w:szCs w:val="18"/>
              </w:rPr>
            </w:pPr>
            <w:r>
              <w:rPr>
                <w:rFonts w:ascii="宋体" w:hAnsi="宋体" w:cs="宋体" w:eastAsia="宋体" w:hint="default"/>
                <w:sz w:val="18"/>
                <w:szCs w:val="18"/>
              </w:rPr>
              <w:t>股股份的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即 </w:t>
            </w:r>
            <w:r>
              <w:rPr>
                <w:rFonts w:ascii="Times New Roman" w:hAnsi="Times New Roman" w:cs="Times New Roman" w:eastAsia="Times New Roman" w:hint="default"/>
                <w:sz w:val="18"/>
                <w:szCs w:val="18"/>
              </w:rPr>
              <w:t>5,311,692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股转为</w:t>
            </w:r>
          </w:p>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75"/>
              <w:jc w:val="left"/>
              <w:rPr>
                <w:rFonts w:ascii="宋体" w:hAnsi="宋体" w:cs="宋体" w:eastAsia="宋体" w:hint="default"/>
                <w:sz w:val="18"/>
                <w:szCs w:val="18"/>
              </w:rPr>
            </w:pPr>
            <w:r>
              <w:rPr>
                <w:rFonts w:ascii="宋体" w:hAnsi="宋体" w:cs="宋体" w:eastAsia="宋体" w:hint="default"/>
                <w:sz w:val="18"/>
                <w:szCs w:val="18"/>
              </w:rPr>
              <w:t>上海瑞度投资有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3,747,201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9,368,003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5,620,802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因公司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309" w:lineRule="auto" w:before="61"/>
              <w:ind w:left="22" w:right="23"/>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日资本公积 转增股本，增加 </w:t>
            </w:r>
            <w:r>
              <w:rPr>
                <w:rFonts w:ascii="Times New Roman" w:hAnsi="Times New Roman" w:cs="Times New Roman" w:eastAsia="Times New Roman" w:hint="default"/>
                <w:sz w:val="18"/>
                <w:szCs w:val="18"/>
              </w:rPr>
              <w:t>5,620,802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股限售</w:t>
            </w:r>
          </w:p>
          <w:p>
            <w:pPr>
              <w:pStyle w:val="TableParagraph"/>
              <w:spacing w:line="240" w:lineRule="auto" w:before="6"/>
              <w:ind w:left="22" w:right="0"/>
              <w:jc w:val="both"/>
              <w:rPr>
                <w:rFonts w:ascii="宋体" w:hAnsi="宋体" w:cs="宋体" w:eastAsia="宋体" w:hint="default"/>
                <w:sz w:val="18"/>
                <w:szCs w:val="18"/>
              </w:rPr>
            </w:pPr>
            <w:r>
              <w:rPr>
                <w:rFonts w:ascii="宋体" w:hAnsi="宋体" w:cs="宋体" w:eastAsia="宋体" w:hint="default"/>
                <w:sz w:val="18"/>
                <w:szCs w:val="18"/>
              </w:rPr>
              <w:t>股份。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日解除限售股份</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9,368,003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其他限售股股东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20,798,035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45,525,629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31,197,054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12,622,288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因公司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309" w:lineRule="auto" w:before="61"/>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日资本公积 转增股本，合计 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31,197,054</w:t>
            </w:r>
          </w:p>
          <w:p>
            <w:pPr>
              <w:pStyle w:val="TableParagraph"/>
              <w:spacing w:line="240" w:lineRule="auto" w:before="6"/>
              <w:ind w:left="22" w:right="0"/>
              <w:jc w:val="both"/>
              <w:rPr>
                <w:rFonts w:ascii="宋体" w:hAnsi="宋体" w:cs="宋体" w:eastAsia="宋体" w:hint="default"/>
                <w:sz w:val="18"/>
                <w:szCs w:val="18"/>
              </w:rPr>
            </w:pPr>
            <w:r>
              <w:rPr>
                <w:rFonts w:ascii="宋体" w:hAnsi="宋体" w:cs="宋体" w:eastAsia="宋体" w:hint="default"/>
                <w:sz w:val="18"/>
                <w:szCs w:val="18"/>
              </w:rPr>
              <w:t>股限售股份。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72"/>
              <w:jc w:val="left"/>
              <w:rPr>
                <w:rFonts w:ascii="宋体" w:hAnsi="宋体" w:cs="宋体" w:eastAsia="宋体" w:hint="default"/>
                <w:sz w:val="18"/>
                <w:szCs w:val="18"/>
              </w:rPr>
            </w:pPr>
            <w:r>
              <w:rPr>
                <w:rFonts w:ascii="宋体" w:hAnsi="宋体" w:cs="宋体" w:eastAsia="宋体" w:hint="default"/>
                <w:sz w:val="18"/>
                <w:szCs w:val="18"/>
              </w:rPr>
              <w:t>报告期解除限售 股份合计 </w:t>
            </w:r>
            <w:r>
              <w:rPr>
                <w:rFonts w:ascii="Times New Roman" w:hAnsi="Times New Roman" w:cs="Times New Roman" w:eastAsia="Times New Roman" w:hint="default"/>
                <w:sz w:val="18"/>
                <w:szCs w:val="18"/>
              </w:rPr>
              <w:t>45,525,629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266,631,152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326,703,443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405,258,420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421,128,059</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4"/>
        <w:spacing w:line="240" w:lineRule="auto" w:before="26"/>
        <w:ind w:left="154" w:right="0"/>
        <w:jc w:val="left"/>
        <w:rPr>
          <w:b w:val="0"/>
          <w:bCs w:val="0"/>
        </w:rPr>
      </w:pPr>
      <w:bookmarkStart w:name="二、证券发行与上市情况" w:id="108"/>
      <w:bookmarkEnd w:id="108"/>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报告期内证券发行（不含优先股）情况" w:id="109"/>
      <w:bookmarkEnd w:id="109"/>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2、公司股份总数及股东结构的变动、公司资产和负债结构的变动情况说明" w:id="110"/>
      <w:bookmarkEnd w:id="110"/>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319"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6</w:t>
      </w:r>
      <w:r>
        <w:rPr/>
        <w:t>日召开了</w:t>
      </w:r>
      <w:r>
        <w:rPr>
          <w:rFonts w:ascii="Times New Roman" w:hAnsi="Times New Roman" w:cs="Times New Roman" w:eastAsia="Times New Roman" w:hint="default"/>
        </w:rPr>
        <w:t>2014</w:t>
      </w:r>
      <w:r>
        <w:rPr/>
        <w:t>年度股东大会审议通过公司《</w:t>
      </w:r>
      <w:r>
        <w:rPr>
          <w:rFonts w:ascii="Times New Roman" w:hAnsi="Times New Roman" w:cs="Times New Roman" w:eastAsia="Times New Roman" w:hint="default"/>
        </w:rPr>
        <w:t>2014</w:t>
      </w:r>
      <w:r>
        <w:rPr/>
        <w:t>年度利润分配方案》，其中，以公司</w:t>
      </w:r>
      <w:r>
        <w:rPr>
          <w:rFonts w:ascii="Times New Roman" w:hAnsi="Times New Roman" w:cs="Times New Roman" w:eastAsia="Times New Roman" w:hint="default"/>
        </w:rPr>
        <w:t>2014</w:t>
      </w:r>
      <w:r>
        <w:rPr/>
        <w:t>年末的总股本 </w:t>
      </w:r>
      <w:r>
        <w:rPr>
          <w:rFonts w:ascii="Times New Roman" w:hAnsi="Times New Roman" w:cs="Times New Roman" w:eastAsia="Times New Roman" w:hint="default"/>
          <w:spacing w:val="-2"/>
        </w:rPr>
        <w:t>34,869.3088</w:t>
      </w:r>
      <w:r>
        <w:rPr>
          <w:spacing w:val="-2"/>
        </w:rPr>
        <w:t>万股为基数，每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15</w:t>
      </w:r>
      <w:r>
        <w:rPr>
          <w:spacing w:val="-2"/>
        </w:rPr>
        <w:t>股。本次转增后，公司股本总额为</w:t>
      </w:r>
      <w:r>
        <w:rPr>
          <w:rFonts w:ascii="Times New Roman" w:hAnsi="Times New Roman" w:cs="Times New Roman" w:eastAsia="Times New Roman" w:hint="default"/>
          <w:spacing w:val="-2"/>
        </w:rPr>
        <w:t>87,173.2720</w:t>
      </w:r>
      <w:r>
        <w:rPr>
          <w:spacing w:val="-2"/>
        </w:rPr>
        <w:t>万股。报告期内公司股东结构、公司资</w:t>
      </w:r>
    </w:p>
    <w:p>
      <w:pPr>
        <w:pStyle w:val="BodyText"/>
        <w:spacing w:line="233" w:lineRule="exact" w:before="0"/>
        <w:ind w:right="0"/>
        <w:jc w:val="left"/>
      </w:pPr>
      <w:r>
        <w:rPr/>
        <w:t>产和负债结构未因资本公积转增股本而发生变动。</w:t>
      </w:r>
    </w:p>
    <w:p>
      <w:pPr>
        <w:spacing w:line="240" w:lineRule="auto" w:before="12"/>
        <w:rPr>
          <w:rFonts w:ascii="宋体" w:hAnsi="宋体" w:cs="宋体" w:eastAsia="宋体" w:hint="default"/>
          <w:sz w:val="26"/>
          <w:szCs w:val="26"/>
        </w:rPr>
      </w:pPr>
    </w:p>
    <w:p>
      <w:pPr>
        <w:pStyle w:val="Heading6"/>
        <w:spacing w:line="240" w:lineRule="auto"/>
        <w:ind w:left="154" w:right="0"/>
        <w:jc w:val="left"/>
        <w:rPr>
          <w:b w:val="0"/>
          <w:bCs w:val="0"/>
        </w:rPr>
      </w:pPr>
      <w:bookmarkStart w:name="3、现存的内部职工股情况" w:id="111"/>
      <w:bookmarkEnd w:id="111"/>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bookmarkStart w:name="三、股东和实际控制人情况" w:id="112"/>
      <w:bookmarkEnd w:id="112"/>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公司股东数量及持股情况" w:id="113"/>
      <w:bookmarkEnd w:id="113"/>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0"/>
        <w:gridCol w:w="720"/>
        <w:gridCol w:w="584"/>
        <w:gridCol w:w="1515"/>
        <w:gridCol w:w="1399"/>
        <w:gridCol w:w="1403"/>
        <w:gridCol w:w="1196"/>
        <w:gridCol w:w="1196"/>
      </w:tblGrid>
      <w:tr>
        <w:trPr>
          <w:trHeight w:val="986" w:hRule="exact"/>
        </w:trPr>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147"/>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92" w:right="0"/>
              <w:jc w:val="left"/>
              <w:rPr>
                <w:rFonts w:ascii="Times New Roman" w:hAnsi="Times New Roman" w:cs="Times New Roman" w:eastAsia="Times New Roman" w:hint="default"/>
                <w:sz w:val="18"/>
                <w:szCs w:val="18"/>
              </w:rPr>
            </w:pPr>
            <w:r>
              <w:rPr>
                <w:rFonts w:ascii="Times New Roman"/>
                <w:sz w:val="18"/>
              </w:rPr>
              <w:t>66,037</w:t>
            </w:r>
          </w:p>
        </w:tc>
        <w:tc>
          <w:tcPr>
            <w:tcW w:w="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89"/>
              <w:jc w:val="both"/>
              <w:rPr>
                <w:rFonts w:ascii="宋体" w:hAnsi="宋体" w:cs="宋体" w:eastAsia="宋体" w:hint="default"/>
                <w:sz w:val="18"/>
                <w:szCs w:val="18"/>
              </w:rPr>
            </w:pPr>
            <w:r>
              <w:rPr>
                <w:rFonts w:ascii="宋体" w:hAnsi="宋体" w:cs="宋体" w:eastAsia="宋体" w:hint="default"/>
                <w:sz w:val="18"/>
                <w:szCs w:val="18"/>
              </w:rPr>
              <w:t>年度 报告 披露</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988" w:right="0"/>
              <w:jc w:val="left"/>
              <w:rPr>
                <w:rFonts w:ascii="Times New Roman" w:hAnsi="Times New Roman" w:cs="Times New Roman" w:eastAsia="Times New Roman" w:hint="default"/>
                <w:sz w:val="18"/>
                <w:szCs w:val="18"/>
              </w:rPr>
            </w:pPr>
            <w:r>
              <w:rPr>
                <w:rFonts w:ascii="Times New Roman"/>
                <w:sz w:val="18"/>
              </w:rPr>
              <w:t>87,579</w:t>
            </w:r>
          </w:p>
        </w:tc>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4"/>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both"/>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82.5pt;height:694.6pt;mso-position-horizontal-relative:page;mso-position-vertical-relative:page;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9"/>
                    <w:gridCol w:w="202"/>
                    <w:gridCol w:w="597"/>
                    <w:gridCol w:w="134"/>
                    <w:gridCol w:w="561"/>
                    <w:gridCol w:w="92"/>
                    <w:gridCol w:w="1107"/>
                    <w:gridCol w:w="328"/>
                    <w:gridCol w:w="665"/>
                    <w:gridCol w:w="734"/>
                    <w:gridCol w:w="257"/>
                    <w:gridCol w:w="994"/>
                    <w:gridCol w:w="153"/>
                    <w:gridCol w:w="1044"/>
                    <w:gridCol w:w="152"/>
                    <w:gridCol w:w="1196"/>
                  </w:tblGrid>
                  <w:tr>
                    <w:trPr>
                      <w:trHeight w:val="358" w:hRule="exact"/>
                    </w:trPr>
                    <w:tc>
                      <w:tcPr>
                        <w:tcW w:w="1620" w:type="dxa"/>
                        <w:gridSpan w:val="2"/>
                        <w:vMerge w:val="restart"/>
                        <w:tcBorders>
                          <w:top w:val="single" w:sz="4" w:space="0" w:color="000000"/>
                          <w:left w:val="single" w:sz="4" w:space="0" w:color="000000"/>
                          <w:right w:val="single" w:sz="4" w:space="0" w:color="000000"/>
                        </w:tcBorders>
                        <w:shd w:val="clear" w:color="auto" w:fill="D2D2D2"/>
                      </w:tcPr>
                      <w:p>
                        <w:pPr/>
                      </w:p>
                    </w:tc>
                    <w:tc>
                      <w:tcPr>
                        <w:tcW w:w="731" w:type="dxa"/>
                        <w:gridSpan w:val="2"/>
                        <w:vMerge w:val="restart"/>
                        <w:tcBorders>
                          <w:top w:val="single" w:sz="4" w:space="0" w:color="000000"/>
                          <w:left w:val="single" w:sz="4" w:space="0" w:color="000000"/>
                          <w:right w:val="single" w:sz="13" w:space="0" w:color="D2D2D2"/>
                        </w:tcBorders>
                      </w:tcPr>
                      <w:p>
                        <w:pPr/>
                      </w:p>
                    </w:tc>
                    <w:tc>
                      <w:tcPr>
                        <w:tcW w:w="56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
                          <w:ind w:left="11" w:right="179"/>
                          <w:jc w:val="both"/>
                          <w:rPr>
                            <w:rFonts w:ascii="宋体" w:hAnsi="宋体" w:cs="宋体" w:eastAsia="宋体" w:hint="default"/>
                            <w:sz w:val="18"/>
                            <w:szCs w:val="18"/>
                          </w:rPr>
                        </w:pPr>
                        <w:r>
                          <w:rPr>
                            <w:rFonts w:ascii="宋体" w:hAnsi="宋体" w:cs="宋体" w:eastAsia="宋体" w:hint="default"/>
                            <w:sz w:val="18"/>
                            <w:szCs w:val="18"/>
                          </w:rPr>
                          <w:t>日前 上一 月末 普通 股股 东总 数</w:t>
                        </w:r>
                      </w:p>
                    </w:tc>
                    <w:tc>
                      <w:tcPr>
                        <w:tcW w:w="1527" w:type="dxa"/>
                        <w:gridSpan w:val="3"/>
                        <w:vMerge w:val="restart"/>
                        <w:tcBorders>
                          <w:top w:val="single" w:sz="4" w:space="0" w:color="000000"/>
                          <w:left w:val="single" w:sz="13" w:space="0" w:color="D2D2D2"/>
                          <w:right w:val="single" w:sz="9" w:space="0" w:color="D2D2D2"/>
                        </w:tcBorders>
                      </w:tcPr>
                      <w:p>
                        <w:pPr/>
                      </w:p>
                    </w:tc>
                    <w:tc>
                      <w:tcPr>
                        <w:tcW w:w="1399" w:type="dxa"/>
                        <w:gridSpan w:val="2"/>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403" w:type="dxa"/>
                        <w:gridSpan w:val="3"/>
                        <w:vMerge w:val="restart"/>
                        <w:tcBorders>
                          <w:top w:val="single" w:sz="4" w:space="0" w:color="000000"/>
                          <w:left w:val="single" w:sz="9" w:space="0" w:color="D2D2D2"/>
                          <w:right w:val="single" w:sz="9" w:space="0" w:color="D2D2D2"/>
                        </w:tcBorders>
                      </w:tcPr>
                      <w:p>
                        <w:pPr/>
                      </w:p>
                    </w:tc>
                    <w:tc>
                      <w:tcPr>
                        <w:tcW w:w="11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6" w:type="dxa"/>
                        <w:vMerge w:val="restart"/>
                        <w:tcBorders>
                          <w:top w:val="single" w:sz="4" w:space="0" w:color="000000"/>
                          <w:left w:val="single" w:sz="10" w:space="0" w:color="D2D2D2"/>
                          <w:right w:val="single" w:sz="4" w:space="0" w:color="000000"/>
                        </w:tcBorders>
                      </w:tcPr>
                      <w:p>
                        <w:pPr/>
                      </w:p>
                    </w:tc>
                  </w:tr>
                  <w:tr>
                    <w:trPr>
                      <w:trHeight w:val="624" w:hRule="exact"/>
                    </w:trPr>
                    <w:tc>
                      <w:tcPr>
                        <w:tcW w:w="1620" w:type="dxa"/>
                        <w:gridSpan w:val="2"/>
                        <w:vMerge/>
                        <w:tcBorders>
                          <w:left w:val="single" w:sz="4" w:space="0" w:color="000000"/>
                          <w:right w:val="single" w:sz="4" w:space="0" w:color="000000"/>
                        </w:tcBorders>
                        <w:shd w:val="clear" w:color="auto" w:fill="D2D2D2"/>
                      </w:tcPr>
                      <w:p>
                        <w:pPr/>
                      </w:p>
                    </w:tc>
                    <w:tc>
                      <w:tcPr>
                        <w:tcW w:w="731" w:type="dxa"/>
                        <w:gridSpan w:val="2"/>
                        <w:vMerge/>
                        <w:tcBorders>
                          <w:left w:val="single" w:sz="4" w:space="0" w:color="000000"/>
                          <w:right w:val="single" w:sz="13" w:space="0" w:color="D2D2D2"/>
                        </w:tcBorders>
                      </w:tcPr>
                      <w:p>
                        <w:pPr/>
                      </w:p>
                    </w:tc>
                    <w:tc>
                      <w:tcPr>
                        <w:tcW w:w="561" w:type="dxa"/>
                        <w:vMerge/>
                        <w:tcBorders>
                          <w:left w:val="single" w:sz="4" w:space="0" w:color="000000"/>
                          <w:right w:val="single" w:sz="4" w:space="0" w:color="000000"/>
                        </w:tcBorders>
                        <w:shd w:val="clear" w:color="auto" w:fill="D2D2D2"/>
                      </w:tcPr>
                      <w:p>
                        <w:pPr/>
                      </w:p>
                    </w:tc>
                    <w:tc>
                      <w:tcPr>
                        <w:tcW w:w="1527" w:type="dxa"/>
                        <w:gridSpan w:val="3"/>
                        <w:vMerge/>
                        <w:tcBorders>
                          <w:left w:val="single" w:sz="13" w:space="0" w:color="D2D2D2"/>
                          <w:right w:val="single" w:sz="9" w:space="0" w:color="D2D2D2"/>
                        </w:tcBorders>
                      </w:tcPr>
                      <w:p>
                        <w:pPr/>
                      </w:p>
                    </w:tc>
                    <w:tc>
                      <w:tcPr>
                        <w:tcW w:w="1399" w:type="dxa"/>
                        <w:gridSpan w:val="2"/>
                        <w:vMerge w:val="restart"/>
                        <w:tcBorders>
                          <w:top w:val="nil" w:sz="6" w:space="0" w:color="auto"/>
                          <w:left w:val="single" w:sz="4" w:space="0" w:color="000000"/>
                          <w:right w:val="single" w:sz="4" w:space="0" w:color="000000"/>
                        </w:tcBorders>
                        <w:shd w:val="clear" w:color="auto" w:fill="D2D2D2"/>
                      </w:tcPr>
                      <w:p>
                        <w:pPr/>
                      </w:p>
                    </w:tc>
                    <w:tc>
                      <w:tcPr>
                        <w:tcW w:w="1403" w:type="dxa"/>
                        <w:gridSpan w:val="3"/>
                        <w:vMerge/>
                        <w:tcBorders>
                          <w:left w:val="single" w:sz="9" w:space="0" w:color="D2D2D2"/>
                          <w:right w:val="single" w:sz="9" w:space="0" w:color="D2D2D2"/>
                        </w:tcBorders>
                      </w:tcPr>
                      <w:p>
                        <w:pPr/>
                      </w:p>
                    </w:tc>
                    <w:tc>
                      <w:tcPr>
                        <w:tcW w:w="1196" w:type="dxa"/>
                        <w:gridSpan w:val="2"/>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10" w:space="0" w:color="D2D2D2"/>
                          <w:right w:val="single" w:sz="4" w:space="0" w:color="000000"/>
                        </w:tcBorders>
                      </w:tcPr>
                      <w:p>
                        <w:pPr/>
                      </w:p>
                    </w:tc>
                  </w:tr>
                  <w:tr>
                    <w:trPr>
                      <w:trHeight w:val="1258" w:hRule="exact"/>
                    </w:trPr>
                    <w:tc>
                      <w:tcPr>
                        <w:tcW w:w="1620" w:type="dxa"/>
                        <w:gridSpan w:val="2"/>
                        <w:vMerge/>
                        <w:tcBorders>
                          <w:left w:val="single" w:sz="4" w:space="0" w:color="000000"/>
                          <w:bottom w:val="single" w:sz="4" w:space="0" w:color="000000"/>
                          <w:right w:val="single" w:sz="4" w:space="0" w:color="000000"/>
                        </w:tcBorders>
                        <w:shd w:val="clear" w:color="auto" w:fill="D2D2D2"/>
                      </w:tcPr>
                      <w:p>
                        <w:pPr/>
                      </w:p>
                    </w:tc>
                    <w:tc>
                      <w:tcPr>
                        <w:tcW w:w="731" w:type="dxa"/>
                        <w:gridSpan w:val="2"/>
                        <w:vMerge/>
                        <w:tcBorders>
                          <w:left w:val="single" w:sz="4" w:space="0" w:color="000000"/>
                          <w:bottom w:val="single" w:sz="4" w:space="0" w:color="000000"/>
                          <w:right w:val="single" w:sz="13" w:space="0" w:color="D2D2D2"/>
                        </w:tcBorders>
                      </w:tcPr>
                      <w:p>
                        <w:pPr/>
                      </w:p>
                    </w:tc>
                    <w:tc>
                      <w:tcPr>
                        <w:tcW w:w="561" w:type="dxa"/>
                        <w:vMerge/>
                        <w:tcBorders>
                          <w:left w:val="single" w:sz="4" w:space="0" w:color="000000"/>
                          <w:bottom w:val="single" w:sz="4" w:space="0" w:color="000000"/>
                          <w:right w:val="single" w:sz="4" w:space="0" w:color="000000"/>
                        </w:tcBorders>
                        <w:shd w:val="clear" w:color="auto" w:fill="D2D2D2"/>
                      </w:tcPr>
                      <w:p>
                        <w:pPr/>
                      </w:p>
                    </w:tc>
                    <w:tc>
                      <w:tcPr>
                        <w:tcW w:w="1527" w:type="dxa"/>
                        <w:gridSpan w:val="3"/>
                        <w:vMerge/>
                        <w:tcBorders>
                          <w:left w:val="single" w:sz="13" w:space="0" w:color="D2D2D2"/>
                          <w:bottom w:val="single" w:sz="4" w:space="0" w:color="000000"/>
                          <w:right w:val="single" w:sz="9" w:space="0" w:color="D2D2D2"/>
                        </w:tcBorders>
                      </w:tcPr>
                      <w:p>
                        <w:pPr/>
                      </w:p>
                    </w:tc>
                    <w:tc>
                      <w:tcPr>
                        <w:tcW w:w="1399" w:type="dxa"/>
                        <w:gridSpan w:val="2"/>
                        <w:vMerge/>
                        <w:tcBorders>
                          <w:left w:val="single" w:sz="4" w:space="0" w:color="000000"/>
                          <w:bottom w:val="single" w:sz="4" w:space="0" w:color="000000"/>
                          <w:right w:val="single" w:sz="4" w:space="0" w:color="000000"/>
                        </w:tcBorders>
                        <w:shd w:val="clear" w:color="auto" w:fill="D2D2D2"/>
                      </w:tcPr>
                      <w:p>
                        <w:pPr/>
                      </w:p>
                    </w:tc>
                    <w:tc>
                      <w:tcPr>
                        <w:tcW w:w="1403" w:type="dxa"/>
                        <w:gridSpan w:val="3"/>
                        <w:vMerge/>
                        <w:tcBorders>
                          <w:left w:val="single" w:sz="9" w:space="0" w:color="D2D2D2"/>
                          <w:bottom w:val="single" w:sz="4" w:space="0" w:color="000000"/>
                          <w:right w:val="single" w:sz="9" w:space="0" w:color="D2D2D2"/>
                        </w:tcBorders>
                      </w:tcPr>
                      <w:p>
                        <w:pPr/>
                      </w:p>
                    </w:tc>
                    <w:tc>
                      <w:tcPr>
                        <w:tcW w:w="119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r>
                  <w:tr>
                    <w:trPr>
                      <w:trHeight w:val="392" w:hRule="exact"/>
                    </w:trPr>
                    <w:tc>
                      <w:tcPr>
                        <w:tcW w:w="9635"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9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19" w:type="dxa"/>
                        <w:vMerge w:val="restart"/>
                        <w:tcBorders>
                          <w:top w:val="single" w:sz="4" w:space="0" w:color="000000"/>
                          <w:left w:val="single" w:sz="4" w:space="0" w:color="000000"/>
                          <w:right w:val="single" w:sz="4" w:space="0" w:color="000000"/>
                        </w:tcBorders>
                        <w:shd w:val="clear" w:color="auto" w:fill="D2D2D2"/>
                      </w:tcPr>
                      <w:p>
                        <w:pPr/>
                      </w:p>
                    </w:tc>
                    <w:tc>
                      <w:tcPr>
                        <w:tcW w:w="799" w:type="dxa"/>
                        <w:gridSpan w:val="2"/>
                        <w:vMerge w:val="restart"/>
                        <w:tcBorders>
                          <w:top w:val="single" w:sz="4" w:space="0" w:color="000000"/>
                          <w:left w:val="single" w:sz="4" w:space="0" w:color="000000"/>
                          <w:right w:val="single" w:sz="4" w:space="0" w:color="000000"/>
                        </w:tcBorders>
                        <w:shd w:val="clear" w:color="auto" w:fill="D2D2D2"/>
                      </w:tcPr>
                      <w:p>
                        <w:pPr/>
                      </w:p>
                    </w:tc>
                    <w:tc>
                      <w:tcPr>
                        <w:tcW w:w="787" w:type="dxa"/>
                        <w:gridSpan w:val="3"/>
                        <w:vMerge w:val="restart"/>
                        <w:tcBorders>
                          <w:top w:val="single" w:sz="4" w:space="0" w:color="000000"/>
                          <w:left w:val="single" w:sz="4" w:space="0" w:color="000000"/>
                          <w:right w:val="single" w:sz="4" w:space="0" w:color="000000"/>
                        </w:tcBorders>
                        <w:shd w:val="clear" w:color="auto" w:fill="D2D2D2"/>
                      </w:tcPr>
                      <w:p>
                        <w:pPr/>
                      </w:p>
                    </w:tc>
                    <w:tc>
                      <w:tcPr>
                        <w:tcW w:w="1107"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40"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40" w:right="4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546"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37"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19" w:type="dxa"/>
                        <w:vMerge/>
                        <w:tcBorders>
                          <w:left w:val="single" w:sz="4" w:space="0" w:color="000000"/>
                          <w:bottom w:val="nil" w:sz="6" w:space="0" w:color="auto"/>
                          <w:right w:val="single" w:sz="4" w:space="0" w:color="000000"/>
                        </w:tcBorders>
                        <w:shd w:val="clear" w:color="auto" w:fill="D2D2D2"/>
                      </w:tcPr>
                      <w:p>
                        <w:pPr/>
                      </w:p>
                    </w:tc>
                    <w:tc>
                      <w:tcPr>
                        <w:tcW w:w="799" w:type="dxa"/>
                        <w:gridSpan w:val="2"/>
                        <w:vMerge/>
                        <w:tcBorders>
                          <w:left w:val="single" w:sz="4" w:space="0" w:color="000000"/>
                          <w:bottom w:val="nil" w:sz="6" w:space="0" w:color="auto"/>
                          <w:right w:val="single" w:sz="4" w:space="0" w:color="000000"/>
                        </w:tcBorders>
                        <w:shd w:val="clear" w:color="auto" w:fill="D2D2D2"/>
                      </w:tcPr>
                      <w:p>
                        <w:pPr/>
                      </w:p>
                    </w:tc>
                    <w:tc>
                      <w:tcPr>
                        <w:tcW w:w="787" w:type="dxa"/>
                        <w:gridSpan w:val="3"/>
                        <w:vMerge/>
                        <w:tcBorders>
                          <w:left w:val="single" w:sz="4" w:space="0" w:color="000000"/>
                          <w:bottom w:val="nil" w:sz="6" w:space="0" w:color="auto"/>
                          <w:right w:val="single" w:sz="4" w:space="0" w:color="000000"/>
                        </w:tcBorders>
                        <w:shd w:val="clear" w:color="auto" w:fill="D2D2D2"/>
                      </w:tcPr>
                      <w:p>
                        <w:pPr/>
                      </w:p>
                    </w:tc>
                    <w:tc>
                      <w:tcPr>
                        <w:tcW w:w="110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77" w:right="99"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0"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1" w:type="dxa"/>
                        <w:gridSpan w:val="2"/>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2546" w:type="dxa"/>
                        <w:gridSpan w:val="4"/>
                        <w:vMerge/>
                        <w:tcBorders>
                          <w:left w:val="single" w:sz="4" w:space="0" w:color="000000"/>
                          <w:right w:val="single" w:sz="4" w:space="0" w:color="000000"/>
                        </w:tcBorders>
                        <w:shd w:val="clear" w:color="auto" w:fill="D2D2D2"/>
                      </w:tcPr>
                      <w:p>
                        <w:pPr/>
                      </w:p>
                    </w:tc>
                  </w:tr>
                  <w:tr>
                    <w:trPr>
                      <w:trHeight w:val="140" w:hRule="exact"/>
                    </w:trPr>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79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7"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07" w:type="dxa"/>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2546"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19" w:type="dxa"/>
                        <w:vMerge/>
                        <w:tcBorders>
                          <w:left w:val="single" w:sz="4" w:space="0" w:color="000000"/>
                          <w:bottom w:val="nil" w:sz="6" w:space="0" w:color="auto"/>
                          <w:right w:val="single" w:sz="4" w:space="0" w:color="000000"/>
                        </w:tcBorders>
                        <w:shd w:val="clear" w:color="auto" w:fill="D2D2D2"/>
                      </w:tcPr>
                      <w:p>
                        <w:pPr/>
                      </w:p>
                    </w:tc>
                    <w:tc>
                      <w:tcPr>
                        <w:tcW w:w="799" w:type="dxa"/>
                        <w:gridSpan w:val="2"/>
                        <w:vMerge/>
                        <w:tcBorders>
                          <w:left w:val="single" w:sz="4" w:space="0" w:color="000000"/>
                          <w:bottom w:val="nil" w:sz="6" w:space="0" w:color="auto"/>
                          <w:right w:val="single" w:sz="4" w:space="0" w:color="000000"/>
                        </w:tcBorders>
                        <w:shd w:val="clear" w:color="auto" w:fill="D2D2D2"/>
                      </w:tcPr>
                      <w:p>
                        <w:pPr/>
                      </w:p>
                    </w:tc>
                    <w:tc>
                      <w:tcPr>
                        <w:tcW w:w="787" w:type="dxa"/>
                        <w:gridSpan w:val="3"/>
                        <w:vMerge/>
                        <w:tcBorders>
                          <w:left w:val="single" w:sz="4" w:space="0" w:color="000000"/>
                          <w:bottom w:val="nil" w:sz="6" w:space="0" w:color="auto"/>
                          <w:right w:val="single" w:sz="4" w:space="0" w:color="000000"/>
                        </w:tcBorders>
                        <w:shd w:val="clear" w:color="auto" w:fill="D2D2D2"/>
                      </w:tcPr>
                      <w:p>
                        <w:pPr/>
                      </w:p>
                    </w:tc>
                    <w:tc>
                      <w:tcPr>
                        <w:tcW w:w="1107" w:type="dxa"/>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11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233"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19" w:type="dxa"/>
                        <w:vMerge w:val="restart"/>
                        <w:tcBorders>
                          <w:top w:val="nil" w:sz="6" w:space="0" w:color="auto"/>
                          <w:left w:val="single" w:sz="4" w:space="0" w:color="000000"/>
                          <w:right w:val="single" w:sz="4" w:space="0" w:color="000000"/>
                        </w:tcBorders>
                        <w:shd w:val="clear" w:color="auto" w:fill="D2D2D2"/>
                      </w:tcPr>
                      <w:p>
                        <w:pPr/>
                      </w:p>
                    </w:tc>
                    <w:tc>
                      <w:tcPr>
                        <w:tcW w:w="799" w:type="dxa"/>
                        <w:gridSpan w:val="2"/>
                        <w:vMerge w:val="restart"/>
                        <w:tcBorders>
                          <w:top w:val="nil" w:sz="6" w:space="0" w:color="auto"/>
                          <w:left w:val="single" w:sz="4" w:space="0" w:color="000000"/>
                          <w:right w:val="single" w:sz="4" w:space="0" w:color="000000"/>
                        </w:tcBorders>
                        <w:shd w:val="clear" w:color="auto" w:fill="D2D2D2"/>
                      </w:tcPr>
                      <w:p>
                        <w:pPr/>
                      </w:p>
                    </w:tc>
                    <w:tc>
                      <w:tcPr>
                        <w:tcW w:w="787" w:type="dxa"/>
                        <w:gridSpan w:val="3"/>
                        <w:vMerge w:val="restart"/>
                        <w:tcBorders>
                          <w:top w:val="nil" w:sz="6" w:space="0" w:color="auto"/>
                          <w:left w:val="single" w:sz="4" w:space="0" w:color="000000"/>
                          <w:right w:val="single" w:sz="4" w:space="0" w:color="000000"/>
                        </w:tcBorders>
                        <w:shd w:val="clear" w:color="auto" w:fill="D2D2D2"/>
                      </w:tcPr>
                      <w:p>
                        <w:pPr/>
                      </w:p>
                    </w:tc>
                    <w:tc>
                      <w:tcPr>
                        <w:tcW w:w="1107" w:type="dxa"/>
                        <w:vMerge/>
                        <w:tcBorders>
                          <w:left w:val="single" w:sz="4" w:space="0" w:color="000000"/>
                          <w:bottom w:val="nil" w:sz="6" w:space="0" w:color="auto"/>
                          <w:right w:val="single" w:sz="4" w:space="0" w:color="000000"/>
                        </w:tcBorders>
                        <w:shd w:val="clear" w:color="auto" w:fill="D2D2D2"/>
                      </w:tcPr>
                      <w:p>
                        <w:pPr/>
                      </w:p>
                    </w:tc>
                    <w:tc>
                      <w:tcPr>
                        <w:tcW w:w="992" w:type="dxa"/>
                        <w:gridSpan w:val="2"/>
                        <w:vMerge/>
                        <w:tcBorders>
                          <w:left w:val="single" w:sz="4" w:space="0" w:color="000000"/>
                          <w:bottom w:val="nil" w:sz="6" w:space="0" w:color="auto"/>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1197" w:type="dxa"/>
                        <w:gridSpan w:val="2"/>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r>
                  <w:tr>
                    <w:trPr>
                      <w:trHeight w:val="161"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799" w:type="dxa"/>
                        <w:gridSpan w:val="2"/>
                        <w:vMerge/>
                        <w:tcBorders>
                          <w:left w:val="single" w:sz="4" w:space="0" w:color="000000"/>
                          <w:bottom w:val="single" w:sz="4" w:space="0" w:color="000000"/>
                          <w:right w:val="single" w:sz="4" w:space="0" w:color="000000"/>
                        </w:tcBorders>
                        <w:shd w:val="clear" w:color="auto" w:fill="D2D2D2"/>
                      </w:tcPr>
                      <w:p>
                        <w:pPr/>
                      </w:p>
                    </w:tc>
                    <w:tc>
                      <w:tcPr>
                        <w:tcW w:w="787" w:type="dxa"/>
                        <w:gridSpan w:val="3"/>
                        <w:vMerge/>
                        <w:tcBorders>
                          <w:left w:val="single" w:sz="4" w:space="0" w:color="000000"/>
                          <w:bottom w:val="single" w:sz="4" w:space="0" w:color="000000"/>
                          <w:right w:val="single" w:sz="4" w:space="0" w:color="000000"/>
                        </w:tcBorders>
                        <w:shd w:val="clear" w:color="auto" w:fill="D2D2D2"/>
                      </w:tcPr>
                      <w:p>
                        <w:pPr/>
                      </w:p>
                    </w:tc>
                    <w:tc>
                      <w:tcPr>
                        <w:tcW w:w="1107"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197"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浙富控股集团股 份有限公司</w:t>
                        </w:r>
                      </w:p>
                    </w:tc>
                    <w:tc>
                      <w:tcPr>
                        <w:tcW w:w="79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7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16.46%</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143,513,923</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86,108,354</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143,513,923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197" w:type="dxa"/>
                        <w:gridSpan w:val="2"/>
                        <w:tcBorders>
                          <w:top w:val="single" w:sz="48" w:space="0" w:color="D2D2D2"/>
                          <w:left w:val="single" w:sz="4" w:space="0" w:color="000000"/>
                          <w:bottom w:val="single" w:sz="4" w:space="0" w:color="000000"/>
                          <w:right w:val="single" w:sz="4" w:space="0" w:color="000000"/>
                        </w:tcBorders>
                      </w:tcPr>
                      <w:p>
                        <w:pPr/>
                      </w:p>
                    </w:tc>
                    <w:tc>
                      <w:tcPr>
                        <w:tcW w:w="1349" w:type="dxa"/>
                        <w:gridSpan w:val="2"/>
                        <w:tcBorders>
                          <w:top w:val="single" w:sz="48" w:space="0" w:color="D2D2D2"/>
                          <w:left w:val="single" w:sz="4" w:space="0" w:color="000000"/>
                          <w:bottom w:val="single" w:sz="4" w:space="0" w:color="000000"/>
                          <w:right w:val="single" w:sz="4" w:space="0" w:color="000000"/>
                        </w:tcBorders>
                      </w:tcPr>
                      <w:p>
                        <w:pP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曲水信佳科技有 限公司</w:t>
                        </w:r>
                      </w:p>
                    </w:tc>
                    <w:tc>
                      <w:tcPr>
                        <w:tcW w:w="79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7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15.59%</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135,862,297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81,517,378</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135,862,297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1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135,862,297</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庞升东</w:t>
                        </w:r>
                      </w:p>
                    </w:tc>
                    <w:tc>
                      <w:tcPr>
                        <w:tcW w:w="79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10.67%</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93,052,137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55,831,282</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69,789,102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23,263,035</w:t>
                        </w:r>
                      </w:p>
                    </w:tc>
                    <w:tc>
                      <w:tcPr>
                        <w:tcW w:w="11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84,000,000</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张淑霞</w:t>
                        </w:r>
                      </w:p>
                    </w:tc>
                    <w:tc>
                      <w:tcPr>
                        <w:tcW w:w="79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8.14%</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70,939,987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42,563,992</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151,287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70,788,700</w:t>
                        </w:r>
                      </w:p>
                    </w:tc>
                    <w:tc>
                      <w:tcPr>
                        <w:tcW w:w="11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10,000,000</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秦海丽</w:t>
                        </w:r>
                      </w:p>
                    </w:tc>
                    <w:tc>
                      <w:tcPr>
                        <w:tcW w:w="79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7.06%</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61,579,950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36,947,970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18,872,728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42,707,222</w:t>
                        </w:r>
                      </w:p>
                    </w:tc>
                    <w:tc>
                      <w:tcPr>
                        <w:tcW w:w="11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22,800,000</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包叔平</w:t>
                        </w:r>
                      </w:p>
                    </w:tc>
                    <w:tc>
                      <w:tcPr>
                        <w:tcW w:w="79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6.79%</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59,170,191</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31,535,017</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16,036,692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43,133,499</w:t>
                        </w:r>
                      </w:p>
                    </w:tc>
                    <w:tc>
                      <w:tcPr>
                        <w:tcW w:w="1197"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吉隆瑞科投资有 限公司</w:t>
                        </w:r>
                      </w:p>
                    </w:tc>
                    <w:tc>
                      <w:tcPr>
                        <w:tcW w:w="79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7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4.81%</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41,948,435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25,169,061</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41,948,435</w:t>
                        </w:r>
                      </w:p>
                    </w:tc>
                    <w:tc>
                      <w:tcPr>
                        <w:tcW w:w="11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22,280,000</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孙毅</w:t>
                        </w:r>
                      </w:p>
                    </w:tc>
                    <w:tc>
                      <w:tcPr>
                        <w:tcW w:w="79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2.79%</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24,279,742</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14,567,845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24,279,742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197"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上海古德投资咨 询有限公司</w:t>
                        </w:r>
                      </w:p>
                    </w:tc>
                    <w:tc>
                      <w:tcPr>
                        <w:tcW w:w="79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7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1.18%</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10,264,817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939,490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10,264,817</w:t>
                        </w:r>
                      </w:p>
                    </w:tc>
                    <w:tc>
                      <w:tcPr>
                        <w:tcW w:w="1197"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上海瑞度投资有 限公司</w:t>
                        </w:r>
                      </w:p>
                    </w:tc>
                    <w:tc>
                      <w:tcPr>
                        <w:tcW w:w="79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7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1.07%</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9,368,003</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5,620,802</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9,368,003</w:t>
                        </w:r>
                      </w:p>
                    </w:tc>
                    <w:tc>
                      <w:tcPr>
                        <w:tcW w:w="1197"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85" w:hRule="exact"/>
                    </w:trPr>
                    <w:tc>
                      <w:tcPr>
                        <w:tcW w:w="2218"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7417" w:type="dxa"/>
                        <w:gridSpan w:val="13"/>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名普通股股东中，包叔平先生为公司实际控制人，曲水信佳科技有限公司为包叔平先生</w:t>
                        </w:r>
                      </w:p>
                      <w:p>
                        <w:pPr>
                          <w:pStyle w:val="TableParagraph"/>
                          <w:spacing w:line="240" w:lineRule="auto" w:before="61"/>
                          <w:ind w:left="16" w:right="0"/>
                          <w:jc w:val="left"/>
                          <w:rPr>
                            <w:rFonts w:ascii="宋体" w:hAnsi="宋体" w:cs="宋体" w:eastAsia="宋体" w:hint="default"/>
                            <w:sz w:val="18"/>
                            <w:szCs w:val="18"/>
                          </w:rPr>
                        </w:pPr>
                        <w:r>
                          <w:rPr>
                            <w:rFonts w:ascii="宋体" w:hAnsi="宋体" w:cs="宋体" w:eastAsia="宋体" w:hint="default"/>
                            <w:sz w:val="18"/>
                            <w:szCs w:val="18"/>
                          </w:rPr>
                          <w:t>控制的企</w:t>
                        </w:r>
                        <w:r>
                          <w:rPr>
                            <w:rFonts w:ascii="宋体" w:hAnsi="宋体" w:cs="宋体" w:eastAsia="宋体" w:hint="default"/>
                            <w:spacing w:val="-13"/>
                            <w:sz w:val="18"/>
                            <w:szCs w:val="18"/>
                          </w:rPr>
                          <w:t>业</w:t>
                        </w:r>
                        <w:r>
                          <w:rPr>
                            <w:rFonts w:ascii="宋体" w:hAnsi="宋体" w:cs="宋体" w:eastAsia="宋体" w:hint="default"/>
                            <w:sz w:val="18"/>
                            <w:szCs w:val="18"/>
                          </w:rPr>
                          <w:t>（包叔平先生持有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的股份</w:t>
                        </w:r>
                        <w:r>
                          <w:rPr>
                            <w:rFonts w:ascii="宋体" w:hAnsi="宋体" w:cs="宋体" w:eastAsia="宋体" w:hint="default"/>
                            <w:spacing w:val="-90"/>
                            <w:sz w:val="18"/>
                            <w:szCs w:val="18"/>
                          </w:rPr>
                          <w:t>）</w:t>
                        </w:r>
                        <w:r>
                          <w:rPr>
                            <w:rFonts w:ascii="宋体" w:hAnsi="宋体" w:cs="宋体" w:eastAsia="宋体" w:hint="default"/>
                            <w:spacing w:val="-13"/>
                            <w:sz w:val="18"/>
                            <w:szCs w:val="18"/>
                          </w:rPr>
                          <w:t>。</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pacing w:val="-13"/>
                            <w:sz w:val="18"/>
                            <w:szCs w:val="18"/>
                          </w:rPr>
                          <w:t>，</w:t>
                        </w:r>
                        <w:r>
                          <w:rPr>
                            <w:rFonts w:ascii="宋体" w:hAnsi="宋体" w:cs="宋体" w:eastAsia="宋体" w:hint="default"/>
                            <w:spacing w:val="1"/>
                            <w:sz w:val="18"/>
                            <w:szCs w:val="18"/>
                          </w:rPr>
                          <w:t>上</w:t>
                        </w:r>
                        <w:r>
                          <w:rPr>
                            <w:rFonts w:ascii="宋体" w:hAnsi="宋体" w:cs="宋体" w:eastAsia="宋体" w:hint="default"/>
                            <w:sz w:val="18"/>
                            <w:szCs w:val="18"/>
                          </w:rPr>
                          <w:t>海古德投资咨询有限</w:t>
                        </w:r>
                      </w:p>
                      <w:p>
                        <w:pPr>
                          <w:pStyle w:val="TableParagraph"/>
                          <w:spacing w:line="300" w:lineRule="auto" w:before="63"/>
                          <w:ind w:left="16" w:right="23"/>
                          <w:jc w:val="left"/>
                          <w:rPr>
                            <w:rFonts w:ascii="宋体" w:hAnsi="宋体" w:cs="宋体" w:eastAsia="宋体" w:hint="default"/>
                            <w:sz w:val="18"/>
                            <w:szCs w:val="18"/>
                          </w:rPr>
                        </w:pPr>
                        <w:r>
                          <w:rPr>
                            <w:rFonts w:ascii="宋体" w:hAnsi="宋体" w:cs="宋体" w:eastAsia="宋体" w:hint="default"/>
                            <w:sz w:val="18"/>
                            <w:szCs w:val="18"/>
                          </w:rPr>
                          <w:t>公司为包叔平先生的一致行动人，该一致行动关系已于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pacing w:val="-8"/>
                            <w:sz w:val="18"/>
                            <w:szCs w:val="18"/>
                          </w:rPr>
                          <w:t>日解除。此外，孙毅（浙</w:t>
                        </w:r>
                        <w:r>
                          <w:rPr>
                            <w:rFonts w:ascii="宋体" w:hAnsi="宋体" w:cs="宋体" w:eastAsia="宋体" w:hint="default"/>
                            <w:sz w:val="18"/>
                            <w:szCs w:val="18"/>
                          </w:rPr>
                          <w:t> 富控股集团股份有限公司的实际控制人）承诺：</w:t>
                        </w:r>
                        <w:r>
                          <w:rPr>
                            <w:rFonts w:ascii="Times New Roman" w:hAnsi="Times New Roman" w:cs="Times New Roman" w:eastAsia="Times New Roman" w:hint="default"/>
                            <w:sz w:val="18"/>
                            <w:szCs w:val="18"/>
                          </w:rPr>
                          <w:t>“</w:t>
                        </w:r>
                        <w:r>
                          <w:rPr>
                            <w:rFonts w:ascii="宋体" w:hAnsi="宋体" w:cs="宋体" w:eastAsia="宋体" w:hint="default"/>
                            <w:sz w:val="18"/>
                            <w:szCs w:val="18"/>
                          </w:rPr>
                          <w:t>不会通过直接和间接持有的海隆软件股份对 </w:t>
                        </w:r>
                        <w:r>
                          <w:rPr>
                            <w:rFonts w:ascii="宋体" w:hAnsi="宋体" w:cs="宋体" w:eastAsia="宋体" w:hint="default"/>
                            <w:spacing w:val="-5"/>
                            <w:sz w:val="18"/>
                            <w:szCs w:val="18"/>
                          </w:rPr>
                          <w:t>应的股东权益谋求海隆软件实际控制人地位。</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庞升东（上海瑞度投资有限公司的实际控制人）</w:t>
                        </w:r>
                        <w:r>
                          <w:rPr>
                            <w:rFonts w:ascii="宋体" w:hAnsi="宋体" w:cs="宋体" w:eastAsia="宋体" w:hint="default"/>
                            <w:sz w:val="18"/>
                            <w:szCs w:val="18"/>
                          </w:rPr>
                          <w:t>张淑霞（吉隆瑞科投资有限公司的实际控制人）及秦海丽承诺：</w:t>
                        </w:r>
                        <w:r>
                          <w:rPr>
                            <w:rFonts w:ascii="Times New Roman" w:hAnsi="Times New Roman" w:cs="Times New Roman" w:eastAsia="Times New Roman" w:hint="default"/>
                            <w:sz w:val="18"/>
                            <w:szCs w:val="18"/>
                          </w:rPr>
                          <w:t>“</w:t>
                        </w:r>
                        <w:r>
                          <w:rPr>
                            <w:rFonts w:ascii="宋体" w:hAnsi="宋体" w:cs="宋体" w:eastAsia="宋体" w:hint="default"/>
                            <w:sz w:val="18"/>
                            <w:szCs w:val="18"/>
                          </w:rPr>
                          <w:t>不会基于其所持有的海隆软 件股份与除包叔平外的其他股东谋求一致行动人关系。</w:t>
                        </w:r>
                        <w:r>
                          <w:rPr>
                            <w:rFonts w:ascii="Times New Roman" w:hAnsi="Times New Roman" w:cs="Times New Roman" w:eastAsia="Times New Roman" w:hint="default"/>
                            <w:sz w:val="18"/>
                            <w:szCs w:val="18"/>
                          </w:rPr>
                          <w:t>”</w:t>
                        </w:r>
                        <w:r>
                          <w:rPr>
                            <w:rFonts w:ascii="宋体" w:hAnsi="宋体" w:cs="宋体" w:eastAsia="宋体" w:hint="default"/>
                            <w:sz w:val="18"/>
                            <w:szCs w:val="18"/>
                          </w:rPr>
                          <w:t>报告期内，以上承诺均得到严格执行</w:t>
                        </w:r>
                      </w:p>
                    </w:tc>
                  </w:tr>
                  <w:tr>
                    <w:trPr>
                      <w:trHeight w:val="704" w:hRule="exact"/>
                    </w:trPr>
                    <w:tc>
                      <w:tcPr>
                        <w:tcW w:w="2218"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417" w:type="dxa"/>
                        <w:gridSpan w:val="13"/>
                        <w:vMerge/>
                        <w:tcBorders>
                          <w:left w:val="single" w:sz="9" w:space="0" w:color="D2D2D2"/>
                          <w:right w:val="single" w:sz="4" w:space="0" w:color="000000"/>
                        </w:tcBorders>
                      </w:tcPr>
                      <w:p>
                        <w:pPr/>
                      </w:p>
                    </w:tc>
                  </w:tr>
                  <w:tr>
                    <w:trPr>
                      <w:trHeight w:val="785" w:hRule="exact"/>
                    </w:trPr>
                    <w:tc>
                      <w:tcPr>
                        <w:tcW w:w="2218"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7417" w:type="dxa"/>
                        <w:gridSpan w:val="13"/>
                        <w:vMerge/>
                        <w:tcBorders>
                          <w:left w:val="single" w:sz="9" w:space="0" w:color="D2D2D2"/>
                          <w:bottom w:val="single" w:sz="4" w:space="0" w:color="000000"/>
                          <w:right w:val="single" w:sz="4" w:space="0" w:color="000000"/>
                        </w:tcBorders>
                      </w:tcPr>
                      <w:p>
                        <w:pPr/>
                      </w:p>
                    </w:tc>
                  </w:tr>
                  <w:tr>
                    <w:trPr>
                      <w:trHeight w:val="397" w:hRule="exact"/>
                    </w:trPr>
                    <w:tc>
                      <w:tcPr>
                        <w:tcW w:w="9635"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7" w:hRule="exact"/>
                    </w:trPr>
                    <w:tc>
                      <w:tcPr>
                        <w:tcW w:w="22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8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8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54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before="0"/>
        <w:ind w:left="0" w:right="1074"/>
        <w:jc w:val="right"/>
      </w:pPr>
      <w:r>
        <w:rPr/>
        <w:t>、</w:t>
      </w:r>
    </w:p>
    <w:p>
      <w:pPr>
        <w:spacing w:line="240" w:lineRule="auto" w:before="5"/>
        <w:rPr>
          <w:rFonts w:ascii="宋体" w:hAnsi="宋体" w:cs="宋体" w:eastAsia="宋体" w:hint="default"/>
          <w:sz w:val="26"/>
          <w:szCs w:val="26"/>
        </w:rPr>
      </w:pPr>
    </w:p>
    <w:p>
      <w:pPr>
        <w:pStyle w:val="BodyText"/>
        <w:spacing w:line="240" w:lineRule="auto"/>
        <w:ind w:left="0" w:right="1074"/>
        <w:jc w:val="right"/>
      </w:pP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18"/>
        <w:gridCol w:w="4872"/>
        <w:gridCol w:w="1196"/>
        <w:gridCol w:w="1349"/>
      </w:tblGrid>
      <w:tr>
        <w:trPr>
          <w:trHeight w:val="402" w:hRule="exact"/>
        </w:trPr>
        <w:tc>
          <w:tcPr>
            <w:tcW w:w="22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8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张淑霞</w:t>
            </w:r>
          </w:p>
        </w:tc>
        <w:tc>
          <w:tcPr>
            <w:tcW w:w="4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70,788,700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70,788,700</w:t>
            </w:r>
          </w:p>
        </w:tc>
      </w:tr>
      <w:tr>
        <w:trPr>
          <w:trHeight w:val="402"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包叔平</w:t>
            </w:r>
          </w:p>
        </w:tc>
        <w:tc>
          <w:tcPr>
            <w:tcW w:w="4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43,133,499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43,133,499</w:t>
            </w:r>
          </w:p>
        </w:tc>
      </w:tr>
      <w:tr>
        <w:trPr>
          <w:trHeight w:val="402"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秦海丽</w:t>
            </w:r>
          </w:p>
        </w:tc>
        <w:tc>
          <w:tcPr>
            <w:tcW w:w="4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42,707,222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42,707,222</w:t>
            </w:r>
          </w:p>
        </w:tc>
      </w:tr>
      <w:tr>
        <w:trPr>
          <w:trHeight w:val="402"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吉隆瑞科投资有限公司</w:t>
            </w:r>
          </w:p>
        </w:tc>
        <w:tc>
          <w:tcPr>
            <w:tcW w:w="4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41,948,435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41,948,435</w:t>
            </w:r>
          </w:p>
        </w:tc>
      </w:tr>
      <w:tr>
        <w:trPr>
          <w:trHeight w:val="402"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庞升东</w:t>
            </w:r>
          </w:p>
        </w:tc>
        <w:tc>
          <w:tcPr>
            <w:tcW w:w="4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23,263,035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23,263,035</w:t>
            </w:r>
          </w:p>
        </w:tc>
      </w:tr>
      <w:tr>
        <w:trPr>
          <w:trHeight w:val="402"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上海古德投资咨询有限公司</w:t>
            </w:r>
          </w:p>
        </w:tc>
        <w:tc>
          <w:tcPr>
            <w:tcW w:w="4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10,264,817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10,264,817</w:t>
            </w:r>
          </w:p>
        </w:tc>
      </w:tr>
      <w:tr>
        <w:trPr>
          <w:trHeight w:val="402"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上海瑞度投资有限公司</w:t>
            </w:r>
          </w:p>
        </w:tc>
        <w:tc>
          <w:tcPr>
            <w:tcW w:w="4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9,368,003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9,368,003</w:t>
            </w:r>
          </w:p>
        </w:tc>
      </w:tr>
      <w:tr>
        <w:trPr>
          <w:trHeight w:val="402"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姚钢</w:t>
            </w:r>
          </w:p>
        </w:tc>
        <w:tc>
          <w:tcPr>
            <w:tcW w:w="4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4,879,875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4,879,875</w:t>
            </w:r>
          </w:p>
        </w:tc>
      </w:tr>
      <w:tr>
        <w:trPr>
          <w:trHeight w:val="714"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上海岚新环境科技工程有限 公司</w:t>
            </w:r>
          </w:p>
        </w:tc>
        <w:tc>
          <w:tcPr>
            <w:tcW w:w="4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4,230,000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4,230,000</w:t>
            </w:r>
          </w:p>
        </w:tc>
      </w:tr>
      <w:tr>
        <w:trPr>
          <w:trHeight w:val="714"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中央汇金资产管理有限责任 公司</w:t>
            </w:r>
          </w:p>
        </w:tc>
        <w:tc>
          <w:tcPr>
            <w:tcW w:w="4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3,818,500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3,818,500</w:t>
            </w:r>
          </w:p>
        </w:tc>
      </w:tr>
      <w:tr>
        <w:trPr>
          <w:trHeight w:val="1962" w:hRule="exact"/>
        </w:trPr>
        <w:tc>
          <w:tcPr>
            <w:tcW w:w="2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之间</w:t>
            </w:r>
            <w:r>
              <w:rPr>
                <w:rFonts w:ascii="宋体" w:hAnsi="宋体" w:cs="宋体" w:eastAsia="宋体" w:hint="default"/>
                <w:spacing w:val="-89"/>
                <w:sz w:val="18"/>
                <w:szCs w:val="18"/>
              </w:rPr>
              <w:t>，</w:t>
            </w: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 间关联关系或一致行动的说 明</w:t>
            </w:r>
          </w:p>
        </w:tc>
        <w:tc>
          <w:tcPr>
            <w:tcW w:w="7417"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名无限售条件股东中，包叔平先生为公司实际控制人。庞升东（上海瑞度投资有限公司 </w:t>
            </w:r>
            <w:r>
              <w:rPr>
                <w:rFonts w:ascii="宋体" w:hAnsi="宋体" w:cs="宋体" w:eastAsia="宋体" w:hint="default"/>
                <w:spacing w:val="-3"/>
                <w:sz w:val="18"/>
                <w:szCs w:val="18"/>
              </w:rPr>
              <w:t>的实际控制人）、张淑霞（吉隆瑞科投资有限公司的实际控制人）及秦海丽承诺：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不会基于其</w:t>
            </w:r>
            <w:r>
              <w:rPr>
                <w:rFonts w:ascii="宋体" w:hAnsi="宋体" w:cs="宋体" w:eastAsia="宋体" w:hint="default"/>
                <w:spacing w:val="-66"/>
                <w:sz w:val="18"/>
                <w:szCs w:val="18"/>
              </w:rPr>
              <w:t> </w:t>
            </w:r>
            <w:r>
              <w:rPr>
                <w:rFonts w:ascii="宋体" w:hAnsi="宋体" w:cs="宋体" w:eastAsia="宋体" w:hint="default"/>
                <w:sz w:val="18"/>
                <w:szCs w:val="18"/>
              </w:rPr>
              <w:t>所持有的海隆软件股份与除包叔平外的其他股东谋求一致行动人关系</w:t>
            </w:r>
            <w:r>
              <w:rPr>
                <w:rFonts w:ascii="Times New Roman" w:hAnsi="Times New Roman" w:cs="Times New Roman" w:eastAsia="Times New Roman" w:hint="default"/>
                <w:sz w:val="18"/>
                <w:szCs w:val="18"/>
              </w:rPr>
              <w:t>”</w:t>
            </w:r>
            <w:r>
              <w:rPr>
                <w:rFonts w:ascii="宋体" w:hAnsi="宋体" w:cs="宋体" w:eastAsia="宋体" w:hint="default"/>
                <w:sz w:val="18"/>
                <w:szCs w:val="18"/>
              </w:rPr>
              <w:t>。报告期内，以上承诺 均得到严格执行。截至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日，上海古德投资咨询有限公司及姚钢先生为包叔平</w:t>
            </w:r>
          </w:p>
          <w:p>
            <w:pPr>
              <w:pStyle w:val="TableParagraph"/>
              <w:spacing w:line="302" w:lineRule="auto" w:before="13"/>
              <w:ind w:left="22" w:right="22"/>
              <w:jc w:val="left"/>
              <w:rPr>
                <w:rFonts w:ascii="宋体" w:hAnsi="宋体" w:cs="宋体" w:eastAsia="宋体" w:hint="default"/>
                <w:sz w:val="18"/>
                <w:szCs w:val="18"/>
              </w:rPr>
            </w:pPr>
            <w:r>
              <w:rPr>
                <w:rFonts w:ascii="宋体" w:hAnsi="宋体" w:cs="宋体" w:eastAsia="宋体" w:hint="default"/>
                <w:sz w:val="18"/>
                <w:szCs w:val="18"/>
              </w:rPr>
              <w:t>先生的一致行动人，该一致行动关系已于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日解除。前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名无限售条件股东中的 其余人之间未知是否属于一致行动人。</w:t>
            </w:r>
          </w:p>
        </w:tc>
      </w:tr>
      <w:tr>
        <w:trPr>
          <w:trHeight w:val="1026" w:hRule="exact"/>
        </w:trPr>
        <w:tc>
          <w:tcPr>
            <w:tcW w:w="2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 </w:t>
            </w:r>
            <w:r>
              <w:rPr>
                <w:rFonts w:ascii="宋体" w:hAnsi="宋体" w:cs="宋体" w:eastAsia="宋体" w:hint="default"/>
                <w:spacing w:val="-10"/>
                <w:sz w:val="18"/>
                <w:szCs w:val="18"/>
              </w:rPr>
              <w:t>资融券业务情况说明（如有）</w:t>
            </w:r>
            <w:r>
              <w:rPr>
                <w:rFonts w:ascii="宋体" w:hAnsi="宋体" w:cs="宋体" w:eastAsia="宋体" w:hint="default"/>
                <w:sz w:val="18"/>
                <w:szCs w:val="18"/>
              </w:rPr>
            </w:r>
          </w:p>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48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名普通股股东中没有参与融资融券业务股东的情况。</w:t>
            </w:r>
          </w:p>
        </w:tc>
        <w:tc>
          <w:tcPr>
            <w:tcW w:w="1196" w:type="dxa"/>
            <w:tcBorders>
              <w:top w:val="single" w:sz="4" w:space="0" w:color="000000"/>
              <w:left w:val="nil" w:sz="6" w:space="0" w:color="auto"/>
              <w:bottom w:val="single" w:sz="4" w:space="0" w:color="000000"/>
              <w:right w:val="nil" w:sz="6" w:space="0" w:color="auto"/>
            </w:tcBorders>
          </w:tcPr>
          <w:p>
            <w:pPr/>
          </w:p>
        </w:tc>
        <w:tc>
          <w:tcPr>
            <w:tcW w:w="1349" w:type="dxa"/>
            <w:tcBorders>
              <w:top w:val="single" w:sz="4" w:space="0" w:color="000000"/>
              <w:left w:val="nil" w:sz="6" w:space="0" w:color="auto"/>
              <w:bottom w:val="single" w:sz="4" w:space="0" w:color="000000"/>
              <w:right w:val="single" w:sz="4" w:space="0" w:color="000000"/>
            </w:tcBorders>
          </w:tcPr>
          <w:p>
            <w:pPr/>
          </w:p>
        </w:tc>
      </w:tr>
    </w:tbl>
    <w:p>
      <w:pPr>
        <w:pStyle w:val="BodyText"/>
        <w:spacing w:line="240" w:lineRule="auto" w:before="51"/>
        <w:ind w:right="0"/>
        <w:jc w:val="left"/>
      </w:pPr>
      <w:r>
        <w:rPr/>
        <w:pict>
          <v:group style="position:absolute;margin-left:167.839996pt;margin-top:-36.288284pt;width:369.2pt;height:20.8pt;mso-position-horizontal-relative:page;mso-position-vertical-relative:paragraph;z-index:-922624" coordorigin="3357,-726" coordsize="7384,416">
            <v:group style="position:absolute;left:3368;top:-714;width:2;height:393" coordorigin="3368,-714" coordsize="2,393">
              <v:shape style="position:absolute;left:3368;top:-714;width:2;height:393" coordorigin="3368,-714" coordsize="0,393" path="m3368,-714l3368,-322e" filled="false" stroked="true" strokeweight="1.140pt" strokecolor="#ffffff">
                <v:path arrowok="t"/>
              </v:shape>
            </v:group>
            <v:group style="position:absolute;left:3380;top:-714;width:7361;height:393" coordorigin="3380,-714" coordsize="7361,393">
              <v:shape style="position:absolute;left:3380;top:-714;width:7361;height:393" coordorigin="3380,-714" coordsize="7361,393" path="m3380,-322l10740,-322,10740,-714,3380,-714,3380,-322xe" filled="true" fillcolor="#ffffff" stroked="false">
                <v:path arrowok="t"/>
                <v:fill type="solid"/>
              </v:shape>
            </v:group>
            <w10:wrap type="none"/>
          </v:group>
        </w:pict>
      </w: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left="153"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bookmarkStart w:name="2、公司控股股东情况" w:id="114"/>
      <w:bookmarkEnd w:id="114"/>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left="153" w:right="8233"/>
        <w:jc w:val="left"/>
      </w:pPr>
      <w:r>
        <w:rPr/>
        <w:t>控股股东性质：无控股主体 控股股东类型：不存在 公司不存在控股股东情况的说明 公司不存在控股股东的情况。 控股股东报告期内变更</w:t>
      </w:r>
    </w:p>
    <w:p>
      <w:pPr>
        <w:pStyle w:val="BodyText"/>
        <w:spacing w:line="338" w:lineRule="auto" w:before="26"/>
        <w:ind w:left="153"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3"/>
        <w:rPr>
          <w:rFonts w:ascii="宋体" w:hAnsi="宋体" w:cs="宋体" w:eastAsia="宋体" w:hint="default"/>
          <w:sz w:val="21"/>
          <w:szCs w:val="21"/>
        </w:rPr>
      </w:pPr>
    </w:p>
    <w:p>
      <w:pPr>
        <w:pStyle w:val="Heading6"/>
        <w:spacing w:line="240" w:lineRule="auto"/>
        <w:ind w:right="0"/>
        <w:jc w:val="left"/>
        <w:rPr>
          <w:b w:val="0"/>
          <w:bCs w:val="0"/>
        </w:rPr>
      </w:pPr>
      <w:bookmarkStart w:name="3、公司实际控制人情况" w:id="115"/>
      <w:bookmarkEnd w:id="115"/>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3" w:right="0"/>
        <w:jc w:val="left"/>
      </w:pPr>
      <w:r>
        <w:rPr/>
        <w:t>实际控制人性质：境内自然人</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left="153" w:right="0"/>
        <w:jc w:val="left"/>
      </w:pPr>
      <w:r>
        <w:rPr/>
        <w:t>实际控制人类型：自然人</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包叔平</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3"/>
              <w:jc w:val="left"/>
              <w:rPr>
                <w:rFonts w:ascii="宋体" w:hAnsi="宋体" w:cs="宋体" w:eastAsia="宋体" w:hint="default"/>
                <w:sz w:val="18"/>
                <w:szCs w:val="18"/>
              </w:rPr>
            </w:pPr>
            <w:r>
              <w:rPr>
                <w:rFonts w:ascii="宋体" w:hAnsi="宋体" w:cs="宋体" w:eastAsia="宋体" w:hint="default"/>
                <w:sz w:val="18"/>
                <w:szCs w:val="18"/>
              </w:rPr>
              <w:t>上海二三四五网络控股集团股份有限公司董事长、日本海隆株式会社董事长、 江苏海隆软件技术有限公司董事长、上海华钟计算机软件开发有限公司董事 </w:t>
            </w:r>
            <w:r>
              <w:rPr>
                <w:rFonts w:ascii="宋体" w:hAnsi="宋体" w:cs="宋体" w:eastAsia="宋体" w:hint="default"/>
                <w:spacing w:val="-1"/>
                <w:sz w:val="18"/>
                <w:szCs w:val="18"/>
              </w:rPr>
              <w:t>长、上海艾云慧信创业投资有限公司副董事长、曲水信佳科技有限公司执行董</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事、上海海隆软件有限公司董事长</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实际控制人报告期内变更</w:t>
      </w:r>
    </w:p>
    <w:p>
      <w:pPr>
        <w:pStyle w:val="BodyText"/>
        <w:spacing w:line="348" w:lineRule="auto" w:before="116"/>
        <w:ind w:left="153"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9"/>
        <w:rPr>
          <w:rFonts w:ascii="宋体" w:hAnsi="宋体" w:cs="宋体" w:eastAsia="宋体" w:hint="default"/>
          <w:sz w:val="15"/>
          <w:szCs w:val="15"/>
        </w:rPr>
      </w:pPr>
    </w:p>
    <w:p>
      <w:pPr>
        <w:spacing w:line="6195" w:lineRule="exact"/>
        <w:ind w:left="1373" w:right="0" w:firstLine="0"/>
        <w:rPr>
          <w:rFonts w:ascii="宋体" w:hAnsi="宋体" w:cs="宋体" w:eastAsia="宋体" w:hint="default"/>
          <w:sz w:val="20"/>
          <w:szCs w:val="20"/>
        </w:rPr>
      </w:pPr>
      <w:r>
        <w:rPr>
          <w:rFonts w:ascii="宋体" w:hAnsi="宋体" w:cs="宋体" w:eastAsia="宋体" w:hint="default"/>
          <w:position w:val="-123"/>
          <w:sz w:val="20"/>
          <w:szCs w:val="20"/>
        </w:rPr>
        <w:drawing>
          <wp:inline distT="0" distB="0" distL="0" distR="0">
            <wp:extent cx="4591050" cy="3933825"/>
            <wp:effectExtent l="0" t="0" r="0" b="0"/>
            <wp:docPr id="13" name="image8.jpeg" descr=""/>
            <wp:cNvGraphicFramePr>
              <a:graphicFrameLocks noChangeAspect="1"/>
            </wp:cNvGraphicFramePr>
            <a:graphic>
              <a:graphicData uri="http://schemas.openxmlformats.org/drawingml/2006/picture">
                <pic:pic>
                  <pic:nvPicPr>
                    <pic:cNvPr id="14" name="image8.jpeg"/>
                    <pic:cNvPicPr/>
                  </pic:nvPicPr>
                  <pic:blipFill>
                    <a:blip r:embed="rId17" cstate="print"/>
                    <a:stretch>
                      <a:fillRect/>
                    </a:stretch>
                  </pic:blipFill>
                  <pic:spPr>
                    <a:xfrm>
                      <a:off x="0" y="0"/>
                      <a:ext cx="4591050" cy="3933825"/>
                    </a:xfrm>
                    <a:prstGeom prst="rect">
                      <a:avLst/>
                    </a:prstGeom>
                  </pic:spPr>
                </pic:pic>
              </a:graphicData>
            </a:graphic>
          </wp:inline>
        </w:drawing>
      </w:r>
      <w:r>
        <w:rPr>
          <w:rFonts w:ascii="宋体" w:hAnsi="宋体" w:cs="宋体" w:eastAsia="宋体" w:hint="default"/>
          <w:position w:val="-123"/>
          <w:sz w:val="20"/>
          <w:szCs w:val="20"/>
        </w:rPr>
      </w:r>
    </w:p>
    <w:p>
      <w:pPr>
        <w:spacing w:line="240" w:lineRule="auto" w:before="12"/>
        <w:rPr>
          <w:rFonts w:ascii="宋体" w:hAnsi="宋体" w:cs="宋体" w:eastAsia="宋体" w:hint="default"/>
          <w:sz w:val="17"/>
          <w:szCs w:val="17"/>
        </w:rPr>
      </w:pPr>
    </w:p>
    <w:p>
      <w:pPr>
        <w:pStyle w:val="BodyText"/>
        <w:spacing w:line="240" w:lineRule="auto" w:before="0"/>
        <w:ind w:left="153" w:right="0"/>
        <w:jc w:val="left"/>
      </w:pPr>
      <w:r>
        <w:rPr/>
        <w:t>实际控制人通过信托或其他资产管理方式控制公司</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4、其他持股在10%以上的法人股东" w:id="116"/>
      <w:bookmarkEnd w:id="116"/>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702"/>
        <w:gridCol w:w="1106"/>
        <w:gridCol w:w="993"/>
        <w:gridCol w:w="1139"/>
        <w:gridCol w:w="4700"/>
      </w:tblGrid>
      <w:tr>
        <w:trPr>
          <w:trHeight w:val="71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98" w:right="71"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4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54"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02"/>
        <w:gridCol w:w="1106"/>
        <w:gridCol w:w="993"/>
        <w:gridCol w:w="1139"/>
        <w:gridCol w:w="4701"/>
      </w:tblGrid>
      <w:tr>
        <w:trPr>
          <w:trHeight w:val="227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47"/>
              <w:jc w:val="left"/>
              <w:rPr>
                <w:rFonts w:ascii="宋体" w:hAnsi="宋体" w:cs="宋体" w:eastAsia="宋体" w:hint="default"/>
                <w:sz w:val="18"/>
                <w:szCs w:val="18"/>
              </w:rPr>
            </w:pPr>
            <w:r>
              <w:rPr>
                <w:rFonts w:ascii="宋体" w:hAnsi="宋体" w:cs="宋体" w:eastAsia="宋体" w:hint="default"/>
                <w:sz w:val="18"/>
                <w:szCs w:val="18"/>
              </w:rPr>
              <w:t>浙富控股集团股份有 限公司</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孙毅</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197,871.9849</w:t>
            </w:r>
          </w:p>
          <w:p>
            <w:pPr>
              <w:pStyle w:val="TableParagraph"/>
              <w:spacing w:line="240" w:lineRule="auto" w:before="67"/>
              <w:ind w:left="22" w:right="0"/>
              <w:jc w:val="left"/>
              <w:rPr>
                <w:rFonts w:ascii="宋体" w:hAnsi="宋体" w:cs="宋体" w:eastAsia="宋体" w:hint="default"/>
                <w:sz w:val="18"/>
                <w:szCs w:val="18"/>
              </w:rPr>
            </w:pPr>
            <w:r>
              <w:rPr>
                <w:rFonts w:ascii="宋体" w:hAnsi="宋体" w:cs="宋体" w:eastAsia="宋体" w:hint="default"/>
                <w:sz w:val="18"/>
                <w:szCs w:val="18"/>
              </w:rPr>
              <w:t>万元人民币</w:t>
            </w:r>
          </w:p>
        </w:tc>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both"/>
              <w:rPr>
                <w:rFonts w:ascii="宋体" w:hAnsi="宋体" w:cs="宋体" w:eastAsia="宋体" w:hint="default"/>
                <w:sz w:val="18"/>
                <w:szCs w:val="18"/>
              </w:rPr>
            </w:pPr>
            <w:r>
              <w:rPr>
                <w:rFonts w:ascii="宋体" w:hAnsi="宋体" w:cs="宋体" w:eastAsia="宋体" w:hint="default"/>
                <w:spacing w:val="-4"/>
                <w:sz w:val="18"/>
                <w:szCs w:val="18"/>
              </w:rPr>
              <w:t>许可经营项目：压力容器（《中华人民共和国特种设备制造</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许可证》有效期至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pacing w:val="-10"/>
                <w:sz w:val="18"/>
                <w:szCs w:val="18"/>
              </w:rPr>
              <w:t>日）；电站机电设备工程</w:t>
            </w:r>
            <w:r>
              <w:rPr>
                <w:rFonts w:ascii="宋体" w:hAnsi="宋体" w:cs="宋体" w:eastAsia="宋体" w:hint="default"/>
                <w:sz w:val="18"/>
                <w:szCs w:val="18"/>
              </w:rPr>
              <w:t> </w:t>
            </w:r>
            <w:r>
              <w:rPr>
                <w:rFonts w:ascii="宋体" w:hAnsi="宋体" w:cs="宋体" w:eastAsia="宋体" w:hint="default"/>
                <w:spacing w:val="-8"/>
                <w:sz w:val="18"/>
                <w:szCs w:val="18"/>
              </w:rPr>
              <w:t>总承包。（经营范围中涉及许可证的项目凭证经营），对外承</w:t>
            </w:r>
            <w:r>
              <w:rPr>
                <w:rFonts w:ascii="宋体" w:hAnsi="宋体" w:cs="宋体" w:eastAsia="宋体" w:hint="default"/>
                <w:sz w:val="18"/>
                <w:szCs w:val="18"/>
              </w:rPr>
              <w:t> </w:t>
            </w:r>
            <w:r>
              <w:rPr>
                <w:rFonts w:ascii="宋体" w:hAnsi="宋体" w:cs="宋体" w:eastAsia="宋体" w:hint="default"/>
                <w:spacing w:val="-7"/>
                <w:sz w:val="18"/>
                <w:szCs w:val="18"/>
              </w:rPr>
              <w:t>包工程（详见《中华人民共和国对外承包工程资格证书》）。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一般经营项目：生产、加工：水轮发电机组及安装、水工机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械设备、机电配件、化纤机械设备、金属结构件、电站机电</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设备，有色金属的销售，实业投资，经营进出口业务。</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曲水信佳科技有限公 司</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包叔平</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 币</w:t>
            </w:r>
          </w:p>
        </w:tc>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计算机服务【依法需经批准的项目、经相关部门批准后，方</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可经营此项目】</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5、控股股东、实际控制人、重组方及其他承诺主体股份限制减持情况" w:id="117"/>
      <w:bookmarkEnd w:id="117"/>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18"/>
      <w:bookmarkEnd w:id="118"/>
      <w:r>
        <w:rPr>
          <w:b w:val="0"/>
          <w:bCs w:val="0"/>
        </w:rPr>
      </w:r>
      <w:bookmarkStart w:name="_bookmark5" w:id="119"/>
      <w:bookmarkEnd w:id="119"/>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ind w:left="153"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20"/>
      <w:bookmarkEnd w:id="120"/>
      <w:r>
        <w:rPr>
          <w:b w:val="0"/>
          <w:bCs w:val="0"/>
        </w:rPr>
      </w:r>
      <w:bookmarkStart w:name="_bookmark6" w:id="121"/>
      <w:bookmarkEnd w:id="121"/>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4"/>
        <w:spacing w:line="240" w:lineRule="auto"/>
        <w:ind w:right="0"/>
        <w:jc w:val="left"/>
        <w:rPr>
          <w:b w:val="0"/>
          <w:bCs w:val="0"/>
        </w:rPr>
      </w:pPr>
      <w:bookmarkStart w:name="一、董事、监事和高级管理人员持股变动" w:id="122"/>
      <w:bookmarkEnd w:id="122"/>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533"/>
        <w:gridCol w:w="282"/>
        <w:gridCol w:w="284"/>
        <w:gridCol w:w="992"/>
        <w:gridCol w:w="992"/>
        <w:gridCol w:w="992"/>
        <w:gridCol w:w="994"/>
        <w:gridCol w:w="1044"/>
        <w:gridCol w:w="956"/>
        <w:gridCol w:w="992"/>
      </w:tblGrid>
      <w:tr>
        <w:trPr>
          <w:trHeight w:val="713"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0" w:right="80"/>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5" w:right="44"/>
              <w:jc w:val="left"/>
              <w:rPr>
                <w:rFonts w:ascii="宋体" w:hAnsi="宋体" w:cs="宋体" w:eastAsia="宋体" w:hint="default"/>
                <w:sz w:val="18"/>
                <w:szCs w:val="18"/>
              </w:rPr>
            </w:pPr>
            <w:r>
              <w:rPr>
                <w:rFonts w:ascii="宋体" w:hAnsi="宋体" w:cs="宋体" w:eastAsia="宋体" w:hint="default"/>
                <w:sz w:val="18"/>
                <w:szCs w:val="18"/>
              </w:rPr>
              <w:t>性 别</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4"/>
              <w:jc w:val="left"/>
              <w:rPr>
                <w:rFonts w:ascii="宋体" w:hAnsi="宋体" w:cs="宋体" w:eastAsia="宋体" w:hint="default"/>
                <w:sz w:val="18"/>
                <w:szCs w:val="18"/>
              </w:rPr>
            </w:pPr>
            <w:r>
              <w:rPr>
                <w:rFonts w:ascii="宋体" w:hAnsi="宋体" w:cs="宋体" w:eastAsia="宋体" w:hint="default"/>
                <w:sz w:val="18"/>
                <w:szCs w:val="18"/>
              </w:rPr>
              <w:t>年 龄</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0" w:right="41"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1" w:right="39" w:hanging="361"/>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33" w:firstLine="18"/>
              <w:jc w:val="left"/>
              <w:rPr>
                <w:rFonts w:ascii="宋体" w:hAnsi="宋体" w:cs="宋体" w:eastAsia="宋体" w:hint="default"/>
                <w:sz w:val="18"/>
                <w:szCs w:val="18"/>
              </w:rPr>
            </w:pPr>
            <w:r>
              <w:rPr>
                <w:rFonts w:ascii="宋体" w:hAnsi="宋体" w:cs="宋体" w:eastAsia="宋体" w:hint="default"/>
                <w:sz w:val="18"/>
                <w:szCs w:val="18"/>
              </w:rPr>
              <w:t>本期增持股 </w:t>
            </w:r>
            <w:r>
              <w:rPr>
                <w:rFonts w:ascii="宋体" w:hAnsi="宋体" w:cs="宋体" w:eastAsia="宋体" w:hint="default"/>
                <w:spacing w:val="-15"/>
                <w:sz w:val="18"/>
                <w:szCs w:val="18"/>
              </w:rPr>
              <w:t>份数量（股）</w:t>
            </w:r>
            <w:r>
              <w:rPr>
                <w:rFonts w:ascii="宋体" w:hAnsi="宋体" w:cs="宋体" w:eastAsia="宋体" w:hint="default"/>
                <w:sz w:val="18"/>
                <w:szCs w:val="18"/>
              </w:rPr>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0" w:firstLine="44"/>
              <w:jc w:val="left"/>
              <w:rPr>
                <w:rFonts w:ascii="宋体" w:hAnsi="宋体" w:cs="宋体" w:eastAsia="宋体" w:hint="default"/>
                <w:sz w:val="18"/>
                <w:szCs w:val="18"/>
              </w:rPr>
            </w:pPr>
            <w:r>
              <w:rPr>
                <w:rFonts w:ascii="宋体" w:hAnsi="宋体" w:cs="宋体" w:eastAsia="宋体" w:hint="default"/>
                <w:sz w:val="18"/>
                <w:szCs w:val="18"/>
              </w:rPr>
              <w:t>本期减持股 份数量（股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其他增减变</w:t>
            </w:r>
          </w:p>
          <w:p>
            <w:pPr>
              <w:pStyle w:val="TableParagraph"/>
              <w:spacing w:line="240" w:lineRule="auto" w:before="76"/>
              <w:ind w:left="-1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34"/>
                <w:sz w:val="18"/>
                <w:szCs w:val="18"/>
              </w:rPr>
              <w:t> </w:t>
            </w:r>
            <w:r>
              <w:rPr>
                <w:rFonts w:ascii="宋体" w:hAnsi="宋体" w:cs="宋体" w:eastAsia="宋体" w:hint="default"/>
                <w:sz w:val="18"/>
                <w:szCs w:val="18"/>
              </w:rPr>
              <w:t>动（股）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包叔平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27,635,174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7,082,256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41,452,761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59,170,191</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庞升东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37,220,855</w:t>
            </w:r>
          </w:p>
        </w:tc>
        <w:tc>
          <w:tcPr>
            <w:tcW w:w="99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55,831,282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93,052,137</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陈于冰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潘世雷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858,000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88,500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314,450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1,287,000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1,919,050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许俊峰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97,500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陈乐波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严德铭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韩建法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李志清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394,680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592,020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986,700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429,000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357,500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罗玉婷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134,506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201,759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336,265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代小虎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副总经 理、财务 负责人</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邱俊祺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副总经</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429,000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40,300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72,425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643,500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1,040,375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533"/>
        <w:gridCol w:w="282"/>
        <w:gridCol w:w="284"/>
        <w:gridCol w:w="992"/>
        <w:gridCol w:w="992"/>
        <w:gridCol w:w="992"/>
        <w:gridCol w:w="994"/>
        <w:gridCol w:w="1044"/>
        <w:gridCol w:w="956"/>
        <w:gridCol w:w="992"/>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2"/>
              <w:jc w:val="left"/>
              <w:rPr>
                <w:rFonts w:ascii="宋体" w:hAnsi="宋体" w:cs="宋体" w:eastAsia="宋体" w:hint="default"/>
                <w:sz w:val="18"/>
                <w:szCs w:val="18"/>
              </w:rPr>
            </w:pPr>
            <w:r>
              <w:rPr>
                <w:rFonts w:ascii="宋体" w:hAnsi="宋体" w:cs="宋体" w:eastAsia="宋体" w:hint="default"/>
                <w:sz w:val="18"/>
                <w:szCs w:val="18"/>
              </w:rPr>
              <w:t>理、董事 会秘书</w:t>
            </w:r>
          </w:p>
        </w:tc>
        <w:tc>
          <w:tcPr>
            <w:tcW w:w="533"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离任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321,750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40,220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482,625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779,155</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0"/>
              <w:jc w:val="right"/>
              <w:rPr>
                <w:rFonts w:ascii="Times New Roman" w:hAnsi="Times New Roman" w:cs="Times New Roman" w:eastAsia="Times New Roman" w:hint="default"/>
                <w:sz w:val="18"/>
                <w:szCs w:val="18"/>
              </w:rPr>
            </w:pPr>
            <w:r>
              <w:rPr>
                <w:rFonts w:ascii="Times New Roman"/>
                <w:sz w:val="18"/>
              </w:rPr>
              <w:t>--</w:t>
            </w:r>
          </w:p>
        </w:tc>
        <w:tc>
          <w:tcPr>
            <w:tcW w:w="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8" w:right="0"/>
              <w:jc w:val="lef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67,461,965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7,226,056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17,427,095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100,477,947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157,738,873</w:t>
            </w:r>
          </w:p>
        </w:tc>
      </w:tr>
    </w:tbl>
    <w:p>
      <w:pPr>
        <w:spacing w:line="240" w:lineRule="auto" w:before="2"/>
        <w:rPr>
          <w:rFonts w:ascii="宋体" w:hAnsi="宋体" w:cs="宋体" w:eastAsia="宋体" w:hint="default"/>
          <w:b/>
          <w:bCs/>
          <w:sz w:val="18"/>
          <w:szCs w:val="18"/>
        </w:rPr>
      </w:pPr>
    </w:p>
    <w:p>
      <w:pPr>
        <w:pStyle w:val="Heading4"/>
        <w:spacing w:line="240" w:lineRule="auto" w:before="26"/>
        <w:ind w:left="154" w:right="0"/>
        <w:jc w:val="left"/>
        <w:rPr>
          <w:b w:val="0"/>
          <w:bCs w:val="0"/>
        </w:rPr>
      </w:pPr>
      <w:bookmarkStart w:name="二、公司董事、监事、高级管理人员变动情况" w:id="123"/>
      <w:bookmarkEnd w:id="123"/>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932"/>
        <w:gridCol w:w="1330"/>
        <w:gridCol w:w="1788"/>
        <w:gridCol w:w="3261"/>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李静</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辞职</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董樑</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辞职</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2"/>
        <w:rPr>
          <w:rFonts w:ascii="宋体" w:hAnsi="宋体" w:cs="宋体" w:eastAsia="宋体" w:hint="default"/>
          <w:b/>
          <w:bCs/>
          <w:sz w:val="18"/>
          <w:szCs w:val="18"/>
        </w:rPr>
      </w:pPr>
    </w:p>
    <w:p>
      <w:pPr>
        <w:pStyle w:val="Heading4"/>
        <w:spacing w:line="240" w:lineRule="auto" w:before="26"/>
        <w:ind w:left="154" w:right="0"/>
        <w:jc w:val="both"/>
        <w:rPr>
          <w:b w:val="0"/>
          <w:bCs w:val="0"/>
        </w:rPr>
      </w:pPr>
      <w:bookmarkStart w:name="三、任职情况" w:id="124"/>
      <w:bookmarkEnd w:id="124"/>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before="0"/>
        <w:ind w:left="153" w:right="3733"/>
        <w:jc w:val="left"/>
      </w:pPr>
      <w:r>
        <w:rPr/>
        <w:t>公司现任董事、监事、高级管理人员专业背景、主要工作经历以及目前在公司的主要职责 公司现任董事主要工作经历</w:t>
      </w:r>
    </w:p>
    <w:p>
      <w:pPr>
        <w:spacing w:line="240" w:lineRule="auto" w:before="12"/>
        <w:rPr>
          <w:rFonts w:ascii="宋体" w:hAnsi="宋体" w:cs="宋体" w:eastAsia="宋体" w:hint="default"/>
          <w:sz w:val="22"/>
          <w:szCs w:val="22"/>
        </w:rPr>
      </w:pPr>
    </w:p>
    <w:p>
      <w:pPr>
        <w:pStyle w:val="BodyText"/>
        <w:spacing w:line="309" w:lineRule="auto" w:before="0"/>
        <w:ind w:left="153" w:right="1129"/>
        <w:jc w:val="both"/>
      </w:pPr>
      <w:r>
        <w:rPr>
          <w:spacing w:val="-2"/>
        </w:rPr>
        <w:t>包叔平先生，中国国籍，</w:t>
      </w:r>
      <w:r>
        <w:rPr>
          <w:rFonts w:ascii="Times New Roman" w:hAnsi="Times New Roman" w:cs="Times New Roman" w:eastAsia="Times New Roman" w:hint="default"/>
          <w:spacing w:val="-2"/>
        </w:rPr>
        <w:t>1955</w:t>
      </w:r>
      <w:r>
        <w:rPr>
          <w:spacing w:val="-2"/>
        </w:rPr>
        <w:t>年生，博士学历。</w:t>
      </w:r>
      <w:r>
        <w:rPr>
          <w:rFonts w:ascii="Times New Roman" w:hAnsi="Times New Roman" w:cs="Times New Roman" w:eastAsia="Times New Roman" w:hint="default"/>
          <w:spacing w:val="-2"/>
        </w:rPr>
        <w:t>1982</w:t>
      </w:r>
      <w:r>
        <w:rPr>
          <w:spacing w:val="-2"/>
        </w:rPr>
        <w:t>年毕业于南京工学院自动控制系，获学士学位，</w:t>
      </w:r>
      <w:r>
        <w:rPr>
          <w:rFonts w:ascii="Times New Roman" w:hAnsi="Times New Roman" w:cs="Times New Roman" w:eastAsia="Times New Roman" w:hint="default"/>
          <w:spacing w:val="-2"/>
        </w:rPr>
        <w:t>1988</w:t>
      </w:r>
      <w:r>
        <w:rPr>
          <w:spacing w:val="-2"/>
        </w:rPr>
        <w:t>年毕业于日本京都</w:t>
      </w:r>
      <w:r>
        <w:rPr>
          <w:spacing w:val="-54"/>
        </w:rPr>
        <w:t> </w:t>
      </w:r>
      <w:r>
        <w:rPr>
          <w:spacing w:val="-54"/>
        </w:rPr>
      </w:r>
      <w:r>
        <w:rPr>
          <w:spacing w:val="-5"/>
        </w:rPr>
        <w:t>大学，获博士学位。曾任日本欧姆龙株式会社</w:t>
      </w:r>
      <w:r>
        <w:rPr>
          <w:rFonts w:ascii="Times New Roman" w:hAnsi="Times New Roman" w:cs="Times New Roman" w:eastAsia="Times New Roman" w:hint="default"/>
          <w:spacing w:val="-5"/>
        </w:rPr>
        <w:t>IT</w:t>
      </w:r>
      <w:r>
        <w:rPr>
          <w:spacing w:val="-5"/>
        </w:rPr>
        <w:t>研究所研究员，自</w:t>
      </w:r>
      <w:r>
        <w:rPr>
          <w:rFonts w:ascii="Times New Roman" w:hAnsi="Times New Roman" w:cs="Times New Roman" w:eastAsia="Times New Roman" w:hint="default"/>
          <w:spacing w:val="-5"/>
        </w:rPr>
        <w:t>1989</w:t>
      </w:r>
      <w:r>
        <w:rPr>
          <w:spacing w:val="-5"/>
        </w:rPr>
        <w:t>年受欧姆龙委派回国创办上海中立计算机有限公司（公</w:t>
      </w:r>
      <w:r>
        <w:rPr>
          <w:spacing w:val="-58"/>
        </w:rPr>
        <w:t> </w:t>
      </w:r>
      <w:r>
        <w:rPr>
          <w:spacing w:val="-58"/>
        </w:rPr>
      </w:r>
      <w:r>
        <w:rPr>
          <w:spacing w:val="-2"/>
        </w:rPr>
        <w:t>司前身）并经营至今。现任本公司董事长，日本海隆株式会社董事长，上海华钟计算机软件开发有限公司董事长，江苏海隆</w:t>
      </w:r>
      <w:r>
        <w:rPr>
          <w:spacing w:val="-66"/>
        </w:rPr>
        <w:t> </w:t>
      </w:r>
      <w:r>
        <w:rPr>
          <w:spacing w:val="-66"/>
        </w:rPr>
      </w:r>
      <w:r>
        <w:rPr>
          <w:spacing w:val="-2"/>
        </w:rPr>
        <w:t>软件技术有限公司董事长，上海艾云慧信创业投资有限公司副董事长，曲水信佳科技有限公司执行董事，上海海隆软件有限</w:t>
      </w:r>
      <w:r>
        <w:rPr>
          <w:spacing w:val="-66"/>
        </w:rPr>
        <w:t> </w:t>
      </w:r>
      <w:r>
        <w:rPr>
          <w:spacing w:val="-66"/>
        </w:rPr>
      </w:r>
      <w:r>
        <w:rPr/>
        <w:t>公司董事长。</w:t>
      </w:r>
    </w:p>
    <w:p>
      <w:pPr>
        <w:spacing w:line="240" w:lineRule="auto" w:before="9"/>
        <w:rPr>
          <w:rFonts w:ascii="宋体" w:hAnsi="宋体" w:cs="宋体" w:eastAsia="宋体" w:hint="default"/>
          <w:sz w:val="25"/>
          <w:szCs w:val="25"/>
        </w:rPr>
      </w:pPr>
    </w:p>
    <w:p>
      <w:pPr>
        <w:pStyle w:val="BodyText"/>
        <w:spacing w:line="307" w:lineRule="auto" w:before="0"/>
        <w:ind w:left="153" w:right="0"/>
        <w:jc w:val="left"/>
      </w:pPr>
      <w:r>
        <w:rPr/>
        <w:t>庞升东先生，中国国籍，</w:t>
      </w:r>
      <w:r>
        <w:rPr>
          <w:rFonts w:ascii="Times New Roman" w:hAnsi="Times New Roman" w:cs="Times New Roman" w:eastAsia="Times New Roman" w:hint="default"/>
        </w:rPr>
        <w:t>1977</w:t>
      </w:r>
      <w:r>
        <w:rPr/>
        <w:t>年生，</w:t>
      </w:r>
      <w:r>
        <w:rPr>
          <w:rFonts w:ascii="Times New Roman" w:hAnsi="Times New Roman" w:cs="Times New Roman" w:eastAsia="Times New Roman" w:hint="default"/>
        </w:rPr>
        <w:t>1998</w:t>
      </w:r>
      <w:r>
        <w:rPr/>
        <w:t>年毕业于宁波大学经济管理系；</w:t>
      </w:r>
      <w:r>
        <w:rPr>
          <w:rFonts w:ascii="Times New Roman" w:hAnsi="Times New Roman" w:cs="Times New Roman" w:eastAsia="Times New Roman" w:hint="default"/>
        </w:rPr>
        <w:t>2011</w:t>
      </w:r>
      <w:r>
        <w:rPr/>
        <w:t>年毕业于长江商学院，获得硕士学位。</w:t>
      </w:r>
      <w:r>
        <w:rPr>
          <w:rFonts w:ascii="Times New Roman" w:hAnsi="Times New Roman" w:cs="Times New Roman" w:eastAsia="Times New Roman" w:hint="default"/>
        </w:rPr>
        <w:t>2005 </w:t>
      </w:r>
      <w:r>
        <w:rPr>
          <w:spacing w:val="-2"/>
        </w:rPr>
        <w:t>年创立上海我要网络有限公司，曾任上海瑞创网络科技股份有限公司董事长，</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月任上海二三四五网络科</w:t>
      </w:r>
      <w:r>
        <w:rPr>
          <w:spacing w:val="-53"/>
        </w:rPr>
        <w:t> </w:t>
      </w:r>
      <w:r>
        <w:rPr>
          <w:spacing w:val="-2"/>
        </w:rPr>
        <w:t>技股份有限公司董事长兼总经理。现任上海二三四五网络科技有限公司法定代表人、执行董事兼总经理，并任吉隆瑞信投资</w:t>
      </w:r>
      <w:r>
        <w:rPr>
          <w:spacing w:val="-66"/>
        </w:rPr>
        <w:t> </w:t>
      </w:r>
      <w:r>
        <w:rPr>
          <w:spacing w:val="-66"/>
        </w:rPr>
      </w:r>
      <w:r>
        <w:rPr/>
        <w:t>有限公司及吉隆瑞美信息咨询有限公司执行董事。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日起任本公司副董事长。</w:t>
      </w:r>
    </w:p>
    <w:p>
      <w:pPr>
        <w:spacing w:line="240" w:lineRule="auto" w:before="5"/>
        <w:rPr>
          <w:rFonts w:ascii="宋体" w:hAnsi="宋体" w:cs="宋体" w:eastAsia="宋体" w:hint="default"/>
          <w:sz w:val="24"/>
          <w:szCs w:val="24"/>
        </w:rPr>
      </w:pPr>
    </w:p>
    <w:p>
      <w:pPr>
        <w:pStyle w:val="BodyText"/>
        <w:spacing w:line="300" w:lineRule="auto" w:before="0"/>
        <w:ind w:left="153" w:right="1131"/>
        <w:jc w:val="both"/>
      </w:pPr>
      <w:r>
        <w:rPr>
          <w:spacing w:val="-2"/>
        </w:rPr>
        <w:t>陈于冰先生，中国国籍，拥有美国居留权。</w:t>
      </w:r>
      <w:r>
        <w:rPr>
          <w:rFonts w:ascii="Times New Roman" w:hAnsi="Times New Roman" w:cs="Times New Roman" w:eastAsia="Times New Roman" w:hint="default"/>
          <w:spacing w:val="-2"/>
        </w:rPr>
        <w:t>1977</w:t>
      </w:r>
      <w:r>
        <w:rPr>
          <w:spacing w:val="-2"/>
        </w:rPr>
        <w:t>年生，研究生学历，保荐代表人。分别于</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2002</w:t>
      </w:r>
      <w:r>
        <w:rPr>
          <w:spacing w:val="-2"/>
        </w:rPr>
        <w:t>年毕业于上海复旦大</w:t>
      </w:r>
      <w:r>
        <w:rPr>
          <w:spacing w:val="-58"/>
        </w:rPr>
        <w:t> </w:t>
      </w:r>
      <w:r>
        <w:rPr>
          <w:spacing w:val="-58"/>
        </w:rPr>
      </w:r>
      <w:r>
        <w:rPr>
          <w:spacing w:val="-2"/>
        </w:rPr>
        <w:t>学，获得经济学院学士及硕士学位。</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月，就职于国泰君安证券股份有限公司投资银行部、中小企业融资</w:t>
      </w:r>
      <w:r>
        <w:rPr>
          <w:spacing w:val="-56"/>
        </w:rPr>
        <w:t> </w:t>
      </w:r>
      <w:r>
        <w:rPr>
          <w:spacing w:val="-56"/>
        </w:rPr>
      </w:r>
      <w:r>
        <w:rPr/>
        <w:t>部，历任高级经理、董事、执行董事、董事总经理。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月起，任本公司投资总监。</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日起任本公司董事，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11</w:t>
      </w:r>
      <w:r>
        <w:rPr/>
        <w:t>日起任本公司董事、总经理。</w:t>
      </w:r>
    </w:p>
    <w:p>
      <w:pPr>
        <w:spacing w:line="240" w:lineRule="auto" w:before="11"/>
        <w:rPr>
          <w:rFonts w:ascii="宋体" w:hAnsi="宋体" w:cs="宋体" w:eastAsia="宋体" w:hint="default"/>
          <w:sz w:val="24"/>
          <w:szCs w:val="24"/>
        </w:rPr>
      </w:pPr>
    </w:p>
    <w:p>
      <w:pPr>
        <w:pStyle w:val="BodyText"/>
        <w:spacing w:line="309" w:lineRule="auto" w:before="0"/>
        <w:ind w:left="153" w:right="1033"/>
        <w:jc w:val="left"/>
      </w:pPr>
      <w:r>
        <w:rPr>
          <w:spacing w:val="-2"/>
        </w:rPr>
        <w:t>潘世雷先生，中国国籍，</w:t>
      </w:r>
      <w:r>
        <w:rPr>
          <w:rFonts w:ascii="Times New Roman" w:hAnsi="Times New Roman" w:cs="Times New Roman" w:eastAsia="Times New Roman" w:hint="default"/>
          <w:spacing w:val="-2"/>
        </w:rPr>
        <w:t>1964</w:t>
      </w:r>
      <w:r>
        <w:rPr>
          <w:spacing w:val="-2"/>
        </w:rPr>
        <w:t>年生，研究生学历，高级工程师。</w:t>
      </w:r>
      <w:r>
        <w:rPr>
          <w:rFonts w:ascii="Times New Roman" w:hAnsi="Times New Roman" w:cs="Times New Roman" w:eastAsia="Times New Roman" w:hint="default"/>
          <w:spacing w:val="-2"/>
        </w:rPr>
        <w:t>1989</w:t>
      </w:r>
      <w:r>
        <w:rPr>
          <w:spacing w:val="-2"/>
        </w:rPr>
        <w:t>年毕业于上海交通大学，获硕士学位。随后进入上海中</w:t>
      </w:r>
      <w:r>
        <w:rPr>
          <w:spacing w:val="-62"/>
        </w:rPr>
        <w:t> </w:t>
      </w:r>
      <w:r>
        <w:rPr>
          <w:spacing w:val="-62"/>
        </w:rPr>
      </w:r>
      <w:r>
        <w:rPr/>
        <w:t>立计算机有限公司（公司前身）工作至今，历任程序员、高级程序员、项目经理、部门经理、副总经理。现任本公司董事、</w:t>
      </w:r>
      <w:r>
        <w:rPr>
          <w:spacing w:val="-84"/>
        </w:rPr>
        <w:t> </w:t>
      </w:r>
      <w:r>
        <w:rPr>
          <w:spacing w:val="-84"/>
        </w:rPr>
      </w:r>
      <w:r>
        <w:rPr/>
        <w:t>副总经理，上海海隆宜通信息技术有限公司董事长，上海海隆软件有限公司董事、副总经理。</w:t>
      </w:r>
    </w:p>
    <w:p>
      <w:pPr>
        <w:spacing w:line="240" w:lineRule="auto" w:before="9"/>
        <w:rPr>
          <w:rFonts w:ascii="宋体" w:hAnsi="宋体" w:cs="宋体" w:eastAsia="宋体" w:hint="default"/>
          <w:sz w:val="25"/>
          <w:szCs w:val="25"/>
        </w:rPr>
      </w:pPr>
    </w:p>
    <w:p>
      <w:pPr>
        <w:pStyle w:val="BodyText"/>
        <w:spacing w:line="309" w:lineRule="auto" w:before="0"/>
        <w:ind w:left="153" w:right="1130"/>
        <w:jc w:val="both"/>
      </w:pPr>
      <w:r>
        <w:rPr>
          <w:spacing w:val="-2"/>
        </w:rPr>
        <w:t>许俊峰先生，中国国籍，</w:t>
      </w:r>
      <w:r>
        <w:rPr>
          <w:rFonts w:ascii="Times New Roman" w:hAnsi="Times New Roman" w:cs="Times New Roman" w:eastAsia="Times New Roman" w:hint="default"/>
          <w:spacing w:val="-2"/>
        </w:rPr>
        <w:t>1965</w:t>
      </w:r>
      <w:r>
        <w:rPr>
          <w:spacing w:val="-2"/>
        </w:rPr>
        <w:t>年生，大学学历。毕业于上海交通大学应用数学系。曾任职于上海市地下建筑设计院、上海中</w:t>
      </w:r>
      <w:r>
        <w:rPr>
          <w:spacing w:val="-63"/>
        </w:rPr>
        <w:t> </w:t>
      </w:r>
      <w:r>
        <w:rPr>
          <w:spacing w:val="-63"/>
        </w:rPr>
      </w:r>
      <w:r>
        <w:rPr>
          <w:spacing w:val="-2"/>
        </w:rPr>
        <w:t>立计算机有限公司（公司前身）、日本系统创造株式会社。历任申软计算机技术有限公司副总经理；中讯申软计算机技术有</w:t>
      </w:r>
      <w:r>
        <w:rPr>
          <w:spacing w:val="-66"/>
        </w:rPr>
        <w:t> </w:t>
      </w:r>
      <w:r>
        <w:rPr>
          <w:spacing w:val="-66"/>
        </w:rPr>
      </w:r>
      <w:r>
        <w:rPr/>
        <w:t>限公司副总经理、总经理、副董事长、董事长；日本中讯大阪支社支社长。</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月进入公司，历任第二海外开发事业本 </w:t>
      </w:r>
      <w:r>
        <w:rPr>
          <w:spacing w:val="-2"/>
        </w:rPr>
        <w:t>部副本部长、第一海外开发事业本部本部长、日本海隆株式会社营业本部长，现任本公司董事、副总经理，上海海隆软件有</w:t>
      </w:r>
      <w:r>
        <w:rPr>
          <w:spacing w:val="-66"/>
        </w:rPr>
        <w:t> </w:t>
      </w:r>
      <w:r>
        <w:rPr>
          <w:spacing w:val="-66"/>
        </w:rPr>
      </w:r>
      <w:r>
        <w:rPr/>
        <w:t>限公司董事、总经理。</w:t>
      </w:r>
    </w:p>
    <w:p>
      <w:pPr>
        <w:spacing w:after="0" w:line="309"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ind w:left="153" w:right="1129"/>
        <w:jc w:val="both"/>
      </w:pPr>
      <w:r>
        <w:rPr>
          <w:spacing w:val="-2"/>
        </w:rPr>
        <w:t>李娟女士，中国国籍，</w:t>
      </w:r>
      <w:r>
        <w:rPr>
          <w:rFonts w:ascii="Times New Roman" w:hAnsi="Times New Roman" w:cs="Times New Roman" w:eastAsia="Times New Roman" w:hint="default"/>
          <w:spacing w:val="-2"/>
        </w:rPr>
        <w:t>1972</w:t>
      </w:r>
      <w:r>
        <w:rPr>
          <w:spacing w:val="-2"/>
        </w:rPr>
        <w:t>年生，大学学历，注册会计师、注册税务师、房地产估价师。</w:t>
      </w:r>
      <w:r>
        <w:rPr>
          <w:rFonts w:ascii="Times New Roman" w:hAnsi="Times New Roman" w:cs="Times New Roman" w:eastAsia="Times New Roman" w:hint="default"/>
          <w:spacing w:val="-2"/>
        </w:rPr>
        <w:t>1995</w:t>
      </w:r>
      <w:r>
        <w:rPr>
          <w:spacing w:val="-2"/>
        </w:rPr>
        <w:t>年毕业于浙江财经学院，获得</w:t>
      </w:r>
      <w:r>
        <w:rPr>
          <w:spacing w:val="-59"/>
        </w:rPr>
        <w:t> </w:t>
      </w:r>
      <w:r>
        <w:rPr>
          <w:spacing w:val="-59"/>
        </w:rPr>
      </w:r>
      <w:r>
        <w:rPr>
          <w:spacing w:val="-2"/>
        </w:rPr>
        <w:t>学士学位。曾就职于浙江天孚会计师事务所有限公司、浙江正大会计师事务所有限公司、信永中和会计师事务所（特殊普通</w:t>
      </w:r>
      <w:r>
        <w:rPr>
          <w:spacing w:val="-66"/>
        </w:rPr>
        <w:t> </w:t>
      </w:r>
      <w:r>
        <w:rPr>
          <w:spacing w:val="-66"/>
        </w:rPr>
      </w:r>
      <w:r>
        <w:rPr/>
        <w:t>合伙）杭州分所等，任部门经理。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月至今任浙富控股集团股份有限公司财务总监。</w:t>
      </w:r>
    </w:p>
    <w:p>
      <w:pPr>
        <w:spacing w:line="240" w:lineRule="auto" w:before="3"/>
        <w:rPr>
          <w:rFonts w:ascii="宋体" w:hAnsi="宋体" w:cs="宋体" w:eastAsia="宋体" w:hint="default"/>
          <w:sz w:val="24"/>
          <w:szCs w:val="24"/>
        </w:rPr>
      </w:pPr>
    </w:p>
    <w:p>
      <w:pPr>
        <w:pStyle w:val="BodyText"/>
        <w:spacing w:line="312" w:lineRule="auto" w:before="0"/>
        <w:ind w:right="1129"/>
        <w:jc w:val="both"/>
      </w:pPr>
      <w:r>
        <w:rPr>
          <w:spacing w:val="-2"/>
        </w:rPr>
        <w:t>陈乐波先生，中国国籍，</w:t>
      </w:r>
      <w:r>
        <w:rPr>
          <w:rFonts w:ascii="Times New Roman" w:hAnsi="Times New Roman" w:cs="Times New Roman" w:eastAsia="Times New Roman" w:hint="default"/>
          <w:spacing w:val="-2"/>
        </w:rPr>
        <w:t>1949</w:t>
      </w:r>
      <w:r>
        <w:rPr>
          <w:spacing w:val="-2"/>
        </w:rPr>
        <w:t>年生，大学学历。</w:t>
      </w:r>
      <w:r>
        <w:rPr>
          <w:rFonts w:ascii="Times New Roman" w:hAnsi="Times New Roman" w:cs="Times New Roman" w:eastAsia="Times New Roman" w:hint="default"/>
          <w:spacing w:val="-2"/>
        </w:rPr>
        <w:t>1983</w:t>
      </w:r>
      <w:r>
        <w:rPr>
          <w:spacing w:val="-2"/>
        </w:rPr>
        <w:t>年毕业于上海交通大学工业外贸专业。曾任上海交通大学教师，上海市</w:t>
      </w:r>
      <w:r>
        <w:rPr>
          <w:spacing w:val="-59"/>
        </w:rPr>
        <w:t> </w:t>
      </w:r>
      <w:r>
        <w:rPr>
          <w:spacing w:val="-59"/>
        </w:rPr>
      </w:r>
      <w:r>
        <w:rPr>
          <w:spacing w:val="-2"/>
        </w:rPr>
        <w:t>社会科学院记者、编辑、研究人员，广联（南宁）投资有限公司副总经理，上海中泰信托投资公司总经济师，昆明百货大楼</w:t>
      </w:r>
      <w:r>
        <w:rPr>
          <w:spacing w:val="-72"/>
        </w:rPr>
        <w:t> </w:t>
      </w:r>
      <w:r>
        <w:rPr>
          <w:spacing w:val="-72"/>
        </w:rPr>
      </w:r>
      <w:r>
        <w:rPr>
          <w:spacing w:val="-2"/>
        </w:rPr>
        <w:t>股份有限公司独立董事等职，现任本公司独立董事、红塔红土证券基金独立董事、上海世想海洋科技有限公司副董事长、江</w:t>
      </w:r>
      <w:r>
        <w:rPr>
          <w:spacing w:val="-66"/>
        </w:rPr>
        <w:t> </w:t>
      </w:r>
      <w:r>
        <w:rPr>
          <w:spacing w:val="-66"/>
        </w:rPr>
      </w:r>
      <w:r>
        <w:rPr/>
        <w:t>西</w:t>
      </w:r>
      <w:r>
        <w:rPr>
          <w:rFonts w:ascii="Times New Roman" w:hAnsi="Times New Roman" w:cs="Times New Roman" w:eastAsia="Times New Roman" w:hint="default"/>
        </w:rPr>
        <w:t>3L</w:t>
      </w:r>
      <w:r>
        <w:rPr/>
        <w:t>医用制品集团股份有限公司独立董事。</w:t>
      </w:r>
    </w:p>
    <w:p>
      <w:pPr>
        <w:spacing w:line="240" w:lineRule="auto" w:before="1"/>
        <w:rPr>
          <w:rFonts w:ascii="宋体" w:hAnsi="宋体" w:cs="宋体" w:eastAsia="宋体" w:hint="default"/>
          <w:sz w:val="24"/>
          <w:szCs w:val="24"/>
        </w:rPr>
      </w:pPr>
    </w:p>
    <w:p>
      <w:pPr>
        <w:pStyle w:val="BodyText"/>
        <w:spacing w:line="312" w:lineRule="auto" w:before="0"/>
        <w:ind w:left="153" w:right="1131"/>
        <w:jc w:val="both"/>
      </w:pPr>
      <w:r>
        <w:rPr>
          <w:spacing w:val="-2"/>
        </w:rPr>
        <w:t>严德铭先生，中国国籍，</w:t>
      </w:r>
      <w:r>
        <w:rPr>
          <w:rFonts w:ascii="Times New Roman" w:hAnsi="Times New Roman" w:cs="Times New Roman" w:eastAsia="Times New Roman" w:hint="default"/>
          <w:spacing w:val="-2"/>
        </w:rPr>
        <w:t>1949</w:t>
      </w:r>
      <w:r>
        <w:rPr>
          <w:spacing w:val="-2"/>
        </w:rPr>
        <w:t>年生，大专学历。</w:t>
      </w:r>
      <w:r>
        <w:rPr>
          <w:rFonts w:ascii="Times New Roman" w:hAnsi="Times New Roman" w:cs="Times New Roman" w:eastAsia="Times New Roman" w:hint="default"/>
          <w:spacing w:val="-2"/>
        </w:rPr>
        <w:t>1972</w:t>
      </w:r>
      <w:r>
        <w:rPr>
          <w:spacing w:val="-2"/>
        </w:rPr>
        <w:t>年毕业于清华大学工业自动化装置专业，</w:t>
      </w:r>
      <w:r>
        <w:rPr>
          <w:rFonts w:ascii="Times New Roman" w:hAnsi="Times New Roman" w:cs="Times New Roman" w:eastAsia="Times New Roman" w:hint="default"/>
          <w:spacing w:val="-2"/>
        </w:rPr>
        <w:t>1985</w:t>
      </w:r>
      <w:r>
        <w:rPr>
          <w:spacing w:val="-2"/>
        </w:rPr>
        <w:t>年毕业于上海机械学院党</w:t>
      </w:r>
      <w:r>
        <w:rPr>
          <w:spacing w:val="-54"/>
        </w:rPr>
        <w:t> </w:t>
      </w:r>
      <w:r>
        <w:rPr>
          <w:spacing w:val="-54"/>
        </w:rPr>
      </w:r>
      <w:r>
        <w:rPr>
          <w:spacing w:val="-2"/>
        </w:rPr>
        <w:t>政管理专业。曾任上海大学经济管理学院行政办主任、上海银华信息工程有限公司副总经理、上海复旦金仕达计算机有限公</w:t>
      </w:r>
      <w:r>
        <w:rPr>
          <w:spacing w:val="-65"/>
        </w:rPr>
        <w:t> </w:t>
      </w:r>
      <w:r>
        <w:rPr>
          <w:spacing w:val="-65"/>
        </w:rPr>
      </w:r>
      <w:r>
        <w:rPr>
          <w:spacing w:val="-2"/>
        </w:rPr>
        <w:t>司采购部主管。现任本公司独立董事、上海市软件行业协会秘书处副秘书长，上海软件对外贸易联盟秘书长，上海软件对外</w:t>
      </w:r>
      <w:r>
        <w:rPr>
          <w:spacing w:val="-66"/>
        </w:rPr>
        <w:t> </w:t>
      </w:r>
      <w:r>
        <w:rPr>
          <w:spacing w:val="-66"/>
        </w:rPr>
      </w:r>
      <w:r>
        <w:rPr/>
        <w:t>贸易联盟副理事长。</w:t>
      </w:r>
    </w:p>
    <w:p>
      <w:pPr>
        <w:spacing w:line="240" w:lineRule="auto" w:before="7"/>
        <w:rPr>
          <w:rFonts w:ascii="宋体" w:hAnsi="宋体" w:cs="宋体" w:eastAsia="宋体" w:hint="default"/>
          <w:sz w:val="25"/>
          <w:szCs w:val="25"/>
        </w:rPr>
      </w:pPr>
    </w:p>
    <w:p>
      <w:pPr>
        <w:pStyle w:val="BodyText"/>
        <w:spacing w:line="300" w:lineRule="auto" w:before="0"/>
        <w:ind w:left="153" w:right="1132"/>
        <w:jc w:val="both"/>
      </w:pPr>
      <w:r>
        <w:rPr/>
        <w:t>韩建法先生，中国国籍，</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日生，大学学历。</w:t>
      </w:r>
      <w:r>
        <w:rPr>
          <w:rFonts w:ascii="Times New Roman" w:hAnsi="Times New Roman" w:cs="Times New Roman" w:eastAsia="Times New Roman" w:hint="default"/>
        </w:rPr>
        <w:t>1996</w:t>
      </w:r>
      <w:r>
        <w:rPr/>
        <w:t>年毕业于河北经贸大学，注册会计师、注册税务师、会计师。 </w:t>
      </w:r>
      <w:r>
        <w:rPr>
          <w:rFonts w:ascii="Times New Roman" w:hAnsi="Times New Roman" w:cs="Times New Roman" w:eastAsia="Times New Roman" w:hint="default"/>
          <w:spacing w:val="-1"/>
        </w:rPr>
        <w:t>1996</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1</w:t>
      </w:r>
      <w:r>
        <w:rPr>
          <w:spacing w:val="-1"/>
        </w:rPr>
        <w:t>月任北京路德（集团）有限公司财务经理，</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月任上海汇青会计师事务所项目经理。现</w:t>
      </w:r>
      <w:r>
        <w:rPr>
          <w:spacing w:val="-48"/>
        </w:rPr>
        <w:t> </w:t>
      </w:r>
      <w:r>
        <w:rPr>
          <w:spacing w:val="-48"/>
        </w:rPr>
      </w:r>
      <w:r>
        <w:rPr/>
        <w:t>任公司独立董事、上海汇洪会计师事务所项目经理。</w:t>
      </w:r>
    </w:p>
    <w:p>
      <w:pPr>
        <w:spacing w:line="240" w:lineRule="auto" w:before="3"/>
        <w:rPr>
          <w:rFonts w:ascii="宋体" w:hAnsi="宋体" w:cs="宋体" w:eastAsia="宋体" w:hint="default"/>
          <w:sz w:val="26"/>
          <w:szCs w:val="26"/>
        </w:rPr>
      </w:pPr>
    </w:p>
    <w:p>
      <w:pPr>
        <w:pStyle w:val="BodyText"/>
        <w:spacing w:line="240" w:lineRule="auto" w:before="0"/>
        <w:ind w:right="0"/>
        <w:jc w:val="both"/>
      </w:pPr>
      <w:r>
        <w:rPr/>
        <w:t>公司现任监事主要工作经历</w:t>
      </w:r>
    </w:p>
    <w:p>
      <w:pPr>
        <w:spacing w:line="240" w:lineRule="auto" w:before="0"/>
        <w:rPr>
          <w:rFonts w:ascii="宋体" w:hAnsi="宋体" w:cs="宋体" w:eastAsia="宋体" w:hint="default"/>
          <w:sz w:val="18"/>
          <w:szCs w:val="18"/>
        </w:rPr>
      </w:pPr>
    </w:p>
    <w:p>
      <w:pPr>
        <w:pStyle w:val="BodyText"/>
        <w:spacing w:line="300" w:lineRule="auto" w:before="153"/>
        <w:ind w:right="1129"/>
        <w:jc w:val="both"/>
      </w:pPr>
      <w:r>
        <w:rPr>
          <w:spacing w:val="-2"/>
        </w:rPr>
        <w:t>李志清先生，中国国籍，</w:t>
      </w:r>
      <w:r>
        <w:rPr>
          <w:rFonts w:ascii="Times New Roman" w:hAnsi="Times New Roman" w:cs="Times New Roman" w:eastAsia="Times New Roman" w:hint="default"/>
          <w:spacing w:val="-2"/>
        </w:rPr>
        <w:t>1963</w:t>
      </w:r>
      <w:r>
        <w:rPr>
          <w:spacing w:val="-2"/>
        </w:rPr>
        <w:t>年生。研究生学历，</w:t>
      </w:r>
      <w:r>
        <w:rPr>
          <w:rFonts w:ascii="Times New Roman" w:hAnsi="Times New Roman" w:cs="Times New Roman" w:eastAsia="Times New Roman" w:hint="default"/>
          <w:spacing w:val="-2"/>
        </w:rPr>
        <w:t>1987</w:t>
      </w:r>
      <w:r>
        <w:rPr>
          <w:spacing w:val="-2"/>
        </w:rPr>
        <w:t>年毕业于上海交通大学计算机系，获硕士学位，随后进入上海交通大</w:t>
      </w:r>
      <w:r>
        <w:rPr>
          <w:spacing w:val="-58"/>
        </w:rPr>
        <w:t> </w:t>
      </w:r>
      <w:r>
        <w:rPr>
          <w:spacing w:val="-58"/>
        </w:rPr>
      </w:r>
      <w:r>
        <w:rPr>
          <w:spacing w:val="-2"/>
        </w:rPr>
        <w:t>学计算机中心任助理研究员，</w:t>
      </w:r>
      <w:r>
        <w:rPr>
          <w:rFonts w:ascii="Times New Roman" w:hAnsi="Times New Roman" w:cs="Times New Roman" w:eastAsia="Times New Roman" w:hint="default"/>
          <w:spacing w:val="-2"/>
        </w:rPr>
        <w:t>1988</w:t>
      </w:r>
      <w:r>
        <w:rPr>
          <w:spacing w:val="-2"/>
        </w:rPr>
        <w:t>年赴日本钟纺株式会社研修，</w:t>
      </w:r>
      <w:r>
        <w:rPr>
          <w:rFonts w:ascii="Times New Roman" w:hAnsi="Times New Roman" w:cs="Times New Roman" w:eastAsia="Times New Roman" w:hint="default"/>
          <w:spacing w:val="-2"/>
        </w:rPr>
        <w:t>1990</w:t>
      </w:r>
      <w:r>
        <w:rPr>
          <w:spacing w:val="-2"/>
        </w:rPr>
        <w:t>年回国后加入上海华钟计算机软件开发有限公司历任项</w:t>
      </w:r>
      <w:r>
        <w:rPr>
          <w:spacing w:val="-56"/>
        </w:rPr>
        <w:t> </w:t>
      </w:r>
      <w:r>
        <w:rPr/>
        <w:t>目经理、开发部部长、总经理助理、副总经理，现任该公司总经理兼董事及本公司监事会主席。</w:t>
      </w:r>
    </w:p>
    <w:p>
      <w:pPr>
        <w:spacing w:line="240" w:lineRule="auto" w:before="3"/>
        <w:rPr>
          <w:rFonts w:ascii="宋体" w:hAnsi="宋体" w:cs="宋体" w:eastAsia="宋体" w:hint="default"/>
          <w:sz w:val="26"/>
          <w:szCs w:val="26"/>
        </w:rPr>
      </w:pPr>
    </w:p>
    <w:p>
      <w:pPr>
        <w:pStyle w:val="BodyText"/>
        <w:spacing w:line="300" w:lineRule="auto" w:before="0"/>
        <w:ind w:left="153" w:right="1129"/>
        <w:jc w:val="both"/>
      </w:pPr>
      <w:r>
        <w:rPr/>
        <w:t>王彬先生，中国国籍，</w:t>
      </w:r>
      <w:r>
        <w:rPr>
          <w:rFonts w:ascii="Times New Roman" w:hAnsi="Times New Roman" w:cs="Times New Roman" w:eastAsia="Times New Roman" w:hint="default"/>
        </w:rPr>
        <w:t>1962</w:t>
      </w:r>
      <w:r>
        <w:rPr/>
        <w:t>年生，大学学历。</w:t>
      </w:r>
      <w:r>
        <w:rPr>
          <w:rFonts w:ascii="Times New Roman" w:hAnsi="Times New Roman" w:cs="Times New Roman" w:eastAsia="Times New Roman" w:hint="default"/>
        </w:rPr>
        <w:t>1982</w:t>
      </w:r>
      <w:r>
        <w:rPr/>
        <w:t>年毕业于复旦大学数学系，随后进入上海无线电二厂工作至</w:t>
      </w:r>
      <w:r>
        <w:rPr>
          <w:rFonts w:ascii="Times New Roman" w:hAnsi="Times New Roman" w:cs="Times New Roman" w:eastAsia="Times New Roman" w:hint="default"/>
        </w:rPr>
        <w:t>1989</w:t>
      </w:r>
      <w:r>
        <w:rPr/>
        <w:t>年</w:t>
      </w:r>
      <w:r>
        <w:rPr>
          <w:rFonts w:ascii="Times New Roman" w:hAnsi="Times New Roman" w:cs="Times New Roman" w:eastAsia="Times New Roman" w:hint="default"/>
        </w:rPr>
        <w:t>6</w:t>
      </w:r>
      <w:r>
        <w:rPr/>
        <w:t>月。 自</w:t>
      </w:r>
      <w:r>
        <w:rPr>
          <w:rFonts w:ascii="Times New Roman" w:hAnsi="Times New Roman" w:cs="Times New Roman" w:eastAsia="Times New Roman" w:hint="default"/>
        </w:rPr>
        <w:t>1989</w:t>
      </w:r>
      <w:r>
        <w:rPr/>
        <w:t>年</w:t>
      </w:r>
      <w:r>
        <w:rPr>
          <w:rFonts w:ascii="Times New Roman" w:hAnsi="Times New Roman" w:cs="Times New Roman" w:eastAsia="Times New Roman" w:hint="default"/>
        </w:rPr>
        <w:t>6</w:t>
      </w:r>
      <w:r>
        <w:rPr/>
        <w:t>月进入上海中立计算机有限公司（公司前身）并工作至今，历任程序员、高级程序员、项目经理、副部长。现任 本公司职工代表监事、第一海外软件开发事业本部副本部长。</w:t>
      </w:r>
    </w:p>
    <w:p>
      <w:pPr>
        <w:spacing w:line="240" w:lineRule="auto" w:before="3"/>
        <w:rPr>
          <w:rFonts w:ascii="宋体" w:hAnsi="宋体" w:cs="宋体" w:eastAsia="宋体" w:hint="default"/>
          <w:sz w:val="26"/>
          <w:szCs w:val="26"/>
        </w:rPr>
      </w:pPr>
    </w:p>
    <w:p>
      <w:pPr>
        <w:pStyle w:val="BodyText"/>
        <w:spacing w:line="309" w:lineRule="auto" w:before="0"/>
        <w:ind w:left="153" w:right="1129"/>
        <w:jc w:val="both"/>
      </w:pPr>
      <w:r>
        <w:rPr>
          <w:spacing w:val="-2"/>
        </w:rPr>
        <w:t>罗玉婷女士，中国国籍，</w:t>
      </w:r>
      <w:r>
        <w:rPr>
          <w:rFonts w:ascii="Times New Roman" w:hAnsi="Times New Roman" w:cs="Times New Roman" w:eastAsia="Times New Roman" w:hint="default"/>
          <w:spacing w:val="-2"/>
        </w:rPr>
        <w:t>1982</w:t>
      </w:r>
      <w:r>
        <w:rPr>
          <w:spacing w:val="-2"/>
        </w:rPr>
        <w:t>年生，大学学历。</w:t>
      </w:r>
      <w:r>
        <w:rPr>
          <w:rFonts w:ascii="Times New Roman" w:hAnsi="Times New Roman" w:cs="Times New Roman" w:eastAsia="Times New Roman" w:hint="default"/>
          <w:spacing w:val="-2"/>
        </w:rPr>
        <w:t>2005</w:t>
      </w:r>
      <w:r>
        <w:rPr>
          <w:spacing w:val="-2"/>
        </w:rPr>
        <w:t>年毕业于南通大学，获得学士学位。曾就职于上海瑞创网络科技发展有</w:t>
      </w:r>
      <w:r>
        <w:rPr>
          <w:spacing w:val="-59"/>
        </w:rPr>
        <w:t> </w:t>
      </w:r>
      <w:r>
        <w:rPr>
          <w:spacing w:val="-59"/>
        </w:rPr>
      </w:r>
      <w:r>
        <w:rPr>
          <w:spacing w:val="-2"/>
        </w:rPr>
        <w:t>限公司，历任测试工程师、多特项目经理助理、行政部经理职务。现任上海二三四五网络科技有限公司监事、部门经理，并</w:t>
      </w:r>
      <w:r>
        <w:rPr>
          <w:spacing w:val="-67"/>
        </w:rPr>
        <w:t> </w:t>
      </w:r>
      <w:r>
        <w:rPr>
          <w:spacing w:val="-67"/>
        </w:rPr>
      </w:r>
      <w:r>
        <w:rPr/>
        <w:t>任吉隆瑞信投资有限公司及吉隆瑞美信息咨询有限公司监事。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日起任本公司监事。</w:t>
      </w:r>
    </w:p>
    <w:p>
      <w:pPr>
        <w:spacing w:line="240" w:lineRule="auto" w:before="3"/>
        <w:rPr>
          <w:rFonts w:ascii="宋体" w:hAnsi="宋体" w:cs="宋体" w:eastAsia="宋体" w:hint="default"/>
          <w:sz w:val="24"/>
          <w:szCs w:val="24"/>
        </w:rPr>
      </w:pPr>
    </w:p>
    <w:p>
      <w:pPr>
        <w:pStyle w:val="BodyText"/>
        <w:spacing w:line="240" w:lineRule="auto" w:before="0"/>
        <w:ind w:left="153" w:right="0"/>
        <w:jc w:val="both"/>
      </w:pPr>
      <w:r>
        <w:rPr/>
        <w:t>现任高级管理人员主要工作经历</w:t>
      </w:r>
    </w:p>
    <w:p>
      <w:pPr>
        <w:spacing w:line="240" w:lineRule="auto" w:before="0"/>
        <w:rPr>
          <w:rFonts w:ascii="宋体" w:hAnsi="宋体" w:cs="宋体" w:eastAsia="宋体" w:hint="default"/>
          <w:sz w:val="18"/>
          <w:szCs w:val="18"/>
        </w:rPr>
      </w:pPr>
    </w:p>
    <w:p>
      <w:pPr>
        <w:pStyle w:val="BodyText"/>
        <w:spacing w:line="316" w:lineRule="auto" w:before="153"/>
        <w:ind w:left="153" w:right="6433"/>
        <w:jc w:val="left"/>
      </w:pPr>
      <w:r>
        <w:rPr/>
        <w:t>陈于冰先生，本公司董事、总经理。参见董事简介。 潘世雷先生，本公司董事、副总经理。参见董事简介。 许俊峰先生，本公司董事、副总经理。参见董事简介。</w:t>
      </w:r>
    </w:p>
    <w:p>
      <w:pPr>
        <w:spacing w:line="240" w:lineRule="auto" w:before="4"/>
        <w:rPr>
          <w:rFonts w:ascii="宋体" w:hAnsi="宋体" w:cs="宋体" w:eastAsia="宋体" w:hint="default"/>
          <w:sz w:val="25"/>
          <w:szCs w:val="25"/>
        </w:rPr>
      </w:pPr>
    </w:p>
    <w:p>
      <w:pPr>
        <w:pStyle w:val="BodyText"/>
        <w:spacing w:line="307" w:lineRule="auto" w:before="0"/>
        <w:ind w:left="153" w:right="1043"/>
        <w:jc w:val="both"/>
      </w:pPr>
      <w:r>
        <w:rPr>
          <w:spacing w:val="-2"/>
        </w:rPr>
        <w:t>代小虎先生，中国国籍，</w:t>
      </w:r>
      <w:r>
        <w:rPr>
          <w:rFonts w:ascii="Times New Roman" w:hAnsi="Times New Roman" w:cs="Times New Roman" w:eastAsia="Times New Roman" w:hint="default"/>
          <w:spacing w:val="-2"/>
        </w:rPr>
        <w:t>1979</w:t>
      </w:r>
      <w:r>
        <w:rPr>
          <w:spacing w:val="-2"/>
        </w:rPr>
        <w:t>年生，大学学历，注册会计师。</w:t>
      </w:r>
      <w:r>
        <w:rPr>
          <w:rFonts w:ascii="Times New Roman" w:hAnsi="Times New Roman" w:cs="Times New Roman" w:eastAsia="Times New Roman" w:hint="default"/>
          <w:spacing w:val="-2"/>
        </w:rPr>
        <w:t>2001</w:t>
      </w:r>
      <w:r>
        <w:rPr>
          <w:spacing w:val="-2"/>
        </w:rPr>
        <w:t>年毕业于江西财经大学，获得经济学学士学位。曾任中兴</w:t>
      </w:r>
      <w:r>
        <w:rPr>
          <w:spacing w:val="-62"/>
        </w:rPr>
        <w:t> </w:t>
      </w:r>
      <w:r>
        <w:rPr>
          <w:spacing w:val="-62"/>
        </w:rPr>
      </w:r>
      <w:r>
        <w:rPr>
          <w:spacing w:val="-2"/>
        </w:rPr>
        <w:t>通讯股份有限公司财务管理部财务经理、海外财务部东欧拓展处财务总监、中兴通讯子公司西安中兴精诚通讯有限公司副总</w:t>
      </w:r>
      <w:r>
        <w:rPr>
          <w:spacing w:val="-64"/>
        </w:rPr>
        <w:t> </w:t>
      </w:r>
      <w:r>
        <w:rPr>
          <w:spacing w:val="-64"/>
        </w:rPr>
      </w:r>
      <w:r>
        <w:rPr/>
        <w:t>经理、财务总监。</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1</w:t>
      </w:r>
      <w:r>
        <w:rPr/>
        <w:t>月起，任上海二三四五网络科技有限公司财务总监，现任本公司副总经理、财务负责人，上海二 三四五融资租赁公司董事长兼总经理。</w:t>
      </w:r>
    </w:p>
    <w:p>
      <w:pPr>
        <w:spacing w:line="240" w:lineRule="auto" w:before="11"/>
        <w:rPr>
          <w:rFonts w:ascii="宋体" w:hAnsi="宋体" w:cs="宋体" w:eastAsia="宋体" w:hint="default"/>
          <w:sz w:val="25"/>
          <w:szCs w:val="25"/>
        </w:rPr>
      </w:pPr>
    </w:p>
    <w:p>
      <w:pPr>
        <w:pStyle w:val="BodyText"/>
        <w:spacing w:line="240" w:lineRule="auto" w:before="0"/>
        <w:ind w:left="153" w:right="0"/>
        <w:jc w:val="both"/>
      </w:pPr>
      <w:r>
        <w:rPr/>
        <w:t>邱俊祺先生，中国国籍，</w:t>
      </w:r>
      <w:r>
        <w:rPr>
          <w:rFonts w:ascii="Times New Roman" w:hAnsi="Times New Roman" w:cs="Times New Roman" w:eastAsia="Times New Roman" w:hint="default"/>
        </w:rPr>
        <w:t>1980</w:t>
      </w:r>
      <w:r>
        <w:rPr/>
        <w:t>年生，大学学历，中级经济师。</w:t>
      </w:r>
      <w:r>
        <w:rPr>
          <w:rFonts w:ascii="Times New Roman" w:hAnsi="Times New Roman" w:cs="Times New Roman" w:eastAsia="Times New Roman" w:hint="default"/>
        </w:rPr>
        <w:t>2003</w:t>
      </w:r>
      <w:r>
        <w:rPr/>
        <w:t>年毕业于上海交通大学软件学院计算机科学与技术专业，</w:t>
      </w:r>
    </w:p>
    <w:p>
      <w:pPr>
        <w:spacing w:after="0" w:line="24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ind w:left="153" w:right="1123"/>
        <w:jc w:val="left"/>
      </w:pPr>
      <w:r>
        <w:rPr/>
        <w:t>获得学士学位，同时获得管理学院金融学专业第二学科学士学位。</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7</w:t>
      </w:r>
      <w:r>
        <w:rPr/>
        <w:t>月起加入公司并工作至今。历任程序员、高级程 序员、项目经理、总经理秘书、投资管理部经理，现任公司副总经理、董事会秘书。</w:t>
      </w:r>
    </w:p>
    <w:p>
      <w:pPr>
        <w:spacing w:line="240" w:lineRule="auto" w:before="0"/>
        <w:rPr>
          <w:rFonts w:ascii="宋体" w:hAnsi="宋体" w:cs="宋体" w:eastAsia="宋体" w:hint="default"/>
          <w:sz w:val="18"/>
          <w:szCs w:val="18"/>
        </w:rPr>
      </w:pPr>
    </w:p>
    <w:p>
      <w:pPr>
        <w:pStyle w:val="BodyText"/>
        <w:spacing w:line="240" w:lineRule="auto" w:before="148"/>
        <w:ind w:left="153" w:right="0"/>
        <w:jc w:val="left"/>
      </w:pPr>
      <w:r>
        <w:rPr/>
        <w:t>在股东单位任职情况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包叔平</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曲水信佳科技有限公司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执行董事</w:t>
            </w:r>
            <w:r>
              <w:rPr>
                <w:rFonts w:ascii="Times New Roman" w:hAnsi="Times New Roman" w:cs="Times New Roman" w:eastAsia="Times New Roman" w:hint="default"/>
                <w:sz w:val="18"/>
                <w:szCs w:val="18"/>
              </w:rPr>
              <w:t>/</w:t>
            </w:r>
            <w:r>
              <w:rPr>
                <w:rFonts w:ascii="宋体" w:hAnsi="宋体" w:cs="宋体" w:eastAsia="宋体" w:hint="default"/>
                <w:sz w:val="18"/>
                <w:szCs w:val="18"/>
              </w:rPr>
              <w:t>法 定代表人</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庞升东</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曲水信佳科技有限公司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庞升东</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上海瑞度投资有限公司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李娟</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浙富控股集团股份有限公司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0"/>
        <w:jc w:val="left"/>
      </w:pPr>
      <w:r>
        <w:rPr/>
        <w:t>在其他单位任职情况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487"/>
        <w:gridCol w:w="1276"/>
        <w:gridCol w:w="1364"/>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41"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包叔平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上海艾云慧信创业投资有限公司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6"/>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bookmarkStart w:name="四、董事、监事、高级管理人员报酬情况" w:id="125"/>
      <w:bookmarkEnd w:id="125"/>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3" w:right="0"/>
        <w:jc w:val="left"/>
      </w:pPr>
      <w:r>
        <w:rPr/>
        <w:t>董事、监事、高级管理人员报酬的决策程序、确定依据、实际支付情况</w:t>
      </w:r>
    </w:p>
    <w:p>
      <w:pPr>
        <w:pStyle w:val="BodyText"/>
        <w:spacing w:line="314" w:lineRule="auto" w:before="116"/>
        <w:ind w:left="153" w:right="1118"/>
        <w:jc w:val="left"/>
      </w:pPr>
      <w:r>
        <w:rPr>
          <w:rFonts w:ascii="Times New Roman" w:hAnsi="Times New Roman" w:cs="Times New Roman" w:eastAsia="Times New Roman" w:hint="default"/>
          <w:spacing w:val="-1"/>
        </w:rPr>
        <w:t>1</w:t>
      </w:r>
      <w:r>
        <w:rPr>
          <w:spacing w:val="-1"/>
        </w:rPr>
        <w:t>、决策程序：由公司董事会提名</w:t>
      </w:r>
      <w:r>
        <w:rPr>
          <w:rFonts w:ascii="Times New Roman" w:hAnsi="Times New Roman" w:cs="Times New Roman" w:eastAsia="Times New Roman" w:hint="default"/>
          <w:spacing w:val="-1"/>
        </w:rPr>
        <w:t>·</w:t>
      </w:r>
      <w:r>
        <w:rPr>
          <w:spacing w:val="-1"/>
        </w:rPr>
        <w:t>薪酬与考核委员会研究制订公司董事、监事和高级管理人员的薪酬政策、方案，公司人力</w:t>
      </w:r>
      <w:r>
        <w:rPr/>
        <w:t> 资源部、财务部配合董事会提名</w:t>
      </w:r>
      <w:r>
        <w:rPr>
          <w:rFonts w:ascii="Times New Roman" w:hAnsi="Times New Roman" w:cs="Times New Roman" w:eastAsia="Times New Roman" w:hint="default"/>
        </w:rPr>
        <w:t>·</w:t>
      </w:r>
      <w:r>
        <w:rPr/>
        <w:t>薪酬与考核委员会进行公司董事、高级管理人员薪酬方案的具体实施。 </w:t>
      </w:r>
      <w:r>
        <w:rPr>
          <w:rFonts w:ascii="Times New Roman" w:hAnsi="Times New Roman" w:cs="Times New Roman" w:eastAsia="Times New Roman" w:hint="default"/>
        </w:rPr>
        <w:t>2</w:t>
      </w:r>
      <w:r>
        <w:rPr/>
        <w:t>、确定依据：董事、监事的报酬根据公司年度业绩情况并结合市场行情确定；高级管理人员的报酬根据公司相关规定，结 合公司年度经营目标和公司高级管理人员在上一年度经营目标所承担的具体岗位职责综合确定。</w:t>
      </w:r>
    </w:p>
    <w:p>
      <w:pPr>
        <w:pStyle w:val="BodyText"/>
        <w:spacing w:line="302" w:lineRule="auto" w:before="59"/>
        <w:ind w:right="1122"/>
        <w:jc w:val="left"/>
      </w:pPr>
      <w:r>
        <w:rPr>
          <w:rFonts w:ascii="Times New Roman" w:hAnsi="Times New Roman" w:cs="Times New Roman" w:eastAsia="Times New Roman" w:hint="default"/>
        </w:rPr>
        <w:t>3</w:t>
      </w:r>
      <w:r>
        <w:rPr/>
        <w:t>、实际支付情况：独立董事报酬按月支付到个人账户；其他人员报酬按各自考核结果按月或根据薪酬发放制度规定的时间 进行发放。</w:t>
      </w:r>
    </w:p>
    <w:p>
      <w:pPr>
        <w:pStyle w:val="BodyText"/>
        <w:spacing w:line="240" w:lineRule="auto" w:before="70"/>
        <w:ind w:left="153" w:right="0"/>
        <w:jc w:val="left"/>
      </w:pPr>
      <w:r>
        <w:rPr/>
        <w:t>公司报告期内董事、监事和高级管理人员报酬情况</w:t>
      </w:r>
    </w:p>
    <w:p>
      <w:pPr>
        <w:pStyle w:val="BodyText"/>
        <w:spacing w:line="240" w:lineRule="auto" w:before="116"/>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包叔平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3"/>
                <w:sz w:val="18"/>
              </w:rPr>
              <w:t>118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庞升东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陈于冰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潘世雷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许俊峰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陈乐波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严德铭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韩建法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李志清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罗玉婷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代小虎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副总经理、财务 负责人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邱俊祺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593.32</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公司董事、监事、高级管理人员报告期内被授予的股权激励情况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bookmarkStart w:name="五、公司员工情况" w:id="126"/>
      <w:bookmarkEnd w:id="126"/>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员工数量、专业构成及教育程度" w:id="127"/>
      <w:bookmarkEnd w:id="127"/>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2,452</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2,466</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2,466</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8"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2,263</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专业管理人员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2,466</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大学本科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2,119</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大学专科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中专（职高</w:t>
            </w:r>
            <w:r>
              <w:rPr>
                <w:rFonts w:ascii="宋体" w:hAnsi="宋体" w:cs="宋体" w:eastAsia="宋体" w:hint="default"/>
                <w:spacing w:val="-90"/>
                <w:sz w:val="18"/>
                <w:szCs w:val="18"/>
              </w:rPr>
              <w:t>）</w:t>
            </w:r>
            <w:r>
              <w:rPr>
                <w:rFonts w:ascii="宋体" w:hAnsi="宋体" w:cs="宋体" w:eastAsia="宋体" w:hint="default"/>
                <w:sz w:val="18"/>
                <w:szCs w:val="18"/>
              </w:rPr>
              <w:t>、高中</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2,466</w:t>
            </w:r>
          </w:p>
        </w:tc>
      </w:tr>
    </w:tbl>
    <w:p>
      <w:pPr>
        <w:spacing w:line="240" w:lineRule="auto" w:before="2"/>
        <w:rPr>
          <w:rFonts w:ascii="宋体" w:hAnsi="宋体" w:cs="宋体" w:eastAsia="宋体" w:hint="default"/>
          <w:b/>
          <w:bCs/>
          <w:sz w:val="19"/>
          <w:szCs w:val="19"/>
        </w:rPr>
      </w:pPr>
    </w:p>
    <w:p>
      <w:pPr>
        <w:pStyle w:val="Heading6"/>
        <w:spacing w:line="240" w:lineRule="auto" w:before="35"/>
        <w:ind w:left="154" w:right="0"/>
        <w:jc w:val="left"/>
        <w:rPr>
          <w:b w:val="0"/>
          <w:bCs w:val="0"/>
        </w:rPr>
      </w:pPr>
      <w:bookmarkStart w:name="2、薪酬政策" w:id="128"/>
      <w:bookmarkEnd w:id="128"/>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0" w:firstLine="360"/>
        <w:jc w:val="left"/>
      </w:pPr>
      <w:r>
        <w:rPr>
          <w:spacing w:val="-2"/>
        </w:rPr>
        <w:t>公司严格按照《中华人民共和国劳动合同法》和有关劳动法律法规的规定，向员工提供稳定而具有竞争力的薪酬，以充</w:t>
      </w:r>
      <w:r>
        <w:rPr/>
        <w:t> 分调动员工的积极性和创造性。</w:t>
      </w:r>
    </w:p>
    <w:p>
      <w:pPr>
        <w:spacing w:line="240" w:lineRule="auto" w:before="7"/>
        <w:rPr>
          <w:rFonts w:ascii="宋体" w:hAnsi="宋体" w:cs="宋体" w:eastAsia="宋体" w:hint="default"/>
          <w:sz w:val="22"/>
          <w:szCs w:val="22"/>
        </w:rPr>
      </w:pPr>
    </w:p>
    <w:p>
      <w:pPr>
        <w:pStyle w:val="Heading6"/>
        <w:spacing w:line="240" w:lineRule="auto"/>
        <w:ind w:left="154" w:right="0"/>
        <w:jc w:val="left"/>
        <w:rPr>
          <w:b w:val="0"/>
          <w:bCs w:val="0"/>
        </w:rPr>
      </w:pPr>
      <w:bookmarkStart w:name="3、培训计划" w:id="129"/>
      <w:bookmarkEnd w:id="129"/>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3" w:right="0" w:firstLine="360"/>
        <w:jc w:val="left"/>
      </w:pPr>
      <w:r>
        <w:rPr>
          <w:spacing w:val="-2"/>
        </w:rPr>
        <w:t>公司非常注重员工的培训工作，通过新入职员工脱产培训和在职员工的职业生涯持续培训等多种形式，培养复合型人才</w:t>
      </w:r>
      <w:r>
        <w:rPr/>
        <w:t> 和专业岗位人才，充分挖掘员工潜力，助力员工成长，实现公司与员工双赢，以实现员工价值和企业价值共同成长。</w:t>
      </w:r>
    </w:p>
    <w:p>
      <w:pPr>
        <w:spacing w:line="240" w:lineRule="auto" w:before="7"/>
        <w:rPr>
          <w:rFonts w:ascii="宋体" w:hAnsi="宋体" w:cs="宋体" w:eastAsia="宋体" w:hint="default"/>
          <w:sz w:val="22"/>
          <w:szCs w:val="22"/>
        </w:rPr>
      </w:pPr>
    </w:p>
    <w:p>
      <w:pPr>
        <w:pStyle w:val="Heading6"/>
        <w:spacing w:line="240" w:lineRule="auto"/>
        <w:ind w:right="0"/>
        <w:jc w:val="left"/>
        <w:rPr>
          <w:b w:val="0"/>
          <w:bCs w:val="0"/>
        </w:rPr>
      </w:pPr>
      <w:bookmarkStart w:name="4、劳务外包情况" w:id="130"/>
      <w:bookmarkEnd w:id="130"/>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02"/>
        <w:jc w:val="center"/>
        <w:rPr>
          <w:b w:val="0"/>
          <w:bCs w:val="0"/>
        </w:rPr>
      </w:pPr>
      <w:bookmarkStart w:name="第九节 公司治理" w:id="131"/>
      <w:bookmarkEnd w:id="131"/>
      <w:r>
        <w:rPr>
          <w:b w:val="0"/>
          <w:bCs w:val="0"/>
        </w:rPr>
      </w:r>
      <w:bookmarkStart w:name="_bookmark7" w:id="132"/>
      <w:bookmarkEnd w:id="132"/>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0"/>
        <w:jc w:val="left"/>
        <w:rPr>
          <w:b w:val="0"/>
          <w:bCs w:val="0"/>
        </w:rPr>
      </w:pPr>
      <w:bookmarkStart w:name="一、公司治理的基本状况" w:id="133"/>
      <w:bookmarkEnd w:id="133"/>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left="153" w:right="1131" w:firstLine="360"/>
        <w:jc w:val="both"/>
      </w:pPr>
      <w:r>
        <w:rPr>
          <w:spacing w:val="-2"/>
        </w:rPr>
        <w:t>报告期内，公司严格按照《公司法》、《证券法》、《上市公司治理准则》、《深圳证券交易所股票上市规则》、《深</w:t>
      </w:r>
      <w:r>
        <w:rPr/>
        <w:t> </w:t>
      </w:r>
      <w:r>
        <w:rPr>
          <w:spacing w:val="-2"/>
        </w:rPr>
        <w:t>圳证券交易所中小企业板上市公司规范运作指引》及中国证监会有关法律法规的要求，不断完善公司法人治理结构、建立健</w:t>
      </w:r>
      <w:r>
        <w:rPr>
          <w:spacing w:val="-66"/>
        </w:rPr>
        <w:t> </w:t>
      </w:r>
      <w:r>
        <w:rPr>
          <w:spacing w:val="-66"/>
        </w:rPr>
      </w:r>
      <w:r>
        <w:rPr>
          <w:spacing w:val="-2"/>
        </w:rPr>
        <w:t>全公司内部控制体系，进一步规范公司运作，提高公司治理水平。截至报告期末，公司治理的实际情况符合有关上市公司治</w:t>
      </w:r>
      <w:r>
        <w:rPr>
          <w:spacing w:val="-66"/>
        </w:rPr>
        <w:t> </w:t>
      </w:r>
      <w:r>
        <w:rPr>
          <w:spacing w:val="-66"/>
        </w:rPr>
      </w:r>
      <w:r>
        <w:rPr/>
        <w:t>理规范性文件的要求。</w:t>
      </w:r>
    </w:p>
    <w:p>
      <w:pPr>
        <w:pStyle w:val="BodyText"/>
        <w:spacing w:line="240" w:lineRule="auto" w:before="19"/>
        <w:ind w:left="513" w:right="0"/>
        <w:jc w:val="left"/>
      </w:pPr>
      <w:r>
        <w:rPr/>
        <w:t>报告期内，公司建立和修订的治理制度：</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866"/>
        <w:gridCol w:w="4380"/>
        <w:gridCol w:w="1844"/>
        <w:gridCol w:w="2551"/>
      </w:tblGrid>
      <w:tr>
        <w:trPr>
          <w:trHeight w:val="347" w:hRule="exact"/>
        </w:trPr>
        <w:tc>
          <w:tcPr>
            <w:tcW w:w="8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3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制度名称</w:t>
            </w:r>
            <w:r>
              <w:rPr>
                <w:rFonts w:ascii="宋体" w:hAnsi="宋体" w:cs="宋体" w:eastAsia="宋体" w:hint="default"/>
                <w:sz w:val="18"/>
                <w:szCs w:val="18"/>
              </w:rPr>
            </w:r>
          </w:p>
        </w:tc>
        <w:tc>
          <w:tcPr>
            <w:tcW w:w="18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551" w:right="0"/>
              <w:jc w:val="left"/>
              <w:rPr>
                <w:rFonts w:ascii="宋体" w:hAnsi="宋体" w:cs="宋体" w:eastAsia="宋体" w:hint="default"/>
                <w:sz w:val="18"/>
                <w:szCs w:val="18"/>
              </w:rPr>
            </w:pPr>
            <w:r>
              <w:rPr>
                <w:rFonts w:ascii="宋体" w:hAnsi="宋体" w:cs="宋体" w:eastAsia="宋体" w:hint="default"/>
                <w:b/>
                <w:bCs/>
                <w:sz w:val="18"/>
                <w:szCs w:val="18"/>
              </w:rPr>
              <w:t>披露时间</w:t>
            </w:r>
            <w:r>
              <w:rPr>
                <w:rFonts w:ascii="宋体" w:hAnsi="宋体" w:cs="宋体" w:eastAsia="宋体" w:hint="default"/>
                <w:sz w:val="18"/>
                <w:szCs w:val="18"/>
              </w:rPr>
            </w:r>
          </w:p>
        </w:tc>
        <w:tc>
          <w:tcPr>
            <w:tcW w:w="25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披露媒体</w:t>
            </w:r>
            <w:r>
              <w:rPr>
                <w:rFonts w:ascii="宋体" w:hAnsi="宋体" w:cs="宋体" w:eastAsia="宋体" w:hint="default"/>
                <w:sz w:val="18"/>
                <w:szCs w:val="18"/>
              </w:rPr>
            </w:r>
          </w:p>
        </w:tc>
      </w:tr>
      <w:tr>
        <w:trPr>
          <w:trHeight w:val="348" w:hRule="exact"/>
        </w:trPr>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75"/>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w:t>
            </w:r>
          </w:p>
        </w:tc>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远期结售汇套期保值业务内部控制制度（</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28"/>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w:t>
            </w:r>
          </w:p>
        </w:tc>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75"/>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pStyle w:val="BodyText"/>
        <w:spacing w:line="316" w:lineRule="auto" w:before="10"/>
        <w:ind w:left="514" w:right="0" w:hanging="360"/>
        <w:jc w:val="left"/>
      </w:pPr>
      <w:r>
        <w:rPr/>
        <w:t>（一）关于股东与股东大会 </w:t>
      </w:r>
      <w:r>
        <w:rPr>
          <w:spacing w:val="-2"/>
        </w:rPr>
        <w:t>公司严格按照《公司法》、《上市公司股东大会规则》、《公司章程》和《公司股东大会议事规则》的规定和要求，规</w:t>
      </w:r>
    </w:p>
    <w:p>
      <w:pPr>
        <w:pStyle w:val="BodyText"/>
        <w:spacing w:line="316" w:lineRule="auto" w:before="19"/>
        <w:ind w:right="1131"/>
        <w:jc w:val="both"/>
      </w:pPr>
      <w:r>
        <w:rPr>
          <w:spacing w:val="-2"/>
        </w:rPr>
        <w:t>范股东大会的召集、召开、表决程序，包括通知、登记、提案的审议、投票、计票、表决结果的宣布、会议决议的形成、会</w:t>
      </w:r>
      <w:r>
        <w:rPr>
          <w:spacing w:val="-71"/>
        </w:rPr>
        <w:t> </w:t>
      </w:r>
      <w:r>
        <w:rPr>
          <w:spacing w:val="-71"/>
        </w:rPr>
      </w:r>
      <w:r>
        <w:rPr>
          <w:spacing w:val="-2"/>
        </w:rPr>
        <w:t>议记录及其签署、公告等内容，以及股东大会对董事会的授权等，平等对待所有股东，确保全体股东特别是中小股东能充分</w:t>
      </w:r>
      <w:r>
        <w:rPr>
          <w:spacing w:val="-66"/>
        </w:rPr>
        <w:t> </w:t>
      </w:r>
      <w:r>
        <w:rPr>
          <w:spacing w:val="-66"/>
        </w:rPr>
      </w:r>
      <w:r>
        <w:rPr/>
        <w:t>行使权利，并请律师出席见证。</w:t>
      </w:r>
    </w:p>
    <w:p>
      <w:pPr>
        <w:pStyle w:val="BodyText"/>
        <w:spacing w:line="319" w:lineRule="auto" w:before="19"/>
        <w:ind w:left="153" w:right="1132" w:firstLine="360"/>
        <w:jc w:val="both"/>
      </w:pPr>
      <w:r>
        <w:rPr>
          <w:spacing w:val="-2"/>
        </w:rPr>
        <w:t>报告期内，根据《上市公司股东大会规则（</w:t>
      </w:r>
      <w:r>
        <w:rPr>
          <w:rFonts w:ascii="宋体" w:hAnsi="宋体" w:cs="宋体" w:eastAsia="宋体" w:hint="default"/>
          <w:spacing w:val="-2"/>
        </w:rPr>
        <w:t>2014</w:t>
      </w:r>
      <w:r>
        <w:rPr>
          <w:spacing w:val="-2"/>
        </w:rPr>
        <w:t>年修订）》及《深圳证券交易所中小企业板上市公司规范运作指引》的</w:t>
      </w:r>
      <w:r>
        <w:rPr/>
        <w:t> </w:t>
      </w:r>
      <w:r>
        <w:rPr>
          <w:spacing w:val="-2"/>
        </w:rPr>
        <w:t>要求，修订《公司章程》、《股东大会议事规则》等制度，就审议影响中小投资者利益的重大事项，对中小投资者即单独或</w:t>
      </w:r>
      <w:r>
        <w:rPr>
          <w:spacing w:val="-67"/>
        </w:rPr>
        <w:t> </w:t>
      </w:r>
      <w:r>
        <w:rPr>
          <w:spacing w:val="-67"/>
        </w:rPr>
      </w:r>
      <w:r>
        <w:rPr/>
        <w:t>合计持有上市公司</w:t>
      </w:r>
      <w:r>
        <w:rPr>
          <w:rFonts w:ascii="宋体" w:hAnsi="宋体" w:cs="宋体" w:eastAsia="宋体" w:hint="default"/>
        </w:rPr>
        <w:t>5%</w:t>
      </w:r>
      <w:r>
        <w:rPr/>
        <w:t>以上股份的股东以外的其他股东的表决单独计票并披露，切实维护中小投资者利益。</w:t>
      </w:r>
    </w:p>
    <w:p>
      <w:pPr>
        <w:pStyle w:val="BodyText"/>
        <w:spacing w:line="316" w:lineRule="auto" w:before="17"/>
        <w:ind w:left="514" w:right="0" w:hanging="360"/>
        <w:jc w:val="left"/>
      </w:pPr>
      <w:r>
        <w:rPr/>
        <w:t>（二）关于公司与实际控制人的关系 </w:t>
      </w:r>
      <w:r>
        <w:rPr>
          <w:spacing w:val="-2"/>
        </w:rPr>
        <w:t>公司无控股股东，实际控制人为自然人包叔平先生，在公司担任董事长职务。公司具有独立的业务、独立的经营能力和</w:t>
      </w:r>
    </w:p>
    <w:p>
      <w:pPr>
        <w:pStyle w:val="BodyText"/>
        <w:spacing w:line="240" w:lineRule="auto" w:before="19"/>
        <w:ind w:right="0"/>
        <w:jc w:val="both"/>
      </w:pPr>
      <w:r>
        <w:rPr/>
        <w:t>完备的运营系统，业务、人员、资产、机构、财务独立，公司董事会、监事会和内部机构均能够独立运作。</w:t>
      </w:r>
    </w:p>
    <w:p>
      <w:pPr>
        <w:pStyle w:val="BodyText"/>
        <w:spacing w:line="240" w:lineRule="auto" w:before="76"/>
        <w:ind w:left="153" w:right="0"/>
        <w:jc w:val="both"/>
      </w:pPr>
      <w:r>
        <w:rPr/>
        <w:t>（三）关于董事与董事会</w:t>
      </w:r>
    </w:p>
    <w:p>
      <w:pPr>
        <w:pStyle w:val="BodyText"/>
        <w:spacing w:line="316" w:lineRule="auto" w:before="76"/>
        <w:ind w:left="153" w:right="1033" w:firstLine="360"/>
        <w:jc w:val="left"/>
      </w:pPr>
      <w:r>
        <w:rPr/>
        <w:t>《公司章程》规定了董事选聘程序，保证董事选聘公开、公平、公正、独立。公司设董事会，董事会由</w:t>
      </w:r>
      <w:r>
        <w:rPr>
          <w:rFonts w:ascii="宋体" w:hAnsi="宋体" w:cs="宋体" w:eastAsia="宋体" w:hint="default"/>
        </w:rPr>
        <w:t>9</w:t>
      </w:r>
      <w:r>
        <w:rPr/>
        <w:t>名董事组成， 设董事长</w:t>
      </w:r>
      <w:r>
        <w:rPr>
          <w:rFonts w:ascii="宋体" w:hAnsi="宋体" w:cs="宋体" w:eastAsia="宋体" w:hint="default"/>
        </w:rPr>
        <w:t>1</w:t>
      </w:r>
      <w:r>
        <w:rPr/>
        <w:t>名，副董事长</w:t>
      </w:r>
      <w:r>
        <w:rPr>
          <w:rFonts w:ascii="宋体" w:hAnsi="宋体" w:cs="宋体" w:eastAsia="宋体" w:hint="default"/>
        </w:rPr>
        <w:t>1</w:t>
      </w:r>
      <w:r>
        <w:rPr/>
        <w:t>名，董事长由全体董事过半数选举产生，董事会成员中有</w:t>
      </w:r>
      <w:r>
        <w:rPr>
          <w:rFonts w:ascii="宋体" w:hAnsi="宋体" w:cs="宋体" w:eastAsia="宋体" w:hint="default"/>
        </w:rPr>
        <w:t>3</w:t>
      </w:r>
      <w:r>
        <w:rPr/>
        <w:t>名独立董事，其中</w:t>
      </w:r>
      <w:r>
        <w:rPr>
          <w:rFonts w:ascii="宋体" w:hAnsi="宋体" w:cs="宋体" w:eastAsia="宋体" w:hint="default"/>
        </w:rPr>
        <w:t>1</w:t>
      </w:r>
      <w:r>
        <w:rPr/>
        <w:t>名为财务专业人士。</w:t>
      </w:r>
      <w:r>
        <w:rPr>
          <w:spacing w:val="-83"/>
        </w:rPr>
        <w:t> </w:t>
      </w:r>
      <w:r>
        <w:rPr>
          <w:spacing w:val="-83"/>
        </w:rPr>
      </w:r>
      <w:r>
        <w:rPr/>
        <w:t>公司董事会人数和人员构成符合法律、法规的要求。</w:t>
      </w:r>
    </w:p>
    <w:p>
      <w:pPr>
        <w:pStyle w:val="BodyText"/>
        <w:spacing w:line="316" w:lineRule="auto" w:before="19"/>
        <w:ind w:left="153" w:right="0" w:firstLine="360"/>
        <w:jc w:val="left"/>
      </w:pPr>
      <w:r>
        <w:rPr>
          <w:spacing w:val="-9"/>
        </w:rPr>
        <w:t>公司明确了董事的职权和义务，建立了《董事会议事规则》和《独立董事工作制度》；董事会设立了战略委员会，提名·薪</w:t>
      </w:r>
      <w:r>
        <w:rPr/>
        <w:t> </w:t>
      </w:r>
      <w:r>
        <w:rPr>
          <w:spacing w:val="-4"/>
        </w:rPr>
        <w:t>酬与考核委员会、审计委员会等</w:t>
      </w:r>
      <w:r>
        <w:rPr>
          <w:rFonts w:ascii="宋体" w:hAnsi="宋体" w:cs="宋体" w:eastAsia="宋体" w:hint="default"/>
          <w:spacing w:val="-4"/>
        </w:rPr>
        <w:t>3</w:t>
      </w:r>
      <w:r>
        <w:rPr>
          <w:spacing w:val="-4"/>
        </w:rPr>
        <w:t>个专业委员会，制订了《战略委员会实施细则》、《提名·薪酬与考核委员会实施细则》、</w:t>
      </w:r>
    </w:p>
    <w:p>
      <w:pPr>
        <w:pStyle w:val="BodyText"/>
        <w:spacing w:line="316" w:lineRule="auto" w:before="19"/>
        <w:ind w:left="514" w:right="1032" w:hanging="360"/>
        <w:jc w:val="left"/>
      </w:pPr>
      <w:r>
        <w:rPr/>
        <w:t>《审计委员会实施细则》。 公司董事会严格按照《公司法》、《深圳证券交易所中小企业板上市公司规范运作指引》等法律法规及《公司章程》、</w:t>
      </w:r>
    </w:p>
    <w:p>
      <w:pPr>
        <w:pStyle w:val="BodyText"/>
        <w:spacing w:line="316" w:lineRule="auto" w:before="19"/>
        <w:ind w:right="1133"/>
        <w:jc w:val="both"/>
      </w:pPr>
      <w:r>
        <w:rPr>
          <w:spacing w:val="-2"/>
        </w:rPr>
        <w:t>《董事会议事规则》的规定开展工作，规范董事会会议召集、召开和表决程序。公司董事积极参加相关知识培训，熟悉有关</w:t>
      </w:r>
      <w:r>
        <w:rPr>
          <w:spacing w:val="-66"/>
        </w:rPr>
        <w:t> </w:t>
      </w:r>
      <w:r>
        <w:rPr>
          <w:spacing w:val="-66"/>
        </w:rPr>
      </w:r>
      <w:r>
        <w:rPr>
          <w:spacing w:val="-5"/>
        </w:rPr>
        <w:t>法律法规，提高了规范运作意识；公司各位董事认真出席董事会和股东大会，执行股东大会决议并依法行使职权；能够勤勉、</w:t>
      </w:r>
      <w:r>
        <w:rPr>
          <w:spacing w:val="-82"/>
        </w:rPr>
        <w:t> </w:t>
      </w:r>
      <w:r>
        <w:rPr>
          <w:spacing w:val="-82"/>
        </w:rPr>
      </w:r>
      <w:r>
        <w:rPr/>
        <w:t>尽责地履行义务和责任，维护公司和股东的利益。</w:t>
      </w:r>
    </w:p>
    <w:p>
      <w:pPr>
        <w:pStyle w:val="BodyText"/>
        <w:spacing w:line="316" w:lineRule="auto" w:before="19"/>
        <w:ind w:left="514" w:right="0" w:hanging="360"/>
        <w:jc w:val="left"/>
      </w:pPr>
      <w:r>
        <w:rPr/>
        <w:t>（四）关于监事和监事会 </w:t>
      </w:r>
      <w:r>
        <w:rPr>
          <w:spacing w:val="-2"/>
        </w:rPr>
        <w:t>公司监事会在《公司法》、《公司章程》和股东大会赋予的职权范围内依法并积极行使监督权，建立了《监事会议事规</w:t>
      </w:r>
    </w:p>
    <w:p>
      <w:pPr>
        <w:pStyle w:val="BodyText"/>
        <w:spacing w:line="316" w:lineRule="auto" w:before="19"/>
        <w:ind w:right="1131"/>
        <w:jc w:val="both"/>
      </w:pPr>
      <w:r>
        <w:rPr/>
        <w:t>则》。公司监事会由</w:t>
      </w:r>
      <w:r>
        <w:rPr>
          <w:rFonts w:ascii="宋体" w:hAnsi="宋体" w:cs="宋体" w:eastAsia="宋体" w:hint="default"/>
        </w:rPr>
        <w:t>3</w:t>
      </w:r>
      <w:r>
        <w:rPr/>
        <w:t>名监事组成，其中一名为职工代表监事。公司监事会严格按照《公司章程》、《监事会议事规则》的</w:t>
      </w:r>
      <w:r>
        <w:rPr>
          <w:spacing w:val="-83"/>
        </w:rPr>
        <w:t> </w:t>
      </w:r>
      <w:r>
        <w:rPr>
          <w:spacing w:val="-83"/>
        </w:rPr>
      </w:r>
      <w:r>
        <w:rPr>
          <w:spacing w:val="-2"/>
        </w:rPr>
        <w:t>规定，规范监事会会议召集、召开和表决程序。公司监事会向股东大会负责，公司监事认真履行职责，诚信、勤勉、尽责地</w:t>
      </w:r>
      <w:r>
        <w:rPr>
          <w:spacing w:val="-72"/>
        </w:rPr>
        <w:t> </w:t>
      </w:r>
      <w:r>
        <w:rPr>
          <w:spacing w:val="-72"/>
        </w:rPr>
      </w:r>
      <w:r>
        <w:rPr/>
        <w:t>对公司财务工作以及公司董事、经理及其他高级管理人员履行职务情况进行监督，维护公司及股东的合法权益。</w:t>
      </w:r>
    </w:p>
    <w:p>
      <w:pPr>
        <w:pStyle w:val="BodyText"/>
        <w:spacing w:line="240" w:lineRule="auto" w:before="19"/>
        <w:ind w:left="153" w:right="0"/>
        <w:jc w:val="both"/>
      </w:pPr>
      <w:r>
        <w:rPr/>
        <w:t>（五）关于绩效评价与激励约束机制</w:t>
      </w:r>
    </w:p>
    <w:p>
      <w:pPr>
        <w:spacing w:after="0" w:line="24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left="153" w:right="1132" w:firstLine="360"/>
        <w:jc w:val="both"/>
      </w:pPr>
      <w:r>
        <w:rPr>
          <w:spacing w:val="-2"/>
        </w:rPr>
        <w:t>公司已经建立绩效评价激励体系，经营层的收入与公司经营业绩挂钩。公司高级管理人员薪酬执行基本年薪加年度绩效</w:t>
      </w:r>
      <w:r>
        <w:rPr/>
        <w:t> </w:t>
      </w:r>
      <w:r>
        <w:rPr>
          <w:spacing w:val="-5"/>
        </w:rPr>
        <w:t>考核的政策，在公司任职的董事、监事和高级管理人员按其岗位及职务，根据公司现行的薪酬制度和业绩考核规定获取薪酬；</w:t>
      </w:r>
      <w:r>
        <w:rPr>
          <w:spacing w:val="-79"/>
        </w:rPr>
        <w:t> </w:t>
      </w:r>
      <w:r>
        <w:rPr>
          <w:spacing w:val="-79"/>
        </w:rPr>
      </w:r>
      <w:r>
        <w:rPr/>
        <w:t>高级管理人员的聘任公开、有效，符合法律法规及公司的有关规定。</w:t>
      </w:r>
    </w:p>
    <w:p>
      <w:pPr>
        <w:pStyle w:val="BodyText"/>
        <w:spacing w:line="319" w:lineRule="auto" w:before="19"/>
        <w:ind w:left="514" w:right="0" w:hanging="360"/>
        <w:jc w:val="left"/>
      </w:pPr>
      <w:r>
        <w:rPr/>
        <w:t>（六）关于信息披露与透明度 </w:t>
      </w:r>
      <w:r>
        <w:rPr>
          <w:spacing w:val="-2"/>
        </w:rPr>
        <w:t>公司根据《深圳证券交易所股票上市规则》、《上市公司信息披露管理办法》、《公司章程》以及公司《信息披露管理</w:t>
      </w:r>
    </w:p>
    <w:p>
      <w:pPr>
        <w:pStyle w:val="BodyText"/>
        <w:spacing w:line="316" w:lineRule="auto" w:before="17"/>
        <w:ind w:left="153" w:right="1130"/>
        <w:jc w:val="both"/>
      </w:pPr>
      <w:r>
        <w:rPr>
          <w:spacing w:val="-2"/>
        </w:rPr>
        <w:t>办法》等相关法规制度的规定，认真履行信息披露义务。公司指定董事会秘书负责信息披露工作，设立证券事务部并配备了</w:t>
      </w:r>
      <w:r>
        <w:rPr>
          <w:spacing w:val="-66"/>
        </w:rPr>
        <w:t> </w:t>
      </w:r>
      <w:r>
        <w:rPr>
          <w:spacing w:val="-66"/>
        </w:rPr>
      </w:r>
      <w:r>
        <w:rPr>
          <w:spacing w:val="-2"/>
        </w:rPr>
        <w:t>相应人员，真实、准确、及时、公平、完整地披露有关信息，确保公司所有股东能够以平等的机会获得信息。公司指定《中</w:t>
      </w:r>
      <w:r>
        <w:rPr>
          <w:spacing w:val="-67"/>
        </w:rPr>
        <w:t> </w:t>
      </w:r>
      <w:r>
        <w:rPr>
          <w:spacing w:val="-67"/>
        </w:rPr>
      </w:r>
      <w:r>
        <w:rPr/>
        <w:t>国证券报》、《证券时报》、《上海证券报》、《证券日报》和巨潮资讯网（</w:t>
      </w:r>
      <w:hyperlink r:id="rId11">
        <w:r>
          <w:rPr>
            <w:rFonts w:ascii="宋体" w:hAnsi="宋体" w:cs="宋体" w:eastAsia="宋体" w:hint="default"/>
          </w:rPr>
          <w:t>www.cninfo.com.cn</w:t>
        </w:r>
      </w:hyperlink>
      <w:r>
        <w:rPr/>
        <w:t>）为公司信息披露的指定</w:t>
      </w:r>
      <w:r>
        <w:rPr>
          <w:spacing w:val="-83"/>
        </w:rPr>
        <w:t> </w:t>
      </w:r>
      <w:r>
        <w:rPr>
          <w:spacing w:val="-83"/>
        </w:rPr>
      </w:r>
      <w:r>
        <w:rPr/>
        <w:t>报纸和网站。</w:t>
      </w:r>
    </w:p>
    <w:p>
      <w:pPr>
        <w:pStyle w:val="BodyText"/>
        <w:spacing w:line="316" w:lineRule="auto" w:before="19"/>
        <w:ind w:left="153" w:right="1131" w:firstLine="360"/>
        <w:jc w:val="both"/>
      </w:pPr>
      <w:r>
        <w:rPr>
          <w:spacing w:val="-2"/>
        </w:rPr>
        <w:t>同时，为完善公司信息披露管理制度，加大对年报信息披露责任人的问责力度，提高年报信息披露质量和透明度，公司</w:t>
      </w:r>
      <w:r>
        <w:rPr/>
        <w:t> </w:t>
      </w:r>
      <w:r>
        <w:rPr>
          <w:spacing w:val="-2"/>
        </w:rPr>
        <w:t>董事会制定了《年报披露重大差错责任追究制度》，在公司年报信息披露工作中有关人员不履行或者不正确履行职责、义务</w:t>
      </w:r>
      <w:r>
        <w:rPr>
          <w:spacing w:val="-66"/>
        </w:rPr>
        <w:t> </w:t>
      </w:r>
      <w:r>
        <w:rPr>
          <w:spacing w:val="-66"/>
        </w:rPr>
      </w:r>
      <w:r>
        <w:rPr/>
        <w:t>或因其他个人原因，对公司造成重大经济损失或造成不良社会影响时，予以追究责任。</w:t>
      </w:r>
    </w:p>
    <w:p>
      <w:pPr>
        <w:pStyle w:val="BodyText"/>
        <w:spacing w:line="316" w:lineRule="auto" w:before="19"/>
        <w:ind w:left="513" w:right="1033" w:hanging="360"/>
        <w:jc w:val="left"/>
      </w:pPr>
      <w:r>
        <w:rPr/>
        <w:t>（七）关于相关利益者 公司积极履行企业的社会责任，充分尊重和维护相关利益者的合法权益，加强与各方的沟通和交流，实现股东、员工、</w:t>
      </w:r>
    </w:p>
    <w:p>
      <w:pPr>
        <w:pStyle w:val="BodyText"/>
        <w:spacing w:line="240" w:lineRule="auto" w:before="19"/>
        <w:ind w:left="153" w:right="0"/>
        <w:jc w:val="left"/>
      </w:pPr>
      <w:r>
        <w:rPr/>
        <w:t>社会等各方利益的协调平衡，共同推动公司持续、健康的发展。</w:t>
      </w:r>
    </w:p>
    <w:p>
      <w:pPr>
        <w:pStyle w:val="BodyText"/>
        <w:spacing w:line="316" w:lineRule="auto" w:before="76"/>
        <w:ind w:left="513" w:right="1123" w:hanging="360"/>
        <w:jc w:val="left"/>
      </w:pPr>
      <w:r>
        <w:rPr/>
        <w:t>（八）关于内部审计制度 公司设立了内审部，配置了</w:t>
      </w:r>
      <w:r>
        <w:rPr>
          <w:rFonts w:ascii="宋体" w:hAnsi="宋体" w:cs="宋体" w:eastAsia="宋体" w:hint="default"/>
        </w:rPr>
        <w:t>3</w:t>
      </w:r>
      <w:r>
        <w:rPr/>
        <w:t>名专职审计人员，在董事会审计委员会的领导下对公司及子公司的经济运行质量、经济效</w:t>
      </w:r>
    </w:p>
    <w:p>
      <w:pPr>
        <w:pStyle w:val="BodyText"/>
        <w:spacing w:line="360" w:lineRule="auto" w:before="19"/>
        <w:ind w:left="153" w:right="3553"/>
        <w:jc w:val="left"/>
      </w:pPr>
      <w:r>
        <w:rPr/>
        <w:t>益、内控的制度和执行、各项费用的使用以及资产情况进行审计和监督。 公司治理的实际状况与中国证监会发布的有关上市公司治理的规范性文件是否存在重大差异</w:t>
      </w:r>
    </w:p>
    <w:p>
      <w:pPr>
        <w:pStyle w:val="BodyText"/>
        <w:spacing w:line="338" w:lineRule="auto" w:before="27"/>
        <w:ind w:left="153"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5"/>
        <w:rPr>
          <w:rFonts w:ascii="宋体" w:hAnsi="宋体" w:cs="宋体" w:eastAsia="宋体" w:hint="default"/>
          <w:sz w:val="19"/>
          <w:szCs w:val="19"/>
        </w:rPr>
      </w:pPr>
    </w:p>
    <w:p>
      <w:pPr>
        <w:pStyle w:val="Heading4"/>
        <w:spacing w:line="240" w:lineRule="auto"/>
        <w:ind w:right="0"/>
        <w:jc w:val="left"/>
        <w:rPr>
          <w:b w:val="0"/>
          <w:bCs w:val="0"/>
        </w:rPr>
      </w:pPr>
      <w:bookmarkStart w:name="二、公司相对于控股股东在业务、人员、资产、机构、财务等方面的独立情况" w:id="134"/>
      <w:bookmarkEnd w:id="134"/>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3" w:right="1130" w:firstLine="360"/>
        <w:jc w:val="both"/>
      </w:pPr>
      <w:r>
        <w:rPr>
          <w:spacing w:val="-2"/>
        </w:rPr>
        <w:t>公司无控股股东，公司实际控制人为包叔平先生。公司在业务、人员、资产、机构及财务等方面完全独立，不存在公司</w:t>
      </w:r>
      <w:r>
        <w:rPr/>
        <w:t> </w:t>
      </w:r>
      <w:r>
        <w:rPr>
          <w:spacing w:val="-2"/>
        </w:rPr>
        <w:t>与控股股东在业务、人员、资产、机构、财务等方面的问题。同时公司的股东及其关联公司除因正常业务往来而发生经营性</w:t>
      </w:r>
      <w:r>
        <w:rPr>
          <w:spacing w:val="-65"/>
        </w:rPr>
        <w:t> </w:t>
      </w:r>
      <w:r>
        <w:rPr>
          <w:spacing w:val="-65"/>
        </w:rPr>
      </w:r>
      <w:r>
        <w:rPr>
          <w:spacing w:val="-2"/>
        </w:rPr>
        <w:t>占用外未以其他任何形式占用公司的货币资金或其他资产。公司严格按照《公司法》和公司章程规范运作，建立健全公司的</w:t>
      </w:r>
      <w:r>
        <w:rPr>
          <w:spacing w:val="-66"/>
        </w:rPr>
        <w:t> </w:t>
      </w:r>
      <w:r>
        <w:rPr>
          <w:spacing w:val="-66"/>
        </w:rPr>
      </w:r>
      <w:r>
        <w:rPr/>
        <w:t>法人治理结构，公司具有独立完整的业务及自主经营能力。</w:t>
      </w:r>
    </w:p>
    <w:p>
      <w:pPr>
        <w:spacing w:line="240" w:lineRule="auto" w:before="10"/>
        <w:rPr>
          <w:rFonts w:ascii="宋体" w:hAnsi="宋体" w:cs="宋体" w:eastAsia="宋体" w:hint="default"/>
          <w:sz w:val="20"/>
          <w:szCs w:val="20"/>
        </w:rPr>
      </w:pPr>
    </w:p>
    <w:p>
      <w:pPr>
        <w:pStyle w:val="Heading4"/>
        <w:spacing w:line="240" w:lineRule="auto"/>
        <w:ind w:left="154" w:right="0"/>
        <w:jc w:val="left"/>
        <w:rPr>
          <w:b w:val="0"/>
          <w:bCs w:val="0"/>
        </w:rPr>
      </w:pPr>
      <w:bookmarkStart w:name="三、同业竞争情况" w:id="135"/>
      <w:bookmarkEnd w:id="135"/>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bookmarkStart w:name="四、报告期内召开的年度股东大会和临时股东大会的有关情况" w:id="136"/>
      <w:bookmarkEnd w:id="136"/>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本报告期股东大会情况" w:id="137"/>
      <w:bookmarkEnd w:id="137"/>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4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3" w:right="29"/>
              <w:jc w:val="left"/>
              <w:rPr>
                <w:rFonts w:ascii="宋体" w:hAnsi="宋体" w:cs="宋体" w:eastAsia="宋体" w:hint="default"/>
                <w:sz w:val="18"/>
                <w:szCs w:val="18"/>
              </w:rPr>
            </w:pPr>
            <w:r>
              <w:rPr>
                <w:rFonts w:ascii="宋体" w:hAnsi="宋体" w:cs="宋体" w:eastAsia="宋体" w:hint="default"/>
                <w:spacing w:val="-9"/>
                <w:sz w:val="18"/>
                <w:szCs w:val="18"/>
              </w:rPr>
              <w:t>巨潮资讯网：《</w:t>
            </w:r>
            <w:r>
              <w:rPr>
                <w:rFonts w:ascii="Times New Roman" w:hAnsi="Times New Roman" w:cs="Times New Roman" w:eastAsia="Times New Roman" w:hint="default"/>
                <w:spacing w:val="-9"/>
                <w:sz w:val="18"/>
                <w:szCs w:val="18"/>
              </w:rPr>
              <w:t>2014</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年度股东大会决议 </w:t>
            </w:r>
            <w:r>
              <w:rPr>
                <w:rFonts w:ascii="宋体" w:hAnsi="宋体" w:cs="宋体" w:eastAsia="宋体" w:hint="default"/>
                <w:spacing w:val="-10"/>
                <w:sz w:val="18"/>
                <w:szCs w:val="18"/>
              </w:rPr>
              <w:t>公告》（公告编号：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2015-024</w:t>
            </w:r>
            <w:r>
              <w:rPr>
                <w:rFonts w:ascii="宋体" w:hAnsi="宋体" w:cs="宋体" w:eastAsia="宋体" w:hint="default"/>
                <w:sz w:val="18"/>
                <w:szCs w:val="18"/>
              </w:rPr>
              <w:t>）</w:t>
            </w:r>
          </w:p>
        </w:tc>
      </w:tr>
    </w:tbl>
    <w:p>
      <w:pPr>
        <w:spacing w:after="0" w:line="31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6"/>
        <w:spacing w:line="240" w:lineRule="auto" w:before="35"/>
        <w:ind w:right="0"/>
        <w:jc w:val="left"/>
        <w:rPr>
          <w:b w:val="0"/>
          <w:bCs w:val="0"/>
        </w:rPr>
      </w:pPr>
      <w:bookmarkStart w:name="2、表决权恢复的优先股股东请求召开临时股东大会" w:id="138"/>
      <w:bookmarkEnd w:id="138"/>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4"/>
        <w:spacing w:line="240" w:lineRule="auto"/>
        <w:ind w:right="0"/>
        <w:jc w:val="left"/>
        <w:rPr>
          <w:b w:val="0"/>
          <w:bCs w:val="0"/>
        </w:rPr>
      </w:pPr>
      <w:bookmarkStart w:name="五、报告期内独立董事履行职责的情况" w:id="139"/>
      <w:bookmarkEnd w:id="139"/>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独立董事出席董事会及股东大会的情况" w:id="140"/>
      <w:bookmarkEnd w:id="140"/>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陈乐波</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严德铭</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韩建法</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357" w:lineRule="auto" w:before="51"/>
        <w:ind w:right="6252"/>
        <w:jc w:val="left"/>
      </w:pPr>
      <w:r>
        <w:rPr/>
        <w:t>连续两次未亲自出席董事会的说明 公司未有独立董事出现连续两次未亲自出席董事会情况。</w:t>
      </w:r>
    </w:p>
    <w:p>
      <w:pPr>
        <w:spacing w:line="240" w:lineRule="auto" w:before="1"/>
        <w:rPr>
          <w:rFonts w:ascii="宋体" w:hAnsi="宋体" w:cs="宋体" w:eastAsia="宋体" w:hint="default"/>
          <w:sz w:val="20"/>
          <w:szCs w:val="20"/>
        </w:rPr>
      </w:pPr>
    </w:p>
    <w:p>
      <w:pPr>
        <w:pStyle w:val="Heading6"/>
        <w:spacing w:line="240" w:lineRule="auto"/>
        <w:ind w:left="154" w:right="0"/>
        <w:jc w:val="left"/>
        <w:rPr>
          <w:b w:val="0"/>
          <w:bCs w:val="0"/>
        </w:rPr>
      </w:pPr>
      <w:bookmarkStart w:name="2、独立董事对公司有关事项提出异议的情况" w:id="141"/>
      <w:bookmarkEnd w:id="141"/>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独立董事对公司有关事项是否提出异议</w:t>
      </w:r>
    </w:p>
    <w:p>
      <w:pPr>
        <w:pStyle w:val="BodyText"/>
        <w:spacing w:line="338" w:lineRule="auto" w:before="117"/>
        <w:ind w:left="153"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bookmarkStart w:name="3、独立董事履行职责的其他说明" w:id="142"/>
      <w:bookmarkEnd w:id="142"/>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3" w:right="0"/>
        <w:jc w:val="left"/>
      </w:pPr>
      <w:r>
        <w:rPr/>
        <w:t>独立董事对公司有关建议是否被采纳</w:t>
      </w:r>
    </w:p>
    <w:p>
      <w:pPr>
        <w:pStyle w:val="BodyText"/>
        <w:spacing w:line="340" w:lineRule="auto" w:before="116"/>
        <w:ind w:left="153"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39"/>
        <w:ind w:left="153" w:right="1131" w:firstLine="360"/>
        <w:jc w:val="both"/>
      </w:pPr>
      <w:r>
        <w:rPr>
          <w:spacing w:val="-2"/>
        </w:rPr>
        <w:t>公司独立董事根据《公司法》、《证券法》等法律法规及《公司章程》和《独立董事工作制度》等的规定，关注公司运</w:t>
      </w:r>
      <w:r>
        <w:rPr/>
        <w:t> </w:t>
      </w:r>
      <w:r>
        <w:rPr>
          <w:spacing w:val="-2"/>
        </w:rPr>
        <w:t>作的规范性，独立履行职责，对公司的制度完善和日常经营决策等方面提出了许多宝贵的专业性意见，对报告期内公司发生</w:t>
      </w:r>
      <w:r>
        <w:rPr>
          <w:spacing w:val="-66"/>
        </w:rPr>
        <w:t> </w:t>
      </w:r>
      <w:r>
        <w:rPr>
          <w:spacing w:val="-66"/>
        </w:rPr>
      </w:r>
      <w:r>
        <w:rPr>
          <w:spacing w:val="-2"/>
        </w:rPr>
        <w:t>的重大资产重组相关事项、聘请年度报告审计机构、关联交易、董事会补选等需要独立董事发表意见的事项出具了独立、公</w:t>
      </w:r>
      <w:r>
        <w:rPr>
          <w:spacing w:val="-66"/>
        </w:rPr>
        <w:t> </w:t>
      </w:r>
      <w:r>
        <w:rPr>
          <w:spacing w:val="-66"/>
        </w:rPr>
      </w:r>
      <w:r>
        <w:rPr>
          <w:spacing w:val="-2"/>
        </w:rPr>
        <w:t>正的独立董事意见，为完善公司监督机制，维护公司和全体股东的合法权益发挥了积极的作用。独立董事对公司有关建议均</w:t>
      </w:r>
      <w:r>
        <w:rPr>
          <w:spacing w:val="-66"/>
        </w:rPr>
        <w:t> </w:t>
      </w:r>
      <w:r>
        <w:rPr>
          <w:spacing w:val="-66"/>
        </w:rPr>
      </w:r>
      <w:r>
        <w:rPr/>
        <w:t>被采纳。</w:t>
      </w: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bookmarkStart w:name="六、董事会下设专门委员会在报告期内履行职责情况" w:id="143"/>
      <w:bookmarkEnd w:id="143"/>
      <w:r>
        <w:rPr>
          <w:b w:val="0"/>
          <w:bCs w:val="0"/>
        </w:rPr>
      </w:r>
      <w:r>
        <w:rPr/>
        <w:t>六、董事会下设专门委员会在报告期内履行职责情况</w:t>
      </w:r>
      <w:r>
        <w:rPr>
          <w:b w:val="0"/>
          <w:bCs w:val="0"/>
        </w:rPr>
      </w:r>
    </w:p>
    <w:p>
      <w:pPr>
        <w:spacing w:line="240" w:lineRule="auto" w:before="4"/>
        <w:rPr>
          <w:rFonts w:ascii="宋体" w:hAnsi="宋体" w:cs="宋体" w:eastAsia="宋体" w:hint="default"/>
          <w:b/>
          <w:bCs/>
          <w:sz w:val="26"/>
          <w:szCs w:val="26"/>
        </w:rPr>
      </w:pPr>
    </w:p>
    <w:p>
      <w:pPr>
        <w:pStyle w:val="BodyText"/>
        <w:spacing w:line="309" w:lineRule="auto" w:before="0"/>
        <w:ind w:left="153" w:right="1153" w:firstLine="360"/>
        <w:jc w:val="left"/>
      </w:pPr>
      <w:r>
        <w:rPr/>
        <w:t>公司董事会下设三个专门委员会，分别为审计委员会、战略委员会、提名</w:t>
      </w:r>
      <w:r>
        <w:rPr>
          <w:rFonts w:ascii="Times New Roman" w:hAnsi="Times New Roman" w:cs="Times New Roman" w:eastAsia="Times New Roman" w:hint="default"/>
        </w:rPr>
        <w:t>·</w:t>
      </w:r>
      <w:r>
        <w:rPr/>
        <w:t>薪酬与考核委员会。</w:t>
      </w:r>
      <w:r>
        <w:rPr>
          <w:rFonts w:ascii="Times New Roman" w:hAnsi="Times New Roman" w:cs="Times New Roman" w:eastAsia="Times New Roman" w:hint="default"/>
        </w:rPr>
        <w:t>2015</w:t>
      </w:r>
      <w:r>
        <w:rPr/>
        <w:t>年各专门委员会本 着勤勉尽责的原则，按照有关法律法规、规范性文件及公司各专门委员会工作细则的有关规定开展相关工作，报告期内， 各专门委员会履职情况如下：</w:t>
      </w:r>
    </w:p>
    <w:p>
      <w:pPr>
        <w:pStyle w:val="BodyText"/>
        <w:spacing w:line="316" w:lineRule="auto" w:before="24"/>
        <w:ind w:left="513" w:right="1213"/>
        <w:jc w:val="left"/>
      </w:pPr>
      <w:r>
        <w:rPr/>
        <w:t>（一）审计委员会 报告期内，审计委员会根据《董事会审计委员会工作细则》及其他有关规定积极开展工作，认真履行职责。报告期内</w:t>
      </w:r>
    </w:p>
    <w:p>
      <w:pPr>
        <w:spacing w:after="0" w:line="316" w:lineRule="auto"/>
        <w:jc w:val="left"/>
        <w:sectPr>
          <w:pgSz w:w="11910" w:h="16840"/>
          <w:pgMar w:header="747" w:footer="979"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ind w:left="153" w:right="1230"/>
        <w:jc w:val="both"/>
      </w:pPr>
      <w:r>
        <w:rPr/>
        <w:t>，审计委员会召开了多次会议，审查了公司内部控制制度及执行情况，审核了公司所有重要的会计政策，定期了解公司财 务状况和经营情况，督促和指导公司审计部门对公司财务管理运行情况进行定期和不定期的检查和评估，委员会认为公司 内控制度体系符合法律、法规及《公司章程》的要求，适应当前公司生产经营实际情况的需要。同时，审计委员会还就下 列事项展开工作：</w:t>
      </w:r>
    </w:p>
    <w:p>
      <w:pPr>
        <w:pStyle w:val="BodyText"/>
        <w:spacing w:line="300" w:lineRule="auto" w:before="19"/>
        <w:ind w:right="1122" w:firstLine="360"/>
        <w:jc w:val="left"/>
      </w:pPr>
      <w:r>
        <w:rPr/>
        <w:t>（</w:t>
      </w:r>
      <w:r>
        <w:rPr>
          <w:rFonts w:ascii="Times New Roman" w:hAnsi="Times New Roman" w:cs="Times New Roman" w:eastAsia="Times New Roman" w:hint="default"/>
        </w:rPr>
        <w:t>1</w:t>
      </w:r>
      <w:r>
        <w:rPr/>
        <w:t>）与会计师事务所就年度审计报告编制进行沟通和交流，要求审计机构密切关注中国证监会、深圳证券交易所等监 管部门对年报审计工作的相关政策和要求，确保审计的独立性并保质保量如期完成审计工作；</w:t>
      </w:r>
    </w:p>
    <w:p>
      <w:pPr>
        <w:pStyle w:val="BodyText"/>
        <w:spacing w:line="240" w:lineRule="auto" w:before="31"/>
        <w:ind w:left="513" w:right="0"/>
        <w:jc w:val="left"/>
      </w:pPr>
      <w:r>
        <w:rPr/>
        <w:t>（</w:t>
      </w:r>
      <w:r>
        <w:rPr>
          <w:rFonts w:ascii="Times New Roman" w:hAnsi="Times New Roman" w:cs="Times New Roman" w:eastAsia="Times New Roman" w:hint="default"/>
        </w:rPr>
        <w:t>2</w:t>
      </w:r>
      <w:r>
        <w:rPr/>
        <w:t>）在年审期间，与负责年审的注册会计师充分沟通，关注年审进展；</w:t>
      </w:r>
    </w:p>
    <w:p>
      <w:pPr>
        <w:pStyle w:val="BodyText"/>
        <w:spacing w:line="240" w:lineRule="auto" w:before="63"/>
        <w:ind w:left="513" w:right="0"/>
        <w:jc w:val="left"/>
      </w:pPr>
      <w:r>
        <w:rPr/>
        <w:t>（</w:t>
      </w:r>
      <w:r>
        <w:rPr>
          <w:rFonts w:ascii="Times New Roman" w:hAnsi="Times New Roman" w:cs="Times New Roman" w:eastAsia="Times New Roman" w:hint="default"/>
        </w:rPr>
        <w:t>3</w:t>
      </w:r>
      <w:r>
        <w:rPr/>
        <w:t>）审议公司审计部门提交的季度工作报告，年度工作计划等；</w:t>
      </w:r>
    </w:p>
    <w:p>
      <w:pPr>
        <w:pStyle w:val="BodyText"/>
        <w:spacing w:line="240" w:lineRule="auto" w:before="63"/>
        <w:ind w:left="513" w:right="0"/>
        <w:jc w:val="left"/>
      </w:pPr>
      <w:r>
        <w:rPr/>
        <w:t>（</w:t>
      </w:r>
      <w:r>
        <w:rPr>
          <w:rFonts w:ascii="Times New Roman" w:hAnsi="Times New Roman" w:cs="Times New Roman" w:eastAsia="Times New Roman" w:hint="default"/>
        </w:rPr>
        <w:t>4</w:t>
      </w:r>
      <w:r>
        <w:rPr/>
        <w:t>）对会计师事务所的工作进行评价和总结，并向董事会提出续聘议案。</w:t>
      </w:r>
    </w:p>
    <w:p>
      <w:pPr>
        <w:pStyle w:val="BodyText"/>
        <w:spacing w:line="319" w:lineRule="auto" w:before="63"/>
        <w:ind w:left="513" w:right="2113"/>
        <w:jc w:val="left"/>
      </w:pPr>
      <w:r>
        <w:rPr/>
        <w:t>（二）战略委员会 报告期内，战略委员会召开了数次讨论会，积极履行职责，研究公司的中长期发展计划。在非公开发行股</w:t>
      </w:r>
    </w:p>
    <w:p>
      <w:pPr>
        <w:pStyle w:val="BodyText"/>
        <w:spacing w:line="314" w:lineRule="auto" w:before="17"/>
        <w:ind w:right="1212"/>
        <w:jc w:val="left"/>
      </w:pPr>
      <w:r>
        <w:rPr/>
        <w:t>票、对外投资等事项上均进行了认真的讨论和分析，提出意见和建议，对增强公司核心竞争力和战略转型，加强决策的科 学性，提高决策效益和质量发挥了重要作用。</w:t>
      </w:r>
    </w:p>
    <w:p>
      <w:pPr>
        <w:pStyle w:val="BodyText"/>
        <w:spacing w:line="300" w:lineRule="auto" w:before="20"/>
        <w:ind w:left="514" w:right="1152"/>
        <w:jc w:val="left"/>
      </w:pPr>
      <w:r>
        <w:rPr/>
        <w:t>（三）提名</w:t>
      </w:r>
      <w:r>
        <w:rPr>
          <w:rFonts w:ascii="Times New Roman" w:hAnsi="Times New Roman" w:cs="Times New Roman" w:eastAsia="Times New Roman" w:hint="default"/>
        </w:rPr>
        <w:t>·</w:t>
      </w:r>
      <w:r>
        <w:rPr/>
        <w:t>薪酬与考核委员会 第五届提名</w:t>
      </w:r>
      <w:r>
        <w:rPr>
          <w:rFonts w:ascii="Times New Roman" w:hAnsi="Times New Roman" w:cs="Times New Roman" w:eastAsia="Times New Roman" w:hint="default"/>
        </w:rPr>
        <w:t>·</w:t>
      </w:r>
      <w:r>
        <w:rPr/>
        <w:t>薪酬与考核委员会对公司董事、监事、高级管理人员</w:t>
      </w:r>
      <w:r>
        <w:rPr>
          <w:rFonts w:ascii="Times New Roman" w:hAnsi="Times New Roman" w:cs="Times New Roman" w:eastAsia="Times New Roman" w:hint="default"/>
        </w:rPr>
        <w:t>2014</w:t>
      </w:r>
      <w:r>
        <w:rPr/>
        <w:t>年度薪酬进行了审核，经过综合考评，根据本年</w:t>
      </w:r>
    </w:p>
    <w:p>
      <w:pPr>
        <w:pStyle w:val="BodyText"/>
        <w:spacing w:line="316" w:lineRule="auto" w:before="13"/>
        <w:ind w:left="153" w:right="1213"/>
        <w:jc w:val="left"/>
      </w:pPr>
      <w:r>
        <w:rPr/>
        <w:t>度业绩情况确定了公司员工及高级管理人员的薪酬以及公司员工的薪酬标准，认为公司员工及高管的薪酬待遇符合市场基 本情况，公平合理，对公司保有高质量的人才并对提高公司业绩起到积极的作用。</w:t>
      </w:r>
    </w:p>
    <w:p>
      <w:pPr>
        <w:spacing w:line="240" w:lineRule="auto" w:before="12"/>
        <w:rPr>
          <w:rFonts w:ascii="宋体" w:hAnsi="宋体" w:cs="宋体" w:eastAsia="宋体" w:hint="default"/>
          <w:sz w:val="20"/>
          <w:szCs w:val="20"/>
        </w:rPr>
      </w:pPr>
    </w:p>
    <w:p>
      <w:pPr>
        <w:pStyle w:val="Heading4"/>
        <w:spacing w:line="240" w:lineRule="auto"/>
        <w:ind w:right="0"/>
        <w:jc w:val="both"/>
        <w:rPr>
          <w:b w:val="0"/>
          <w:bCs w:val="0"/>
        </w:rPr>
      </w:pPr>
      <w:bookmarkStart w:name="七、监事会工作情况" w:id="144"/>
      <w:bookmarkEnd w:id="144"/>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3" w:right="0"/>
        <w:jc w:val="both"/>
      </w:pPr>
      <w:r>
        <w:rPr/>
        <w:t>监事会在报告期内的监督活动中发现公司是否存在风险</w:t>
      </w:r>
    </w:p>
    <w:p>
      <w:pPr>
        <w:pStyle w:val="BodyText"/>
        <w:spacing w:line="340" w:lineRule="auto" w:before="116"/>
        <w:ind w:left="153"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4"/>
        <w:spacing w:line="240" w:lineRule="auto"/>
        <w:ind w:right="0"/>
        <w:jc w:val="both"/>
        <w:rPr>
          <w:b w:val="0"/>
          <w:bCs w:val="0"/>
        </w:rPr>
      </w:pPr>
      <w:bookmarkStart w:name="八、高级管理人员的考评及激励情况" w:id="145"/>
      <w:bookmarkEnd w:id="145"/>
      <w:r>
        <w:rPr>
          <w:b w:val="0"/>
          <w:bCs w:val="0"/>
        </w:rPr>
      </w:r>
      <w:r>
        <w:rPr/>
        <w:t>八、高级管理人员的考评及激励情况</w:t>
      </w:r>
      <w:r>
        <w:rPr>
          <w:b w:val="0"/>
          <w:bCs w:val="0"/>
        </w:rPr>
      </w:r>
    </w:p>
    <w:p>
      <w:pPr>
        <w:spacing w:line="240" w:lineRule="auto" w:before="5"/>
        <w:rPr>
          <w:rFonts w:ascii="宋体" w:hAnsi="宋体" w:cs="宋体" w:eastAsia="宋体" w:hint="default"/>
          <w:b/>
          <w:bCs/>
          <w:sz w:val="26"/>
          <w:szCs w:val="26"/>
        </w:rPr>
      </w:pPr>
    </w:p>
    <w:p>
      <w:pPr>
        <w:pStyle w:val="BodyText"/>
        <w:spacing w:line="312" w:lineRule="auto" w:before="0"/>
        <w:ind w:left="153" w:right="1153" w:firstLine="360"/>
        <w:jc w:val="left"/>
      </w:pPr>
      <w:r>
        <w:rPr/>
        <w:t>公司建立了公正、合理、有效的高级管理人员绩效考核评价体系，以公司规范化管理以及经营效益稳步提升为基础， 明确责任。董事会提名</w:t>
      </w:r>
      <w:r>
        <w:rPr>
          <w:rFonts w:ascii="Times New Roman" w:hAnsi="Times New Roman" w:cs="Times New Roman" w:eastAsia="Times New Roman" w:hint="default"/>
        </w:rPr>
        <w:t>·</w:t>
      </w:r>
      <w:r>
        <w:rPr/>
        <w:t>薪酬与考核委员会具体审议高级管理人员的薪酬奖励方案，根据公司实际经营完成情况以及高级管 理人员的工作绩效，对高级管理人员进行年度绩效考核，并监督薪酬制度执行情况。报告期内，本公司高级管理人员严格 按照《公司法》、《公司章程》等法律法规，认真履行职责。</w:t>
      </w:r>
    </w:p>
    <w:p>
      <w:pPr>
        <w:spacing w:line="240" w:lineRule="auto" w:before="3"/>
        <w:rPr>
          <w:rFonts w:ascii="宋体" w:hAnsi="宋体" w:cs="宋体" w:eastAsia="宋体" w:hint="default"/>
          <w:sz w:val="21"/>
          <w:szCs w:val="21"/>
        </w:rPr>
      </w:pPr>
    </w:p>
    <w:p>
      <w:pPr>
        <w:pStyle w:val="Heading4"/>
        <w:spacing w:line="240" w:lineRule="auto"/>
        <w:ind w:left="154" w:right="0"/>
        <w:jc w:val="both"/>
        <w:rPr>
          <w:b w:val="0"/>
          <w:bCs w:val="0"/>
        </w:rPr>
      </w:pPr>
      <w:bookmarkStart w:name="九、内部控制评价报告" w:id="146"/>
      <w:bookmarkEnd w:id="146"/>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both"/>
        <w:rPr>
          <w:b w:val="0"/>
          <w:bCs w:val="0"/>
        </w:rPr>
      </w:pPr>
      <w:bookmarkStart w:name="1、报告期内发现的内部控制重大缺陷的具体情况" w:id="147"/>
      <w:bookmarkEnd w:id="147"/>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6"/>
        <w:spacing w:line="240" w:lineRule="auto"/>
        <w:ind w:right="0"/>
        <w:jc w:val="both"/>
        <w:rPr>
          <w:b w:val="0"/>
          <w:bCs w:val="0"/>
        </w:rPr>
      </w:pPr>
      <w:bookmarkStart w:name="2、内控自我评价报告" w:id="148"/>
      <w:bookmarkEnd w:id="148"/>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年度内部控制自我评价报告（巨潮资讯网</w:t>
            </w:r>
            <w:r>
              <w:rPr>
                <w:rFonts w:ascii="宋体" w:hAnsi="宋体" w:cs="宋体" w:eastAsia="宋体" w:hint="default"/>
                <w:spacing w:val="-64"/>
                <w:sz w:val="18"/>
                <w:szCs w:val="18"/>
              </w:rPr>
              <w:t> </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shape style="position:absolute;margin-left:331.660004pt;margin-top:148.399979pt;width:203.25pt;height:46.8pt;mso-position-horizontal-relative:page;mso-position-vertical-relative:page;z-index:-922576"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8"/>
                    <w:ind w:left="0" w:right="0"/>
                    <w:jc w:val="left"/>
                  </w:pPr>
                  <w:r>
                    <w:rPr/>
                    <w:t>制环境无效；</w:t>
                  </w:r>
                </w:p>
              </w:txbxContent>
            </v:textbox>
            <w10:wrap type="none"/>
          </v:shape>
        </w:pict>
      </w:r>
      <w:r>
        <w:rPr/>
        <w:pict>
          <v:shape style="position:absolute;margin-left:56.459999pt;margin-top:71.999985pt;width:479.2pt;height:691.75pt;mso-position-horizontal-relative:page;mso-position-vertical-relative:page;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329"/>
                    <w:gridCol w:w="3051"/>
                  </w:tblGrid>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657"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16" w:lineRule="auto" w:before="51"/>
                          <w:ind w:left="22" w:right="48"/>
                          <w:jc w:val="both"/>
                          <w:rPr>
                            <w:rFonts w:ascii="宋体" w:hAnsi="宋体" w:cs="宋体" w:eastAsia="宋体" w:hint="default"/>
                            <w:sz w:val="18"/>
                            <w:szCs w:val="18"/>
                          </w:rPr>
                        </w:pPr>
                        <w:r>
                          <w:rPr>
                            <w:rFonts w:ascii="宋体" w:hAnsi="宋体" w:cs="宋体" w:eastAsia="宋体" w:hint="default"/>
                            <w:sz w:val="18"/>
                            <w:szCs w:val="18"/>
                          </w:rPr>
                          <w:t>出现下列情形的，认定为存在财务报告内 </w:t>
                        </w:r>
                        <w:r>
                          <w:rPr>
                            <w:rFonts w:ascii="宋体" w:hAnsi="宋体" w:cs="宋体" w:eastAsia="宋体" w:hint="default"/>
                            <w:spacing w:val="-11"/>
                            <w:sz w:val="18"/>
                            <w:szCs w:val="18"/>
                          </w:rPr>
                          <w:t>部控制重大缺陷：（</w:t>
                        </w: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）公司控</w:t>
                        </w:r>
                      </w:p>
                      <w:p>
                        <w:pPr>
                          <w:pStyle w:val="TableParagraph"/>
                          <w:spacing w:line="309" w:lineRule="auto"/>
                          <w:ind w:left="22" w:right="21"/>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）公司董事、监事和高级管理人员的舞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弊行为；（</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）注册会计师发现当期财务报</w:t>
                        </w:r>
                        <w:r>
                          <w:rPr>
                            <w:rFonts w:ascii="宋体" w:hAnsi="宋体" w:cs="宋体" w:eastAsia="宋体" w:hint="default"/>
                            <w:spacing w:val="-85"/>
                            <w:sz w:val="18"/>
                            <w:szCs w:val="18"/>
                          </w:rPr>
                          <w:t> </w:t>
                        </w:r>
                        <w:r>
                          <w:rPr>
                            <w:rFonts w:ascii="宋体" w:hAnsi="宋体" w:cs="宋体" w:eastAsia="宋体" w:hint="default"/>
                            <w:sz w:val="18"/>
                            <w:szCs w:val="18"/>
                          </w:rPr>
                          <w:t>告存在重大错报，而公司内部控制在运行 </w:t>
                        </w:r>
                        <w:r>
                          <w:rPr>
                            <w:rFonts w:ascii="宋体" w:hAnsi="宋体" w:cs="宋体" w:eastAsia="宋体" w:hint="default"/>
                            <w:spacing w:val="-5"/>
                            <w:sz w:val="18"/>
                            <w:szCs w:val="18"/>
                          </w:rPr>
                          <w:t>过程中未能发现该错报；（</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）公司审计委</w:t>
                        </w:r>
                        <w:r>
                          <w:rPr>
                            <w:rFonts w:ascii="宋体" w:hAnsi="宋体" w:cs="宋体" w:eastAsia="宋体" w:hint="default"/>
                            <w:spacing w:val="-85"/>
                            <w:sz w:val="18"/>
                            <w:szCs w:val="18"/>
                          </w:rPr>
                          <w:t> </w:t>
                        </w:r>
                        <w:r>
                          <w:rPr>
                            <w:rFonts w:ascii="宋体" w:hAnsi="宋体" w:cs="宋体" w:eastAsia="宋体" w:hint="default"/>
                            <w:sz w:val="18"/>
                            <w:szCs w:val="18"/>
                          </w:rPr>
                          <w:t>员会和内部审计机构对内部控制的监督无 效。出现下列情形的，认定为存在财务报 </w:t>
                        </w:r>
                        <w:r>
                          <w:rPr>
                            <w:rFonts w:ascii="宋体" w:hAnsi="宋体" w:cs="宋体" w:eastAsia="宋体" w:hint="default"/>
                            <w:spacing w:val="-5"/>
                            <w:sz w:val="18"/>
                            <w:szCs w:val="18"/>
                          </w:rPr>
                          <w:t>告内部控制重要缺陷：（</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）未依照公认会</w:t>
                        </w:r>
                        <w:r>
                          <w:rPr>
                            <w:rFonts w:ascii="宋体" w:hAnsi="宋体" w:cs="宋体" w:eastAsia="宋体" w:hint="default"/>
                            <w:spacing w:val="-85"/>
                            <w:sz w:val="18"/>
                            <w:szCs w:val="18"/>
                          </w:rPr>
                          <w:t> </w:t>
                        </w:r>
                        <w:r>
                          <w:rPr>
                            <w:rFonts w:ascii="宋体" w:hAnsi="宋体" w:cs="宋体" w:eastAsia="宋体" w:hint="default"/>
                            <w:spacing w:val="-5"/>
                            <w:sz w:val="18"/>
                            <w:szCs w:val="18"/>
                          </w:rPr>
                          <w:t>计准则选择和应用会计政策；（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）未建立</w:t>
                        </w:r>
                        <w:r>
                          <w:rPr>
                            <w:rFonts w:ascii="宋体" w:hAnsi="宋体" w:cs="宋体" w:eastAsia="宋体" w:hint="default"/>
                            <w:spacing w:val="-85"/>
                            <w:sz w:val="18"/>
                            <w:szCs w:val="18"/>
                          </w:rPr>
                          <w:t> </w:t>
                        </w:r>
                        <w:r>
                          <w:rPr>
                            <w:rFonts w:ascii="宋体" w:hAnsi="宋体" w:cs="宋体" w:eastAsia="宋体" w:hint="default"/>
                            <w:spacing w:val="-5"/>
                            <w:sz w:val="18"/>
                            <w:szCs w:val="18"/>
                          </w:rPr>
                          <w:t>反舞弊程序和控制措施；（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）对于非常规</w:t>
                        </w:r>
                        <w:r>
                          <w:rPr>
                            <w:rFonts w:ascii="宋体" w:hAnsi="宋体" w:cs="宋体" w:eastAsia="宋体" w:hint="default"/>
                            <w:spacing w:val="-85"/>
                            <w:sz w:val="18"/>
                            <w:szCs w:val="18"/>
                          </w:rPr>
                          <w:t> </w:t>
                        </w:r>
                        <w:r>
                          <w:rPr>
                            <w:rFonts w:ascii="宋体" w:hAnsi="宋体" w:cs="宋体" w:eastAsia="宋体" w:hint="default"/>
                            <w:sz w:val="18"/>
                            <w:szCs w:val="18"/>
                          </w:rPr>
                          <w:t>或特殊交易的账务处理没有建立相应的控 制机制或没有实施且没有相应的补偿性控 </w:t>
                        </w:r>
                        <w:r>
                          <w:rPr>
                            <w:rFonts w:ascii="宋体" w:hAnsi="宋体" w:cs="宋体" w:eastAsia="宋体" w:hint="default"/>
                            <w:spacing w:val="-5"/>
                            <w:sz w:val="18"/>
                            <w:szCs w:val="18"/>
                          </w:rPr>
                          <w:t>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）对于期末财务报告过程的控制存</w:t>
                        </w:r>
                        <w:r>
                          <w:rPr>
                            <w:rFonts w:ascii="宋体" w:hAnsi="宋体" w:cs="宋体" w:eastAsia="宋体" w:hint="default"/>
                            <w:spacing w:val="-85"/>
                            <w:sz w:val="18"/>
                            <w:szCs w:val="18"/>
                          </w:rPr>
                          <w:t> </w:t>
                        </w:r>
                        <w:r>
                          <w:rPr>
                            <w:rFonts w:ascii="宋体" w:hAnsi="宋体" w:cs="宋体" w:eastAsia="宋体" w:hint="default"/>
                            <w:sz w:val="18"/>
                            <w:szCs w:val="18"/>
                          </w:rPr>
                          <w:t>在一项或多项缺陷且不能合理保证编制的 财务报表达到真实、完整的目标。一般缺 陷是指除上述重大缺陷、重要缺陷之外的 其他控制缺陷。</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性作判定。如果缺陷发生的可能性较 </w:t>
                        </w:r>
                        <w:r>
                          <w:rPr>
                            <w:rFonts w:ascii="宋体" w:hAnsi="宋体" w:cs="宋体" w:eastAsia="宋体" w:hint="default"/>
                            <w:spacing w:val="-4"/>
                            <w:sz w:val="18"/>
                            <w:szCs w:val="18"/>
                          </w:rPr>
                          <w:t>小，会降低工作效率或效果、或加大效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果的不确定性、或使之偏离预期目标为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一般缺陷；如果缺陷发生的可能性较 </w:t>
                        </w:r>
                        <w:r>
                          <w:rPr>
                            <w:rFonts w:ascii="宋体" w:hAnsi="宋体" w:cs="宋体" w:eastAsia="宋体" w:hint="default"/>
                            <w:spacing w:val="-4"/>
                            <w:sz w:val="18"/>
                            <w:szCs w:val="18"/>
                          </w:rPr>
                          <w:t>高，会显著降低工作效率或效果、或者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显著加大效果的不确定性、或使之显著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偏离预期目标为重要缺陷；如果缺陷发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生的可能性高，会严重降低工作效率或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效果、或严重加大效果的不确定性、或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使之严重偏离预期目标为重大缺陷。</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657"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2501"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9" w:lineRule="auto"/>
                          <w:ind w:left="22" w:right="20"/>
                          <w:jc w:val="left"/>
                          <w:rPr>
                            <w:rFonts w:ascii="宋体" w:hAnsi="宋体" w:cs="宋体" w:eastAsia="宋体" w:hint="default"/>
                            <w:sz w:val="18"/>
                            <w:szCs w:val="18"/>
                          </w:rPr>
                        </w:pPr>
                        <w:r>
                          <w:rPr>
                            <w:rFonts w:ascii="宋体" w:hAnsi="宋体" w:cs="宋体" w:eastAsia="宋体" w:hint="default"/>
                            <w:sz w:val="18"/>
                            <w:szCs w:val="18"/>
                          </w:rPr>
                          <w:t>内部控制缺陷可能导致或导致的损失与利 润表相关的，以营业收入指标衡量。如果 该缺陷单独或连同其他缺陷可能导致的财 务报告错报金额小于营业收入的</w:t>
                        </w:r>
                        <w:r>
                          <w:rPr>
                            <w:rFonts w:ascii="宋体" w:hAnsi="宋体" w:cs="宋体" w:eastAsia="宋体" w:hint="default"/>
                            <w:spacing w:val="-45"/>
                            <w:sz w:val="18"/>
                            <w:szCs w:val="18"/>
                          </w:rPr>
                          <w:t> </w:t>
                        </w: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，则认</w:t>
                        </w:r>
                        <w:r>
                          <w:rPr>
                            <w:rFonts w:ascii="宋体" w:hAnsi="宋体" w:cs="宋体" w:eastAsia="宋体" w:hint="default"/>
                            <w:sz w:val="18"/>
                            <w:szCs w:val="18"/>
                          </w:rPr>
                          <w:t> 定为一般缺陷；如果超过营业收入的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，则为重要缺陷；如果超过营业</w:t>
                        </w:r>
                        <w:r>
                          <w:rPr>
                            <w:rFonts w:ascii="宋体" w:hAnsi="宋体" w:cs="宋体" w:eastAsia="宋体" w:hint="default"/>
                            <w:sz w:val="18"/>
                            <w:szCs w:val="18"/>
                          </w:rPr>
                          <w:t> 收入的</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，则认定为重大缺陷。内部控制</w:t>
                        </w:r>
                        <w:r>
                          <w:rPr>
                            <w:rFonts w:ascii="宋体" w:hAnsi="宋体" w:cs="宋体" w:eastAsia="宋体" w:hint="default"/>
                            <w:sz w:val="18"/>
                            <w:szCs w:val="18"/>
                          </w:rPr>
                          <w:t> 缺陷可能导致或导致的损失与资产管理相 关的，以资产总额指标衡量。如果该缺陷 单独或连同其他缺陷可能导致的财务报告 错报金额小于资产总额的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，则认定为一</w:t>
                        </w:r>
                        <w:r>
                          <w:rPr>
                            <w:rFonts w:ascii="宋体" w:hAnsi="宋体" w:cs="宋体" w:eastAsia="宋体" w:hint="default"/>
                            <w:sz w:val="18"/>
                            <w:szCs w:val="18"/>
                          </w:rPr>
                          <w:t> 般缺陷；如果超过资产总额的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但小于 </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，则认定为重要缺陷；如果超过资产总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，则认定为重大缺陷。</w:t>
                        </w:r>
                      </w:p>
                    </w:tc>
                    <w:tc>
                      <w:tcPr>
                        <w:tcW w:w="3051" w:type="dxa"/>
                        <w:vMerge w:val="restart"/>
                        <w:tcBorders>
                          <w:top w:val="single" w:sz="4" w:space="0" w:color="000000"/>
                          <w:left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定量标准以营业收入、资产总额作为衡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量指标。内部控制缺陷可能导致或导致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的损失与利润报表相关的，以营业收入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指标衡量。如果该缺陷单独或连同其他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缺陷可能导致的财务报告错报金额小 于营业收入的</w:t>
                        </w:r>
                        <w:r>
                          <w:rPr>
                            <w:rFonts w:ascii="宋体" w:hAnsi="宋体" w:cs="宋体" w:eastAsia="宋体" w:hint="default"/>
                            <w:spacing w:val="-44"/>
                            <w:sz w:val="18"/>
                            <w:szCs w:val="18"/>
                          </w:rPr>
                          <w:t> </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，则认定为一般缺陷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如果超过营业收入的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 </w:t>
                        </w:r>
                        <w:r>
                          <w:rPr>
                            <w:rFonts w:ascii="宋体" w:hAnsi="宋体" w:cs="宋体" w:eastAsia="宋体" w:hint="default"/>
                            <w:spacing w:val="-4"/>
                            <w:sz w:val="18"/>
                            <w:szCs w:val="18"/>
                          </w:rPr>
                          <w:t>则认定为重要缺陷；如果超过营业收入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，则认定为重大缺陷。内部控制 缺陷可能导致或导致的损失与资产管 </w:t>
                        </w:r>
                        <w:r>
                          <w:rPr>
                            <w:rFonts w:ascii="宋体" w:hAnsi="宋体" w:cs="宋体" w:eastAsia="宋体" w:hint="default"/>
                            <w:spacing w:val="-4"/>
                            <w:sz w:val="18"/>
                            <w:szCs w:val="18"/>
                          </w:rPr>
                          <w:t>理相关的，以资产总额指标衡量。如果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该缺陷单独或连同其他缺陷可能导致 的财务报告错报金额小于资产总额的 </w:t>
                        </w:r>
                        <w:r>
                          <w:rPr>
                            <w:rFonts w:ascii="Times New Roman" w:hAnsi="Times New Roman" w:cs="Times New Roman" w:eastAsia="Times New Roman" w:hint="default"/>
                            <w:sz w:val="18"/>
                            <w:szCs w:val="18"/>
                          </w:rPr>
                          <w:t>3%</w:t>
                        </w:r>
                        <w:r>
                          <w:rPr>
                            <w:rFonts w:ascii="宋体" w:hAnsi="宋体" w:cs="宋体" w:eastAsia="宋体" w:hint="default"/>
                            <w:sz w:val="18"/>
                            <w:szCs w:val="18"/>
                          </w:rPr>
                          <w:t>，则认为一般缺陷；如果超过资产 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，则认定为重要缺 陷；如果超过资产总额的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，则认定 为重大缺陷。</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501"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5"/>
          <w:szCs w:val="25"/>
        </w:rPr>
      </w:pPr>
    </w:p>
    <w:p>
      <w:pPr>
        <w:spacing w:line="936" w:lineRule="exact"/>
        <w:ind w:left="6676"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152.1pt;height:46.8pt;mso-position-horizontal-relative:char;mso-position-vertical-relative:line" coordorigin="0,0" coordsize="3042,936">
            <v:group style="position:absolute;left:0;top:0;width:3042;height:936" coordorigin="0,0" coordsize="3042,936">
              <v:shape style="position:absolute;left:0;top:0;width:3042;height:936" coordorigin="0,0" coordsize="3042,936" path="m0,936l3041,936,3041,0,0,0,0,936xe" filled="true" fillcolor="#ffffff" stroked="false">
                <v:path arrowok="t"/>
                <v:fill type="solid"/>
              </v:shape>
            </v:group>
          </v:group>
        </w:pict>
      </w:r>
      <w:r>
        <w:rPr>
          <w:rFonts w:ascii="宋体" w:hAnsi="宋体" w:cs="宋体" w:eastAsia="宋体" w:hint="default"/>
          <w:position w:val="-18"/>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4"/>
          <w:szCs w:val="24"/>
        </w:rPr>
      </w:pPr>
    </w:p>
    <w:p>
      <w:pPr>
        <w:pStyle w:val="BodyText"/>
        <w:spacing w:line="240" w:lineRule="auto"/>
        <w:ind w:left="0" w:right="1140"/>
        <w:jc w:val="right"/>
      </w:pP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4"/>
        <w:spacing w:line="240" w:lineRule="auto" w:before="26"/>
        <w:ind w:left="154" w:right="0"/>
        <w:jc w:val="left"/>
        <w:rPr>
          <w:b w:val="0"/>
          <w:bCs w:val="0"/>
        </w:rPr>
      </w:pPr>
      <w:bookmarkStart w:name="十、内部控制审计报告或鉴证报告" w:id="149"/>
      <w:bookmarkEnd w:id="149"/>
      <w:r>
        <w:rPr>
          <w:b w:val="0"/>
          <w:bCs w:val="0"/>
        </w:rPr>
      </w:r>
      <w:r>
        <w:rPr/>
        <w:t>十、内部控制审计报告或鉴证报告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3" w:right="0"/>
        <w:jc w:val="left"/>
      </w:pPr>
      <w:r>
        <w:rPr/>
        <w:t>内部控制审计报告</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我们认为，贵公司按照财政部颁发的《企业内部控制基本规范》规定的标准于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 与财务报表相关的有效的内部控制。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上海二三四五网络控股集团股份有限公司内部控制鉴证报告（巨潮资讯网</w:t>
            </w:r>
          </w:p>
          <w:p>
            <w:pPr>
              <w:pStyle w:val="TableParagraph"/>
              <w:spacing w:line="240" w:lineRule="auto" w:before="76"/>
              <w:ind w:left="23" w:right="0"/>
              <w:jc w:val="left"/>
              <w:rPr>
                <w:rFonts w:ascii="宋体" w:hAnsi="宋体" w:cs="宋体" w:eastAsia="宋体" w:hint="default"/>
                <w:sz w:val="18"/>
                <w:szCs w:val="18"/>
              </w:rPr>
            </w:pP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会计师事务所是否出具非标准意见的内部控制审计报告</w:t>
      </w:r>
    </w:p>
    <w:p>
      <w:pPr>
        <w:pStyle w:val="BodyText"/>
        <w:spacing w:line="338" w:lineRule="auto" w:before="117"/>
        <w:ind w:left="153"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会计师事务所出具的内部控制审计报告与董事会的自我评价报告意见是否一致</w:t>
      </w:r>
    </w:p>
    <w:p>
      <w:pPr>
        <w:pStyle w:val="BodyText"/>
        <w:spacing w:line="240" w:lineRule="auto" w:before="42"/>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02"/>
        <w:jc w:val="center"/>
        <w:rPr>
          <w:b w:val="0"/>
          <w:bCs w:val="0"/>
        </w:rPr>
      </w:pPr>
      <w:bookmarkStart w:name="第十节 财务报告" w:id="150"/>
      <w:bookmarkEnd w:id="150"/>
      <w:r>
        <w:rPr>
          <w:b w:val="0"/>
          <w:bCs w:val="0"/>
        </w:rPr>
      </w:r>
      <w:bookmarkStart w:name="_bookmark8" w:id="151"/>
      <w:bookmarkEnd w:id="151"/>
      <w:r>
        <w:rPr>
          <w:b w:val="0"/>
          <w:bCs w:val="0"/>
        </w:rPr>
      </w:r>
      <w:r>
        <w:rPr/>
        <w:t>第十节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0"/>
        <w:jc w:val="left"/>
        <w:rPr>
          <w:b w:val="0"/>
          <w:bCs w:val="0"/>
        </w:rPr>
      </w:pPr>
      <w:bookmarkStart w:name="一、审计报告" w:id="152"/>
      <w:bookmarkEnd w:id="152"/>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111266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郑斌 范翃</w:t>
            </w:r>
          </w:p>
        </w:tc>
      </w:tr>
    </w:tbl>
    <w:p>
      <w:pPr>
        <w:spacing w:line="240" w:lineRule="auto" w:before="7"/>
        <w:rPr>
          <w:rFonts w:ascii="宋体" w:hAnsi="宋体" w:cs="宋体" w:eastAsia="宋体" w:hint="default"/>
          <w:b/>
          <w:bCs/>
          <w:sz w:val="8"/>
          <w:szCs w:val="8"/>
        </w:rPr>
      </w:pPr>
    </w:p>
    <w:p>
      <w:pPr>
        <w:pStyle w:val="Heading2"/>
        <w:spacing w:line="348" w:lineRule="auto" w:before="13"/>
        <w:ind w:right="0" w:firstLine="3976"/>
        <w:jc w:val="left"/>
        <w:rPr>
          <w:b w:val="0"/>
          <w:bCs w:val="0"/>
        </w:rPr>
      </w:pPr>
      <w:r>
        <w:rPr/>
        <w:t>审计报告正文</w:t>
      </w:r>
      <w:r>
        <w:rPr>
          <w:w w:val="99"/>
        </w:rPr>
        <w:t> </w:t>
      </w:r>
      <w:r>
        <w:rPr>
          <w:w w:val="95"/>
        </w:rPr>
        <w:t>上海二三四五网络控股集团股份有限公司全体股东：</w:t>
      </w:r>
      <w:r>
        <w:rPr>
          <w:b w:val="0"/>
          <w:bCs w:val="0"/>
        </w:rPr>
      </w:r>
    </w:p>
    <w:p>
      <w:pPr>
        <w:spacing w:line="240" w:lineRule="auto" w:before="8"/>
        <w:rPr>
          <w:rFonts w:ascii="宋体" w:hAnsi="宋体" w:cs="宋体" w:eastAsia="宋体" w:hint="default"/>
          <w:b/>
          <w:bCs/>
          <w:sz w:val="21"/>
          <w:szCs w:val="21"/>
        </w:rPr>
      </w:pPr>
    </w:p>
    <w:p>
      <w:pPr>
        <w:pStyle w:val="Heading3"/>
        <w:spacing w:line="232" w:lineRule="auto"/>
        <w:ind w:right="1129" w:firstLine="560"/>
        <w:jc w:val="both"/>
      </w:pPr>
      <w:r>
        <w:rPr>
          <w:spacing w:val="-5"/>
        </w:rPr>
        <w:t>我们审计了后附的上海二三四五网络控股集团股份有限公司（以下简称“贵</w:t>
      </w:r>
      <w:r>
        <w:rPr>
          <w:spacing w:val="2"/>
          <w:w w:val="99"/>
        </w:rPr>
        <w:t> </w:t>
      </w:r>
      <w:r>
        <w:rPr>
          <w:spacing w:val="-13"/>
          <w:w w:val="99"/>
        </w:rPr>
        <w:t>公司”）财务报表，包括</w:t>
      </w:r>
      <w:r>
        <w:rPr>
          <w:spacing w:val="-62"/>
          <w:w w:val="99"/>
        </w:rPr>
        <w:t> </w:t>
      </w:r>
      <w:r>
        <w:rPr>
          <w:rFonts w:ascii="Times New Roman" w:hAnsi="Times New Roman" w:cs="Times New Roman" w:eastAsia="Times New Roman" w:hint="default"/>
          <w:w w:val="99"/>
        </w:rPr>
        <w:t>2015</w:t>
      </w:r>
      <w:r>
        <w:rPr>
          <w:rFonts w:ascii="Times New Roman" w:hAnsi="Times New Roman" w:cs="Times New Roman" w:eastAsia="Times New Roman" w:hint="default"/>
          <w:spacing w:val="7"/>
          <w:w w:val="99"/>
        </w:rPr>
        <w:t> </w:t>
      </w:r>
      <w:r>
        <w:rPr>
          <w:w w:val="99"/>
        </w:rPr>
        <w:t>年</w:t>
      </w:r>
      <w:r>
        <w:rPr>
          <w:spacing w:val="-62"/>
          <w:w w:val="99"/>
        </w:rPr>
        <w:t> </w:t>
      </w:r>
      <w:r>
        <w:rPr>
          <w:rFonts w:ascii="Times New Roman" w:hAnsi="Times New Roman" w:cs="Times New Roman" w:eastAsia="Times New Roman" w:hint="default"/>
          <w:w w:val="99"/>
        </w:rPr>
        <w:t>12</w:t>
      </w:r>
      <w:r>
        <w:rPr>
          <w:rFonts w:ascii="Times New Roman" w:hAnsi="Times New Roman" w:cs="Times New Roman" w:eastAsia="Times New Roman" w:hint="default"/>
          <w:spacing w:val="6"/>
          <w:w w:val="99"/>
        </w:rPr>
        <w:t> </w:t>
      </w:r>
      <w:r>
        <w:rPr>
          <w:w w:val="99"/>
        </w:rPr>
        <w:t>月</w:t>
      </w:r>
      <w:r>
        <w:rPr>
          <w:spacing w:val="-63"/>
          <w:w w:val="99"/>
        </w:rPr>
        <w:t> </w:t>
      </w:r>
      <w:r>
        <w:rPr>
          <w:rFonts w:ascii="Times New Roman" w:hAnsi="Times New Roman" w:cs="Times New Roman" w:eastAsia="Times New Roman" w:hint="default"/>
          <w:w w:val="99"/>
        </w:rPr>
        <w:t>31</w:t>
      </w:r>
      <w:r>
        <w:rPr>
          <w:rFonts w:ascii="Times New Roman" w:hAnsi="Times New Roman" w:cs="Times New Roman" w:eastAsia="Times New Roman" w:hint="default"/>
          <w:spacing w:val="7"/>
          <w:w w:val="99"/>
        </w:rPr>
        <w:t> </w:t>
      </w:r>
      <w:r>
        <w:rPr>
          <w:w w:val="99"/>
        </w:rPr>
        <w:t>日的合并及公司资产负债表、</w:t>
      </w:r>
      <w:r>
        <w:rPr>
          <w:rFonts w:ascii="Times New Roman" w:hAnsi="Times New Roman" w:cs="Times New Roman" w:eastAsia="Times New Roman" w:hint="default"/>
          <w:w w:val="99"/>
        </w:rPr>
        <w:t>2015</w:t>
      </w:r>
      <w:r>
        <w:rPr>
          <w:rFonts w:ascii="Times New Roman" w:hAnsi="Times New Roman" w:cs="Times New Roman" w:eastAsia="Times New Roman" w:hint="default"/>
          <w:spacing w:val="8"/>
          <w:w w:val="99"/>
        </w:rPr>
        <w:t> </w:t>
      </w:r>
      <w:r>
        <w:rPr>
          <w:w w:val="99"/>
        </w:rPr>
        <w:t>年 </w:t>
      </w:r>
      <w:r>
        <w:rPr>
          <w:spacing w:val="3"/>
        </w:rPr>
        <w:t>度的合并及公司利润表、合并及公司现金流量表、合并及公司所有者权益变动</w:t>
      </w:r>
      <w:r>
        <w:rPr>
          <w:w w:val="99"/>
        </w:rPr>
        <w:t> </w:t>
      </w:r>
      <w:r>
        <w:rPr/>
        <w:t>表以及财务报表附注。</w:t>
      </w:r>
    </w:p>
    <w:p>
      <w:pPr>
        <w:spacing w:line="240" w:lineRule="auto" w:before="7"/>
        <w:rPr>
          <w:rFonts w:ascii="宋体" w:hAnsi="宋体" w:cs="宋体" w:eastAsia="宋体" w:hint="default"/>
          <w:sz w:val="30"/>
          <w:szCs w:val="30"/>
        </w:rPr>
      </w:pPr>
    </w:p>
    <w:p>
      <w:pPr>
        <w:spacing w:line="264" w:lineRule="auto" w:before="0"/>
        <w:ind w:left="714" w:right="0" w:firstLine="1"/>
        <w:jc w:val="left"/>
        <w:rPr>
          <w:rFonts w:ascii="宋体" w:hAnsi="宋体" w:cs="宋体" w:eastAsia="宋体" w:hint="default"/>
          <w:sz w:val="28"/>
          <w:szCs w:val="28"/>
        </w:rPr>
      </w:pPr>
      <w:r>
        <w:rPr>
          <w:rFonts w:ascii="宋体" w:hAnsi="宋体" w:cs="宋体" w:eastAsia="宋体" w:hint="default"/>
          <w:b/>
          <w:bCs/>
          <w:sz w:val="28"/>
          <w:szCs w:val="28"/>
        </w:rPr>
        <w:t>一、管理层对财务报表的责任</w:t>
      </w:r>
      <w:r>
        <w:rPr>
          <w:rFonts w:ascii="宋体" w:hAnsi="宋体" w:cs="宋体" w:eastAsia="宋体" w:hint="default"/>
          <w:b/>
          <w:bCs/>
          <w:w w:val="99"/>
          <w:sz w:val="28"/>
          <w:szCs w:val="28"/>
        </w:rPr>
        <w:t> </w:t>
      </w:r>
      <w:r>
        <w:rPr>
          <w:rFonts w:ascii="宋体" w:hAnsi="宋体" w:cs="宋体" w:eastAsia="宋体" w:hint="default"/>
          <w:spacing w:val="-1"/>
          <w:w w:val="99"/>
          <w:sz w:val="28"/>
          <w:szCs w:val="28"/>
        </w:rPr>
        <w:t>编制和公允列报财务报表是贵公司管理层的责任。这种责任包括：（</w:t>
      </w:r>
      <w:r>
        <w:rPr>
          <w:rFonts w:ascii="Times New Roman" w:hAnsi="Times New Roman" w:cs="Times New Roman" w:eastAsia="Times New Roman" w:hint="default"/>
          <w:spacing w:val="-1"/>
          <w:w w:val="99"/>
          <w:sz w:val="28"/>
          <w:szCs w:val="28"/>
        </w:rPr>
        <w:t>1</w:t>
      </w:r>
      <w:r>
        <w:rPr>
          <w:rFonts w:ascii="宋体" w:hAnsi="宋体" w:cs="宋体" w:eastAsia="宋体" w:hint="default"/>
          <w:spacing w:val="-1"/>
          <w:w w:val="99"/>
          <w:sz w:val="28"/>
          <w:szCs w:val="28"/>
        </w:rPr>
        <w:t>）按</w:t>
      </w:r>
      <w:r>
        <w:rPr>
          <w:rFonts w:ascii="宋体" w:hAnsi="宋体" w:cs="宋体" w:eastAsia="宋体" w:hint="default"/>
          <w:sz w:val="28"/>
          <w:szCs w:val="28"/>
        </w:rPr>
      </w:r>
    </w:p>
    <w:p>
      <w:pPr>
        <w:pStyle w:val="Heading3"/>
        <w:spacing w:line="320" w:lineRule="exact"/>
        <w:ind w:right="0"/>
        <w:jc w:val="both"/>
      </w:pPr>
      <w:r>
        <w:rPr>
          <w:spacing w:val="3"/>
          <w:w w:val="99"/>
        </w:rPr>
        <w:t>照企业</w:t>
      </w:r>
      <w:r>
        <w:rPr>
          <w:spacing w:val="4"/>
          <w:w w:val="99"/>
        </w:rPr>
        <w:t>会</w:t>
      </w:r>
      <w:r>
        <w:rPr>
          <w:spacing w:val="3"/>
          <w:w w:val="99"/>
        </w:rPr>
        <w:t>计准则</w:t>
      </w:r>
      <w:r>
        <w:rPr>
          <w:spacing w:val="4"/>
          <w:w w:val="99"/>
        </w:rPr>
        <w:t>的</w:t>
      </w:r>
      <w:r>
        <w:rPr>
          <w:spacing w:val="3"/>
          <w:w w:val="99"/>
        </w:rPr>
        <w:t>规定编</w:t>
      </w:r>
      <w:r>
        <w:rPr>
          <w:spacing w:val="4"/>
          <w:w w:val="99"/>
        </w:rPr>
        <w:t>制</w:t>
      </w:r>
      <w:r>
        <w:rPr>
          <w:spacing w:val="3"/>
          <w:w w:val="99"/>
        </w:rPr>
        <w:t>财务报</w:t>
      </w:r>
      <w:r>
        <w:rPr>
          <w:spacing w:val="4"/>
          <w:w w:val="99"/>
        </w:rPr>
        <w:t>表</w:t>
      </w:r>
      <w:r>
        <w:rPr>
          <w:spacing w:val="3"/>
          <w:w w:val="99"/>
        </w:rPr>
        <w:t>，并使</w:t>
      </w:r>
      <w:r>
        <w:rPr>
          <w:spacing w:val="4"/>
          <w:w w:val="99"/>
        </w:rPr>
        <w:t>其</w:t>
      </w:r>
      <w:r>
        <w:rPr>
          <w:spacing w:val="3"/>
          <w:w w:val="99"/>
        </w:rPr>
        <w:t>实现公</w:t>
      </w:r>
      <w:r>
        <w:rPr>
          <w:spacing w:val="4"/>
          <w:w w:val="99"/>
        </w:rPr>
        <w:t>允</w:t>
      </w:r>
      <w:r>
        <w:rPr>
          <w:spacing w:val="3"/>
          <w:w w:val="99"/>
        </w:rPr>
        <w:t>反映</w:t>
      </w:r>
      <w:r>
        <w:rPr>
          <w:spacing w:val="-137"/>
          <w:w w:val="99"/>
        </w:rPr>
        <w:t>；</w:t>
      </w:r>
      <w:r>
        <w:rPr>
          <w:spacing w:val="11"/>
          <w:w w:val="99"/>
        </w:rPr>
        <w:t>（</w:t>
      </w:r>
      <w:r>
        <w:rPr>
          <w:rFonts w:ascii="Times New Roman" w:hAnsi="Times New Roman" w:cs="Times New Roman" w:eastAsia="Times New Roman" w:hint="default"/>
          <w:spacing w:val="5"/>
          <w:w w:val="99"/>
        </w:rPr>
        <w:t>2</w:t>
      </w:r>
      <w:r>
        <w:rPr>
          <w:spacing w:val="3"/>
          <w:w w:val="99"/>
        </w:rPr>
        <w:t>）设计</w:t>
      </w:r>
      <w:r>
        <w:rPr>
          <w:spacing w:val="4"/>
          <w:w w:val="99"/>
        </w:rPr>
        <w:t>、</w:t>
      </w:r>
      <w:r>
        <w:rPr>
          <w:spacing w:val="3"/>
          <w:w w:val="99"/>
        </w:rPr>
        <w:t>执</w:t>
      </w:r>
      <w:r>
        <w:rPr>
          <w:w w:val="99"/>
        </w:rPr>
        <w:t>行</w:t>
      </w:r>
      <w:r>
        <w:rPr/>
      </w:r>
    </w:p>
    <w:p>
      <w:pPr>
        <w:pStyle w:val="Heading3"/>
        <w:spacing w:line="354" w:lineRule="exact"/>
        <w:ind w:right="0"/>
        <w:jc w:val="both"/>
      </w:pPr>
      <w:r>
        <w:rPr/>
        <w:t>和维护必要的内部控制，以使财务报表不存在由于舞弊或错误导致的重大错报。</w:t>
      </w:r>
    </w:p>
    <w:p>
      <w:pPr>
        <w:spacing w:line="240" w:lineRule="auto" w:before="7"/>
        <w:rPr>
          <w:rFonts w:ascii="宋体" w:hAnsi="宋体" w:cs="宋体" w:eastAsia="宋体" w:hint="default"/>
          <w:sz w:val="30"/>
          <w:szCs w:val="30"/>
        </w:rPr>
      </w:pPr>
    </w:p>
    <w:p>
      <w:pPr>
        <w:spacing w:line="264" w:lineRule="auto" w:before="0"/>
        <w:ind w:left="722" w:right="1128" w:hanging="6"/>
        <w:jc w:val="left"/>
        <w:rPr>
          <w:rFonts w:ascii="宋体" w:hAnsi="宋体" w:cs="宋体" w:eastAsia="宋体" w:hint="default"/>
          <w:sz w:val="28"/>
          <w:szCs w:val="28"/>
        </w:rPr>
      </w:pPr>
      <w:r>
        <w:rPr>
          <w:rFonts w:ascii="宋体" w:hAnsi="宋体" w:cs="宋体" w:eastAsia="宋体" w:hint="default"/>
          <w:b/>
          <w:bCs/>
          <w:sz w:val="28"/>
          <w:szCs w:val="28"/>
        </w:rPr>
        <w:t>二、注册会计师的责任</w:t>
      </w:r>
      <w:r>
        <w:rPr>
          <w:rFonts w:ascii="宋体" w:hAnsi="宋体" w:cs="宋体" w:eastAsia="宋体" w:hint="default"/>
          <w:b/>
          <w:bCs/>
          <w:w w:val="99"/>
          <w:sz w:val="28"/>
          <w:szCs w:val="28"/>
        </w:rPr>
        <w:t> </w:t>
      </w:r>
      <w:r>
        <w:rPr>
          <w:rFonts w:ascii="宋体" w:hAnsi="宋体" w:cs="宋体" w:eastAsia="宋体" w:hint="default"/>
          <w:spacing w:val="3"/>
          <w:sz w:val="28"/>
          <w:szCs w:val="28"/>
        </w:rPr>
        <w:t>我们的责任是在执行审计工作的基础上对财务报表发表审计意见。我们按</w:t>
      </w:r>
    </w:p>
    <w:p>
      <w:pPr>
        <w:pStyle w:val="Heading3"/>
        <w:spacing w:line="364" w:lineRule="exact" w:before="4"/>
        <w:ind w:left="155" w:right="1143"/>
        <w:jc w:val="both"/>
      </w:pPr>
      <w:r>
        <w:rPr>
          <w:spacing w:val="3"/>
        </w:rPr>
        <w:t>照中国注册会计师审计准则的规定执行了审计工作。中国注册会计师审计准则</w:t>
      </w:r>
      <w:r>
        <w:rPr>
          <w:w w:val="99"/>
        </w:rPr>
        <w:t> </w:t>
      </w:r>
      <w:r>
        <w:rPr>
          <w:spacing w:val="3"/>
        </w:rPr>
        <w:t>要求我们遵守中国注册会计师职业道德守则，计划和执行审计工作以对财务报</w:t>
      </w:r>
      <w:r>
        <w:rPr>
          <w:w w:val="99"/>
        </w:rPr>
        <w:t> </w:t>
      </w:r>
      <w:r>
        <w:rPr/>
        <w:t>表是否不存在重大错报获取合理保证。</w:t>
      </w:r>
    </w:p>
    <w:p>
      <w:pPr>
        <w:spacing w:line="240" w:lineRule="auto" w:before="1"/>
        <w:rPr>
          <w:rFonts w:ascii="宋体" w:hAnsi="宋体" w:cs="宋体" w:eastAsia="宋体" w:hint="default"/>
          <w:sz w:val="28"/>
          <w:szCs w:val="28"/>
        </w:rPr>
      </w:pPr>
    </w:p>
    <w:p>
      <w:pPr>
        <w:pStyle w:val="Heading3"/>
        <w:spacing w:line="237" w:lineRule="auto"/>
        <w:ind w:left="155" w:right="978" w:firstLine="566"/>
        <w:jc w:val="left"/>
      </w:pPr>
      <w:r>
        <w:rPr>
          <w:spacing w:val="-1"/>
        </w:rPr>
        <w:t>审计工作涉及实施审计程序，以获取有关财务报表金额和披露的审计证据。</w:t>
      </w:r>
      <w:r>
        <w:rPr>
          <w:w w:val="99"/>
        </w:rPr>
        <w:t> </w:t>
      </w:r>
      <w:r>
        <w:rPr>
          <w:spacing w:val="3"/>
        </w:rPr>
        <w:t>选择的审计程序取决于注册会计师的判断，包括对由于舞弊或错误导致的财务</w:t>
      </w:r>
      <w:r>
        <w:rPr>
          <w:w w:val="99"/>
        </w:rPr>
        <w:t> </w:t>
      </w:r>
      <w:r>
        <w:rPr>
          <w:spacing w:val="3"/>
        </w:rPr>
        <w:t>报表重大错报风险的评估。在进行风险评估时，注册会计师考虑与财务报表编</w:t>
      </w:r>
      <w:r>
        <w:rPr>
          <w:w w:val="99"/>
        </w:rPr>
        <w:t> </w:t>
      </w:r>
      <w:r>
        <w:rPr>
          <w:spacing w:val="3"/>
        </w:rPr>
        <w:t>制和公允列报相关的内部控制，以设计恰当的审计程序，但目的并非对内部控</w:t>
      </w:r>
      <w:r>
        <w:rPr>
          <w:w w:val="99"/>
        </w:rPr>
        <w:t> </w:t>
      </w:r>
      <w:r>
        <w:rPr>
          <w:spacing w:val="3"/>
        </w:rPr>
        <w:t>制的有效性发表意见。审计工作还包括评价管理层选用会计政策的恰当性和作</w:t>
      </w:r>
      <w:r>
        <w:rPr>
          <w:w w:val="99"/>
        </w:rPr>
        <w:t> </w:t>
      </w:r>
      <w:r>
        <w:rPr/>
        <w:t>出会计估计的合理性，以及评价财务报表的总体列报。</w:t>
      </w:r>
    </w:p>
    <w:p>
      <w:pPr>
        <w:spacing w:after="0" w:line="23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3"/>
        <w:spacing w:line="261" w:lineRule="auto" w:before="13"/>
        <w:ind w:left="153" w:right="1575" w:firstLine="568"/>
        <w:jc w:val="left"/>
      </w:pPr>
      <w:r>
        <w:rPr>
          <w:w w:val="95"/>
        </w:rPr>
        <w:t>我们相信，我们获取的审计证据是充分、适当的，为发表审计意见提供了</w:t>
      </w:r>
      <w:r>
        <w:rPr>
          <w:w w:val="99"/>
        </w:rPr>
        <w:t> </w:t>
      </w:r>
      <w:r>
        <w:rPr/>
        <w:t>基础。</w:t>
      </w:r>
    </w:p>
    <w:p>
      <w:pPr>
        <w:spacing w:line="240" w:lineRule="auto" w:before="6"/>
        <w:rPr>
          <w:rFonts w:ascii="宋体" w:hAnsi="宋体" w:cs="宋体" w:eastAsia="宋体" w:hint="default"/>
          <w:sz w:val="31"/>
          <w:szCs w:val="31"/>
        </w:rPr>
      </w:pPr>
    </w:p>
    <w:p>
      <w:pPr>
        <w:pStyle w:val="Heading3"/>
        <w:spacing w:line="264" w:lineRule="auto"/>
        <w:ind w:left="714" w:right="985" w:firstLine="1"/>
        <w:jc w:val="left"/>
      </w:pPr>
      <w:r>
        <w:rPr>
          <w:rFonts w:ascii="宋体" w:hAnsi="宋体" w:cs="宋体" w:eastAsia="宋体" w:hint="default"/>
          <w:b/>
          <w:bCs/>
        </w:rPr>
        <w:t>三、审计意见</w:t>
      </w:r>
      <w:r>
        <w:rPr>
          <w:rFonts w:ascii="宋体" w:hAnsi="宋体" w:cs="宋体" w:eastAsia="宋体" w:hint="default"/>
          <w:b/>
          <w:bCs/>
          <w:w w:val="99"/>
        </w:rPr>
        <w:t> </w:t>
      </w:r>
      <w:r>
        <w:rPr>
          <w:spacing w:val="-1"/>
        </w:rPr>
        <w:t>我们认为，贵公司财务报表在所有重大方面按照企业会计准则的规定编制，</w:t>
      </w:r>
    </w:p>
    <w:p>
      <w:pPr>
        <w:pStyle w:val="Heading3"/>
        <w:spacing w:line="364" w:lineRule="exact" w:before="4"/>
        <w:ind w:right="1128"/>
        <w:jc w:val="left"/>
      </w:pPr>
      <w:r>
        <w:rPr/>
        <w:t>公允反映了贵公司</w:t>
      </w:r>
      <w:r>
        <w:rPr>
          <w:spacing w:val="-5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日的合并及公司财务状况以及</w:t>
      </w:r>
      <w:r>
        <w:rPr>
          <w:spacing w:val="-5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t>年度的</w:t>
      </w:r>
      <w:r>
        <w:rPr>
          <w:w w:val="99"/>
        </w:rPr>
        <w:t> </w:t>
      </w:r>
      <w:r>
        <w:rPr/>
        <w:t>合并及公司经营成果和现金流量。</w:t>
      </w:r>
    </w:p>
    <w:p>
      <w:pPr>
        <w:spacing w:line="240" w:lineRule="auto" w:before="12"/>
        <w:rPr>
          <w:rFonts w:ascii="宋体" w:hAnsi="宋体" w:cs="宋体" w:eastAsia="宋体" w:hint="default"/>
          <w:sz w:val="33"/>
          <w:szCs w:val="33"/>
        </w:rPr>
      </w:pPr>
    </w:p>
    <w:p>
      <w:pPr>
        <w:pStyle w:val="Heading2"/>
        <w:tabs>
          <w:tab w:pos="5014" w:val="left" w:leader="none"/>
        </w:tabs>
        <w:spacing w:line="240" w:lineRule="auto"/>
        <w:ind w:left="719" w:right="0"/>
        <w:jc w:val="left"/>
        <w:rPr>
          <w:b w:val="0"/>
          <w:bCs w:val="0"/>
        </w:rPr>
      </w:pPr>
      <w:r>
        <w:rPr>
          <w:w w:val="95"/>
        </w:rPr>
        <w:t>立信会计师事务所</w:t>
        <w:tab/>
      </w:r>
      <w:r>
        <w:rPr/>
        <w:t>中国注册会计师：郑斌</w:t>
      </w:r>
      <w:r>
        <w:rPr>
          <w:b w:val="0"/>
          <w:bCs w:val="0"/>
        </w:rPr>
      </w:r>
    </w:p>
    <w:p>
      <w:pPr>
        <w:pStyle w:val="Heading2"/>
        <w:spacing w:line="240" w:lineRule="auto" w:before="35"/>
        <w:ind w:left="716" w:right="0"/>
        <w:jc w:val="left"/>
        <w:rPr>
          <w:b w:val="0"/>
          <w:bCs w:val="0"/>
        </w:rPr>
      </w:pPr>
      <w:r>
        <w:rPr/>
        <w:t>（特殊普通合伙）</w:t>
      </w:r>
      <w:r>
        <w:rPr>
          <w:b w:val="0"/>
          <w:bCs w:val="0"/>
        </w:rPr>
      </w:r>
    </w:p>
    <w:p>
      <w:pPr>
        <w:pStyle w:val="Heading2"/>
        <w:spacing w:line="240" w:lineRule="auto" w:before="36"/>
        <w:ind w:left="5014" w:right="0"/>
        <w:jc w:val="left"/>
        <w:rPr>
          <w:b w:val="0"/>
          <w:bCs w:val="0"/>
        </w:rPr>
      </w:pPr>
      <w:r>
        <w:rPr/>
        <w:t>中国注册会计师：范翃</w:t>
      </w:r>
      <w:r>
        <w:rPr>
          <w:b w:val="0"/>
          <w:bCs w:val="0"/>
        </w:rPr>
      </w:r>
    </w:p>
    <w:p>
      <w:pPr>
        <w:spacing w:line="240" w:lineRule="auto" w:before="7"/>
        <w:rPr>
          <w:rFonts w:ascii="宋体" w:hAnsi="宋体" w:cs="宋体" w:eastAsia="宋体" w:hint="default"/>
          <w:b/>
          <w:bCs/>
          <w:sz w:val="40"/>
          <w:szCs w:val="40"/>
        </w:rPr>
      </w:pPr>
    </w:p>
    <w:p>
      <w:pPr>
        <w:pStyle w:val="Heading2"/>
        <w:tabs>
          <w:tab w:pos="5059" w:val="left" w:leader="none"/>
        </w:tabs>
        <w:spacing w:line="240" w:lineRule="auto"/>
        <w:ind w:left="843" w:right="0"/>
        <w:jc w:val="left"/>
        <w:rPr>
          <w:b w:val="0"/>
          <w:bCs w:val="0"/>
        </w:rPr>
      </w:pPr>
      <w:r>
        <w:rPr>
          <w:w w:val="95"/>
        </w:rPr>
        <w:t>中国·上海</w:t>
        <w:tab/>
      </w:r>
      <w:r>
        <w:rPr/>
        <w:t>二</w:t>
      </w:r>
      <w:r>
        <w:rPr>
          <w:rFonts w:ascii="Times New Roman" w:hAnsi="Times New Roman" w:cs="Times New Roman" w:eastAsia="Times New Roman" w:hint="default"/>
        </w:rPr>
        <w:t>O</w:t>
      </w:r>
      <w:r>
        <w:rPr/>
        <w:t>一六年四月二十一日</w:t>
      </w:r>
      <w:r>
        <w:rPr>
          <w:b w:val="0"/>
          <w:bCs w:val="0"/>
        </w:rPr>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4"/>
        <w:spacing w:line="240" w:lineRule="auto" w:before="26"/>
        <w:ind w:right="0"/>
        <w:jc w:val="left"/>
        <w:rPr>
          <w:b w:val="0"/>
          <w:bCs w:val="0"/>
        </w:rPr>
      </w:pPr>
      <w:bookmarkStart w:name="二、财务报表" w:id="153"/>
      <w:bookmarkEnd w:id="153"/>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3"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1、合并资产负债表" w:id="154"/>
      <w:bookmarkEnd w:id="154"/>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ind w:left="153" w:right="0"/>
        <w:jc w:val="left"/>
      </w:pPr>
      <w:r>
        <w:rPr/>
        <w:t>编制单位：上海二三四五网络控股集团股份有限公司</w:t>
      </w:r>
    </w:p>
    <w:p>
      <w:pPr>
        <w:pStyle w:val="BodyText"/>
        <w:spacing w:line="240" w:lineRule="auto" w:before="116"/>
        <w:ind w:left="0" w:right="0"/>
        <w:jc w:val="righ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单位：元</w:t>
      </w:r>
    </w:p>
    <w:p>
      <w:pPr>
        <w:spacing w:after="0" w:line="240" w:lineRule="auto"/>
        <w:jc w:val="left"/>
        <w:sectPr>
          <w:type w:val="continuous"/>
          <w:pgSz w:w="11910" w:h="16840"/>
          <w:pgMar w:top="1060" w:bottom="1160" w:left="980" w:right="0"/>
          <w:cols w:num="2" w:equalWidth="0">
            <w:col w:w="5716" w:space="3203"/>
            <w:col w:w="201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1,084,659,328.73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378,176,824.27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123,214,493.66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87,407,845.75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39,837,127.59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29,062,619.75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6,306,119.08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649,698.62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6,566,826.25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4,895,827.71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2,277,952.32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3,827,575.04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855,453,075.11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1,141,506,689.94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2,118,314,922.74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1,645,527,081.08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62,778,450.00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248,700.00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248,700.00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26,896,618.69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15,080,036.90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175,531,344.91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180,569,262.32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17,025,748.41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18,888,687.30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2,400,493,896.59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2,400,493,896.59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65,896.39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1,056,157.41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20,157,455.43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13,271,603.11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18"/>
              </w:rPr>
              <w:t>2,703,198,110.4</w:t>
            </w:r>
            <w:r>
              <w:rPr>
                <w:rFonts w:ascii="Times New Roman"/>
                <w:spacing w:val="-1"/>
                <w:sz w:val="20"/>
              </w:rPr>
              <w:t>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2,643,608,343.63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18"/>
              </w:rPr>
              <w:t>4,821,513,033.1</w:t>
            </w:r>
            <w:r>
              <w:rPr>
                <w:rFonts w:ascii="Times New Roman"/>
                <w:spacing w:val="-1"/>
                <w:sz w:val="20"/>
              </w:rPr>
              <w:t>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4,289,135,424.71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3,243,275.00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7,719,194.00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2,108,450.00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104,004,669.85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106,211,224.48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40,869,642.50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36,566,832.55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64,252,089.52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25,861,390.57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83,412,295.02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33,223,073.17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11,407,603.16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4,655,419.84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369,298,025.05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215,997,134.61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5,217,038.60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828,166.66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709,333.33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6,045,205.26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709,333.33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375,343,230.31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216,706,467.94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871,732,720.00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348,693,088.00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2,822,232,196.36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3,345,708,868.79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-1,946,648.52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-2,317,772.07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44,682,079.41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35,754,270.68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706,362,476.75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332,976,217.15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4,443,062,824.00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4,060,814,672.55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3,106,978.85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11,614,284.22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4,446,169,802.85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4,072,428,956.77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4,821,513,033.16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4,289,135,424.71</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ind w:left="0" w:right="1229"/>
        <w:jc w:val="right"/>
      </w:pPr>
      <w:r>
        <w:rPr/>
        <w:t>法定代表人：包叔平</w:t>
        <w:tab/>
        <w:t>主管会计工作负责人：陈于冰</w:t>
        <w:tab/>
        <w:t>会计机构负责人：代小虎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母公司资产负债表" w:id="155"/>
      <w:bookmarkEnd w:id="155"/>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105,794,670.75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258,878,969.31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28,713,717.44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8,938,679.24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273,900.00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1,746,261.49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204,626.60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652,995.41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115,211,876.59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289,991,943.65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3,875,950,731.44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3,529,582,474.54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4,708,734.48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114,323,613.07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4,572,193.42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17,459,224.31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483,928.49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337,867.50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3,899,231,659.34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3,676,187,107.91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4,014,443,535.93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3,966,179,051.56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12,265,948.00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2,061,600.00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462,612.01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2,617,825.40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10,175,551.43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2,197,140.03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293,066.58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1,596,210.74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14,292,830.02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20,437,124.17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14,292,830.02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20,437,124.17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871,732,720.00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348,693,088.00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2,822,669,236.79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3,345,708,868.79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44,682,079.41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35,754,270.68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261,066,669.71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215,585,699.92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4,000,150,705.91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3,945,741,927.39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4,014,443,535.93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3,966,179,051.56</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5"/>
        <w:ind w:left="154" w:right="0"/>
        <w:jc w:val="left"/>
        <w:rPr>
          <w:b w:val="0"/>
          <w:bCs w:val="0"/>
        </w:rPr>
      </w:pPr>
      <w:bookmarkStart w:name="3、合并利润表" w:id="156"/>
      <w:bookmarkEnd w:id="156"/>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1,469,914,807.24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654,084,309.23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1,469,914,807.24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654,084,309.23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1,102,787,844.20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545,902,596.37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453,576,586.66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318,207,889.76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400.699982pt;width:157.7pt;height:19.650pt;mso-position-horizontal-relative:page;mso-position-vertical-relative:page;z-index:-922528" coordorigin="4242,8014" coordsize="3154,393">
            <v:shape style="position:absolute;left:4242;top:8014;width:3154;height:393" coordorigin="4242,8014" coordsize="3154,393" path="m4242,8406l7396,8406,7396,8014,4242,8014,4242,8406xe" filled="true" fillcolor="#ffffff" stroked="false">
              <v:path arrowok="t"/>
              <v:fill type="solid"/>
            </v:shape>
            <w10:wrap type="none"/>
          </v:group>
        </w:pict>
      </w:r>
      <w:r>
        <w:rPr/>
        <w:pict>
          <v:group style="position:absolute;margin-left:212.119995pt;margin-top:554.679993pt;width:157.7pt;height:19.6pt;mso-position-horizontal-relative:page;mso-position-vertical-relative:page;z-index:-922504" coordorigin="4242,11094" coordsize="3154,392">
            <v:shape style="position:absolute;left:4242;top:11094;width:3154;height:392" coordorigin="4242,11094" coordsize="3154,392" path="m4242,11485l7396,11485,7396,11094,4242,11094,4242,1148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060"/>
        <w:gridCol w:w="215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2,526,051.64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586,489.23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388,424,857.44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83,592,736.55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265,922,384.44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137,108,396.43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-14,795,258.46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6,137,531.86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7,133,222.48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269,552.54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-348,450.00</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-1,760,000.00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63,984,952.14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2,551,770.33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-28,755.21</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-289,826.10</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6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051" w:right="0"/>
              <w:jc w:val="left"/>
              <w:rPr>
                <w:rFonts w:ascii="Times New Roman" w:hAnsi="Times New Roman" w:cs="Times New Roman" w:eastAsia="Times New Roman" w:hint="default"/>
                <w:sz w:val="18"/>
                <w:szCs w:val="18"/>
              </w:rPr>
            </w:pPr>
            <w:r>
              <w:rPr>
                <w:rFonts w:ascii="Times New Roman"/>
                <w:sz w:val="18"/>
              </w:rPr>
              <w:t>430,763,465.18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108,973,483.19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35,533,851.61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7,880,004.66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2,975,553.23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57,657.20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195,632.61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55,837.79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32,410.00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13,425.42</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2"/>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996" w:right="0"/>
              <w:jc w:val="left"/>
              <w:rPr>
                <w:rFonts w:ascii="Times New Roman" w:hAnsi="Times New Roman" w:cs="Times New Roman" w:eastAsia="Times New Roman" w:hint="default"/>
                <w:sz w:val="18"/>
                <w:szCs w:val="18"/>
              </w:rPr>
            </w:pPr>
            <w:r>
              <w:rPr>
                <w:rFonts w:ascii="Times New Roman"/>
                <w:sz w:val="18"/>
              </w:rPr>
              <w:t>466,101,684.18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116,797,650.06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48,427,591.51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3,248,386.69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51" w:right="0"/>
              <w:jc w:val="left"/>
              <w:rPr>
                <w:rFonts w:ascii="Times New Roman" w:hAnsi="Times New Roman" w:cs="Times New Roman" w:eastAsia="Times New Roman" w:hint="default"/>
                <w:sz w:val="18"/>
                <w:szCs w:val="18"/>
              </w:rPr>
            </w:pPr>
            <w:r>
              <w:rPr>
                <w:rFonts w:ascii="Times New Roman"/>
                <w:sz w:val="18"/>
              </w:rPr>
              <w:t>417,674,092.67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113,549,263.37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51" w:right="0"/>
              <w:jc w:val="left"/>
              <w:rPr>
                <w:rFonts w:ascii="Times New Roman" w:hAnsi="Times New Roman" w:cs="Times New Roman" w:eastAsia="Times New Roman" w:hint="default"/>
                <w:sz w:val="18"/>
                <w:szCs w:val="18"/>
              </w:rPr>
            </w:pPr>
            <w:r>
              <w:rPr>
                <w:rFonts w:ascii="Times New Roman"/>
                <w:sz w:val="18"/>
              </w:rPr>
              <w:t>417,183,377.13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118,389,761.41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490,715.54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-4,840,498.04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371,123.55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-128,554.40</w:t>
            </w:r>
            <w:r>
              <w:rPr>
                <w:rFonts w:ascii="Times New Roman"/>
                <w:sz w:val="18"/>
              </w:rPr>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371,123.55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-128,554.40</w:t>
            </w:r>
            <w:r>
              <w:rPr>
                <w:rFonts w:ascii="Times New Roman"/>
                <w:sz w:val="18"/>
              </w:rPr>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重新计量设定受益计划净</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371,123.55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-128,554.40</w:t>
            </w:r>
            <w:r>
              <w:rPr>
                <w:rFonts w:ascii="Times New Roman"/>
                <w:sz w:val="18"/>
              </w:rPr>
            </w: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371,123.55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-128,554.40</w:t>
            </w:r>
            <w:r>
              <w:rPr>
                <w:rFonts w:ascii="Times New Roman"/>
                <w:sz w:val="18"/>
              </w:rPr>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418,045,216.22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113,420,708.97</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417,554,500.68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118,261,207.01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490,715.54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-4,840,498.04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0.27</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ind w:left="0" w:right="1229"/>
        <w:jc w:val="right"/>
      </w:pPr>
      <w:r>
        <w:rPr/>
        <w:t>法定代表人：包叔平</w:t>
        <w:tab/>
        <w:t>主管会计工作负责人：陈于冰</w:t>
        <w:tab/>
        <w:t>会计机构负责人：代小虎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4、母公司利润表" w:id="157"/>
      <w:bookmarkEnd w:id="157"/>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139,762,927.85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292,154,270.75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93,345,998.52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174,569,777.22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25,337.09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16,430.40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7,922,849.20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10,967,107.30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40,084,284.23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69,173,588.17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-6,994,370.58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5,424,274.81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-492,450.00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196,225.00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53,998,137.95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61,629,417.34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30,046,867.85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38,363,266.34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5,455,051.20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32,863,316.34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56,057.20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24,413.48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18,344.20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99,968,270.20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35,501,919.05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10,690,182.88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1,435,512.71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89,278,087.32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34,066,406.34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89,278,087.32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34,066,406.34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5"/>
        <w:ind w:left="154" w:right="0"/>
        <w:jc w:val="left"/>
        <w:rPr>
          <w:b w:val="0"/>
          <w:bCs w:val="0"/>
        </w:rPr>
      </w:pPr>
      <w:bookmarkStart w:name="5、合并现金流量表" w:id="158"/>
      <w:bookmarkEnd w:id="158"/>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1,538,636,009.50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684,679,865.00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45,091,818.29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18,756,242.15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1,583,727,827.79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703,436,107.15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574,528,567.49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227,995,801.94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369,897,586.15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273,398,330.50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72,003,833.77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25,053,354.94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83,604,857.25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59,597,303.32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1,100,034,844.66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586,044,790.70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483,692,983.13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117,391,316.45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6,668,606.89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345,639.40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346,251,622.64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2,426,071.82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352,920,229.53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2,771,711.22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15,688,967.18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11,051,427.21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62,890,398.34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5,423,274.05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2,649,474.14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-70,689,909.91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901,251,300.00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86,078,839.66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847,036,091.35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266,841,389.87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-844,264,380.13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882,999,967.52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13,404,468.40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29,478,762.75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13,414,468.40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912,478,730.27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17,880,387.40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49,478,762.75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37,397,094.05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11,515,832.61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29,494,241.89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64,027,481.45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90,488,837.25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-50,613,013.05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821,989,893.02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3,711,144.51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-15,256,313.37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703,632,504.46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79,860,515.97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370,176,824.27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290,316,308.30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1,073,809,328.73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370,176,824.27</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5"/>
        <w:ind w:left="154" w:right="0"/>
        <w:jc w:val="left"/>
        <w:rPr>
          <w:b w:val="0"/>
          <w:bCs w:val="0"/>
        </w:rPr>
      </w:pPr>
      <w:bookmarkStart w:name="6、母公司现金流量表" w:id="159"/>
      <w:bookmarkEnd w:id="159"/>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172,170,602.81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301,450,667.37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12,529,377.80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13,087,540.14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184,699,980.61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314,538,207.51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57,083,278.47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94,241,176.77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75,168,284.28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138,861,628.69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4,704,546.60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1,877,945.46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15,003,857.28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23,103,782.27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151,959,966.63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258,084,533.19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32,740,013.98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56,453,674.32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28,920,000.00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6,653,603.53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9,777,582.19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45,351,185.72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1,256,697.89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8,242,827.42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179,860,261.34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860,665,725.63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181,116,959.23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876,908,553.05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-135,765,773.51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-876,815,553.05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882,999,967.52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882,999,967.52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34,869,308.80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11,253,000.00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29,494,241.89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43,619,308.80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40,747,241.89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-43,619,308.80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842,252,725.63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1,560,769.77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-11,683,560.55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-145,084,298.56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10,207,286.35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250,878,969.31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240,671,682.96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105,794,670.75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250,878,969.31</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7、合并所有者权益变动表" w:id="160"/>
      <w:bookmarkEnd w:id="160"/>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50"/>
        <w:gridCol w:w="551"/>
        <w:gridCol w:w="530"/>
        <w:gridCol w:w="532"/>
        <w:gridCol w:w="530"/>
        <w:gridCol w:w="665"/>
        <w:gridCol w:w="665"/>
        <w:gridCol w:w="665"/>
        <w:gridCol w:w="665"/>
        <w:gridCol w:w="664"/>
        <w:gridCol w:w="666"/>
        <w:gridCol w:w="665"/>
        <w:gridCol w:w="665"/>
        <w:gridCol w:w="659"/>
      </w:tblGrid>
      <w:tr>
        <w:trPr>
          <w:trHeight w:val="402" w:hRule="exact"/>
        </w:trPr>
        <w:tc>
          <w:tcPr>
            <w:tcW w:w="1450" w:type="dxa"/>
            <w:vMerge w:val="restart"/>
            <w:tcBorders>
              <w:top w:val="single" w:sz="4" w:space="0" w:color="000000"/>
              <w:left w:val="single" w:sz="4" w:space="0" w:color="000000"/>
              <w:right w:val="single" w:sz="4" w:space="0" w:color="000000"/>
            </w:tcBorders>
            <w:shd w:val="clear" w:color="auto" w:fill="D2D2D2"/>
          </w:tcPr>
          <w:p>
            <w:pPr/>
          </w:p>
        </w:tc>
        <w:tc>
          <w:tcPr>
            <w:tcW w:w="812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50" w:type="dxa"/>
            <w:vMerge/>
            <w:tcBorders>
              <w:left w:val="single" w:sz="4" w:space="0" w:color="000000"/>
              <w:right w:val="single" w:sz="4" w:space="0" w:color="000000"/>
            </w:tcBorders>
            <w:shd w:val="clear" w:color="auto" w:fill="D2D2D2"/>
          </w:tcPr>
          <w:p>
            <w:pPr/>
          </w:p>
        </w:tc>
        <w:tc>
          <w:tcPr>
            <w:tcW w:w="6798"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6798"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551"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551"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50" w:type="dxa"/>
            <w:vMerge w:val="restart"/>
            <w:tcBorders>
              <w:top w:val="nil" w:sz="6" w:space="0" w:color="auto"/>
              <w:left w:val="single" w:sz="4" w:space="0" w:color="000000"/>
              <w:right w:val="single" w:sz="4" w:space="0" w:color="000000"/>
            </w:tcBorders>
            <w:shd w:val="clear" w:color="auto" w:fill="D2D2D2"/>
          </w:tcPr>
          <w:p>
            <w:pPr/>
          </w:p>
        </w:tc>
        <w:tc>
          <w:tcPr>
            <w:tcW w:w="5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8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50" w:type="dxa"/>
            <w:vMerge/>
            <w:tcBorders>
              <w:left w:val="single" w:sz="4" w:space="0" w:color="000000"/>
              <w:right w:val="single" w:sz="4" w:space="0" w:color="000000"/>
            </w:tcBorders>
            <w:shd w:val="clear" w:color="auto" w:fill="D2D2D2"/>
          </w:tcPr>
          <w:p>
            <w:pPr/>
          </w:p>
        </w:tc>
        <w:tc>
          <w:tcPr>
            <w:tcW w:w="551"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50" w:type="dxa"/>
            <w:vMerge/>
            <w:tcBorders>
              <w:left w:val="single" w:sz="4" w:space="0" w:color="000000"/>
              <w:right w:val="single" w:sz="4" w:space="0" w:color="000000"/>
            </w:tcBorders>
            <w:shd w:val="clear" w:color="auto" w:fill="D2D2D2"/>
          </w:tcPr>
          <w:p>
            <w:pPr/>
          </w:p>
        </w:tc>
        <w:tc>
          <w:tcPr>
            <w:tcW w:w="551"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50" w:type="dxa"/>
            <w:vMerge/>
            <w:tcBorders>
              <w:left w:val="single" w:sz="4" w:space="0" w:color="000000"/>
              <w:bottom w:val="single" w:sz="4" w:space="0" w:color="000000"/>
              <w:right w:val="single" w:sz="4" w:space="0" w:color="000000"/>
            </w:tcBorders>
            <w:shd w:val="clear" w:color="auto" w:fill="D2D2D2"/>
          </w:tcPr>
          <w:p>
            <w:pPr/>
          </w:p>
        </w:tc>
        <w:tc>
          <w:tcPr>
            <w:tcW w:w="551"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73" w:hRule="exact"/>
        </w:trPr>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51"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348,69</w:t>
            </w:r>
          </w:p>
          <w:p>
            <w:pPr>
              <w:pStyle w:val="TableParagraph"/>
              <w:spacing w:line="240" w:lineRule="auto" w:before="105"/>
              <w:ind w:left="61" w:right="0"/>
              <w:jc w:val="left"/>
              <w:rPr>
                <w:rFonts w:ascii="Times New Roman" w:hAnsi="Times New Roman" w:cs="Times New Roman" w:eastAsia="Times New Roman" w:hint="default"/>
                <w:sz w:val="18"/>
                <w:szCs w:val="18"/>
              </w:rPr>
            </w:pPr>
            <w:r>
              <w:rPr>
                <w:rFonts w:ascii="Times New Roman"/>
                <w:sz w:val="18"/>
              </w:rPr>
              <w:t>3,088.</w:t>
            </w:r>
          </w:p>
          <w:p>
            <w:pPr>
              <w:pStyle w:val="TableParagraph"/>
              <w:spacing w:line="240" w:lineRule="auto" w:before="106"/>
              <w:ind w:left="331"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3,345,7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08,868.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-2,317,7</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72.07</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35,754,</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270.68</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332,976</w:t>
            </w:r>
          </w:p>
          <w:p>
            <w:pPr>
              <w:pStyle w:val="TableParagraph"/>
              <w:spacing w:line="240" w:lineRule="auto" w:before="106"/>
              <w:ind w:left="89" w:right="0"/>
              <w:jc w:val="left"/>
              <w:rPr>
                <w:rFonts w:ascii="Times New Roman" w:hAnsi="Times New Roman" w:cs="Times New Roman" w:eastAsia="Times New Roman" w:hint="default"/>
                <w:sz w:val="18"/>
                <w:szCs w:val="18"/>
              </w:rPr>
            </w:pPr>
            <w:r>
              <w:rPr>
                <w:rFonts w:ascii="Times New Roman"/>
                <w:sz w:val="18"/>
              </w:rPr>
              <w:t>,217.15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11,614,</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284.22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4,072,4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28,956.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77</w:t>
            </w:r>
          </w:p>
        </w:tc>
      </w:tr>
      <w:tr>
        <w:trPr>
          <w:trHeight w:val="392" w:hRule="exact"/>
        </w:trPr>
        <w:tc>
          <w:tcPr>
            <w:tcW w:w="14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51"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473" w:hRule="exact"/>
        </w:trPr>
        <w:tc>
          <w:tcPr>
            <w:tcW w:w="14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51"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348,69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3,088.</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3,345,7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08,868.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-2,317,7</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72.07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35,754,</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270.68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332,976</w:t>
            </w:r>
          </w:p>
          <w:p>
            <w:pPr>
              <w:pStyle w:val="TableParagraph"/>
              <w:spacing w:line="240" w:lineRule="auto" w:before="106"/>
              <w:ind w:left="89" w:right="0"/>
              <w:jc w:val="left"/>
              <w:rPr>
                <w:rFonts w:ascii="Times New Roman" w:hAnsi="Times New Roman" w:cs="Times New Roman" w:eastAsia="Times New Roman" w:hint="default"/>
                <w:sz w:val="18"/>
                <w:szCs w:val="18"/>
              </w:rPr>
            </w:pPr>
            <w:r>
              <w:rPr>
                <w:rFonts w:ascii="Times New Roman"/>
                <w:sz w:val="18"/>
              </w:rPr>
              <w:t>,217.15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11,614,</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284.22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28,956.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523,03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9,632.</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-523,47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6,672.4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371,123</w:t>
            </w:r>
          </w:p>
          <w:p>
            <w:pPr>
              <w:pStyle w:val="TableParagraph"/>
              <w:spacing w:line="240" w:lineRule="auto" w:before="106"/>
              <w:ind w:left="405" w:right="0"/>
              <w:jc w:val="left"/>
              <w:rPr>
                <w:rFonts w:ascii="Times New Roman" w:hAnsi="Times New Roman" w:cs="Times New Roman" w:eastAsia="Times New Roman" w:hint="default"/>
                <w:sz w:val="18"/>
                <w:szCs w:val="18"/>
              </w:rPr>
            </w:pPr>
            <w:r>
              <w:rPr>
                <w:rFonts w:ascii="Times New Roman"/>
                <w:sz w:val="18"/>
              </w:rPr>
              <w:t>.55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8,927,8</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08.73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373,386</w:t>
            </w:r>
          </w:p>
          <w:p>
            <w:pPr>
              <w:pStyle w:val="TableParagraph"/>
              <w:spacing w:line="240" w:lineRule="auto" w:before="106"/>
              <w:ind w:left="89" w:right="0"/>
              <w:jc w:val="left"/>
              <w:rPr>
                <w:rFonts w:ascii="Times New Roman" w:hAnsi="Times New Roman" w:cs="Times New Roman" w:eastAsia="Times New Roman" w:hint="default"/>
                <w:sz w:val="18"/>
                <w:szCs w:val="18"/>
              </w:rPr>
            </w:pPr>
            <w:r>
              <w:rPr>
                <w:rFonts w:ascii="Times New Roman"/>
                <w:sz w:val="18"/>
              </w:rPr>
              <w:t>,259.60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-8,507,3</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05.37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373,740</w:t>
            </w:r>
          </w:p>
          <w:p>
            <w:pPr>
              <w:pStyle w:val="TableParagraph"/>
              <w:spacing w:line="240" w:lineRule="auto" w:before="106"/>
              <w:ind w:left="83" w:right="0"/>
              <w:jc w:val="left"/>
              <w:rPr>
                <w:rFonts w:ascii="Times New Roman" w:hAnsi="Times New Roman" w:cs="Times New Roman" w:eastAsia="Times New Roman" w:hint="default"/>
                <w:sz w:val="18"/>
                <w:szCs w:val="18"/>
              </w:rPr>
            </w:pPr>
            <w:r>
              <w:rPr>
                <w:rFonts w:ascii="Times New Roman"/>
                <w:sz w:val="18"/>
              </w:rPr>
              <w:t>,846.08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371,123</w:t>
            </w:r>
          </w:p>
          <w:p>
            <w:pPr>
              <w:pStyle w:val="TableParagraph"/>
              <w:spacing w:line="240" w:lineRule="auto" w:before="106"/>
              <w:ind w:left="405" w:right="0"/>
              <w:jc w:val="left"/>
              <w:rPr>
                <w:rFonts w:ascii="Times New Roman" w:hAnsi="Times New Roman" w:cs="Times New Roman" w:eastAsia="Times New Roman" w:hint="default"/>
                <w:sz w:val="18"/>
                <w:szCs w:val="18"/>
              </w:rPr>
            </w:pPr>
            <w:r>
              <w:rPr>
                <w:rFonts w:ascii="Times New Roman"/>
                <w:sz w:val="18"/>
              </w:rPr>
              <w:t>.55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417,183</w:t>
            </w:r>
          </w:p>
          <w:p>
            <w:pPr>
              <w:pStyle w:val="TableParagraph"/>
              <w:spacing w:line="240" w:lineRule="auto" w:before="106"/>
              <w:ind w:left="89" w:right="0"/>
              <w:jc w:val="left"/>
              <w:rPr>
                <w:rFonts w:ascii="Times New Roman" w:hAnsi="Times New Roman" w:cs="Times New Roman" w:eastAsia="Times New Roman" w:hint="default"/>
                <w:sz w:val="18"/>
                <w:szCs w:val="18"/>
              </w:rPr>
            </w:pPr>
            <w:r>
              <w:rPr>
                <w:rFonts w:ascii="Times New Roman"/>
                <w:sz w:val="18"/>
              </w:rPr>
              <w:t>,377.13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490,715</w:t>
            </w:r>
          </w:p>
          <w:p>
            <w:pPr>
              <w:pStyle w:val="TableParagraph"/>
              <w:spacing w:line="240" w:lineRule="auto" w:before="106"/>
              <w:ind w:left="405" w:right="0"/>
              <w:jc w:val="left"/>
              <w:rPr>
                <w:rFonts w:ascii="Times New Roman" w:hAnsi="Times New Roman" w:cs="Times New Roman" w:eastAsia="Times New Roman" w:hint="default"/>
                <w:sz w:val="18"/>
                <w:szCs w:val="18"/>
              </w:rPr>
            </w:pPr>
            <w:r>
              <w:rPr>
                <w:rFonts w:ascii="Times New Roman"/>
                <w:sz w:val="18"/>
              </w:rPr>
              <w:t>.54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418,045</w:t>
            </w:r>
          </w:p>
          <w:p>
            <w:pPr>
              <w:pStyle w:val="TableParagraph"/>
              <w:spacing w:line="240" w:lineRule="auto" w:before="106"/>
              <w:ind w:left="83" w:right="0"/>
              <w:jc w:val="left"/>
              <w:rPr>
                <w:rFonts w:ascii="Times New Roman" w:hAnsi="Times New Roman" w:cs="Times New Roman" w:eastAsia="Times New Roman" w:hint="default"/>
                <w:sz w:val="18"/>
                <w:szCs w:val="18"/>
              </w:rPr>
            </w:pPr>
            <w:r>
              <w:rPr>
                <w:rFonts w:ascii="Times New Roman"/>
                <w:sz w:val="18"/>
              </w:rPr>
              <w:t>,216.22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-8,998,0</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20.91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-8,998,0</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20.91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-9,008,0</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20.91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-9,008,0</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20.91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8,927,8</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08.73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-43,797,</w:t>
            </w:r>
          </w:p>
          <w:p>
            <w:pPr>
              <w:pStyle w:val="TableParagraph"/>
              <w:spacing w:line="240" w:lineRule="auto" w:before="106"/>
              <w:ind w:left="118" w:right="0"/>
              <w:jc w:val="center"/>
              <w:rPr>
                <w:rFonts w:ascii="Times New Roman" w:hAnsi="Times New Roman" w:cs="Times New Roman" w:eastAsia="Times New Roman" w:hint="default"/>
                <w:sz w:val="18"/>
                <w:szCs w:val="18"/>
              </w:rPr>
            </w:pPr>
            <w:r>
              <w:rPr>
                <w:rFonts w:ascii="Times New Roman"/>
                <w:sz w:val="18"/>
              </w:rPr>
              <w:t>117.53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-34,869,</w:t>
            </w:r>
          </w:p>
          <w:p>
            <w:pPr>
              <w:pStyle w:val="TableParagraph"/>
              <w:spacing w:line="240" w:lineRule="auto" w:before="106"/>
              <w:ind w:left="105" w:right="0"/>
              <w:jc w:val="center"/>
              <w:rPr>
                <w:rFonts w:ascii="Times New Roman" w:hAnsi="Times New Roman" w:cs="Times New Roman" w:eastAsia="Times New Roman" w:hint="default"/>
                <w:sz w:val="18"/>
                <w:szCs w:val="18"/>
              </w:rPr>
            </w:pPr>
            <w:r>
              <w:rPr>
                <w:rFonts w:ascii="Times New Roman"/>
                <w:sz w:val="18"/>
              </w:rPr>
              <w:t>308.80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8,927,8</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08.73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-8,927,8</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08.73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-34,869,</w:t>
            </w:r>
          </w:p>
          <w:p>
            <w:pPr>
              <w:pStyle w:val="TableParagraph"/>
              <w:spacing w:line="240" w:lineRule="auto" w:before="106"/>
              <w:ind w:left="111" w:right="0"/>
              <w:jc w:val="center"/>
              <w:rPr>
                <w:rFonts w:ascii="Times New Roman" w:hAnsi="Times New Roman" w:cs="Times New Roman" w:eastAsia="Times New Roman" w:hint="default"/>
                <w:sz w:val="18"/>
                <w:szCs w:val="18"/>
              </w:rPr>
            </w:pPr>
            <w:r>
              <w:rPr>
                <w:rFonts w:ascii="Times New Roman"/>
                <w:sz w:val="18"/>
              </w:rPr>
              <w:t>308.80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-34,869,</w:t>
            </w:r>
          </w:p>
          <w:p>
            <w:pPr>
              <w:pStyle w:val="TableParagraph"/>
              <w:spacing w:line="240" w:lineRule="auto" w:before="106"/>
              <w:ind w:left="105" w:right="0"/>
              <w:jc w:val="center"/>
              <w:rPr>
                <w:rFonts w:ascii="Times New Roman" w:hAnsi="Times New Roman" w:cs="Times New Roman" w:eastAsia="Times New Roman" w:hint="default"/>
                <w:sz w:val="18"/>
                <w:szCs w:val="18"/>
              </w:rPr>
            </w:pPr>
            <w:r>
              <w:rPr>
                <w:rFonts w:ascii="Times New Roman"/>
                <w:sz w:val="18"/>
              </w:rPr>
              <w:t>308.80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523,03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9,632.</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-523,03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9,632.0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523,03</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98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0" w:right="0"/>
              <w:jc w:val="left"/>
              <w:rPr>
                <w:rFonts w:ascii="Times New Roman" w:hAnsi="Times New Roman" w:cs="Times New Roman" w:eastAsia="Times New Roman" w:hint="default"/>
                <w:sz w:val="18"/>
                <w:szCs w:val="18"/>
              </w:rPr>
            </w:pPr>
            <w:r>
              <w:rPr>
                <w:rFonts w:ascii="Times New Roman"/>
                <w:sz w:val="18"/>
              </w:rPr>
              <w:t>9,632.</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-523,03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9,632.0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-437,04</w:t>
            </w:r>
          </w:p>
          <w:p>
            <w:pPr>
              <w:pStyle w:val="TableParagraph"/>
              <w:spacing w:line="240" w:lineRule="auto" w:before="105"/>
              <w:ind w:left="315" w:right="0"/>
              <w:jc w:val="left"/>
              <w:rPr>
                <w:rFonts w:ascii="Times New Roman" w:hAnsi="Times New Roman" w:cs="Times New Roman" w:eastAsia="Times New Roman" w:hint="default"/>
                <w:sz w:val="18"/>
                <w:szCs w:val="18"/>
              </w:rPr>
            </w:pPr>
            <w:r>
              <w:rPr>
                <w:rFonts w:ascii="Times New Roman"/>
                <w:sz w:val="18"/>
              </w:rPr>
              <w:t>0.43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-437,04</w:t>
            </w:r>
          </w:p>
          <w:p>
            <w:pPr>
              <w:pStyle w:val="TableParagraph"/>
              <w:spacing w:line="240" w:lineRule="auto" w:before="105"/>
              <w:ind w:left="309" w:right="0"/>
              <w:jc w:val="left"/>
              <w:rPr>
                <w:rFonts w:ascii="Times New Roman" w:hAnsi="Times New Roman" w:cs="Times New Roman" w:eastAsia="Times New Roman" w:hint="default"/>
                <w:sz w:val="18"/>
                <w:szCs w:val="18"/>
              </w:rPr>
            </w:pPr>
            <w:r>
              <w:rPr>
                <w:rFonts w:ascii="Times New Roman"/>
                <w:sz w:val="18"/>
              </w:rPr>
              <w:t>0.43</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871,73</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2,720.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2,822,2</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32,196.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-1,946,6</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48.52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44,682,</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079.41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706,362</w:t>
            </w:r>
          </w:p>
          <w:p>
            <w:pPr>
              <w:pStyle w:val="TableParagraph"/>
              <w:spacing w:line="240" w:lineRule="auto" w:before="105"/>
              <w:ind w:left="89" w:right="0"/>
              <w:jc w:val="left"/>
              <w:rPr>
                <w:rFonts w:ascii="Times New Roman" w:hAnsi="Times New Roman" w:cs="Times New Roman" w:eastAsia="Times New Roman" w:hint="default"/>
                <w:sz w:val="18"/>
                <w:szCs w:val="18"/>
              </w:rPr>
            </w:pPr>
            <w:r>
              <w:rPr>
                <w:rFonts w:ascii="Times New Roman"/>
                <w:sz w:val="18"/>
              </w:rPr>
              <w:t>,476.75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3,106,9</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78.85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4,446,1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69,802.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85</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113,33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77,186,</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908.26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-2,209,9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12.47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32,347,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630.05</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229,246</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,096.37</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16,454,</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782.26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466,355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,504.47</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-20,694.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113,33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77,166,</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213.46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-2,189,2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17.67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32,347,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630.05</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229,246</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,096.37</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16,454,</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782.26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466,355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,504.47</w:t>
            </w:r>
          </w:p>
        </w:tc>
      </w:tr>
      <w:tr>
        <w:trPr>
          <w:trHeight w:val="39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1" w:right="22"/>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235,36</w:t>
            </w:r>
          </w:p>
          <w:p>
            <w:pPr>
              <w:pStyle w:val="TableParagraph"/>
              <w:spacing w:line="240" w:lineRule="auto" w:before="104"/>
              <w:ind w:left="67" w:right="0"/>
              <w:jc w:val="left"/>
              <w:rPr>
                <w:rFonts w:ascii="Times New Roman" w:hAnsi="Times New Roman" w:cs="Times New Roman" w:eastAsia="Times New Roman" w:hint="default"/>
                <w:sz w:val="18"/>
                <w:szCs w:val="18"/>
              </w:rPr>
            </w:pPr>
            <w:r>
              <w:rPr>
                <w:rFonts w:ascii="Times New Roman"/>
                <w:sz w:val="18"/>
              </w:rPr>
              <w:t>3,088.</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2" w:right="0"/>
              <w:jc w:val="left"/>
              <w:rPr>
                <w:rFonts w:ascii="Times New Roman" w:hAnsi="Times New Roman" w:cs="Times New Roman" w:eastAsia="Times New Roman" w:hint="default"/>
                <w:sz w:val="18"/>
                <w:szCs w:val="18"/>
              </w:rPr>
            </w:pPr>
            <w:r>
              <w:rPr>
                <w:rFonts w:ascii="Times New Roman"/>
                <w:sz w:val="18"/>
              </w:rPr>
              <w:t>3,268,5</w:t>
            </w:r>
          </w:p>
          <w:p>
            <w:pPr>
              <w:pStyle w:val="TableParagraph"/>
              <w:spacing w:line="240" w:lineRule="auto" w:before="104"/>
              <w:ind w:left="92" w:right="0"/>
              <w:jc w:val="left"/>
              <w:rPr>
                <w:rFonts w:ascii="Times New Roman" w:hAnsi="Times New Roman" w:cs="Times New Roman" w:eastAsia="Times New Roman" w:hint="default"/>
                <w:sz w:val="18"/>
                <w:szCs w:val="18"/>
              </w:rPr>
            </w:pPr>
            <w:r>
              <w:rPr>
                <w:rFonts w:ascii="Times New Roman"/>
                <w:sz w:val="18"/>
              </w:rPr>
              <w:t>42,655.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-128,55</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4.40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3,406,6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40.63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103,730</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,120.78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-4,840,</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498.04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3,606,0</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73,452.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30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-128,55</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4.40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118,389</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,761.41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-4,840,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498.04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113,420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,708.97</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235,36</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3,088.</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3,268,5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42,655.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3,503,9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05,743.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33</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235,36</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3,088.</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3,268,5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42,655.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3,503,9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05,743.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33</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3,406,6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40.63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-14,659,</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640.63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-11,253,</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3,406,6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40.63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-3,406,6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40.63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-11,253,</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-11,253,</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18"/>
                <w:szCs w:val="18"/>
              </w:rPr>
            </w:pPr>
            <w:r>
              <w:rPr>
                <w:rFonts w:ascii="Times New Roman"/>
                <w:sz w:val="18"/>
              </w:rPr>
              <w:t>348,69</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3,345,7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1" w:right="0"/>
              <w:jc w:val="left"/>
              <w:rPr>
                <w:rFonts w:ascii="Times New Roman" w:hAnsi="Times New Roman" w:cs="Times New Roman" w:eastAsia="Times New Roman" w:hint="default"/>
                <w:sz w:val="18"/>
                <w:szCs w:val="18"/>
              </w:rPr>
            </w:pPr>
            <w:r>
              <w:rPr>
                <w:rFonts w:ascii="Times New Roman"/>
                <w:sz w:val="18"/>
              </w:rPr>
              <w:t>-2,317,7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35,754,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9" w:right="0"/>
              <w:jc w:val="left"/>
              <w:rPr>
                <w:rFonts w:ascii="Times New Roman" w:hAnsi="Times New Roman" w:cs="Times New Roman" w:eastAsia="Times New Roman" w:hint="default"/>
                <w:sz w:val="18"/>
                <w:szCs w:val="18"/>
              </w:rPr>
            </w:pPr>
            <w:r>
              <w:rPr>
                <w:rFonts w:ascii="Times New Roman"/>
                <w:sz w:val="18"/>
              </w:rPr>
              <w:t>332,976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6" w:right="0"/>
              <w:jc w:val="left"/>
              <w:rPr>
                <w:rFonts w:ascii="Times New Roman" w:hAnsi="Times New Roman" w:cs="Times New Roman" w:eastAsia="Times New Roman" w:hint="default"/>
                <w:sz w:val="18"/>
                <w:szCs w:val="18"/>
              </w:rPr>
            </w:pPr>
            <w:r>
              <w:rPr>
                <w:rFonts w:ascii="Times New Roman"/>
                <w:sz w:val="18"/>
              </w:rPr>
              <w:t>11,614,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4,072,4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61"/>
      </w:tblGrid>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9" w:right="0"/>
              <w:jc w:val="left"/>
              <w:rPr>
                <w:rFonts w:ascii="Times New Roman" w:hAnsi="Times New Roman" w:cs="Times New Roman" w:eastAsia="Times New Roman" w:hint="default"/>
                <w:sz w:val="18"/>
                <w:szCs w:val="18"/>
              </w:rPr>
            </w:pPr>
            <w:r>
              <w:rPr>
                <w:rFonts w:ascii="Times New Roman"/>
                <w:sz w:val="18"/>
              </w:rPr>
              <w:t>3,088.</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08,868.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6" w:right="0"/>
              <w:jc w:val="left"/>
              <w:rPr>
                <w:rFonts w:ascii="Times New Roman" w:hAnsi="Times New Roman" w:cs="Times New Roman" w:eastAsia="Times New Roman" w:hint="default"/>
                <w:sz w:val="18"/>
                <w:szCs w:val="18"/>
              </w:rPr>
            </w:pPr>
            <w:r>
              <w:rPr>
                <w:rFonts w:ascii="Times New Roman"/>
                <w:sz w:val="18"/>
              </w:rPr>
              <w:t>72.07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270.68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Times New Roman" w:hAnsi="Times New Roman" w:cs="Times New Roman" w:eastAsia="Times New Roman" w:hint="default"/>
                <w:sz w:val="18"/>
                <w:szCs w:val="18"/>
              </w:rPr>
            </w:pPr>
            <w:r>
              <w:rPr>
                <w:rFonts w:ascii="Times New Roman"/>
                <w:sz w:val="18"/>
              </w:rPr>
              <w:t>,217.15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Times New Roman" w:hAnsi="Times New Roman" w:cs="Times New Roman" w:eastAsia="Times New Roman" w:hint="default"/>
                <w:sz w:val="18"/>
                <w:szCs w:val="18"/>
              </w:rPr>
            </w:pPr>
            <w:r>
              <w:rPr>
                <w:rFonts w:ascii="Times New Roman"/>
                <w:sz w:val="18"/>
              </w:rPr>
              <w:t>284.22</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z w:val="18"/>
              </w:rPr>
              <w:t>28,956.</w:t>
            </w:r>
          </w:p>
          <w:p>
            <w:pPr>
              <w:pStyle w:val="TableParagraph"/>
              <w:spacing w:line="240" w:lineRule="auto" w:before="106"/>
              <w:ind w:right="24"/>
              <w:jc w:val="right"/>
              <w:rPr>
                <w:rFonts w:ascii="Times New Roman" w:hAnsi="Times New Roman" w:cs="Times New Roman" w:eastAsia="Times New Roman" w:hint="default"/>
                <w:sz w:val="18"/>
                <w:szCs w:val="18"/>
              </w:rPr>
            </w:pPr>
            <w:r>
              <w:rPr>
                <w:rFonts w:ascii="Times New Roman"/>
                <w:sz w:val="18"/>
              </w:rPr>
              <w:t>77</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5"/>
        <w:ind w:left="154" w:right="0"/>
        <w:jc w:val="left"/>
        <w:rPr>
          <w:b w:val="0"/>
          <w:bCs w:val="0"/>
        </w:rPr>
      </w:pPr>
      <w:bookmarkStart w:name="8、母公司所有者权益变动表" w:id="161"/>
      <w:bookmarkEnd w:id="161"/>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348,693,</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088.00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3,345,708</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,868.79</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35,754,27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0.68</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215,585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,699.92</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3,945,741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,927.39</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348,693,</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088.00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3,345,708</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,868.79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35,754,27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0.68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215,585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,699.92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3,945,741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,927.39</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523,039,</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632.00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-523,039,</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632.00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8,927,808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45,480,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969.79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54,408,77</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8.52</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89,278,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087.32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89,278,08</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7.32</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8,927,808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-43,797,</w:t>
            </w:r>
          </w:p>
          <w:p>
            <w:pPr>
              <w:pStyle w:val="TableParagraph"/>
              <w:spacing w:line="240" w:lineRule="auto" w:before="105"/>
              <w:ind w:left="131" w:right="0"/>
              <w:jc w:val="center"/>
              <w:rPr>
                <w:rFonts w:ascii="Times New Roman" w:hAnsi="Times New Roman" w:cs="Times New Roman" w:eastAsia="Times New Roman" w:hint="default"/>
                <w:sz w:val="18"/>
                <w:szCs w:val="18"/>
              </w:rPr>
            </w:pPr>
            <w:r>
              <w:rPr>
                <w:rFonts w:ascii="Times New Roman"/>
                <w:sz w:val="18"/>
              </w:rPr>
              <w:t>117.53</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-34,869,3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08.80</w:t>
            </w:r>
          </w:p>
        </w:tc>
      </w:tr>
      <w:tr>
        <w:trPr>
          <w:trHeight w:val="393"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8,927,808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-8,927,8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08.73</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3" w:right="0"/>
              <w:jc w:val="left"/>
              <w:rPr>
                <w:rFonts w:ascii="Times New Roman" w:hAnsi="Times New Roman" w:cs="Times New Roman" w:eastAsia="Times New Roman" w:hint="default"/>
                <w:sz w:val="18"/>
                <w:szCs w:val="18"/>
              </w:rPr>
            </w:pPr>
            <w:r>
              <w:rPr>
                <w:rFonts w:ascii="Times New Roman"/>
                <w:sz w:val="18"/>
              </w:rPr>
              <w:t>-34,869,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7" w:right="0"/>
              <w:jc w:val="left"/>
              <w:rPr>
                <w:rFonts w:ascii="Times New Roman" w:hAnsi="Times New Roman" w:cs="Times New Roman" w:eastAsia="Times New Roman" w:hint="default"/>
                <w:sz w:val="18"/>
                <w:szCs w:val="18"/>
              </w:rPr>
            </w:pPr>
            <w:r>
              <w:rPr>
                <w:rFonts w:ascii="Times New Roman"/>
                <w:sz w:val="18"/>
              </w:rPr>
              <w:t>-34,869,3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8" w:right="0"/>
              <w:jc w:val="left"/>
              <w:rPr>
                <w:rFonts w:ascii="Times New Roman" w:hAnsi="Times New Roman" w:cs="Times New Roman" w:eastAsia="Times New Roman" w:hint="default"/>
                <w:sz w:val="18"/>
                <w:szCs w:val="18"/>
              </w:rPr>
            </w:pPr>
            <w:r>
              <w:rPr>
                <w:rFonts w:ascii="Times New Roman"/>
                <w:sz w:val="18"/>
              </w:rPr>
              <w:t>308.80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Times New Roman" w:hAnsi="Times New Roman" w:cs="Times New Roman" w:eastAsia="Times New Roman" w:hint="default"/>
                <w:sz w:val="18"/>
                <w:szCs w:val="18"/>
              </w:rPr>
            </w:pPr>
            <w:r>
              <w:rPr>
                <w:rFonts w:ascii="Times New Roman"/>
                <w:sz w:val="18"/>
              </w:rPr>
              <w:t>08.80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523,039,</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632.00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-523,039,</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632.00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523,039,</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632.00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-523,039,</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632.00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871,732,</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720.00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2,822,669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,236.79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44,682,07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9.41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261,066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,669.71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4,000,150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,705.91</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113,330,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77,166,21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3.46</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32,347,63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0.05</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196,178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,934.21</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419,022,7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77.72</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113,330,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77,166,21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3.46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32,347,63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196,178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,934.21</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419,022,7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77.72</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235,363,</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088.00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3,268,542</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,655.33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3,406,640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19,406,</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765.71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3,526,719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,149.67</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34,066,</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406.34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34,066,40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6.34</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（二）所有者投入</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1"/>
              <w:ind w:left="32" w:right="0"/>
              <w:jc w:val="left"/>
              <w:rPr>
                <w:rFonts w:ascii="Times New Roman" w:hAnsi="Times New Roman" w:cs="Times New Roman" w:eastAsia="Times New Roman" w:hint="default"/>
                <w:sz w:val="18"/>
                <w:szCs w:val="18"/>
              </w:rPr>
            </w:pPr>
            <w:r>
              <w:rPr>
                <w:rFonts w:ascii="Times New Roman"/>
                <w:sz w:val="18"/>
              </w:rPr>
              <w:t>235,363,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3,268,542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3,503,905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3" w:right="0"/>
              <w:jc w:val="left"/>
              <w:rPr>
                <w:rFonts w:ascii="Times New Roman" w:hAnsi="Times New Roman" w:cs="Times New Roman" w:eastAsia="Times New Roman" w:hint="default"/>
                <w:sz w:val="18"/>
                <w:szCs w:val="18"/>
              </w:rPr>
            </w:pPr>
            <w:r>
              <w:rPr>
                <w:rFonts w:ascii="Times New Roman"/>
                <w:sz w:val="18"/>
              </w:rPr>
              <w:t>088.00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Times New Roman" w:hAnsi="Times New Roman" w:cs="Times New Roman" w:eastAsia="Times New Roman" w:hint="default"/>
                <w:sz w:val="18"/>
                <w:szCs w:val="18"/>
              </w:rPr>
            </w:pPr>
            <w:r>
              <w:rPr>
                <w:rFonts w:ascii="Times New Roman"/>
                <w:sz w:val="18"/>
              </w:rPr>
              <w:t>,655.33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 w:right="0"/>
              <w:jc w:val="left"/>
              <w:rPr>
                <w:rFonts w:ascii="Times New Roman" w:hAnsi="Times New Roman" w:cs="Times New Roman" w:eastAsia="Times New Roman" w:hint="default"/>
                <w:sz w:val="18"/>
                <w:szCs w:val="18"/>
              </w:rPr>
            </w:pPr>
            <w:r>
              <w:rPr>
                <w:rFonts w:ascii="Times New Roman"/>
                <w:sz w:val="18"/>
              </w:rPr>
              <w:t>,743.33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235,363,</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088.00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3,268,542</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,655.33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3,503,905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,743.33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3,406,640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-14,659,</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640.63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-11,253,0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3,406,640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-3,406,6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40.63</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-11,253,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-11,253,0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348,693,</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088.00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3,345,708</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,868.79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35,754,27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0.68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215,585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,699.92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3,945,741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,927.39</w:t>
            </w:r>
          </w:p>
        </w:tc>
      </w:tr>
    </w:tbl>
    <w:p>
      <w:pPr>
        <w:spacing w:line="240" w:lineRule="auto" w:before="2"/>
        <w:rPr>
          <w:rFonts w:ascii="宋体" w:hAnsi="宋体" w:cs="宋体" w:eastAsia="宋体" w:hint="default"/>
          <w:sz w:val="18"/>
          <w:szCs w:val="18"/>
        </w:rPr>
      </w:pPr>
    </w:p>
    <w:p>
      <w:pPr>
        <w:pStyle w:val="Heading4"/>
        <w:spacing w:line="240" w:lineRule="auto" w:before="26"/>
        <w:ind w:left="154" w:right="0"/>
        <w:jc w:val="left"/>
        <w:rPr>
          <w:b w:val="0"/>
          <w:bCs w:val="0"/>
        </w:rPr>
      </w:pPr>
      <w:bookmarkStart w:name="三、公司基本情况" w:id="162"/>
      <w:bookmarkEnd w:id="162"/>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Heading7"/>
        <w:spacing w:line="273" w:lineRule="auto" w:before="0"/>
        <w:ind w:left="573" w:right="1118" w:hanging="420"/>
        <w:jc w:val="left"/>
      </w:pPr>
      <w:r>
        <w:rPr/>
        <w:t>（一）公司概况 </w:t>
      </w:r>
      <w:r>
        <w:rPr>
          <w:spacing w:val="-2"/>
        </w:rPr>
        <w:t>上海二三四五网络控股集团股份有限公司（以下简称</w:t>
      </w:r>
      <w:r>
        <w:rPr>
          <w:rFonts w:ascii="Times New Roman" w:hAnsi="Times New Roman" w:cs="Times New Roman" w:eastAsia="Times New Roman" w:hint="default"/>
          <w:spacing w:val="-2"/>
        </w:rPr>
        <w:t>“</w:t>
      </w:r>
      <w:r>
        <w:rPr>
          <w:spacing w:val="-2"/>
        </w:rPr>
        <w:t>公司</w:t>
      </w:r>
      <w:r>
        <w:rPr>
          <w:rFonts w:ascii="Times New Roman" w:hAnsi="Times New Roman" w:cs="Times New Roman" w:eastAsia="Times New Roman" w:hint="default"/>
          <w:spacing w:val="-2"/>
        </w:rPr>
        <w:t>”</w:t>
      </w:r>
      <w:r>
        <w:rPr>
          <w:spacing w:val="-2"/>
        </w:rPr>
        <w:t>或</w:t>
      </w:r>
      <w:r>
        <w:rPr>
          <w:rFonts w:ascii="Times New Roman" w:hAnsi="Times New Roman" w:cs="Times New Roman" w:eastAsia="Times New Roman" w:hint="default"/>
          <w:spacing w:val="-2"/>
        </w:rPr>
        <w:t>“</w:t>
      </w:r>
      <w:r>
        <w:rPr>
          <w:spacing w:val="-2"/>
        </w:rPr>
        <w:t>本公司</w:t>
      </w:r>
      <w:r>
        <w:rPr>
          <w:rFonts w:ascii="Times New Roman" w:hAnsi="Times New Roman" w:cs="Times New Roman" w:eastAsia="Times New Roman" w:hint="default"/>
          <w:spacing w:val="-2"/>
        </w:rPr>
        <w:t>”</w:t>
      </w:r>
      <w:r>
        <w:rPr>
          <w:spacing w:val="-2"/>
        </w:rPr>
        <w:t>，原名</w:t>
      </w:r>
      <w:r>
        <w:rPr>
          <w:rFonts w:ascii="Times New Roman" w:hAnsi="Times New Roman" w:cs="Times New Roman" w:eastAsia="Times New Roman" w:hint="default"/>
          <w:spacing w:val="-2"/>
        </w:rPr>
        <w:t>“</w:t>
      </w:r>
      <w:r>
        <w:rPr>
          <w:spacing w:val="-2"/>
        </w:rPr>
        <w:t>上海海隆软件股份有限</w:t>
      </w:r>
    </w:p>
    <w:p>
      <w:pPr>
        <w:pStyle w:val="Heading7"/>
        <w:spacing w:line="264" w:lineRule="auto" w:before="0"/>
        <w:ind w:right="0"/>
        <w:jc w:val="left"/>
      </w:pPr>
      <w:r>
        <w:rPr/>
        <w:t>公司</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6</w:t>
      </w:r>
      <w:r>
        <w:rPr/>
        <w:t>月经上海市人民政府以沪府体改审（</w:t>
      </w:r>
      <w:r>
        <w:rPr>
          <w:rFonts w:ascii="Times New Roman" w:hAnsi="Times New Roman" w:cs="Times New Roman" w:eastAsia="Times New Roman" w:hint="default"/>
        </w:rPr>
        <w:t>2001</w:t>
      </w:r>
      <w:r>
        <w:rPr/>
        <w:t>）</w:t>
      </w:r>
      <w:r>
        <w:rPr>
          <w:rFonts w:ascii="Times New Roman" w:hAnsi="Times New Roman" w:cs="Times New Roman" w:eastAsia="Times New Roman" w:hint="default"/>
        </w:rPr>
        <w:t>012</w:t>
      </w:r>
      <w:r>
        <w:rPr/>
        <w:t>号文《关于同意设立上海交大欧姆龙 </w:t>
      </w:r>
      <w:r>
        <w:rPr>
          <w:spacing w:val="-1"/>
        </w:rPr>
        <w:t>软件股份有限公司的批复》的批准，由上海欧姆龙计算机有限公司整体变更而设立的股份有限公司，设立</w:t>
      </w:r>
      <w:r>
        <w:rPr>
          <w:spacing w:val="-83"/>
        </w:rPr>
        <w:t> </w:t>
      </w:r>
      <w:r>
        <w:rPr>
          <w:spacing w:val="-83"/>
        </w:rPr>
      </w:r>
      <w:r>
        <w:rPr/>
        <w:t>时股本总额为</w:t>
      </w:r>
      <w:r>
        <w:rPr>
          <w:rFonts w:ascii="Times New Roman" w:hAnsi="Times New Roman" w:cs="Times New Roman" w:eastAsia="Times New Roman" w:hint="default"/>
        </w:rPr>
        <w:t>3,000</w:t>
      </w:r>
      <w:r>
        <w:rPr/>
        <w:t>万元；</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3</w:t>
      </w:r>
      <w:r>
        <w:rPr/>
        <w:t>月经股东会决议向全体股东每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3</w:t>
      </w:r>
      <w:r>
        <w:rPr/>
        <w:t>股，股本总额变更为</w:t>
      </w:r>
      <w:r>
        <w:rPr>
          <w:rFonts w:ascii="Times New Roman" w:hAnsi="Times New Roman" w:cs="Times New Roman" w:eastAsia="Times New Roman" w:hint="default"/>
        </w:rPr>
        <w:t>3,900</w:t>
      </w:r>
      <w:r>
        <w:rPr/>
        <w:t>万元；</w:t>
      </w:r>
    </w:p>
    <w:p>
      <w:pPr>
        <w:spacing w:after="0" w:line="264"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7"/>
        <w:spacing w:line="240" w:lineRule="auto" w:before="35"/>
        <w:ind w:right="0"/>
        <w:jc w:val="left"/>
      </w:pP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w:t>
      </w:r>
      <w:r>
        <w:rPr/>
        <w:t>月经股东会决议在前次基础上向全体股东每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1</w:t>
      </w:r>
      <w:r>
        <w:rPr/>
        <w:t>股，股本总额变更为</w:t>
      </w:r>
      <w:r>
        <w:rPr>
          <w:rFonts w:ascii="Times New Roman" w:hAnsi="Times New Roman" w:cs="Times New Roman" w:eastAsia="Times New Roman" w:hint="default"/>
        </w:rPr>
        <w:t>4,290</w:t>
      </w:r>
      <w:r>
        <w:rPr/>
        <w:t>万元。</w:t>
      </w:r>
    </w:p>
    <w:p>
      <w:pPr>
        <w:pStyle w:val="Heading7"/>
        <w:spacing w:line="256" w:lineRule="auto" w:before="21"/>
        <w:ind w:right="0" w:firstLine="420"/>
        <w:jc w:val="left"/>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月经中国证券监督管理委员会以证监发行字</w:t>
      </w:r>
      <w:r>
        <w:rPr>
          <w:rFonts w:ascii="Times New Roman" w:hAnsi="Times New Roman" w:cs="Times New Roman" w:eastAsia="Times New Roman" w:hint="default"/>
        </w:rPr>
        <w:t>[2007]413</w:t>
      </w:r>
      <w:r>
        <w:rPr/>
        <w:t>号文《关于核准上海海隆软件股份有限 公司首次公开发行股票的通知》的核准，公司于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月向社会公开发行人民币普通股股票</w:t>
      </w:r>
      <w:r>
        <w:rPr>
          <w:rFonts w:ascii="Times New Roman" w:hAnsi="Times New Roman" w:cs="Times New Roman" w:eastAsia="Times New Roman" w:hint="default"/>
        </w:rPr>
        <w:t>1,450</w:t>
      </w:r>
      <w:r>
        <w:rPr/>
        <w:t>万股，</w:t>
      </w:r>
      <w:r>
        <w:rPr>
          <w:spacing w:val="-83"/>
        </w:rPr>
        <w:t> </w:t>
      </w:r>
      <w:r>
        <w:rPr>
          <w:spacing w:val="-83"/>
        </w:rPr>
      </w:r>
      <w:r>
        <w:rPr>
          <w:spacing w:val="-2"/>
        </w:rPr>
        <w:t>每股面值</w:t>
      </w:r>
      <w:r>
        <w:rPr>
          <w:rFonts w:ascii="Times New Roman" w:hAnsi="Times New Roman" w:cs="Times New Roman" w:eastAsia="Times New Roman" w:hint="default"/>
          <w:spacing w:val="-2"/>
        </w:rPr>
        <w:t>1.00</w:t>
      </w:r>
      <w:r>
        <w:rPr>
          <w:spacing w:val="-2"/>
        </w:rPr>
        <w:t>元，每股发行价为</w:t>
      </w:r>
      <w:r>
        <w:rPr>
          <w:rFonts w:ascii="Times New Roman" w:hAnsi="Times New Roman" w:cs="Times New Roman" w:eastAsia="Times New Roman" w:hint="default"/>
          <w:spacing w:val="-2"/>
        </w:rPr>
        <w:t>10.49</w:t>
      </w:r>
      <w:r>
        <w:rPr>
          <w:spacing w:val="-2"/>
        </w:rPr>
        <w:t>元，发行后股本总额变更为</w:t>
      </w:r>
      <w:r>
        <w:rPr>
          <w:rFonts w:ascii="Times New Roman" w:hAnsi="Times New Roman" w:cs="Times New Roman" w:eastAsia="Times New Roman" w:hint="default"/>
          <w:spacing w:val="-2"/>
        </w:rPr>
        <w:t>5,740</w:t>
      </w:r>
      <w:r>
        <w:rPr>
          <w:spacing w:val="-2"/>
        </w:rPr>
        <w:t>万元。公司股票于</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12</w:t>
      </w:r>
      <w:r>
        <w:rPr>
          <w:spacing w:val="-2"/>
        </w:rPr>
        <w:t>日起</w:t>
      </w:r>
      <w:r>
        <w:rPr>
          <w:spacing w:val="-71"/>
        </w:rPr>
        <w:t> </w:t>
      </w:r>
      <w:r>
        <w:rPr/>
        <w:t>在深圳证券交易所挂牌交易。</w:t>
      </w:r>
    </w:p>
    <w:p>
      <w:pPr>
        <w:pStyle w:val="Heading7"/>
        <w:spacing w:line="256" w:lineRule="auto" w:before="22"/>
        <w:ind w:right="1145" w:firstLine="420"/>
        <w:jc w:val="left"/>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月经股东大会决议通过以</w:t>
      </w:r>
      <w:r>
        <w:rPr>
          <w:rFonts w:ascii="Times New Roman" w:hAnsi="Times New Roman" w:cs="Times New Roman" w:eastAsia="Times New Roman" w:hint="default"/>
        </w:rPr>
        <w:t>2007</w:t>
      </w:r>
      <w:r>
        <w:rPr/>
        <w:t>年末总股本</w:t>
      </w:r>
      <w:r>
        <w:rPr>
          <w:rFonts w:ascii="Times New Roman" w:hAnsi="Times New Roman" w:cs="Times New Roman" w:eastAsia="Times New Roman" w:hint="default"/>
        </w:rPr>
        <w:t>5,740</w:t>
      </w:r>
      <w:r>
        <w:rPr/>
        <w:t>万股为基数，以资本公积向全体股东每</w:t>
      </w:r>
      <w:r>
        <w:rPr>
          <w:rFonts w:ascii="Times New Roman" w:hAnsi="Times New Roman" w:cs="Times New Roman" w:eastAsia="Times New Roman" w:hint="default"/>
        </w:rPr>
        <w:t>10</w:t>
      </w:r>
      <w:r>
        <w:rPr/>
        <w:t>股转 增</w:t>
      </w:r>
      <w:r>
        <w:rPr>
          <w:rFonts w:ascii="Times New Roman" w:hAnsi="Times New Roman" w:cs="Times New Roman" w:eastAsia="Times New Roman" w:hint="default"/>
        </w:rPr>
        <w:t>3</w:t>
      </w:r>
      <w:r>
        <w:rPr/>
        <w:t>股，股本总额变更为</w:t>
      </w:r>
      <w:r>
        <w:rPr>
          <w:rFonts w:ascii="Times New Roman" w:hAnsi="Times New Roman" w:cs="Times New Roman" w:eastAsia="Times New Roman" w:hint="default"/>
        </w:rPr>
        <w:t>7,462</w:t>
      </w:r>
      <w:r>
        <w:rPr/>
        <w:t>万元。</w:t>
      </w:r>
    </w:p>
    <w:p>
      <w:pPr>
        <w:pStyle w:val="Heading7"/>
        <w:spacing w:line="256" w:lineRule="auto" w:before="5"/>
        <w:ind w:right="1145" w:firstLine="42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月经股东大会决议通过以</w:t>
      </w:r>
      <w:r>
        <w:rPr>
          <w:rFonts w:ascii="Times New Roman" w:hAnsi="Times New Roman" w:cs="Times New Roman" w:eastAsia="Times New Roman" w:hint="default"/>
        </w:rPr>
        <w:t>2010</w:t>
      </w:r>
      <w:r>
        <w:rPr/>
        <w:t>年末总股本</w:t>
      </w:r>
      <w:r>
        <w:rPr>
          <w:rFonts w:ascii="Times New Roman" w:hAnsi="Times New Roman" w:cs="Times New Roman" w:eastAsia="Times New Roman" w:hint="default"/>
        </w:rPr>
        <w:t>7,462</w:t>
      </w:r>
      <w:r>
        <w:rPr/>
        <w:t>万股为基数，以资本公积向全体股东每</w:t>
      </w:r>
      <w:r>
        <w:rPr>
          <w:rFonts w:ascii="Times New Roman" w:hAnsi="Times New Roman" w:cs="Times New Roman" w:eastAsia="Times New Roman" w:hint="default"/>
        </w:rPr>
        <w:t>10</w:t>
      </w:r>
      <w:r>
        <w:rPr/>
        <w:t>股转 增</w:t>
      </w:r>
      <w:r>
        <w:rPr>
          <w:rFonts w:ascii="Times New Roman" w:hAnsi="Times New Roman" w:cs="Times New Roman" w:eastAsia="Times New Roman" w:hint="default"/>
        </w:rPr>
        <w:t>5</w:t>
      </w:r>
      <w:r>
        <w:rPr/>
        <w:t>股，股本总额变更为</w:t>
      </w:r>
      <w:r>
        <w:rPr>
          <w:rFonts w:ascii="Times New Roman" w:hAnsi="Times New Roman" w:cs="Times New Roman" w:eastAsia="Times New Roman" w:hint="default"/>
        </w:rPr>
        <w:t>11,193</w:t>
      </w:r>
      <w:r>
        <w:rPr/>
        <w:t>万元。</w:t>
      </w:r>
    </w:p>
    <w:p>
      <w:pPr>
        <w:pStyle w:val="Heading7"/>
        <w:spacing w:line="256" w:lineRule="auto" w:before="5"/>
        <w:ind w:right="0" w:firstLine="42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日的股东大会上审议通过了《上海海隆软件股份有限公司限制性股票激励计划（草案）》 及其摘要，并于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日第四届董事会第十四次会议审议通过了《关于向激励对象授予限制性股票的 议案》，增加注册资本人民币</w:t>
      </w:r>
      <w:r>
        <w:rPr>
          <w:rFonts w:ascii="Times New Roman" w:hAnsi="Times New Roman" w:cs="Times New Roman" w:eastAsia="Times New Roman" w:hint="default"/>
        </w:rPr>
        <w:t>203</w:t>
      </w:r>
      <w:r>
        <w:rPr/>
        <w:t>万元，变更后的注册资本为人民币</w:t>
      </w:r>
      <w:r>
        <w:rPr>
          <w:rFonts w:ascii="Times New Roman" w:hAnsi="Times New Roman" w:cs="Times New Roman" w:eastAsia="Times New Roman" w:hint="default"/>
        </w:rPr>
        <w:t>11,396</w:t>
      </w:r>
      <w:r>
        <w:rPr/>
        <w:t>万元。</w:t>
      </w:r>
    </w:p>
    <w:p>
      <w:pPr>
        <w:pStyle w:val="Heading7"/>
        <w:spacing w:line="256" w:lineRule="auto" w:before="5"/>
        <w:ind w:left="154" w:right="1197" w:firstLine="420"/>
        <w:jc w:val="left"/>
      </w:pPr>
      <w:r>
        <w:rPr/>
        <w:t>根据</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日第四届董事会第二十次会议审议通过的《关于回购注销部分已不符合激励条件的 原激励对象已获授但尚未解锁的限制性股票》及</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日第四届董事会第二十一次会议审议通过的</w:t>
      </w:r>
    </w:p>
    <w:p>
      <w:pPr>
        <w:pStyle w:val="Heading7"/>
        <w:spacing w:line="256" w:lineRule="auto" w:before="5"/>
        <w:ind w:right="1186"/>
        <w:jc w:val="both"/>
      </w:pPr>
      <w:r>
        <w:rPr/>
        <w:t>《关于回购注销</w:t>
      </w:r>
      <w:r>
        <w:rPr>
          <w:rFonts w:ascii="Times New Roman" w:hAnsi="Times New Roman" w:cs="Times New Roman" w:eastAsia="Times New Roman" w:hint="default"/>
        </w:rPr>
        <w:t>&lt;</w:t>
      </w:r>
      <w:r>
        <w:rPr/>
        <w:t>限制性股票激励计划</w:t>
      </w:r>
      <w:r>
        <w:rPr>
          <w:rFonts w:ascii="Times New Roman" w:hAnsi="Times New Roman" w:cs="Times New Roman" w:eastAsia="Times New Roman" w:hint="default"/>
        </w:rPr>
        <w:t>&gt;</w:t>
      </w:r>
      <w:r>
        <w:rPr/>
        <w:t>第二期拟解锁股票的议案》，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月本公司回购限制性股票</w:t>
      </w:r>
      <w:r>
        <w:rPr>
          <w:rFonts w:ascii="Times New Roman" w:hAnsi="Times New Roman" w:cs="Times New Roman" w:eastAsia="Times New Roman" w:hint="default"/>
        </w:rPr>
        <w:t>63 </w:t>
      </w:r>
      <w:r>
        <w:rPr/>
        <w:t>万股，减少注册资本人民币</w:t>
      </w:r>
      <w:r>
        <w:rPr>
          <w:rFonts w:ascii="Times New Roman" w:hAnsi="Times New Roman" w:cs="Times New Roman" w:eastAsia="Times New Roman" w:hint="default"/>
        </w:rPr>
        <w:t>63</w:t>
      </w:r>
      <w:r>
        <w:rPr/>
        <w:t>万元，变更后的注册资本为人民币</w:t>
      </w:r>
      <w:r>
        <w:rPr>
          <w:rFonts w:ascii="Times New Roman" w:hAnsi="Times New Roman" w:cs="Times New Roman" w:eastAsia="Times New Roman" w:hint="default"/>
        </w:rPr>
        <w:t>11,333</w:t>
      </w:r>
      <w:r>
        <w:rPr/>
        <w:t>万元。</w:t>
      </w:r>
    </w:p>
    <w:p>
      <w:pPr>
        <w:pStyle w:val="Heading7"/>
        <w:spacing w:line="256" w:lineRule="auto" w:before="5"/>
        <w:ind w:right="0" w:firstLine="420"/>
        <w:jc w:val="left"/>
      </w:pPr>
      <w:r>
        <w:rPr/>
        <w:t>根据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日召开的</w:t>
      </w:r>
      <w:r>
        <w:rPr>
          <w:rFonts w:ascii="Times New Roman" w:hAnsi="Times New Roman" w:cs="Times New Roman" w:eastAsia="Times New Roman" w:hint="default"/>
        </w:rPr>
        <w:t>2014</w:t>
      </w:r>
      <w:r>
        <w:rPr/>
        <w:t>年第一次临时股东大会决议及中国证券监督管理委员会证监许可 </w:t>
      </w:r>
      <w:r>
        <w:rPr>
          <w:rFonts w:ascii="Times New Roman" w:hAnsi="Times New Roman" w:cs="Times New Roman" w:eastAsia="Times New Roman" w:hint="default"/>
          <w:spacing w:val="-4"/>
        </w:rPr>
        <w:t>[2014]760</w:t>
      </w:r>
      <w:r>
        <w:rPr>
          <w:spacing w:val="-4"/>
        </w:rPr>
        <w:t>号《关于核准上海海隆软件股份有限公司向庞升东等发行股份购买资产并募集配套资金的批复》，</w:t>
      </w:r>
      <w:r>
        <w:rPr>
          <w:spacing w:val="-61"/>
        </w:rPr>
        <w:t> </w:t>
      </w:r>
      <w:r>
        <w:rPr>
          <w:spacing w:val="-61"/>
        </w:rPr>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月公司按照每股</w:t>
      </w:r>
      <w:r>
        <w:rPr>
          <w:rFonts w:ascii="Times New Roman" w:hAnsi="Times New Roman" w:cs="Times New Roman" w:eastAsia="Times New Roman" w:hint="default"/>
        </w:rPr>
        <w:t>14.96</w:t>
      </w:r>
      <w:r>
        <w:rPr/>
        <w:t>元，发行人民币普通股</w:t>
      </w:r>
      <w:r>
        <w:rPr>
          <w:rFonts w:ascii="Times New Roman" w:hAnsi="Times New Roman" w:cs="Times New Roman" w:eastAsia="Times New Roman" w:hint="default"/>
        </w:rPr>
        <w:t>17,713.9026</w:t>
      </w:r>
      <w:r>
        <w:rPr/>
        <w:t>万股股票，用于购买上海二三四五网络科 技有限公司</w:t>
      </w:r>
      <w:r>
        <w:rPr>
          <w:rFonts w:ascii="Times New Roman" w:hAnsi="Times New Roman" w:cs="Times New Roman" w:eastAsia="Times New Roman" w:hint="default"/>
        </w:rPr>
        <w:t>34.51%</w:t>
      </w:r>
      <w:r>
        <w:rPr/>
        <w:t>股权、吉隆瑞美信息咨询有限公司</w:t>
      </w:r>
      <w:r>
        <w:rPr>
          <w:rFonts w:ascii="Times New Roman" w:hAnsi="Times New Roman" w:cs="Times New Roman" w:eastAsia="Times New Roman" w:hint="default"/>
        </w:rPr>
        <w:t>100%</w:t>
      </w:r>
      <w:r>
        <w:rPr/>
        <w:t>股权、吉隆瑞信投资有限公司</w:t>
      </w:r>
      <w:r>
        <w:rPr>
          <w:rFonts w:ascii="Times New Roman" w:hAnsi="Times New Roman" w:cs="Times New Roman" w:eastAsia="Times New Roman" w:hint="default"/>
        </w:rPr>
        <w:t>100%</w:t>
      </w:r>
      <w:r>
        <w:rPr/>
        <w:t>股权；发行 人民币普通股</w:t>
      </w:r>
      <w:r>
        <w:rPr>
          <w:rFonts w:ascii="Times New Roman" w:hAnsi="Times New Roman" w:cs="Times New Roman" w:eastAsia="Times New Roman" w:hint="default"/>
        </w:rPr>
        <w:t>59,024,062</w:t>
      </w:r>
      <w:r>
        <w:rPr/>
        <w:t>股股票用于配套募集资金，变更后的注册资本为人民币</w:t>
      </w:r>
      <w:r>
        <w:rPr>
          <w:rFonts w:ascii="Times New Roman" w:hAnsi="Times New Roman" w:cs="Times New Roman" w:eastAsia="Times New Roman" w:hint="default"/>
        </w:rPr>
        <w:t>34,949.3088</w:t>
      </w:r>
      <w:r>
        <w:rPr/>
        <w:t>万元。</w:t>
      </w:r>
    </w:p>
    <w:p>
      <w:pPr>
        <w:pStyle w:val="Heading7"/>
        <w:spacing w:line="256" w:lineRule="auto" w:before="5"/>
        <w:ind w:right="1132" w:firstLine="420"/>
        <w:jc w:val="both"/>
      </w:pPr>
      <w:r>
        <w:rPr/>
        <w:t>根据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27</w:t>
      </w:r>
      <w:r>
        <w:rPr/>
        <w:t>日第五届董事会第六次会议审议通过的《关于回购注销</w:t>
      </w:r>
      <w:r>
        <w:rPr>
          <w:rFonts w:ascii="Times New Roman" w:hAnsi="Times New Roman" w:cs="Times New Roman" w:eastAsia="Times New Roman" w:hint="default"/>
        </w:rPr>
        <w:t>&lt;</w:t>
      </w:r>
      <w:r>
        <w:rPr/>
        <w:t>限制性股票激励计划</w:t>
      </w:r>
      <w:r>
        <w:rPr>
          <w:rFonts w:ascii="Times New Roman" w:hAnsi="Times New Roman" w:cs="Times New Roman" w:eastAsia="Times New Roman" w:hint="default"/>
        </w:rPr>
        <w:t>&gt;</w:t>
      </w:r>
      <w:r>
        <w:rPr/>
        <w:t>第三 </w:t>
      </w:r>
      <w:r>
        <w:rPr>
          <w:spacing w:val="-1"/>
        </w:rPr>
        <w:t>期拟解锁股票的议案》，</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月本公司回购限制性股票</w:t>
      </w:r>
      <w:r>
        <w:rPr>
          <w:rFonts w:ascii="Times New Roman" w:hAnsi="Times New Roman" w:cs="Times New Roman" w:eastAsia="Times New Roman" w:hint="default"/>
          <w:spacing w:val="-1"/>
        </w:rPr>
        <w:t>80</w:t>
      </w:r>
      <w:r>
        <w:rPr>
          <w:spacing w:val="-1"/>
        </w:rPr>
        <w:t>万股，减少注册资本人民币</w:t>
      </w:r>
      <w:r>
        <w:rPr>
          <w:rFonts w:ascii="Times New Roman" w:hAnsi="Times New Roman" w:cs="Times New Roman" w:eastAsia="Times New Roman" w:hint="default"/>
          <w:spacing w:val="-1"/>
        </w:rPr>
        <w:t>80</w:t>
      </w:r>
      <w:r>
        <w:rPr>
          <w:spacing w:val="-1"/>
        </w:rPr>
        <w:t>万元，变更后</w:t>
      </w:r>
      <w:r>
        <w:rPr>
          <w:spacing w:val="-83"/>
        </w:rPr>
        <w:t> </w:t>
      </w:r>
      <w:r>
        <w:rPr>
          <w:spacing w:val="-83"/>
        </w:rPr>
      </w:r>
      <w:r>
        <w:rPr/>
        <w:t>的注册资本为人民币</w:t>
      </w:r>
      <w:r>
        <w:rPr>
          <w:rFonts w:ascii="Times New Roman" w:hAnsi="Times New Roman" w:cs="Times New Roman" w:eastAsia="Times New Roman" w:hint="default"/>
        </w:rPr>
        <w:t>34,869.3088</w:t>
      </w:r>
      <w:r>
        <w:rPr/>
        <w:t>万元。</w:t>
      </w:r>
    </w:p>
    <w:p>
      <w:pPr>
        <w:pStyle w:val="Heading7"/>
        <w:spacing w:line="240" w:lineRule="auto" w:before="5"/>
        <w:ind w:left="573"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月经股东大会决议通过以</w:t>
      </w:r>
      <w:r>
        <w:rPr>
          <w:rFonts w:ascii="Times New Roman" w:hAnsi="Times New Roman" w:cs="Times New Roman" w:eastAsia="Times New Roman" w:hint="default"/>
        </w:rPr>
        <w:t>2014</w:t>
      </w:r>
      <w:r>
        <w:rPr/>
        <w:t>年末总股本</w:t>
      </w:r>
      <w:r>
        <w:rPr>
          <w:rFonts w:ascii="Times New Roman" w:hAnsi="Times New Roman" w:cs="Times New Roman" w:eastAsia="Times New Roman" w:hint="default"/>
        </w:rPr>
        <w:t>34,869.3088</w:t>
      </w:r>
      <w:r>
        <w:rPr/>
        <w:t>万股为基数，以资本公积向全体股东每</w:t>
      </w:r>
    </w:p>
    <w:p>
      <w:pPr>
        <w:pStyle w:val="Heading7"/>
        <w:spacing w:line="256" w:lineRule="auto" w:before="21"/>
        <w:ind w:left="574" w:right="0" w:hanging="420"/>
        <w:jc w:val="left"/>
      </w:pP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15</w:t>
      </w:r>
      <w:r>
        <w:rPr/>
        <w:t>股，股本总额变更为</w:t>
      </w:r>
      <w:r>
        <w:rPr>
          <w:rFonts w:ascii="Times New Roman" w:hAnsi="Times New Roman" w:cs="Times New Roman" w:eastAsia="Times New Roman" w:hint="default"/>
        </w:rPr>
        <w:t>87,173.2720</w:t>
      </w:r>
      <w:r>
        <w:rPr/>
        <w:t>万元。 根据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月股东大会决议，公司名称变更为上海二三四五网络控股集团股份有限公司。 </w:t>
      </w:r>
      <w:r>
        <w:rPr>
          <w:spacing w:val="-2"/>
        </w:rPr>
        <w:t>截止</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日，公司累计股本总数</w:t>
      </w:r>
      <w:r>
        <w:rPr>
          <w:rFonts w:ascii="Times New Roman" w:hAnsi="Times New Roman" w:cs="Times New Roman" w:eastAsia="Times New Roman" w:hint="default"/>
          <w:spacing w:val="-2"/>
        </w:rPr>
        <w:t>871,732,720</w:t>
      </w:r>
      <w:r>
        <w:rPr>
          <w:spacing w:val="-2"/>
        </w:rPr>
        <w:t>股，公司注册资本为</w:t>
      </w:r>
      <w:r>
        <w:rPr>
          <w:rFonts w:ascii="Times New Roman" w:hAnsi="Times New Roman" w:cs="Times New Roman" w:eastAsia="Times New Roman" w:hint="default"/>
          <w:spacing w:val="-2"/>
        </w:rPr>
        <w:t>871,732,720.00</w:t>
      </w:r>
      <w:r>
        <w:rPr>
          <w:spacing w:val="-2"/>
        </w:rPr>
        <w:t>元，经营范围</w:t>
      </w:r>
    </w:p>
    <w:p>
      <w:pPr>
        <w:pStyle w:val="Heading7"/>
        <w:spacing w:line="268" w:lineRule="auto" w:before="5"/>
        <w:ind w:right="1130"/>
        <w:jc w:val="both"/>
      </w:pPr>
      <w:r>
        <w:rPr>
          <w:spacing w:val="-1"/>
        </w:rPr>
        <w:t>为计算机软、硬件系统及相关系统的集成、开发、咨询、销售及服务，经营本企业自产产品的出口业务和</w:t>
      </w:r>
      <w:r>
        <w:rPr>
          <w:spacing w:val="-83"/>
        </w:rPr>
        <w:t> </w:t>
      </w:r>
      <w:r>
        <w:rPr>
          <w:spacing w:val="-83"/>
        </w:rPr>
      </w:r>
      <w:r>
        <w:rPr>
          <w:spacing w:val="-1"/>
        </w:rPr>
        <w:t>本企业所需的机械设备、零配件、原辅材料的进出口业务（但国家限定公司经营或禁止进出口的商品及技</w:t>
      </w:r>
      <w:r>
        <w:rPr>
          <w:spacing w:val="-83"/>
        </w:rPr>
        <w:t> </w:t>
      </w:r>
      <w:r>
        <w:rPr>
          <w:spacing w:val="-83"/>
        </w:rPr>
      </w:r>
      <w:r>
        <w:rPr>
          <w:spacing w:val="-1"/>
        </w:rPr>
        <w:t>术除外），本企业包括本企业控股的成员企业，信息服务业务（含短信息服务业务，不含互联网信息服务</w:t>
      </w:r>
      <w:r>
        <w:rPr>
          <w:spacing w:val="-83"/>
        </w:rPr>
        <w:t> </w:t>
      </w:r>
      <w:r>
        <w:rPr>
          <w:spacing w:val="-83"/>
        </w:rPr>
      </w:r>
      <w:r>
        <w:rPr>
          <w:spacing w:val="-2"/>
        </w:rPr>
        <w:t>业务，电话信息服务业务）</w:t>
      </w:r>
      <w:r>
        <w:rPr>
          <w:rFonts w:ascii="Times New Roman" w:hAnsi="Times New Roman" w:cs="Times New Roman" w:eastAsia="Times New Roman" w:hint="default"/>
          <w:spacing w:val="-2"/>
        </w:rPr>
        <w:t>,</w:t>
      </w:r>
      <w:r>
        <w:rPr>
          <w:spacing w:val="-2"/>
        </w:rPr>
        <w:t>实业投资。公司注册地：上海市徐汇区宜山路</w:t>
      </w:r>
      <w:r>
        <w:rPr>
          <w:rFonts w:ascii="Times New Roman" w:hAnsi="Times New Roman" w:cs="Times New Roman" w:eastAsia="Times New Roman" w:hint="default"/>
          <w:spacing w:val="-2"/>
        </w:rPr>
        <w:t>700</w:t>
      </w:r>
      <w:r>
        <w:rPr>
          <w:spacing w:val="-2"/>
        </w:rPr>
        <w:t>号</w:t>
      </w:r>
      <w:r>
        <w:rPr>
          <w:rFonts w:ascii="Times New Roman" w:hAnsi="Times New Roman" w:cs="Times New Roman" w:eastAsia="Times New Roman" w:hint="default"/>
          <w:spacing w:val="-2"/>
        </w:rPr>
        <w:t>85</w:t>
      </w:r>
      <w:r>
        <w:rPr>
          <w:spacing w:val="-2"/>
        </w:rPr>
        <w:t>幢</w:t>
      </w:r>
      <w:r>
        <w:rPr>
          <w:rFonts w:ascii="Times New Roman" w:hAnsi="Times New Roman" w:cs="Times New Roman" w:eastAsia="Times New Roman" w:hint="default"/>
          <w:spacing w:val="-2"/>
        </w:rPr>
        <w:t>6</w:t>
      </w:r>
      <w:r>
        <w:rPr>
          <w:spacing w:val="-2"/>
        </w:rPr>
        <w:t>楼。本公司的实际控</w:t>
      </w:r>
      <w:r>
        <w:rPr>
          <w:spacing w:val="-84"/>
        </w:rPr>
        <w:t> </w:t>
      </w:r>
      <w:r>
        <w:rPr>
          <w:spacing w:val="-84"/>
        </w:rPr>
      </w:r>
      <w:r>
        <w:rPr/>
        <w:t>制人为包叔平先生。</w:t>
      </w:r>
    </w:p>
    <w:p>
      <w:pPr>
        <w:pStyle w:val="Heading7"/>
        <w:spacing w:line="240" w:lineRule="auto" w:before="12"/>
        <w:ind w:left="573" w:right="0"/>
        <w:jc w:val="left"/>
      </w:pPr>
      <w:r>
        <w:rPr/>
        <w:t>本财务报表业经公司全体董事于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日批准报出。</w:t>
      </w:r>
    </w:p>
    <w:p>
      <w:pPr>
        <w:pStyle w:val="Heading7"/>
        <w:spacing w:line="273" w:lineRule="auto" w:before="21"/>
        <w:ind w:left="574" w:right="3822" w:hanging="420"/>
        <w:jc w:val="left"/>
      </w:pPr>
      <w:r>
        <w:rPr/>
        <w:t>（二）合并财务报表范围 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日止，本公司合并财务报表范围内孙、子公司如下：</w:t>
      </w:r>
    </w:p>
    <w:tbl>
      <w:tblPr>
        <w:tblW w:w="0" w:type="auto"/>
        <w:jc w:val="left"/>
        <w:tblInd w:w="137" w:type="dxa"/>
        <w:tblLayout w:type="fixed"/>
        <w:tblCellMar>
          <w:top w:w="0" w:type="dxa"/>
          <w:left w:w="0" w:type="dxa"/>
          <w:bottom w:w="0" w:type="dxa"/>
          <w:right w:w="0" w:type="dxa"/>
        </w:tblCellMar>
        <w:tblLook w:val="01E0"/>
      </w:tblPr>
      <w:tblGrid>
        <w:gridCol w:w="1018"/>
        <w:gridCol w:w="8641"/>
      </w:tblGrid>
      <w:tr>
        <w:trPr>
          <w:trHeight w:val="347"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子公司或孙公司名称</w:t>
            </w:r>
          </w:p>
        </w:tc>
      </w:tr>
      <w:tr>
        <w:trPr>
          <w:trHeight w:val="347"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上海海隆软件有限公司（注</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r>
      <w:tr>
        <w:trPr>
          <w:trHeight w:val="347"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1.1</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日本海隆株式会社（注</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r>
      <w:tr>
        <w:trPr>
          <w:trHeight w:val="348"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1.1.1</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海隆网讯科技（北京）有限公司（注</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r>
      <w:tr>
        <w:trPr>
          <w:trHeight w:val="347"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1.2</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1"/>
                <w:szCs w:val="21"/>
              </w:rPr>
            </w:pPr>
            <w:r>
              <w:rPr>
                <w:rFonts w:ascii="宋体" w:hAnsi="宋体" w:cs="宋体" w:eastAsia="宋体" w:hint="default"/>
                <w:sz w:val="21"/>
                <w:szCs w:val="21"/>
              </w:rPr>
              <w:t>江苏海隆软件技术有限公司（注</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r>
      <w:tr>
        <w:trPr>
          <w:trHeight w:val="347"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1.3</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海隆软件（昆山）有限公司（注</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r>
      <w:tr>
        <w:trPr>
          <w:trHeight w:val="348"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上海华钟计算机软件开发有限公司（注</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r>
    </w:tbl>
    <w:p>
      <w:pPr>
        <w:spacing w:after="0" w:line="287" w:lineRule="exact"/>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1018"/>
        <w:gridCol w:w="8641"/>
      </w:tblGrid>
      <w:tr>
        <w:trPr>
          <w:trHeight w:val="347"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3</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上海海隆宜通信息技术有限公司（注</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r>
      <w:tr>
        <w:trPr>
          <w:trHeight w:val="347"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4</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上海二三四五网络科技有限公司（注</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r>
      <w:tr>
        <w:trPr>
          <w:trHeight w:val="347"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4.1</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上海二三四五移动科技有限公司（注</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r>
      <w:tr>
        <w:trPr>
          <w:trHeight w:val="348"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4.2</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上海二三四五科技投资有限公司（注</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r>
      <w:tr>
        <w:trPr>
          <w:trHeight w:val="347"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4.3</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1"/>
                <w:szCs w:val="21"/>
              </w:rPr>
            </w:pPr>
            <w:r>
              <w:rPr>
                <w:rFonts w:ascii="宋体" w:hAnsi="宋体" w:cs="宋体" w:eastAsia="宋体" w:hint="default"/>
                <w:sz w:val="21"/>
                <w:szCs w:val="21"/>
              </w:rPr>
              <w:t>二三四五（香港）有限公司（注</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r>
      <w:tr>
        <w:trPr>
          <w:trHeight w:val="347"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5</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吉隆瑞美信息咨询有限公司（注</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r>
      <w:tr>
        <w:trPr>
          <w:trHeight w:val="347"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6</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吉隆瑞信投资有限公司（注</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r>
      <w:tr>
        <w:trPr>
          <w:trHeight w:val="347"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7</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上海二三四五海隆金融信息服务有限公司（注</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p>
        </w:tc>
      </w:tr>
      <w:tr>
        <w:trPr>
          <w:trHeight w:val="347"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7.1</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上海善拢泗海投资管理中心（有限合伙）（注</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p>
        </w:tc>
      </w:tr>
      <w:tr>
        <w:trPr>
          <w:trHeight w:val="348"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7.2</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上海薪想互联网金融信息服务有限公司（注</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p>
        </w:tc>
      </w:tr>
    </w:tbl>
    <w:p>
      <w:pPr>
        <w:pStyle w:val="Heading7"/>
        <w:spacing w:line="260" w:lineRule="exact" w:before="0"/>
        <w:ind w:left="574" w:right="0"/>
        <w:jc w:val="left"/>
      </w:pPr>
      <w:r>
        <w:rPr/>
        <w:t>本期合并财务报表范围及其变化情况详见本附注“八、合并范围的变更”和“九、在其他主体中的权</w:t>
      </w:r>
    </w:p>
    <w:p>
      <w:pPr>
        <w:pStyle w:val="Heading7"/>
        <w:spacing w:line="240" w:lineRule="auto" w:before="37"/>
        <w:ind w:left="154" w:right="0"/>
        <w:jc w:val="left"/>
      </w:pPr>
      <w:r>
        <w:rPr/>
        <w:t>益”。</w:t>
      </w:r>
    </w:p>
    <w:p>
      <w:pPr>
        <w:pStyle w:val="Heading7"/>
        <w:spacing w:line="273" w:lineRule="auto" w:before="37"/>
        <w:ind w:left="154" w:right="0" w:firstLine="420"/>
        <w:jc w:val="left"/>
      </w:pPr>
      <w:r>
        <w:rPr/>
        <w:t>注</w:t>
      </w:r>
      <w:r>
        <w:rPr>
          <w:rFonts w:ascii="宋体" w:hAnsi="宋体" w:cs="宋体" w:eastAsia="宋体" w:hint="default"/>
        </w:rPr>
        <w:t>1</w:t>
      </w:r>
      <w:r>
        <w:rPr/>
        <w:t>：上海海隆软件有限公司为公司全资子公司；日本海隆株式会社、江苏海隆软件技术有限公司、 </w:t>
      </w:r>
      <w:r>
        <w:rPr>
          <w:spacing w:val="-1"/>
        </w:rPr>
        <w:t>海隆软件（昆山）有限公司为上海海隆软件有限公司全资子公司；海隆网讯科技（北京）有限公司为日本</w:t>
      </w:r>
      <w:r>
        <w:rPr>
          <w:spacing w:val="-83"/>
        </w:rPr>
        <w:t> </w:t>
      </w:r>
      <w:r>
        <w:rPr>
          <w:spacing w:val="-83"/>
        </w:rPr>
      </w:r>
      <w:r>
        <w:rPr/>
        <w:t>海隆株式会社全资子公司。</w:t>
      </w:r>
    </w:p>
    <w:p>
      <w:pPr>
        <w:pStyle w:val="Heading7"/>
        <w:spacing w:line="273" w:lineRule="auto"/>
        <w:ind w:right="1198" w:firstLine="420"/>
        <w:jc w:val="left"/>
      </w:pPr>
      <w:r>
        <w:rPr/>
        <w:t>注</w:t>
      </w:r>
      <w:r>
        <w:rPr>
          <w:rFonts w:ascii="宋体" w:hAnsi="宋体" w:cs="宋体" w:eastAsia="宋体" w:hint="default"/>
        </w:rPr>
        <w:t>2</w:t>
      </w:r>
      <w:r>
        <w:rPr/>
        <w:t>：上海华钟计算机软件开发有限公司为公司持股</w:t>
      </w:r>
      <w:r>
        <w:rPr>
          <w:rFonts w:ascii="宋体" w:hAnsi="宋体" w:cs="宋体" w:eastAsia="宋体" w:hint="default"/>
        </w:rPr>
        <w:t>90.00%</w:t>
      </w:r>
      <w:r>
        <w:rPr/>
        <w:t>的控股子公司；上海海隆宜通信息技术有 限公司为公司持股</w:t>
      </w:r>
      <w:r>
        <w:rPr>
          <w:rFonts w:ascii="宋体" w:hAnsi="宋体" w:cs="宋体" w:eastAsia="宋体" w:hint="default"/>
        </w:rPr>
        <w:t>55.00%</w:t>
      </w:r>
      <w:r>
        <w:rPr/>
        <w:t>的控股子公司。</w:t>
      </w:r>
    </w:p>
    <w:p>
      <w:pPr>
        <w:pStyle w:val="Heading7"/>
        <w:spacing w:line="273" w:lineRule="auto"/>
        <w:ind w:right="0" w:firstLine="420"/>
        <w:jc w:val="left"/>
      </w:pPr>
      <w:r>
        <w:rPr/>
        <w:t>注</w:t>
      </w:r>
      <w:r>
        <w:rPr>
          <w:rFonts w:ascii="宋体" w:hAnsi="宋体" w:cs="宋体" w:eastAsia="宋体" w:hint="default"/>
        </w:rPr>
        <w:t>3</w:t>
      </w:r>
      <w:r>
        <w:rPr/>
        <w:t>：公司直接持有上海二三四五网络科技有限公司</w:t>
      </w:r>
      <w:r>
        <w:rPr>
          <w:rFonts w:ascii="宋体" w:hAnsi="宋体" w:cs="宋体" w:eastAsia="宋体" w:hint="default"/>
        </w:rPr>
        <w:t>96.40%</w:t>
      </w:r>
      <w:r>
        <w:rPr/>
        <w:t>的股份，并通过全资子公司吉隆瑞美信息 咨询有限公司和吉隆瑞信投资有限公司间接持有上海二三四五网络科技有限公司</w:t>
      </w:r>
      <w:r>
        <w:rPr>
          <w:rFonts w:ascii="宋体" w:hAnsi="宋体" w:cs="宋体" w:eastAsia="宋体" w:hint="default"/>
        </w:rPr>
        <w:t>3.60%</w:t>
      </w:r>
      <w:r>
        <w:rPr/>
        <w:t>的股份；上海二三 </w:t>
      </w:r>
      <w:r>
        <w:rPr>
          <w:spacing w:val="-1"/>
        </w:rPr>
        <w:t>四五移动科技有限公司、上海二三四五科技投资有限公司、二三四五（香港）有限公司为上海二三四五网</w:t>
      </w:r>
      <w:r>
        <w:rPr>
          <w:spacing w:val="-86"/>
        </w:rPr>
        <w:t> </w:t>
      </w:r>
      <w:r>
        <w:rPr>
          <w:spacing w:val="-86"/>
        </w:rPr>
      </w:r>
      <w:r>
        <w:rPr/>
        <w:t>络科技有限公司全资子公司。</w:t>
      </w:r>
    </w:p>
    <w:p>
      <w:pPr>
        <w:pStyle w:val="Heading7"/>
        <w:spacing w:line="273" w:lineRule="auto" w:before="8"/>
        <w:ind w:right="0" w:firstLine="420"/>
        <w:jc w:val="left"/>
      </w:pPr>
      <w:r>
        <w:rPr/>
        <w:t>注</w:t>
      </w:r>
      <w:r>
        <w:rPr>
          <w:rFonts w:ascii="宋体" w:hAnsi="宋体" w:cs="宋体" w:eastAsia="宋体" w:hint="default"/>
        </w:rPr>
        <w:t>4</w:t>
      </w:r>
      <w:r>
        <w:rPr/>
        <w:t>：上海二三四五海隆金融信息服务有限公司为公司全资子公司，其持有上海善拢泗海投资管理中 </w:t>
      </w:r>
      <w:r>
        <w:rPr>
          <w:spacing w:val="-5"/>
        </w:rPr>
        <w:t>心（有限合伙）</w:t>
      </w:r>
      <w:r>
        <w:rPr>
          <w:rFonts w:ascii="宋体" w:hAnsi="宋体" w:cs="宋体" w:eastAsia="宋体" w:hint="default"/>
          <w:spacing w:val="-5"/>
        </w:rPr>
        <w:t>99.75%</w:t>
      </w:r>
      <w:r>
        <w:rPr>
          <w:spacing w:val="-5"/>
        </w:rPr>
        <w:t>的股份；上海二三四五海隆金融信息服务有限公司、上海善拢泗海投资管理中心（有</w:t>
      </w:r>
      <w:r>
        <w:rPr>
          <w:spacing w:val="-90"/>
        </w:rPr>
        <w:t> </w:t>
      </w:r>
      <w:r>
        <w:rPr>
          <w:spacing w:val="-90"/>
        </w:rPr>
      </w:r>
      <w:r>
        <w:rPr/>
        <w:t>限合伙）分别持有上海薪想互联网金融信息服务有限公司</w:t>
      </w:r>
      <w:r>
        <w:rPr>
          <w:rFonts w:ascii="宋体" w:hAnsi="宋体" w:cs="宋体" w:eastAsia="宋体" w:hint="default"/>
        </w:rPr>
        <w:t>80.00%</w:t>
      </w:r>
      <w:r>
        <w:rPr/>
        <w:t>和</w:t>
      </w:r>
      <w:r>
        <w:rPr>
          <w:rFonts w:ascii="宋体" w:hAnsi="宋体" w:cs="宋体" w:eastAsia="宋体" w:hint="default"/>
        </w:rPr>
        <w:t>20.00%</w:t>
      </w:r>
      <w:r>
        <w:rPr/>
        <w:t>的股份。</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四、财务报表的编制基础" w:id="163"/>
      <w:bookmarkEnd w:id="163"/>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编制基础" w:id="164"/>
      <w:bookmarkEnd w:id="164"/>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Heading7"/>
        <w:spacing w:line="273" w:lineRule="auto" w:before="0"/>
        <w:ind w:right="0" w:firstLine="420"/>
        <w:jc w:val="left"/>
      </w:pPr>
      <w:r>
        <w:rPr>
          <w:spacing w:val="-1"/>
        </w:rPr>
        <w:t>公司以持续经营为基础，根据实际发生的交易和事项，按照财政部颁布的《企业会计准则——基本准</w:t>
      </w:r>
      <w:r>
        <w:rPr/>
        <w:t> </w:t>
      </w:r>
      <w:r>
        <w:rPr>
          <w:spacing w:val="-1"/>
        </w:rPr>
        <w:t>则》和各项具体会计准则、企业会计准则应用指南、企业会计准则解释及其他相关规定（以下合称“企业</w:t>
      </w:r>
      <w:r>
        <w:rPr>
          <w:spacing w:val="-81"/>
        </w:rPr>
        <w:t> </w:t>
      </w:r>
      <w:r>
        <w:rPr>
          <w:spacing w:val="-81"/>
        </w:rPr>
      </w:r>
      <w:r>
        <w:rPr/>
        <w:t>会计准则”），以及中国证券监督管理委员会《公开发行证券的公司信息披露编报规则第</w:t>
      </w:r>
      <w:r>
        <w:rPr>
          <w:rFonts w:ascii="宋体" w:hAnsi="宋体" w:cs="宋体" w:eastAsia="宋体" w:hint="default"/>
        </w:rPr>
        <w:t>15</w:t>
      </w:r>
      <w:r>
        <w:rPr>
          <w:rFonts w:ascii="宋体" w:hAnsi="宋体" w:cs="宋体" w:eastAsia="宋体" w:hint="default"/>
          <w:spacing w:val="-2"/>
        </w:rPr>
        <w:t> </w:t>
      </w:r>
      <w:r>
        <w:rPr/>
        <w:t>号——财务 报告的一般规定》的披露规定编制财务报表。</w:t>
      </w:r>
    </w:p>
    <w:p>
      <w:pPr>
        <w:spacing w:line="240" w:lineRule="auto" w:before="8"/>
        <w:rPr>
          <w:rFonts w:ascii="宋体" w:hAnsi="宋体" w:cs="宋体" w:eastAsia="宋体" w:hint="default"/>
          <w:sz w:val="23"/>
          <w:szCs w:val="23"/>
        </w:rPr>
      </w:pPr>
    </w:p>
    <w:p>
      <w:pPr>
        <w:pStyle w:val="Heading6"/>
        <w:spacing w:line="240" w:lineRule="auto"/>
        <w:ind w:left="154" w:right="0"/>
        <w:jc w:val="left"/>
        <w:rPr>
          <w:b w:val="0"/>
          <w:bCs w:val="0"/>
        </w:rPr>
      </w:pPr>
      <w:bookmarkStart w:name="2、持续经营" w:id="165"/>
      <w:bookmarkEnd w:id="165"/>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Heading7"/>
        <w:spacing w:line="240" w:lineRule="auto" w:before="0"/>
        <w:ind w:left="574" w:right="0"/>
        <w:jc w:val="left"/>
      </w:pPr>
      <w:r>
        <w:rPr/>
        <w:t>公司不存在可能导致对公司自报告期末起</w:t>
      </w:r>
      <w:r>
        <w:rPr>
          <w:rFonts w:ascii="宋体" w:hAnsi="宋体" w:cs="宋体" w:eastAsia="宋体" w:hint="default"/>
        </w:rPr>
        <w:t>12</w:t>
      </w:r>
      <w:r>
        <w:rPr/>
        <w:t>个月内的持续经营能力产生重大疑虑的事项或情况。</w:t>
      </w:r>
    </w:p>
    <w:p>
      <w:pPr>
        <w:spacing w:line="240" w:lineRule="auto" w:before="2"/>
        <w:rPr>
          <w:rFonts w:ascii="宋体" w:hAnsi="宋体" w:cs="宋体" w:eastAsia="宋体" w:hint="default"/>
          <w:sz w:val="24"/>
          <w:szCs w:val="24"/>
        </w:rPr>
      </w:pPr>
    </w:p>
    <w:p>
      <w:pPr>
        <w:pStyle w:val="Heading4"/>
        <w:spacing w:line="240" w:lineRule="auto"/>
        <w:ind w:right="0"/>
        <w:jc w:val="left"/>
        <w:rPr>
          <w:b w:val="0"/>
          <w:bCs w:val="0"/>
        </w:rPr>
      </w:pPr>
      <w:bookmarkStart w:name="五、重要会计政策及会计估计" w:id="166"/>
      <w:bookmarkEnd w:id="166"/>
      <w:r>
        <w:rPr>
          <w:b w:val="0"/>
          <w:bCs w:val="0"/>
        </w:rPr>
      </w:r>
      <w:r>
        <w:rPr/>
        <w:t>五、重要会计政策及会计估计</w:t>
      </w:r>
      <w:r>
        <w:rPr>
          <w:b w:val="0"/>
          <w:bCs w:val="0"/>
        </w:rPr>
      </w:r>
    </w:p>
    <w:p>
      <w:pPr>
        <w:spacing w:line="240" w:lineRule="auto" w:before="7"/>
        <w:rPr>
          <w:rFonts w:ascii="宋体" w:hAnsi="宋体" w:cs="宋体" w:eastAsia="宋体" w:hint="default"/>
          <w:b/>
          <w:bCs/>
          <w:sz w:val="24"/>
          <w:szCs w:val="24"/>
        </w:rPr>
      </w:pPr>
    </w:p>
    <w:p>
      <w:pPr>
        <w:pStyle w:val="Heading7"/>
        <w:spacing w:line="273" w:lineRule="auto" w:before="0"/>
        <w:ind w:left="573" w:right="0"/>
        <w:jc w:val="left"/>
      </w:pPr>
      <w:r>
        <w:rPr/>
        <w:t>具体会计政策和会计估计提示： </w:t>
      </w:r>
      <w:r>
        <w:rPr>
          <w:spacing w:val="-1"/>
        </w:rPr>
        <w:t>以下披露内容已涵盖了本公司根据实际生产经营特点制定的具体会计政策和会计估计。详见本附注五</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7"/>
        <w:spacing w:line="240" w:lineRule="auto" w:before="35"/>
        <w:ind w:right="0"/>
        <w:jc w:val="left"/>
      </w:pPr>
      <w:r>
        <w:rPr/>
        <w:t>之“</w:t>
      </w:r>
      <w:r>
        <w:rPr>
          <w:rFonts w:ascii="宋体" w:hAnsi="宋体" w:cs="宋体" w:eastAsia="宋体" w:hint="default"/>
        </w:rPr>
        <w:t>28</w:t>
      </w:r>
      <w:r>
        <w:rPr/>
        <w:t>、收入”、本附注七之“</w:t>
      </w:r>
      <w:r>
        <w:rPr>
          <w:rFonts w:ascii="宋体" w:hAnsi="宋体" w:cs="宋体" w:eastAsia="宋体" w:hint="default"/>
        </w:rPr>
        <w:t>61</w:t>
      </w:r>
      <w:r>
        <w:rPr/>
        <w:t>、营业收入和营业成本”。</w:t>
      </w:r>
    </w:p>
    <w:p>
      <w:pPr>
        <w:spacing w:line="590" w:lineRule="atLeast" w:before="39"/>
        <w:ind w:left="573" w:right="0" w:hanging="420"/>
        <w:jc w:val="left"/>
        <w:rPr>
          <w:rFonts w:ascii="宋体" w:hAnsi="宋体" w:cs="宋体" w:eastAsia="宋体" w:hint="default"/>
          <w:sz w:val="21"/>
          <w:szCs w:val="21"/>
        </w:rPr>
      </w:pPr>
      <w:bookmarkStart w:name="1、遵循企业会计准则的声明" w:id="167"/>
      <w:bookmarkEnd w:id="16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公司所编制的财务报表符合企业会计准则的要求，真实、完整地反映了报告期公司的财务状况、经营</w:t>
      </w:r>
    </w:p>
    <w:p>
      <w:pPr>
        <w:pStyle w:val="Heading7"/>
        <w:spacing w:line="240" w:lineRule="auto" w:before="37"/>
        <w:ind w:right="0"/>
        <w:jc w:val="left"/>
      </w:pPr>
      <w:r>
        <w:rPr/>
        <w:t>成果、现金流量等有关信息。</w:t>
      </w:r>
    </w:p>
    <w:p>
      <w:pPr>
        <w:spacing w:line="240" w:lineRule="auto" w:before="11"/>
        <w:rPr>
          <w:rFonts w:ascii="宋体" w:hAnsi="宋体" w:cs="宋体" w:eastAsia="宋体" w:hint="default"/>
          <w:sz w:val="25"/>
          <w:szCs w:val="25"/>
        </w:rPr>
      </w:pPr>
    </w:p>
    <w:p>
      <w:pPr>
        <w:pStyle w:val="Heading6"/>
        <w:spacing w:line="240" w:lineRule="auto"/>
        <w:ind w:right="0"/>
        <w:jc w:val="left"/>
        <w:rPr>
          <w:b w:val="0"/>
          <w:bCs w:val="0"/>
        </w:rPr>
      </w:pPr>
      <w:bookmarkStart w:name="2、会计期间" w:id="168"/>
      <w:bookmarkEnd w:id="168"/>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Heading7"/>
        <w:spacing w:line="240" w:lineRule="auto" w:before="0"/>
        <w:ind w:left="573" w:right="0"/>
        <w:jc w:val="left"/>
      </w:pPr>
      <w:r>
        <w:rPr/>
        <w:t>自公历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日止为一个会计年度。</w:t>
      </w:r>
    </w:p>
    <w:p>
      <w:pPr>
        <w:spacing w:line="240" w:lineRule="auto" w:before="11"/>
        <w:rPr>
          <w:rFonts w:ascii="宋体" w:hAnsi="宋体" w:cs="宋体" w:eastAsia="宋体" w:hint="default"/>
          <w:sz w:val="25"/>
          <w:szCs w:val="25"/>
        </w:rPr>
      </w:pPr>
    </w:p>
    <w:p>
      <w:pPr>
        <w:pStyle w:val="Heading6"/>
        <w:spacing w:line="240" w:lineRule="auto"/>
        <w:ind w:left="154" w:right="0"/>
        <w:jc w:val="left"/>
        <w:rPr>
          <w:b w:val="0"/>
          <w:bCs w:val="0"/>
        </w:rPr>
      </w:pPr>
      <w:bookmarkStart w:name="3、营业周期" w:id="169"/>
      <w:bookmarkEnd w:id="169"/>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4"/>
          <w:szCs w:val="24"/>
        </w:rPr>
      </w:pPr>
    </w:p>
    <w:p>
      <w:pPr>
        <w:pStyle w:val="Heading7"/>
        <w:spacing w:line="240" w:lineRule="auto" w:before="0"/>
        <w:ind w:left="574" w:right="0"/>
        <w:jc w:val="left"/>
      </w:pPr>
      <w:r>
        <w:rPr/>
        <w:t>本公司营业周期为</w:t>
      </w:r>
      <w:r>
        <w:rPr>
          <w:rFonts w:ascii="宋体" w:hAnsi="宋体" w:cs="宋体" w:eastAsia="宋体" w:hint="default"/>
        </w:rPr>
        <w:t>12</w:t>
      </w:r>
      <w:r>
        <w:rPr/>
        <w:t>个月。</w:t>
      </w:r>
    </w:p>
    <w:p>
      <w:pPr>
        <w:spacing w:line="240" w:lineRule="auto" w:before="11"/>
        <w:rPr>
          <w:rFonts w:ascii="宋体" w:hAnsi="宋体" w:cs="宋体" w:eastAsia="宋体" w:hint="default"/>
          <w:sz w:val="25"/>
          <w:szCs w:val="25"/>
        </w:rPr>
      </w:pPr>
    </w:p>
    <w:p>
      <w:pPr>
        <w:pStyle w:val="Heading6"/>
        <w:spacing w:line="240" w:lineRule="auto"/>
        <w:ind w:left="154" w:right="0"/>
        <w:jc w:val="left"/>
        <w:rPr>
          <w:b w:val="0"/>
          <w:bCs w:val="0"/>
        </w:rPr>
      </w:pPr>
      <w:bookmarkStart w:name="4、记账本位币" w:id="170"/>
      <w:bookmarkEnd w:id="170"/>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Heading7"/>
        <w:spacing w:line="240" w:lineRule="auto" w:before="0"/>
        <w:ind w:left="574" w:right="0"/>
        <w:jc w:val="left"/>
      </w:pPr>
      <w:r>
        <w:rPr/>
        <w:t>本公司采用人民币为记账本位币。</w:t>
      </w:r>
    </w:p>
    <w:p>
      <w:pPr>
        <w:spacing w:line="590" w:lineRule="atLeast" w:before="39"/>
        <w:ind w:left="574" w:right="0" w:hanging="420"/>
        <w:jc w:val="left"/>
        <w:rPr>
          <w:rFonts w:ascii="宋体" w:hAnsi="宋体" w:cs="宋体" w:eastAsia="宋体" w:hint="default"/>
          <w:sz w:val="21"/>
          <w:szCs w:val="21"/>
        </w:rPr>
      </w:pPr>
      <w:bookmarkStart w:name="5、同一控制下和非同一控制下企业合并的会计处理方法" w:id="171"/>
      <w:bookmarkEnd w:id="171"/>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99"/>
          <w:sz w:val="21"/>
          <w:szCs w:val="21"/>
        </w:rPr>
        <w:t> </w:t>
      </w:r>
      <w:r>
        <w:rPr>
          <w:rFonts w:ascii="宋体" w:hAnsi="宋体" w:cs="宋体" w:eastAsia="宋体" w:hint="default"/>
          <w:spacing w:val="-6"/>
          <w:sz w:val="21"/>
          <w:szCs w:val="21"/>
        </w:rPr>
        <w:t>同一控制下企业合并：本公司在企业合并中取得的资产和负债，按照合并日在被合并方资产、负债（包</w:t>
      </w:r>
    </w:p>
    <w:p>
      <w:pPr>
        <w:pStyle w:val="Heading7"/>
        <w:spacing w:line="273" w:lineRule="auto" w:before="37"/>
        <w:ind w:left="154" w:right="1131"/>
        <w:jc w:val="both"/>
      </w:pPr>
      <w:r>
        <w:rPr>
          <w:spacing w:val="-1"/>
        </w:rPr>
        <w:t>括最终控制方收购被合并方而形成的商誉）在最终控制方合并财务报表中的账面价值计量。在合并中取得</w:t>
      </w:r>
      <w:r>
        <w:rPr>
          <w:spacing w:val="-81"/>
        </w:rPr>
        <w:t> </w:t>
      </w:r>
      <w:r>
        <w:rPr>
          <w:spacing w:val="-81"/>
        </w:rPr>
      </w:r>
      <w:r>
        <w:rPr>
          <w:spacing w:val="-1"/>
        </w:rPr>
        <w:t>的净资产账面价值与支付的合并对价账面价值（或发行股份面值总额）的差额，调整资本公积中的股本溢</w:t>
      </w:r>
      <w:r>
        <w:rPr>
          <w:spacing w:val="-83"/>
        </w:rPr>
        <w:t> </w:t>
      </w:r>
      <w:r>
        <w:rPr>
          <w:spacing w:val="-83"/>
        </w:rPr>
      </w:r>
      <w:r>
        <w:rPr/>
        <w:t>价，资本公积中的股本溢价不足冲减的，调整留存收益。</w:t>
      </w:r>
    </w:p>
    <w:p>
      <w:pPr>
        <w:pStyle w:val="Heading7"/>
        <w:spacing w:line="273" w:lineRule="auto"/>
        <w:ind w:left="154" w:right="1131" w:firstLine="420"/>
        <w:jc w:val="both"/>
      </w:pPr>
      <w:r>
        <w:rPr>
          <w:spacing w:val="-1"/>
        </w:rPr>
        <w:t>非同一控制下企业合并：本公司在购买日对作为企业合并对价付出的资产、发生或承担的负债按照公</w:t>
      </w:r>
      <w:r>
        <w:rPr/>
        <w:t> </w:t>
      </w:r>
      <w:r>
        <w:rPr>
          <w:spacing w:val="-1"/>
        </w:rPr>
        <w:t>允价值计量，公允价值与其账面价值的差额，计入当期损益。本公司对合并成本大于合并中取得的被购买</w:t>
      </w:r>
      <w:r>
        <w:rPr>
          <w:spacing w:val="-83"/>
        </w:rPr>
        <w:t> </w:t>
      </w:r>
      <w:r>
        <w:rPr>
          <w:spacing w:val="-83"/>
        </w:rPr>
      </w:r>
      <w:r>
        <w:rPr>
          <w:spacing w:val="-1"/>
        </w:rPr>
        <w:t>方可辨认净资产公允价值份额的差额，确认为商誉；合并成本小于合并中取得的被购买方可辨认净资产公</w:t>
      </w:r>
      <w:r>
        <w:rPr>
          <w:spacing w:val="-81"/>
        </w:rPr>
        <w:t> </w:t>
      </w:r>
      <w:r>
        <w:rPr>
          <w:spacing w:val="-81"/>
        </w:rPr>
      </w:r>
      <w:r>
        <w:rPr/>
        <w:t>允价值份额的差额，经复核后，计入当期损益。</w:t>
      </w:r>
    </w:p>
    <w:p>
      <w:pPr>
        <w:pStyle w:val="Heading7"/>
        <w:spacing w:line="273" w:lineRule="auto"/>
        <w:ind w:left="154" w:right="1131" w:firstLine="420"/>
        <w:jc w:val="both"/>
      </w:pPr>
      <w:r>
        <w:rPr>
          <w:spacing w:val="-1"/>
        </w:rPr>
        <w:t>为企业合并发生的审计、法律服务、评估咨询等中介费用以及其他直接相关费用，于发生时计入当期</w:t>
      </w:r>
      <w:r>
        <w:rPr/>
        <w:t> 损益；为企业合并而发行权益性证券的交易费用，冲减权益。</w:t>
      </w:r>
    </w:p>
    <w:p>
      <w:pPr>
        <w:spacing w:line="240" w:lineRule="auto" w:before="8"/>
        <w:rPr>
          <w:rFonts w:ascii="宋体" w:hAnsi="宋体" w:cs="宋体" w:eastAsia="宋体" w:hint="default"/>
          <w:sz w:val="23"/>
          <w:szCs w:val="23"/>
        </w:rPr>
      </w:pPr>
    </w:p>
    <w:p>
      <w:pPr>
        <w:pStyle w:val="Heading6"/>
        <w:spacing w:line="240" w:lineRule="auto"/>
        <w:ind w:right="0"/>
        <w:jc w:val="left"/>
        <w:rPr>
          <w:b w:val="0"/>
          <w:bCs w:val="0"/>
        </w:rPr>
      </w:pPr>
      <w:bookmarkStart w:name="6、合并财务报表的编制方法" w:id="172"/>
      <w:bookmarkEnd w:id="172"/>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Heading7"/>
        <w:spacing w:line="273" w:lineRule="auto" w:before="0"/>
        <w:ind w:left="573" w:right="1118" w:hanging="420"/>
        <w:jc w:val="left"/>
      </w:pPr>
      <w:r>
        <w:rPr/>
        <w:t>（一）合并范围 </w:t>
      </w:r>
      <w:r>
        <w:rPr>
          <w:spacing w:val="-1"/>
        </w:rPr>
        <w:t>本公司合并财务报表的合并范围以控制为基础确定，所有子公司（包括本公司所控制的被投资方可分</w:t>
      </w:r>
    </w:p>
    <w:p>
      <w:pPr>
        <w:pStyle w:val="Heading7"/>
        <w:spacing w:line="240" w:lineRule="auto"/>
        <w:ind w:right="0"/>
        <w:jc w:val="left"/>
      </w:pPr>
      <w:r>
        <w:rPr/>
        <w:t>割的部分）均纳入合并财务报表。</w:t>
      </w:r>
    </w:p>
    <w:p>
      <w:pPr>
        <w:pStyle w:val="Heading7"/>
        <w:spacing w:line="273" w:lineRule="auto" w:before="37"/>
        <w:ind w:left="573" w:right="1118" w:hanging="420"/>
        <w:jc w:val="left"/>
      </w:pPr>
      <w:r>
        <w:rPr/>
        <w:t>（二）合并程序 </w:t>
      </w:r>
      <w:r>
        <w:rPr>
          <w:spacing w:val="-1"/>
        </w:rPr>
        <w:t>本公司以自身和各子公司的财务报表为基础，根据其他有关资料，编制合并财务报表。本公司编制合</w:t>
      </w:r>
    </w:p>
    <w:p>
      <w:pPr>
        <w:pStyle w:val="Heading7"/>
        <w:spacing w:line="273" w:lineRule="auto"/>
        <w:ind w:right="0"/>
        <w:jc w:val="left"/>
      </w:pPr>
      <w:r>
        <w:rPr>
          <w:spacing w:val="-1"/>
        </w:rPr>
        <w:t>并财务报表，将整个企业集团视为一个会计主体，依据相关企业会计准则的确认、计量和列报要求，按照</w:t>
      </w:r>
      <w:r>
        <w:rPr>
          <w:spacing w:val="-86"/>
        </w:rPr>
        <w:t> </w:t>
      </w:r>
      <w:r>
        <w:rPr>
          <w:spacing w:val="-86"/>
        </w:rPr>
      </w:r>
      <w:r>
        <w:rPr/>
        <w:t>统一的会计政策，反映本企业集团整体财务状况、经营成果和现金流量。</w:t>
      </w:r>
    </w:p>
    <w:p>
      <w:pPr>
        <w:pStyle w:val="Heading7"/>
        <w:spacing w:line="273" w:lineRule="auto" w:before="8"/>
        <w:ind w:right="1130" w:firstLine="420"/>
        <w:jc w:val="both"/>
      </w:pPr>
      <w:r>
        <w:rPr>
          <w:spacing w:val="-1"/>
        </w:rPr>
        <w:t>所有纳入合并财务报表合并范围的子公司所采用的会计政策、会计期间与本公司一致，如子公司采用</w:t>
      </w:r>
      <w:r>
        <w:rPr/>
        <w:t> </w:t>
      </w:r>
      <w:r>
        <w:rPr>
          <w:spacing w:val="-1"/>
        </w:rPr>
        <w:t>的会计政策、会计期间与本公司不一致的，在编制合并财务报表时，按本公司的会计政策、会计期间进行</w:t>
      </w:r>
      <w:r>
        <w:rPr>
          <w:spacing w:val="-86"/>
        </w:rPr>
        <w:t> </w:t>
      </w:r>
      <w:r>
        <w:rPr>
          <w:spacing w:val="-86"/>
        </w:rPr>
      </w:r>
      <w:r>
        <w:rPr>
          <w:spacing w:val="-1"/>
        </w:rPr>
        <w:t>必要的调整。对于非同一控制下企业合并取得的子公司，以购买日可辨认净资产公允价值为基础对其财务</w:t>
      </w:r>
      <w:r>
        <w:rPr>
          <w:spacing w:val="-80"/>
        </w:rPr>
        <w:t> </w:t>
      </w:r>
      <w:r>
        <w:rPr>
          <w:spacing w:val="-80"/>
        </w:rPr>
      </w:r>
      <w:r>
        <w:rPr>
          <w:spacing w:val="-1"/>
        </w:rPr>
        <w:t>报表进行调整。对于同一控制下企业合并取得的子公司，以其资产、负债（包括最终控制方收购该子公司</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7"/>
        <w:spacing w:line="273" w:lineRule="auto" w:before="35"/>
        <w:ind w:left="573" w:right="0" w:hanging="420"/>
        <w:jc w:val="left"/>
      </w:pPr>
      <w:r>
        <w:rPr/>
        <w:t>而形成的商誉）在最终控制方财务报表中的账面价值为基础对其财务报表进行调整。 </w:t>
      </w:r>
      <w:r>
        <w:rPr>
          <w:spacing w:val="-1"/>
        </w:rPr>
        <w:t>子公司所有者权益、当期净损益和当期综合收益中属于少数股东的份额分别在合并资产负债表中所有</w:t>
      </w:r>
    </w:p>
    <w:p>
      <w:pPr>
        <w:pStyle w:val="Heading7"/>
        <w:spacing w:line="273" w:lineRule="auto"/>
        <w:ind w:right="1131"/>
        <w:jc w:val="both"/>
      </w:pPr>
      <w:r>
        <w:rPr>
          <w:spacing w:val="-1"/>
        </w:rPr>
        <w:t>者权益项目下、合并利润表中净利润项目下和综合收益总额项目下单独列示。子公司少数股东分担的当期</w:t>
      </w:r>
      <w:r>
        <w:rPr>
          <w:spacing w:val="-81"/>
        </w:rPr>
        <w:t> </w:t>
      </w:r>
      <w:r>
        <w:rPr>
          <w:spacing w:val="-81"/>
        </w:rPr>
      </w:r>
      <w:r>
        <w:rPr/>
        <w:t>亏损超过了少数股东在该子公司期初所有者权益中所享有份额而形成的余额，冲减少数股东权益。</w:t>
      </w:r>
    </w:p>
    <w:p>
      <w:pPr>
        <w:pStyle w:val="Heading7"/>
        <w:spacing w:line="273" w:lineRule="auto" w:before="8"/>
        <w:ind w:left="573" w:right="0"/>
        <w:jc w:val="left"/>
      </w:pPr>
      <w:r>
        <w:rPr/>
        <w:t>（</w:t>
      </w:r>
      <w:r>
        <w:rPr>
          <w:rFonts w:ascii="宋体" w:hAnsi="宋体" w:cs="宋体" w:eastAsia="宋体" w:hint="default"/>
        </w:rPr>
        <w:t>1</w:t>
      </w:r>
      <w:r>
        <w:rPr/>
        <w:t>）增加子公司或业务 </w:t>
      </w:r>
      <w:r>
        <w:rPr>
          <w:spacing w:val="-1"/>
        </w:rPr>
        <w:t>在报告期内，若因同一控制下企业合并增加子公司或业务的，则调整合并资产负债表的期初数；将子</w:t>
      </w:r>
    </w:p>
    <w:p>
      <w:pPr>
        <w:pStyle w:val="Heading7"/>
        <w:spacing w:line="273" w:lineRule="auto"/>
        <w:ind w:right="1131"/>
        <w:jc w:val="both"/>
      </w:pPr>
      <w:r>
        <w:rPr>
          <w:spacing w:val="-1"/>
        </w:rPr>
        <w:t>公司或业务合并当期期初至报告期末的收入、费用、利润纳入合并利润表；将子公司或业务合并当期期初</w:t>
      </w:r>
      <w:r>
        <w:rPr>
          <w:spacing w:val="-83"/>
        </w:rPr>
        <w:t> </w:t>
      </w:r>
      <w:r>
        <w:rPr>
          <w:spacing w:val="-83"/>
        </w:rPr>
      </w:r>
      <w:r>
        <w:rPr>
          <w:spacing w:val="-1"/>
        </w:rPr>
        <w:t>至报告期末的现金流量纳入合并现金流量表，同时对比较报表的相关项目进行调整，视同合并后的报告主</w:t>
      </w:r>
      <w:r>
        <w:rPr>
          <w:spacing w:val="-81"/>
        </w:rPr>
        <w:t> </w:t>
      </w:r>
      <w:r>
        <w:rPr>
          <w:spacing w:val="-81"/>
        </w:rPr>
      </w:r>
      <w:r>
        <w:rPr/>
        <w:t>体自最终控制方开始控制时点起一直存在。</w:t>
      </w:r>
    </w:p>
    <w:p>
      <w:pPr>
        <w:pStyle w:val="Heading7"/>
        <w:spacing w:line="273" w:lineRule="auto"/>
        <w:ind w:right="1131" w:firstLine="420"/>
        <w:jc w:val="both"/>
      </w:pPr>
      <w:r>
        <w:rPr>
          <w:spacing w:val="-1"/>
        </w:rPr>
        <w:t>因追加投资等原因能够对同一控制下的被投资方实施控制的，视同参与合并的各方在最终控制方开始</w:t>
      </w:r>
      <w:r>
        <w:rPr/>
        <w:t> </w:t>
      </w:r>
      <w:r>
        <w:rPr>
          <w:spacing w:val="-1"/>
        </w:rPr>
        <w:t>控制时即以目前的状态存在进行调整。在取得被合并方控制权之前持有的股权投资，在取得原股权之日与</w:t>
      </w:r>
      <w:r>
        <w:rPr>
          <w:spacing w:val="-81"/>
        </w:rPr>
        <w:t> </w:t>
      </w:r>
      <w:r>
        <w:rPr>
          <w:spacing w:val="-81"/>
        </w:rPr>
      </w:r>
      <w:r>
        <w:rPr>
          <w:spacing w:val="-1"/>
        </w:rPr>
        <w:t>合并方和被合并方同处于同一控制之日孰晚日起至合并日之间已确认有关损益、其他综合收益以及其他净</w:t>
      </w:r>
      <w:r>
        <w:rPr>
          <w:spacing w:val="-81"/>
        </w:rPr>
        <w:t> </w:t>
      </w:r>
      <w:r>
        <w:rPr>
          <w:spacing w:val="-81"/>
        </w:rPr>
      </w:r>
      <w:r>
        <w:rPr/>
        <w:t>资产变动，分别冲减比较报表期间的期初留存收益或当期损益。</w:t>
      </w:r>
    </w:p>
    <w:p>
      <w:pPr>
        <w:pStyle w:val="Heading7"/>
        <w:spacing w:line="273" w:lineRule="auto"/>
        <w:ind w:right="1131" w:firstLine="420"/>
        <w:jc w:val="both"/>
      </w:pPr>
      <w:r>
        <w:rPr>
          <w:spacing w:val="-1"/>
        </w:rPr>
        <w:t>在报告期内，若因非同一控制下企业合并增加子公司或业务的，则不调整合并资产负债表期初数；将</w:t>
      </w:r>
      <w:r>
        <w:rPr/>
        <w:t> </w:t>
      </w:r>
      <w:r>
        <w:rPr>
          <w:spacing w:val="-1"/>
        </w:rPr>
        <w:t>该子公司或业务自购买日至报告期末的收入、费用、利润纳入合并利润表；该子公司或业务自购买日至报</w:t>
      </w:r>
      <w:r>
        <w:rPr>
          <w:spacing w:val="-83"/>
        </w:rPr>
        <w:t> </w:t>
      </w:r>
      <w:r>
        <w:rPr>
          <w:spacing w:val="-83"/>
        </w:rPr>
      </w:r>
      <w:r>
        <w:rPr/>
        <w:t>告期末的现金流量纳入合并现金流量表。</w:t>
      </w:r>
    </w:p>
    <w:p>
      <w:pPr>
        <w:pStyle w:val="Heading7"/>
        <w:spacing w:line="273" w:lineRule="auto"/>
        <w:ind w:right="1131" w:firstLine="420"/>
        <w:jc w:val="both"/>
      </w:pPr>
      <w:r>
        <w:rPr>
          <w:spacing w:val="-1"/>
        </w:rPr>
        <w:t>因追加投资等原因能够对非同一控制下的被投资方实施控制的，对于购买日之前持有的被购买方的股</w:t>
      </w:r>
      <w:r>
        <w:rPr/>
        <w:t> </w:t>
      </w:r>
      <w:r>
        <w:rPr>
          <w:spacing w:val="-1"/>
        </w:rPr>
        <w:t>权，本公司按照该股权在购买日的公允价值进行重新计量，公允价值与其账面价值的差额计入当期投资收</w:t>
      </w:r>
      <w:r>
        <w:rPr>
          <w:spacing w:val="-81"/>
        </w:rPr>
        <w:t> </w:t>
      </w:r>
      <w:r>
        <w:rPr>
          <w:spacing w:val="-81"/>
        </w:rPr>
      </w:r>
      <w:r>
        <w:rPr>
          <w:spacing w:val="-1"/>
        </w:rPr>
        <w:t>益。购买日之前持有的被购买方的股权涉及权益法核算下的其他综合收益以及除净损益、其他综合收益和</w:t>
      </w:r>
      <w:r>
        <w:rPr>
          <w:spacing w:val="-81"/>
        </w:rPr>
        <w:t> </w:t>
      </w:r>
      <w:r>
        <w:rPr>
          <w:spacing w:val="-81"/>
        </w:rPr>
      </w:r>
      <w:r>
        <w:rPr>
          <w:spacing w:val="-1"/>
        </w:rPr>
        <w:t>利润分配之外的其他所有者权益变动的，与其相关的其他综合收益、其他所有者权益变动转为购买日所属</w:t>
      </w:r>
      <w:r>
        <w:rPr>
          <w:spacing w:val="-81"/>
        </w:rPr>
        <w:t> </w:t>
      </w:r>
      <w:r>
        <w:rPr>
          <w:spacing w:val="-81"/>
        </w:rPr>
      </w:r>
      <w:r>
        <w:rPr/>
        <w:t>当期投资收益，由于被投资方重新计量设定受益计划净负债或净资产变动而产生的其他综合收益除外。</w:t>
      </w:r>
    </w:p>
    <w:p>
      <w:pPr>
        <w:pStyle w:val="Heading7"/>
        <w:spacing w:line="240" w:lineRule="auto"/>
        <w:ind w:left="573" w:right="0"/>
        <w:jc w:val="left"/>
      </w:pPr>
      <w:r>
        <w:rPr/>
        <w:t>（</w:t>
      </w:r>
      <w:r>
        <w:rPr>
          <w:rFonts w:ascii="宋体" w:hAnsi="宋体" w:cs="宋体" w:eastAsia="宋体" w:hint="default"/>
        </w:rPr>
        <w:t>2</w:t>
      </w:r>
      <w:r>
        <w:rPr/>
        <w:t>）处置子公司或业务</w:t>
      </w:r>
    </w:p>
    <w:p>
      <w:pPr>
        <w:pStyle w:val="Heading7"/>
        <w:spacing w:line="273" w:lineRule="auto" w:before="37"/>
        <w:ind w:left="573" w:right="0"/>
        <w:jc w:val="left"/>
      </w:pPr>
      <w:r>
        <w:rPr/>
        <w:t>①一般处理方法 </w:t>
      </w:r>
      <w:r>
        <w:rPr>
          <w:spacing w:val="-1"/>
        </w:rPr>
        <w:t>在报告期内，本公司处置子公司或业务，则该子公司或业务期初至处置日的收入、费用、利润纳入合</w:t>
      </w:r>
    </w:p>
    <w:p>
      <w:pPr>
        <w:pStyle w:val="Heading7"/>
        <w:spacing w:line="273" w:lineRule="auto"/>
        <w:ind w:left="573" w:right="0" w:hanging="420"/>
        <w:jc w:val="left"/>
      </w:pPr>
      <w:r>
        <w:rPr/>
        <w:t>并利润表；该子公司或业务期初至处置日的现金流量纳入合并现金流量表。 </w:t>
      </w:r>
      <w:r>
        <w:rPr>
          <w:spacing w:val="-1"/>
        </w:rPr>
        <w:t>因处置部分股权投资或其他原因丧失了对被投资方控制权时，对于处置后的剩余股权投资，本公司按</w:t>
      </w:r>
    </w:p>
    <w:p>
      <w:pPr>
        <w:pStyle w:val="Heading7"/>
        <w:spacing w:line="273" w:lineRule="auto"/>
        <w:ind w:right="1131"/>
        <w:jc w:val="both"/>
      </w:pPr>
      <w:r>
        <w:rPr>
          <w:spacing w:val="-1"/>
        </w:rPr>
        <w:t>照其在丧失控制权日的公允价值进行重新计量。处置股权取得的对价与剩余股权公允价值之和，减去按原</w:t>
      </w:r>
      <w:r>
        <w:rPr>
          <w:spacing w:val="-81"/>
        </w:rPr>
        <w:t> </w:t>
      </w:r>
      <w:r>
        <w:rPr>
          <w:spacing w:val="-81"/>
        </w:rPr>
      </w:r>
      <w:r>
        <w:rPr>
          <w:spacing w:val="-1"/>
        </w:rPr>
        <w:t>持股比例计算应享有原有子公司自购买日或合并日开始持续计算的净资产的份额与商誉之和的差额，计入</w:t>
      </w:r>
      <w:r>
        <w:rPr>
          <w:spacing w:val="-81"/>
        </w:rPr>
        <w:t> </w:t>
      </w:r>
      <w:r>
        <w:rPr>
          <w:spacing w:val="-81"/>
        </w:rPr>
      </w:r>
      <w:r>
        <w:rPr>
          <w:spacing w:val="-1"/>
        </w:rPr>
        <w:t>丧失控制权当期的投资收益。与原有子公司股权投资相关的其他综合收益或除净损益、其他综合收益及利</w:t>
      </w:r>
      <w:r>
        <w:rPr>
          <w:spacing w:val="-81"/>
        </w:rPr>
        <w:t> </w:t>
      </w:r>
      <w:r>
        <w:rPr>
          <w:spacing w:val="-81"/>
        </w:rPr>
      </w:r>
      <w:r>
        <w:rPr>
          <w:spacing w:val="-1"/>
        </w:rPr>
        <w:t>润分配之外的其他所有者权益变动，在丧失控制权时转为当期投资收益，由于被投资方重新计量设定受益</w:t>
      </w:r>
      <w:r>
        <w:rPr>
          <w:spacing w:val="-81"/>
        </w:rPr>
        <w:t> </w:t>
      </w:r>
      <w:r>
        <w:rPr>
          <w:spacing w:val="-81"/>
        </w:rPr>
      </w:r>
      <w:r>
        <w:rPr/>
        <w:t>计划净负债或净资产变动而产生的其他综合收益除外。</w:t>
      </w:r>
    </w:p>
    <w:p>
      <w:pPr>
        <w:pStyle w:val="Heading7"/>
        <w:spacing w:line="273" w:lineRule="auto"/>
        <w:ind w:right="1131" w:firstLine="420"/>
        <w:jc w:val="both"/>
      </w:pPr>
      <w:r>
        <w:rPr>
          <w:spacing w:val="-1"/>
        </w:rPr>
        <w:t>因其他投资方对子公司增资而导致本公司持股比例下降从而丧失控制权的，按照上述原则进行会计处</w:t>
      </w:r>
      <w:r>
        <w:rPr/>
        <w:t> 理。</w:t>
      </w:r>
    </w:p>
    <w:p>
      <w:pPr>
        <w:pStyle w:val="Heading7"/>
        <w:spacing w:line="273" w:lineRule="auto"/>
        <w:ind w:left="574" w:right="0"/>
        <w:jc w:val="left"/>
      </w:pPr>
      <w:r>
        <w:rPr/>
        <w:t>②分步处置子公司 </w:t>
      </w:r>
      <w:r>
        <w:rPr>
          <w:spacing w:val="-1"/>
        </w:rPr>
        <w:t>通过多次交易分步处置对子公司股权投资直至丧失控制权的，处置对子公司股权投资的各项交易的条</w:t>
      </w:r>
    </w:p>
    <w:p>
      <w:pPr>
        <w:pStyle w:val="Heading7"/>
        <w:spacing w:line="273" w:lineRule="auto"/>
        <w:ind w:left="154" w:right="1131"/>
        <w:jc w:val="both"/>
      </w:pPr>
      <w:r>
        <w:rPr>
          <w:spacing w:val="-1"/>
        </w:rPr>
        <w:t>款、条件以及经济影响符合以下一种或多种情况，通常表明应将多次交易事项作为一揽子交易进行会计处</w:t>
      </w:r>
      <w:r>
        <w:rPr>
          <w:spacing w:val="-81"/>
        </w:rPr>
        <w:t> </w:t>
      </w:r>
      <w:r>
        <w:rPr>
          <w:spacing w:val="-81"/>
        </w:rPr>
      </w:r>
      <w:r>
        <w:rPr/>
        <w:t>理：</w:t>
      </w:r>
    </w:p>
    <w:p>
      <w:pPr>
        <w:pStyle w:val="Heading7"/>
        <w:spacing w:line="273" w:lineRule="auto"/>
        <w:ind w:left="573" w:right="1118"/>
        <w:jc w:val="left"/>
      </w:pPr>
      <w:r>
        <w:rPr/>
        <w:t>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 </w:t>
      </w:r>
      <w:r>
        <w:rPr>
          <w:spacing w:val="-1"/>
        </w:rPr>
        <w:t>处置对子公司股权投资直至丧失控制权的各项交易属于一揽子交易的，本公司将各项交易作为一项处</w:t>
      </w:r>
    </w:p>
    <w:p>
      <w:pPr>
        <w:pStyle w:val="Heading7"/>
        <w:spacing w:line="273" w:lineRule="auto"/>
        <w:ind w:right="1131"/>
        <w:jc w:val="both"/>
      </w:pPr>
      <w:r>
        <w:rPr>
          <w:spacing w:val="-1"/>
        </w:rPr>
        <w:t>置子公司并丧失控制权的交易进行会计处理；但是，在丧失控制权之前每一次处置价款与处置投资对应的</w:t>
      </w:r>
      <w:r>
        <w:rPr>
          <w:spacing w:val="-81"/>
        </w:rPr>
        <w:t> </w:t>
      </w:r>
      <w:r>
        <w:rPr>
          <w:spacing w:val="-81"/>
        </w:rPr>
      </w:r>
      <w:r>
        <w:rPr>
          <w:spacing w:val="-1"/>
        </w:rPr>
        <w:t>享有该子公司净资产份额的差额，在合并财务报表中确认为其他综合收益，在丧失控制权时一并转入丧失</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7"/>
        <w:spacing w:line="273" w:lineRule="auto" w:before="35"/>
        <w:ind w:left="573" w:right="0" w:hanging="420"/>
        <w:jc w:val="left"/>
      </w:pPr>
      <w:r>
        <w:rPr/>
        <w:t>控制权当期的损益。 </w:t>
      </w:r>
      <w:r>
        <w:rPr>
          <w:spacing w:val="-1"/>
        </w:rPr>
        <w:t>处置对子公司股权投资直至丧失控制权的各项交易不属于一揽子交易的，在丧失控制权之前，按不丧</w:t>
      </w:r>
    </w:p>
    <w:p>
      <w:pPr>
        <w:pStyle w:val="Heading7"/>
        <w:spacing w:line="273" w:lineRule="auto"/>
        <w:ind w:right="0"/>
        <w:jc w:val="left"/>
      </w:pPr>
      <w:r>
        <w:rPr>
          <w:spacing w:val="-1"/>
        </w:rPr>
        <w:t>失控制权的情况下部分处置对子公司的股权投资的相关政策进行会计处理；在丧失控制权时，按处置子公</w:t>
      </w:r>
      <w:r>
        <w:rPr>
          <w:spacing w:val="-81"/>
        </w:rPr>
        <w:t> </w:t>
      </w:r>
      <w:r>
        <w:rPr>
          <w:spacing w:val="-81"/>
        </w:rPr>
      </w:r>
      <w:r>
        <w:rPr/>
        <w:t>司一般处理方法进行会计处理。</w:t>
      </w:r>
    </w:p>
    <w:p>
      <w:pPr>
        <w:pStyle w:val="Heading7"/>
        <w:spacing w:line="273" w:lineRule="auto" w:before="8"/>
        <w:ind w:left="573" w:right="0"/>
        <w:jc w:val="left"/>
      </w:pPr>
      <w:r>
        <w:rPr/>
        <w:t>（</w:t>
      </w:r>
      <w:r>
        <w:rPr>
          <w:rFonts w:ascii="宋体" w:hAnsi="宋体" w:cs="宋体" w:eastAsia="宋体" w:hint="default"/>
        </w:rPr>
        <w:t>3</w:t>
      </w:r>
      <w:r>
        <w:rPr/>
        <w:t>）购买子公司少数股权 </w:t>
      </w:r>
      <w:r>
        <w:rPr>
          <w:spacing w:val="-1"/>
        </w:rPr>
        <w:t>本公司因购买少数股权新取得的长期股权投资与按照新增持股比例计算应享有子公司自购买日（或合</w:t>
      </w:r>
    </w:p>
    <w:p>
      <w:pPr>
        <w:pStyle w:val="Heading7"/>
        <w:spacing w:line="273" w:lineRule="auto"/>
        <w:ind w:right="0"/>
        <w:jc w:val="left"/>
      </w:pPr>
      <w:r>
        <w:rPr>
          <w:spacing w:val="-1"/>
        </w:rPr>
        <w:t>并日）开始持续计算的净资产份额之间的差额，调整合并资产负债表中的资本公积中的股本溢价，资本公</w:t>
      </w:r>
      <w:r>
        <w:rPr>
          <w:spacing w:val="-83"/>
        </w:rPr>
        <w:t> </w:t>
      </w:r>
      <w:r>
        <w:rPr>
          <w:spacing w:val="-83"/>
        </w:rPr>
      </w:r>
      <w:r>
        <w:rPr/>
        <w:t>积中的股本溢价不足冲减的，调整留存收益。</w:t>
      </w:r>
    </w:p>
    <w:p>
      <w:pPr>
        <w:pStyle w:val="Heading7"/>
        <w:spacing w:line="273" w:lineRule="auto"/>
        <w:ind w:left="573" w:right="1303"/>
        <w:jc w:val="left"/>
      </w:pPr>
      <w:r>
        <w:rPr/>
        <w:t>（</w:t>
      </w:r>
      <w:r>
        <w:rPr>
          <w:rFonts w:ascii="宋体" w:hAnsi="宋体" w:cs="宋体" w:eastAsia="宋体" w:hint="default"/>
        </w:rPr>
        <w:t>4</w:t>
      </w:r>
      <w:r>
        <w:rPr/>
        <w:t>）不丧失控制权的情况下部分处置对子公司的股权投资 在不丧失控制权的情况下因部分处置对子公司的长期股权投资而取得的处置价款与处置长期股权投</w:t>
      </w:r>
    </w:p>
    <w:p>
      <w:pPr>
        <w:pStyle w:val="Heading7"/>
        <w:spacing w:line="273" w:lineRule="auto"/>
        <w:ind w:right="0"/>
        <w:jc w:val="left"/>
      </w:pPr>
      <w:r>
        <w:rPr>
          <w:spacing w:val="-1"/>
        </w:rPr>
        <w:t>资相对应享有子公司自购买日或合并日开始持续计算的净资产份额之间的差额，调整合并资产负债表中的</w:t>
      </w:r>
      <w:r>
        <w:rPr>
          <w:spacing w:val="-81"/>
        </w:rPr>
        <w:t> </w:t>
      </w:r>
      <w:r>
        <w:rPr>
          <w:spacing w:val="-81"/>
        </w:rPr>
      </w:r>
      <w:r>
        <w:rPr/>
        <w:t>资本公积中的股本溢价，资本公积中的股本溢价不足冲减的，调整留存收益。</w:t>
      </w:r>
    </w:p>
    <w:p>
      <w:pPr>
        <w:spacing w:line="240" w:lineRule="auto" w:before="8"/>
        <w:rPr>
          <w:rFonts w:ascii="宋体" w:hAnsi="宋体" w:cs="宋体" w:eastAsia="宋体" w:hint="default"/>
          <w:sz w:val="23"/>
          <w:szCs w:val="23"/>
        </w:rPr>
      </w:pPr>
    </w:p>
    <w:p>
      <w:pPr>
        <w:pStyle w:val="Heading6"/>
        <w:spacing w:line="506" w:lineRule="auto"/>
        <w:ind w:left="573" w:right="6853" w:hanging="420"/>
        <w:jc w:val="left"/>
        <w:rPr>
          <w:rFonts w:ascii="宋体" w:hAnsi="宋体" w:cs="宋体" w:eastAsia="宋体" w:hint="default"/>
          <w:b w:val="0"/>
          <w:bCs w:val="0"/>
        </w:rPr>
      </w:pPr>
      <w:bookmarkStart w:name="7、合营安排分类及共同经营会计处理方法" w:id="173"/>
      <w:bookmarkEnd w:id="173"/>
      <w:r>
        <w:rPr>
          <w:b w:val="0"/>
          <w:bCs w:val="0"/>
        </w:rPr>
      </w:r>
      <w:r>
        <w:rPr>
          <w:rFonts w:ascii="Times New Roman" w:hAnsi="Times New Roman" w:cs="Times New Roman" w:eastAsia="Times New Roman" w:hint="default"/>
        </w:rPr>
        <w:t>7</w:t>
      </w:r>
      <w:r>
        <w:rPr/>
        <w:t>、合营安排分类及共同经营会计处理方法</w:t>
      </w:r>
      <w:r>
        <w:rPr>
          <w:w w:val="99"/>
        </w:rPr>
        <w:t> </w:t>
      </w:r>
      <w:r>
        <w:rPr>
          <w:rFonts w:ascii="宋体" w:hAnsi="宋体" w:cs="宋体" w:eastAsia="宋体" w:hint="default"/>
          <w:b w:val="0"/>
          <w:bCs w:val="0"/>
        </w:rPr>
        <w:t>无。</w:t>
      </w:r>
    </w:p>
    <w:p>
      <w:pPr>
        <w:pStyle w:val="Heading6"/>
        <w:spacing w:line="240" w:lineRule="auto" w:before="105"/>
        <w:ind w:right="0"/>
        <w:jc w:val="left"/>
        <w:rPr>
          <w:b w:val="0"/>
          <w:bCs w:val="0"/>
        </w:rPr>
      </w:pPr>
      <w:bookmarkStart w:name="8、现金及现金等价物的确定标准" w:id="174"/>
      <w:bookmarkEnd w:id="174"/>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4"/>
          <w:szCs w:val="24"/>
        </w:rPr>
      </w:pPr>
    </w:p>
    <w:p>
      <w:pPr>
        <w:pStyle w:val="Heading7"/>
        <w:spacing w:line="273" w:lineRule="auto" w:before="0"/>
        <w:ind w:right="0" w:firstLine="420"/>
        <w:jc w:val="left"/>
      </w:pPr>
      <w:r>
        <w:rPr/>
        <w:t>在编制现金流量表时，将本公司库存现金以及可以随时用于支付的存款确认为现金。将同时具备期限 短（从购买日起三个月内到期）、流动性强、易于转换为已知现金、价值变动风险很小四个条件的投资，</w:t>
      </w:r>
      <w:r>
        <w:rPr>
          <w:spacing w:val="-38"/>
        </w:rPr>
        <w:t> </w:t>
      </w:r>
      <w:r>
        <w:rPr>
          <w:spacing w:val="-38"/>
        </w:rPr>
      </w:r>
      <w:r>
        <w:rPr/>
        <w:t>确定为现金等价物。</w:t>
      </w:r>
    </w:p>
    <w:p>
      <w:pPr>
        <w:spacing w:line="240" w:lineRule="auto" w:before="8"/>
        <w:rPr>
          <w:rFonts w:ascii="宋体" w:hAnsi="宋体" w:cs="宋体" w:eastAsia="宋体" w:hint="default"/>
          <w:sz w:val="23"/>
          <w:szCs w:val="23"/>
        </w:rPr>
      </w:pPr>
    </w:p>
    <w:p>
      <w:pPr>
        <w:pStyle w:val="Heading6"/>
        <w:spacing w:line="240" w:lineRule="auto"/>
        <w:ind w:right="0"/>
        <w:jc w:val="left"/>
        <w:rPr>
          <w:b w:val="0"/>
          <w:bCs w:val="0"/>
        </w:rPr>
      </w:pPr>
      <w:bookmarkStart w:name="9、外币业务和外币报表折算" w:id="175"/>
      <w:bookmarkEnd w:id="175"/>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Heading7"/>
        <w:spacing w:line="273" w:lineRule="auto" w:before="0"/>
        <w:ind w:left="573" w:right="2773"/>
        <w:jc w:val="left"/>
      </w:pPr>
      <w:r>
        <w:rPr>
          <w:rFonts w:ascii="宋体" w:hAnsi="宋体" w:cs="宋体" w:eastAsia="宋体" w:hint="default"/>
        </w:rPr>
        <w:t>1</w:t>
      </w:r>
      <w:r>
        <w:rPr/>
        <w:t>、外币业务 外币业务采用交易发生日的即期汇率作为折算汇率将外币金额折合成人民币记账。</w:t>
      </w:r>
    </w:p>
    <w:p>
      <w:pPr>
        <w:pStyle w:val="Heading7"/>
        <w:spacing w:line="273" w:lineRule="auto"/>
        <w:ind w:right="1131" w:firstLine="420"/>
        <w:jc w:val="both"/>
      </w:pPr>
      <w:r>
        <w:rPr>
          <w:spacing w:val="-1"/>
        </w:rPr>
        <w:t>资产负债表日外币货币性项目余额按资产负债表日即期汇率折算，由此产生的汇兑差额，除属于与购</w:t>
      </w:r>
      <w:r>
        <w:rPr/>
        <w:t> </w:t>
      </w:r>
      <w:r>
        <w:rPr>
          <w:spacing w:val="-1"/>
        </w:rPr>
        <w:t>建符合资本化条件的资产相关的外币专门借款产生的汇兑差额按照借款费用资本化的原则处理外，均计入</w:t>
      </w:r>
      <w:r>
        <w:rPr>
          <w:spacing w:val="-81"/>
        </w:rPr>
        <w:t> </w:t>
      </w:r>
      <w:r>
        <w:rPr>
          <w:spacing w:val="-81"/>
        </w:rPr>
      </w:r>
      <w:r>
        <w:rPr/>
        <w:t>当期损益。</w:t>
      </w:r>
    </w:p>
    <w:p>
      <w:pPr>
        <w:pStyle w:val="Heading7"/>
        <w:spacing w:line="273" w:lineRule="auto"/>
        <w:ind w:left="573" w:right="0"/>
        <w:jc w:val="left"/>
      </w:pPr>
      <w:r>
        <w:rPr>
          <w:rFonts w:ascii="宋体" w:hAnsi="宋体" w:cs="宋体" w:eastAsia="宋体" w:hint="default"/>
        </w:rPr>
        <w:t>2</w:t>
      </w:r>
      <w:r>
        <w:rPr/>
        <w:t>、外币财务报表的折算 </w:t>
      </w:r>
      <w:r>
        <w:rPr>
          <w:spacing w:val="-1"/>
        </w:rPr>
        <w:t>资产负债表中的资产和负债项目，采用资产负债表日的即期汇率折算；所有者权益项目除“未分配利</w:t>
      </w:r>
    </w:p>
    <w:p>
      <w:pPr>
        <w:pStyle w:val="Heading7"/>
        <w:spacing w:line="273" w:lineRule="auto"/>
        <w:ind w:left="154" w:right="1118"/>
        <w:jc w:val="left"/>
      </w:pPr>
      <w:r>
        <w:rPr>
          <w:spacing w:val="-1"/>
        </w:rPr>
        <w:t>润”项目外，其他项目采用发生时的即期汇率折算。利润表中的收入和费用项目，采用交易发生日的即期</w:t>
      </w:r>
      <w:r>
        <w:rPr>
          <w:spacing w:val="-86"/>
        </w:rPr>
        <w:t> </w:t>
      </w:r>
      <w:r>
        <w:rPr>
          <w:spacing w:val="-86"/>
        </w:rPr>
      </w:r>
      <w:r>
        <w:rPr/>
        <w:t>汇率折算。</w:t>
      </w:r>
    </w:p>
    <w:p>
      <w:pPr>
        <w:pStyle w:val="Heading7"/>
        <w:spacing w:line="273" w:lineRule="auto"/>
        <w:ind w:left="154" w:right="1131" w:firstLine="420"/>
        <w:jc w:val="both"/>
      </w:pPr>
      <w:r>
        <w:rPr>
          <w:spacing w:val="-1"/>
        </w:rPr>
        <w:t>处置境外经营时，将与该境外经营相关的外币财务报表折算差额，自所有者权益项目转入处置当期损</w:t>
      </w:r>
      <w:r>
        <w:rPr/>
        <w:t> 益。</w:t>
      </w:r>
    </w:p>
    <w:p>
      <w:pPr>
        <w:spacing w:line="240" w:lineRule="auto" w:before="8"/>
        <w:rPr>
          <w:rFonts w:ascii="宋体" w:hAnsi="宋体" w:cs="宋体" w:eastAsia="宋体" w:hint="default"/>
          <w:sz w:val="23"/>
          <w:szCs w:val="23"/>
        </w:rPr>
      </w:pPr>
    </w:p>
    <w:p>
      <w:pPr>
        <w:pStyle w:val="Heading6"/>
        <w:spacing w:line="240" w:lineRule="auto"/>
        <w:ind w:left="154" w:right="0"/>
        <w:jc w:val="left"/>
        <w:rPr>
          <w:b w:val="0"/>
          <w:bCs w:val="0"/>
        </w:rPr>
      </w:pPr>
      <w:bookmarkStart w:name="10、金融工具" w:id="176"/>
      <w:bookmarkEnd w:id="176"/>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Heading7"/>
        <w:spacing w:line="273" w:lineRule="auto" w:before="0"/>
        <w:ind w:left="574" w:right="5922"/>
        <w:jc w:val="left"/>
      </w:pPr>
      <w:r>
        <w:rPr/>
        <w:t>金融工具包括金融资产、金融负债和权益工具。 </w:t>
      </w:r>
      <w:r>
        <w:rPr>
          <w:rFonts w:ascii="宋体" w:hAnsi="宋体" w:cs="宋体" w:eastAsia="宋体" w:hint="default"/>
        </w:rPr>
        <w:t>1</w:t>
      </w:r>
      <w:r>
        <w:rPr/>
        <w:t>、金融工具的分类</w:t>
      </w:r>
    </w:p>
    <w:p>
      <w:pPr>
        <w:pStyle w:val="Heading7"/>
        <w:spacing w:line="273" w:lineRule="auto"/>
        <w:ind w:left="154" w:right="1132" w:firstLine="420"/>
        <w:jc w:val="both"/>
      </w:pPr>
      <w:r>
        <w:rPr>
          <w:spacing w:val="-1"/>
        </w:rPr>
        <w:t>金融资产和金融负债于初始确认时分类为：以公允价值计量且其变动计入当期损益的金融资产或金融</w:t>
      </w:r>
      <w:r>
        <w:rPr/>
        <w:t> </w:t>
      </w:r>
      <w:r>
        <w:rPr>
          <w:spacing w:val="-1"/>
        </w:rPr>
        <w:t>负债，包括交易性金融资产或金融负债和直接指定为以公允价值计量且其变动计入当期损益的金融资产或</w:t>
      </w:r>
      <w:r>
        <w:rPr>
          <w:spacing w:val="-81"/>
        </w:rPr>
        <w:t> </w:t>
      </w:r>
      <w:r>
        <w:rPr>
          <w:spacing w:val="-81"/>
        </w:rPr>
      </w:r>
      <w:r>
        <w:rPr/>
        <w:t>金融负债；持有至到期投资；应收款项；可供出售金融资产；其他金融负债等。</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7"/>
        <w:spacing w:line="240" w:lineRule="auto" w:before="35"/>
        <w:ind w:left="573" w:right="0"/>
        <w:jc w:val="left"/>
      </w:pPr>
      <w:r>
        <w:rPr>
          <w:rFonts w:ascii="宋体" w:hAnsi="宋体" w:cs="宋体" w:eastAsia="宋体" w:hint="default"/>
        </w:rPr>
        <w:t>2</w:t>
      </w:r>
      <w:r>
        <w:rPr/>
        <w:t>、金融工具的确认依据和计量方法</w:t>
      </w:r>
    </w:p>
    <w:p>
      <w:pPr>
        <w:pStyle w:val="Heading7"/>
        <w:spacing w:line="273" w:lineRule="auto" w:before="37"/>
        <w:ind w:left="154" w:right="1118" w:firstLine="420"/>
        <w:jc w:val="left"/>
      </w:pPr>
      <w:r>
        <w:rPr/>
        <w:t>（</w:t>
      </w:r>
      <w:r>
        <w:rPr>
          <w:rFonts w:ascii="宋体" w:hAnsi="宋体" w:cs="宋体" w:eastAsia="宋体" w:hint="default"/>
        </w:rPr>
        <w:t>1</w:t>
      </w:r>
      <w:r>
        <w:rPr/>
        <w:t>）以公允价值计量且其变动计入当期损益的金融资产（金融负债）取得时以公允价值（扣除已宣 </w:t>
      </w:r>
      <w:r>
        <w:rPr>
          <w:spacing w:val="-1"/>
        </w:rPr>
        <w:t>告但尚未发放的现金股利或已到付息期但尚未领取的债券利息）作为初始确认金额，相关的交易费用计入</w:t>
      </w:r>
      <w:r>
        <w:rPr>
          <w:spacing w:val="-81"/>
        </w:rPr>
        <w:t> </w:t>
      </w:r>
      <w:r>
        <w:rPr>
          <w:spacing w:val="-81"/>
        </w:rPr>
      </w:r>
      <w:r>
        <w:rPr/>
        <w:t>当期损益。</w:t>
      </w:r>
    </w:p>
    <w:p>
      <w:pPr>
        <w:pStyle w:val="Heading7"/>
        <w:spacing w:line="273" w:lineRule="auto" w:before="8"/>
        <w:ind w:left="573" w:right="1513"/>
        <w:jc w:val="left"/>
      </w:pPr>
      <w:r>
        <w:rPr/>
        <w:t>持有期间将取得的利息或现金股利确认为投资收益，期末将公允价值变动计入当期损益。 处置时，其公允价值与初始入账金额之间的差额确认为投资收益，同时调整公允价值变动损益。</w:t>
      </w:r>
    </w:p>
    <w:p>
      <w:pPr>
        <w:pStyle w:val="Heading7"/>
        <w:spacing w:line="273" w:lineRule="auto"/>
        <w:ind w:left="573" w:right="1018"/>
        <w:jc w:val="left"/>
      </w:pPr>
      <w:r>
        <w:rPr/>
        <w:t>（</w:t>
      </w:r>
      <w:r>
        <w:rPr>
          <w:rFonts w:ascii="宋体" w:hAnsi="宋体" w:cs="宋体" w:eastAsia="宋体" w:hint="default"/>
        </w:rPr>
        <w:t>2</w:t>
      </w:r>
      <w:r>
        <w:rPr/>
        <w:t>）持有至到期投资 </w:t>
      </w:r>
      <w:r>
        <w:rPr>
          <w:spacing w:val="-3"/>
        </w:rPr>
        <w:t>取得时按公允价值（扣除已到付息期但尚未领取的债券利息）和相关交易费用之和作为初始确认金额。</w:t>
      </w:r>
      <w:r>
        <w:rPr>
          <w:spacing w:val="-98"/>
        </w:rPr>
        <w:t> </w:t>
      </w:r>
      <w:r>
        <w:rPr>
          <w:spacing w:val="-98"/>
        </w:rPr>
      </w:r>
      <w:r>
        <w:rPr/>
        <w:t>持有期间按照摊余成本和实际利率计算确认利息收入，计入投资收益。实际利率在取得时确定，在该</w:t>
      </w:r>
    </w:p>
    <w:p>
      <w:pPr>
        <w:pStyle w:val="Heading7"/>
        <w:spacing w:line="273" w:lineRule="auto"/>
        <w:ind w:left="574" w:right="4032" w:hanging="420"/>
        <w:jc w:val="left"/>
      </w:pPr>
      <w:r>
        <w:rPr/>
        <w:t>预期存续期间或适用的更短期间内保持不变。 处置时，将所取得价款与该投资账面价值之间的差额计入投资收益。</w:t>
      </w:r>
    </w:p>
    <w:p>
      <w:pPr>
        <w:pStyle w:val="Heading7"/>
        <w:spacing w:line="273" w:lineRule="auto"/>
        <w:ind w:left="573" w:right="0"/>
        <w:jc w:val="left"/>
      </w:pPr>
      <w:r>
        <w:rPr/>
        <w:t>（</w:t>
      </w:r>
      <w:r>
        <w:rPr>
          <w:rFonts w:ascii="宋体" w:hAnsi="宋体" w:cs="宋体" w:eastAsia="宋体" w:hint="default"/>
        </w:rPr>
        <w:t>3</w:t>
      </w:r>
      <w:r>
        <w:rPr/>
        <w:t>）应收款项 </w:t>
      </w:r>
      <w:r>
        <w:rPr>
          <w:spacing w:val="-1"/>
        </w:rPr>
        <w:t>公司对外销售商品或提供劳务形成的应收债权，以及公司持有的其他企业的不包括在活跃市场上有报</w:t>
      </w:r>
    </w:p>
    <w:p>
      <w:pPr>
        <w:pStyle w:val="Heading7"/>
        <w:spacing w:line="273" w:lineRule="auto"/>
        <w:ind w:right="0"/>
        <w:jc w:val="left"/>
      </w:pPr>
      <w:r>
        <w:rPr>
          <w:spacing w:val="-1"/>
        </w:rPr>
        <w:t>价的债务工具的债权，包括应收账款、其他应收款等，以向购货方应收的合同或协议价款作为初始确认金</w:t>
      </w:r>
      <w:r>
        <w:rPr>
          <w:spacing w:val="-83"/>
        </w:rPr>
        <w:t> </w:t>
      </w:r>
      <w:r>
        <w:rPr>
          <w:spacing w:val="-83"/>
        </w:rPr>
      </w:r>
      <w:r>
        <w:rPr/>
        <w:t>额；具有融资性质的，按其现值进行初始确认。</w:t>
      </w:r>
    </w:p>
    <w:p>
      <w:pPr>
        <w:pStyle w:val="Heading7"/>
        <w:spacing w:line="240" w:lineRule="auto"/>
        <w:ind w:left="574" w:right="0"/>
        <w:jc w:val="left"/>
      </w:pPr>
      <w:r>
        <w:rPr/>
        <w:t>收回或处置时，将取得的价款与该应收款项账面价值之间的差额计入当期损益。</w:t>
      </w:r>
    </w:p>
    <w:p>
      <w:pPr>
        <w:pStyle w:val="Heading7"/>
        <w:spacing w:line="273" w:lineRule="auto" w:before="37"/>
        <w:ind w:left="573" w:right="0"/>
        <w:jc w:val="left"/>
      </w:pPr>
      <w:r>
        <w:rPr/>
        <w:t>（</w:t>
      </w:r>
      <w:r>
        <w:rPr>
          <w:rFonts w:ascii="宋体" w:hAnsi="宋体" w:cs="宋体" w:eastAsia="宋体" w:hint="default"/>
        </w:rPr>
        <w:t>4</w:t>
      </w:r>
      <w:r>
        <w:rPr/>
        <w:t>）可供出售金融资产 </w:t>
      </w:r>
      <w:r>
        <w:rPr>
          <w:spacing w:val="-1"/>
        </w:rPr>
        <w:t>取得时按公允价值（扣除已宣告但尚未发放的现金股利或已到付息期但尚未领取的债券利息）和相关</w:t>
      </w:r>
    </w:p>
    <w:p>
      <w:pPr>
        <w:pStyle w:val="Heading7"/>
        <w:spacing w:line="273" w:lineRule="auto"/>
        <w:ind w:left="573" w:right="0" w:hanging="420"/>
        <w:jc w:val="left"/>
      </w:pPr>
      <w:r>
        <w:rPr/>
        <w:t>交易费用之和作为初始确认金额。 </w:t>
      </w:r>
      <w:r>
        <w:rPr>
          <w:spacing w:val="-1"/>
        </w:rPr>
        <w:t>持有期间将取得的利息或现金股利确认为投资收益。期末以公允价值计量且将公允价值变动计入其他</w:t>
      </w:r>
    </w:p>
    <w:p>
      <w:pPr>
        <w:pStyle w:val="Heading7"/>
        <w:spacing w:line="273" w:lineRule="auto"/>
        <w:ind w:right="0"/>
        <w:jc w:val="left"/>
      </w:pPr>
      <w:r>
        <w:rPr>
          <w:spacing w:val="-1"/>
        </w:rPr>
        <w:t>综合收益。但是，在活跃市场中没有报价且其公允价值不能可靠计量的权益工具投资，以及与该权益工具</w:t>
      </w:r>
      <w:r>
        <w:rPr>
          <w:spacing w:val="-83"/>
        </w:rPr>
        <w:t> </w:t>
      </w:r>
      <w:r>
        <w:rPr>
          <w:spacing w:val="-83"/>
        </w:rPr>
      </w:r>
      <w:r>
        <w:rPr/>
        <w:t>挂钩并须通过交付该权益工具结算的衍生金融资产，按照成本计量。</w:t>
      </w:r>
    </w:p>
    <w:p>
      <w:pPr>
        <w:pStyle w:val="Heading7"/>
        <w:spacing w:line="273" w:lineRule="auto" w:before="8"/>
        <w:ind w:right="0" w:firstLine="420"/>
        <w:jc w:val="left"/>
      </w:pPr>
      <w:r>
        <w:rPr>
          <w:spacing w:val="-1"/>
        </w:rPr>
        <w:t>处置时，将取得的价款与该金融资产账面价值之间的差额，计入投资损益；同时，将原直接计入其他</w:t>
      </w:r>
      <w:r>
        <w:rPr/>
        <w:t> 综合收益的公允价值变动累计额对应处置部分的金额转出，计入当期损益。</w:t>
      </w:r>
    </w:p>
    <w:p>
      <w:pPr>
        <w:pStyle w:val="Heading7"/>
        <w:spacing w:line="273" w:lineRule="auto"/>
        <w:ind w:left="573" w:right="2563"/>
        <w:jc w:val="left"/>
      </w:pPr>
      <w:r>
        <w:rPr/>
        <w:t>（</w:t>
      </w:r>
      <w:r>
        <w:rPr>
          <w:rFonts w:ascii="宋体" w:hAnsi="宋体" w:cs="宋体" w:eastAsia="宋体" w:hint="default"/>
        </w:rPr>
        <w:t>5</w:t>
      </w:r>
      <w:r>
        <w:rPr/>
        <w:t>）其他金融负债 按其公允价值和相关交易费用之和作为初始确认金额。采用摊余成本进行后续计量。</w:t>
      </w:r>
    </w:p>
    <w:p>
      <w:pPr>
        <w:spacing w:line="240" w:lineRule="auto" w:before="6"/>
        <w:rPr>
          <w:rFonts w:ascii="宋体" w:hAnsi="宋体" w:cs="宋体" w:eastAsia="宋体" w:hint="default"/>
          <w:sz w:val="24"/>
          <w:szCs w:val="24"/>
        </w:rPr>
      </w:pPr>
    </w:p>
    <w:p>
      <w:pPr>
        <w:pStyle w:val="Heading7"/>
        <w:spacing w:line="273" w:lineRule="auto" w:before="0"/>
        <w:ind w:left="574" w:right="0"/>
        <w:jc w:val="left"/>
      </w:pPr>
      <w:r>
        <w:rPr>
          <w:rFonts w:ascii="宋体" w:hAnsi="宋体" w:cs="宋体" w:eastAsia="宋体" w:hint="default"/>
        </w:rPr>
        <w:t>3</w:t>
      </w:r>
      <w:r>
        <w:rPr/>
        <w:t>、金融资产转移的确认依据和计量方法 </w:t>
      </w:r>
      <w:r>
        <w:rPr>
          <w:spacing w:val="-1"/>
        </w:rPr>
        <w:t>公司发生金融资产转移时，如已将金融资产所有权上几乎所有的风险和报酬转移给转入方，则终止确</w:t>
      </w:r>
    </w:p>
    <w:p>
      <w:pPr>
        <w:pStyle w:val="Heading7"/>
        <w:spacing w:line="273" w:lineRule="auto"/>
        <w:ind w:left="574" w:right="0" w:hanging="420"/>
        <w:jc w:val="left"/>
      </w:pPr>
      <w:r>
        <w:rPr/>
        <w:t>认该金融资产；如保留了金融资产所有权上几乎所有的风险和报酬的，则不终止确认该金融资产。 </w:t>
      </w:r>
      <w:r>
        <w:rPr>
          <w:spacing w:val="-1"/>
        </w:rPr>
        <w:t>在判断金融资产转移是否满足上述金融资产终止确认条件时，采用实质重于形式的原则。公司将金融</w:t>
      </w:r>
    </w:p>
    <w:p>
      <w:pPr>
        <w:pStyle w:val="Heading7"/>
        <w:spacing w:line="273" w:lineRule="auto"/>
        <w:ind w:left="574" w:right="2982" w:hanging="420"/>
        <w:jc w:val="left"/>
      </w:pPr>
      <w:r>
        <w:rPr/>
        <w:t>资产转移区分为金融资产整体转移和部分转移。 金融资产整体转移满足终止确认条件的，将下列两项金额的差额计入当期损益：</w:t>
      </w:r>
    </w:p>
    <w:p>
      <w:pPr>
        <w:pStyle w:val="Heading7"/>
        <w:spacing w:line="240" w:lineRule="auto"/>
        <w:ind w:left="573" w:right="0"/>
        <w:jc w:val="left"/>
      </w:pPr>
      <w:r>
        <w:rPr/>
        <w:t>（</w:t>
      </w:r>
      <w:r>
        <w:rPr>
          <w:rFonts w:ascii="宋体" w:hAnsi="宋体" w:cs="宋体" w:eastAsia="宋体" w:hint="default"/>
        </w:rPr>
        <w:t>1</w:t>
      </w:r>
      <w:r>
        <w:rPr/>
        <w:t>）所转移金融资产的账面价值；</w:t>
      </w:r>
    </w:p>
    <w:p>
      <w:pPr>
        <w:pStyle w:val="Heading7"/>
        <w:spacing w:line="273" w:lineRule="auto" w:before="37"/>
        <w:ind w:right="1198" w:firstLine="420"/>
        <w:jc w:val="left"/>
      </w:pPr>
      <w:r>
        <w:rPr/>
        <w:t>（</w:t>
      </w:r>
      <w:r>
        <w:rPr>
          <w:rFonts w:ascii="宋体" w:hAnsi="宋体" w:cs="宋体" w:eastAsia="宋体" w:hint="default"/>
        </w:rPr>
        <w:t>2</w:t>
      </w:r>
      <w:r>
        <w:rPr/>
        <w:t>）因转移而收到的对价，与原直接计入所有者权益的公允价值变动累计额（涉及转移的金融资产 为可供出售金融资产的情形）之和。</w:t>
      </w:r>
    </w:p>
    <w:p>
      <w:pPr>
        <w:spacing w:line="240" w:lineRule="auto" w:before="6"/>
        <w:rPr>
          <w:rFonts w:ascii="宋体" w:hAnsi="宋体" w:cs="宋体" w:eastAsia="宋体" w:hint="default"/>
          <w:sz w:val="24"/>
          <w:szCs w:val="24"/>
        </w:rPr>
      </w:pPr>
    </w:p>
    <w:p>
      <w:pPr>
        <w:pStyle w:val="Heading7"/>
        <w:spacing w:line="273" w:lineRule="auto" w:before="0"/>
        <w:ind w:right="0" w:firstLine="420"/>
        <w:jc w:val="left"/>
      </w:pPr>
      <w:r>
        <w:rPr>
          <w:spacing w:val="-1"/>
        </w:rPr>
        <w:t>金融资产部分转移满足终止确认条件的，将所转移金融资产整体的账面价值，在终止确认部分和未终</w:t>
      </w:r>
      <w:r>
        <w:rPr/>
        <w:t> 止确认部分之间，按照各自的相对公允价值进行分摊，并将下列两项金额的差额计入当期损益：</w:t>
      </w:r>
    </w:p>
    <w:p>
      <w:pPr>
        <w:pStyle w:val="Heading7"/>
        <w:spacing w:line="240" w:lineRule="auto"/>
        <w:ind w:left="573" w:right="0"/>
        <w:jc w:val="left"/>
      </w:pPr>
      <w:r>
        <w:rPr/>
        <w:t>（</w:t>
      </w:r>
      <w:r>
        <w:rPr>
          <w:rFonts w:ascii="宋体" w:hAnsi="宋体" w:cs="宋体" w:eastAsia="宋体" w:hint="default"/>
        </w:rPr>
        <w:t>1</w:t>
      </w:r>
      <w:r>
        <w:rPr/>
        <w:t>）终止确认部分的账面价值；</w:t>
      </w:r>
    </w:p>
    <w:p>
      <w:pPr>
        <w:pStyle w:val="Heading7"/>
        <w:spacing w:line="273" w:lineRule="auto" w:before="37"/>
        <w:ind w:right="1198" w:firstLine="420"/>
        <w:jc w:val="left"/>
      </w:pPr>
      <w:r>
        <w:rPr/>
        <w:t>（</w:t>
      </w:r>
      <w:r>
        <w:rPr>
          <w:rFonts w:ascii="宋体" w:hAnsi="宋体" w:cs="宋体" w:eastAsia="宋体" w:hint="default"/>
        </w:rPr>
        <w:t>2</w:t>
      </w:r>
      <w:r>
        <w:rPr/>
        <w:t>）终止确认部分的对价，与原直接计入所有者权益的公允价值变动累计额中对应终止确认部分的 金额（涉及转移的金融资产为可供出售金融资产的情形）之和。</w:t>
      </w:r>
    </w:p>
    <w:p>
      <w:pPr>
        <w:pStyle w:val="Heading7"/>
        <w:spacing w:line="240" w:lineRule="auto"/>
        <w:ind w:left="573" w:right="0"/>
        <w:jc w:val="left"/>
      </w:pPr>
      <w:r>
        <w:rPr/>
        <w:t>金融资产转移不满足终止确认条件的，继续确认该金融资产，所收到的对价确认为一项金融负债。</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7"/>
        <w:spacing w:line="273" w:lineRule="auto" w:before="35"/>
        <w:ind w:left="574" w:right="0"/>
        <w:jc w:val="left"/>
      </w:pPr>
      <w:r>
        <w:rPr>
          <w:rFonts w:ascii="宋体" w:hAnsi="宋体" w:cs="宋体" w:eastAsia="宋体" w:hint="default"/>
        </w:rPr>
        <w:t>4</w:t>
      </w:r>
      <w:r>
        <w:rPr/>
        <w:t>、金融负债终止确认条件 </w:t>
      </w:r>
      <w:r>
        <w:rPr>
          <w:spacing w:val="-1"/>
        </w:rPr>
        <w:t>金融负债的现时义务全部或部分已经解除的，则终止确认该金融负债或其一部分；本公司若与债权人</w:t>
      </w:r>
    </w:p>
    <w:p>
      <w:pPr>
        <w:pStyle w:val="Heading7"/>
        <w:spacing w:line="273" w:lineRule="auto"/>
        <w:ind w:left="154" w:right="0"/>
        <w:jc w:val="left"/>
      </w:pPr>
      <w:r>
        <w:rPr>
          <w:spacing w:val="-1"/>
        </w:rPr>
        <w:t>签定协议，以承担新金融负债方式替换现存金融负债，且新金融负债与现存金融负债的合同条款实质上不</w:t>
      </w:r>
      <w:r>
        <w:rPr>
          <w:spacing w:val="-81"/>
        </w:rPr>
        <w:t> </w:t>
      </w:r>
      <w:r>
        <w:rPr>
          <w:spacing w:val="-81"/>
        </w:rPr>
      </w:r>
      <w:r>
        <w:rPr/>
        <w:t>同的，则终止确认现存金融负债，并同时确认新金融负债。</w:t>
      </w:r>
    </w:p>
    <w:p>
      <w:pPr>
        <w:pStyle w:val="Heading7"/>
        <w:spacing w:line="273" w:lineRule="auto" w:before="8"/>
        <w:ind w:left="154" w:right="1131" w:firstLine="420"/>
        <w:jc w:val="both"/>
      </w:pPr>
      <w:r>
        <w:rPr>
          <w:spacing w:val="-1"/>
        </w:rPr>
        <w:t>对现存金融负债全部或部分合同条款作出实质性修改的，则终止确认现存金融负债或其一部分，同时</w:t>
      </w:r>
      <w:r>
        <w:rPr/>
        <w:t> 将修改条款后的金融负债确认为一项新金融负债。</w:t>
      </w:r>
    </w:p>
    <w:p>
      <w:pPr>
        <w:pStyle w:val="Heading7"/>
        <w:spacing w:line="273" w:lineRule="auto"/>
        <w:ind w:left="154" w:right="1131" w:firstLine="420"/>
        <w:jc w:val="both"/>
      </w:pPr>
      <w:r>
        <w:rPr>
          <w:spacing w:val="-1"/>
        </w:rPr>
        <w:t>金融负债全部或部分终止确认时，终止确认的金融负债账面价值与支付对价（包括转出的非现金资产</w:t>
      </w:r>
      <w:r>
        <w:rPr/>
        <w:t> 或承担的新金融负债）之间的差额，计入当期损益。</w:t>
      </w:r>
    </w:p>
    <w:p>
      <w:pPr>
        <w:pStyle w:val="Heading7"/>
        <w:spacing w:line="273" w:lineRule="auto"/>
        <w:ind w:left="154" w:right="1131" w:firstLine="420"/>
        <w:jc w:val="both"/>
      </w:pPr>
      <w:r>
        <w:rPr>
          <w:spacing w:val="-1"/>
        </w:rPr>
        <w:t>本公司若回购部分金融负债的，在回购日按照继续确认部分与终止确认部分的相对公允价值，将该金</w:t>
      </w:r>
      <w:r>
        <w:rPr/>
        <w:t> </w:t>
      </w:r>
      <w:r>
        <w:rPr>
          <w:spacing w:val="-1"/>
        </w:rPr>
        <w:t>融负债整体的账面价值进行分配。分配给终止确认部分的账面价值与支付的对价（包括转出的非现金资产</w:t>
      </w:r>
      <w:r>
        <w:rPr>
          <w:spacing w:val="-81"/>
        </w:rPr>
        <w:t> </w:t>
      </w:r>
      <w:r>
        <w:rPr>
          <w:spacing w:val="-81"/>
        </w:rPr>
      </w:r>
      <w:r>
        <w:rPr/>
        <w:t>或承担的新金融负债）之间的差额，计入当期损益。</w:t>
      </w:r>
    </w:p>
    <w:p>
      <w:pPr>
        <w:spacing w:line="240" w:lineRule="auto" w:before="6"/>
        <w:rPr>
          <w:rFonts w:ascii="宋体" w:hAnsi="宋体" w:cs="宋体" w:eastAsia="宋体" w:hint="default"/>
          <w:sz w:val="24"/>
          <w:szCs w:val="24"/>
        </w:rPr>
      </w:pPr>
    </w:p>
    <w:p>
      <w:pPr>
        <w:pStyle w:val="Heading7"/>
        <w:spacing w:line="273" w:lineRule="auto" w:before="0"/>
        <w:ind w:left="574" w:right="0"/>
        <w:jc w:val="left"/>
      </w:pPr>
      <w:r>
        <w:rPr>
          <w:rFonts w:ascii="宋体" w:hAnsi="宋体" w:cs="宋体" w:eastAsia="宋体" w:hint="default"/>
        </w:rPr>
        <w:t>5</w:t>
      </w:r>
      <w:r>
        <w:rPr/>
        <w:t>、金融资产和金融负债的公允价值的确定方法 </w:t>
      </w:r>
      <w:r>
        <w:rPr>
          <w:spacing w:val="-1"/>
        </w:rPr>
        <w:t>存在活跃市场的金融工具，以活跃市场中的报价确定其公允价值。不存在活跃市场的金融工具，采用</w:t>
      </w:r>
    </w:p>
    <w:p>
      <w:pPr>
        <w:pStyle w:val="Heading7"/>
        <w:spacing w:line="273" w:lineRule="auto"/>
        <w:ind w:left="154" w:right="0"/>
        <w:jc w:val="left"/>
      </w:pPr>
      <w:r>
        <w:rPr/>
        <w:t>估值技术确定其公允价值。在估值时，本公司采用在当前情况下适用并且有足够可利用数据和其他信息支 持的估值技术，选择与市场参与者在相关资产或负债的交易中所考虑的资产或负债特征相一致的输入值，</w:t>
      </w:r>
      <w:r>
        <w:rPr>
          <w:spacing w:val="-38"/>
        </w:rPr>
        <w:t> </w:t>
      </w:r>
      <w:r>
        <w:rPr>
          <w:spacing w:val="-38"/>
        </w:rPr>
      </w:r>
      <w:r>
        <w:rPr/>
        <w:t>并优先使用相关可观察输入值。只有在相关可观察输入值无法取得或取得不切实可行的情况下，才使用不</w:t>
      </w:r>
      <w:r>
        <w:rPr/>
        <w:t> 可观察输入值。</w:t>
      </w:r>
    </w:p>
    <w:p>
      <w:pPr>
        <w:spacing w:line="240" w:lineRule="auto" w:before="6"/>
        <w:rPr>
          <w:rFonts w:ascii="宋体" w:hAnsi="宋体" w:cs="宋体" w:eastAsia="宋体" w:hint="default"/>
          <w:sz w:val="24"/>
          <w:szCs w:val="24"/>
        </w:rPr>
      </w:pPr>
    </w:p>
    <w:p>
      <w:pPr>
        <w:pStyle w:val="Heading7"/>
        <w:spacing w:line="273" w:lineRule="auto" w:before="0"/>
        <w:ind w:left="573" w:right="0"/>
        <w:jc w:val="left"/>
      </w:pPr>
      <w:r>
        <w:rPr>
          <w:rFonts w:ascii="宋体" w:hAnsi="宋体" w:cs="宋体" w:eastAsia="宋体" w:hint="default"/>
        </w:rPr>
        <w:t>6</w:t>
      </w:r>
      <w:r>
        <w:rPr/>
        <w:t>、金融资产（不含应收款项）减值的测试方法及会计处理方法 除以公允价值计量且其变动计入当期损益的金融资产外，本公司于资产负债表 日对金融资产的账面价值进行检查，如果有客观证据表明某项金融资产发生减值的，计提减值准备。</w:t>
      </w:r>
    </w:p>
    <w:p>
      <w:pPr>
        <w:pStyle w:val="Heading7"/>
        <w:spacing w:line="273" w:lineRule="auto" w:before="8"/>
        <w:ind w:left="574" w:right="0"/>
        <w:jc w:val="left"/>
      </w:pPr>
      <w:r>
        <w:rPr/>
        <w:t>（</w:t>
      </w:r>
      <w:r>
        <w:rPr>
          <w:rFonts w:ascii="宋体" w:hAnsi="宋体" w:cs="宋体" w:eastAsia="宋体" w:hint="default"/>
        </w:rPr>
        <w:t>1</w:t>
      </w:r>
      <w:r>
        <w:rPr/>
        <w:t>）可供出售金融资产的减值准备： </w:t>
      </w:r>
      <w:r>
        <w:rPr>
          <w:spacing w:val="-1"/>
        </w:rPr>
        <w:t>期末如果可供出售金融资产的公允价值发生严重下降，或在综合考虑各种相关因素后，预期这种下降</w:t>
      </w:r>
    </w:p>
    <w:p>
      <w:pPr>
        <w:pStyle w:val="Heading7"/>
        <w:spacing w:line="273" w:lineRule="auto"/>
        <w:ind w:left="154" w:right="0"/>
        <w:jc w:val="left"/>
      </w:pPr>
      <w:r>
        <w:rPr>
          <w:spacing w:val="-1"/>
        </w:rPr>
        <w:t>趋势属于非暂时性的，就认定其已发生减值，将原直接计入所有者权益的公允价值下降形成的累计损失一</w:t>
      </w:r>
      <w:r>
        <w:rPr>
          <w:spacing w:val="-81"/>
        </w:rPr>
        <w:t> </w:t>
      </w:r>
      <w:r>
        <w:rPr>
          <w:spacing w:val="-81"/>
        </w:rPr>
      </w:r>
      <w:r>
        <w:rPr/>
        <w:t>并转出，确认减值损失。</w:t>
      </w:r>
    </w:p>
    <w:p>
      <w:pPr>
        <w:pStyle w:val="Heading7"/>
        <w:spacing w:line="273" w:lineRule="auto"/>
        <w:ind w:left="154" w:right="1132" w:firstLine="420"/>
        <w:jc w:val="both"/>
      </w:pPr>
      <w:r>
        <w:rPr>
          <w:spacing w:val="-1"/>
        </w:rPr>
        <w:t>对于已确认减值损失的可供出售债务工具，在随后的会计期间公允价值已上升且客观上与确认原减值</w:t>
      </w:r>
      <w:r>
        <w:rPr/>
        <w:t> 损失确认后发生的事项有关的，原确认的减值损失予以转回，计入当期损益。</w:t>
      </w:r>
    </w:p>
    <w:p>
      <w:pPr>
        <w:pStyle w:val="Heading7"/>
        <w:spacing w:line="273" w:lineRule="auto"/>
        <w:ind w:left="574" w:right="0"/>
        <w:jc w:val="left"/>
      </w:pPr>
      <w:r>
        <w:rPr/>
        <w:t>可供出售权益工具投资发生的减值损失，不通过损益转回。 </w:t>
      </w:r>
      <w:r>
        <w:rPr>
          <w:spacing w:val="-1"/>
        </w:rPr>
        <w:t>本公司对可供出售权益工具投资减值的认定标准为：期末如果可供出售金融资产的公允价值发生严重</w:t>
      </w:r>
    </w:p>
    <w:p>
      <w:pPr>
        <w:pStyle w:val="Heading7"/>
        <w:spacing w:line="273" w:lineRule="auto"/>
        <w:ind w:left="573" w:right="0" w:hanging="420"/>
        <w:jc w:val="left"/>
      </w:pPr>
      <w:r>
        <w:rPr/>
        <w:t>下降，或在综合考虑各种相关因素后，预期这种下降趋势属于非暂时性的，就认定其已发生减值。 本公司对可供出售权益工具投资的公允价值下跌“严重”的标准为：降幅累计超过</w:t>
      </w:r>
      <w:r>
        <w:rPr>
          <w:rFonts w:ascii="宋体" w:hAnsi="宋体" w:cs="宋体" w:eastAsia="宋体" w:hint="default"/>
        </w:rPr>
        <w:t>50%</w:t>
      </w:r>
      <w:r>
        <w:rPr/>
        <w:t>； 公允价值下跌“非暂时性”的标准为：公允价值持续低于其成本超过一年；投资成本的计算方法为：</w:t>
      </w:r>
    </w:p>
    <w:p>
      <w:pPr>
        <w:pStyle w:val="Heading7"/>
        <w:spacing w:line="273" w:lineRule="auto"/>
        <w:ind w:right="1198"/>
        <w:jc w:val="left"/>
      </w:pPr>
      <w:r>
        <w:rPr/>
        <w:t>取得可供出售权益工具对价及相关税费；持续下跌期间的确定依据为：自下跌幅度超过投资成本的</w:t>
      </w:r>
      <w:r>
        <w:rPr>
          <w:rFonts w:ascii="宋体" w:hAnsi="宋体" w:cs="宋体" w:eastAsia="宋体" w:hint="default"/>
        </w:rPr>
        <w:t>50%</w:t>
      </w:r>
      <w:r>
        <w:rPr/>
        <w:t>时 计算。</w:t>
      </w:r>
    </w:p>
    <w:p>
      <w:pPr>
        <w:pStyle w:val="Heading7"/>
        <w:spacing w:line="273" w:lineRule="auto"/>
        <w:ind w:left="573" w:right="3823"/>
        <w:jc w:val="left"/>
      </w:pPr>
      <w:r>
        <w:rPr/>
        <w:t>（</w:t>
      </w:r>
      <w:r>
        <w:rPr>
          <w:rFonts w:ascii="宋体" w:hAnsi="宋体" w:cs="宋体" w:eastAsia="宋体" w:hint="default"/>
        </w:rPr>
        <w:t>2</w:t>
      </w:r>
      <w:r>
        <w:rPr/>
        <w:t>）持有至到期投资的减值准备： 持有至到期投资减值损失的计量比照应收款项减值损失计量方法处理。</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6"/>
        <w:spacing w:line="240" w:lineRule="auto"/>
        <w:ind w:right="0"/>
        <w:jc w:val="left"/>
        <w:rPr>
          <w:b w:val="0"/>
          <w:bCs w:val="0"/>
        </w:rPr>
      </w:pPr>
      <w:bookmarkStart w:name="11、应收款项" w:id="177"/>
      <w:bookmarkEnd w:id="177"/>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54" w:right="0"/>
        <w:jc w:val="left"/>
        <w:rPr>
          <w:b w:val="0"/>
          <w:bCs w:val="0"/>
        </w:rPr>
      </w:pPr>
      <w:bookmarkStart w:name="（1）单项金额重大并单独计提坏账准备的应收款项" w:id="178"/>
      <w:bookmarkEnd w:id="178"/>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对于单项金额重大的应收款项（单项金额在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67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3" w:right="21"/>
              <w:jc w:val="left"/>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万元），当存在客观证据表明本公司将无法按应收款项</w:t>
            </w:r>
            <w:r>
              <w:rPr>
                <w:rFonts w:ascii="宋体" w:hAnsi="宋体" w:cs="宋体" w:eastAsia="宋体" w:hint="default"/>
                <w:sz w:val="18"/>
                <w:szCs w:val="18"/>
              </w:rPr>
              <w:t> 的原有条款收回所有款项时，确认相应的坏账准备。</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根据该款项预计未来现金流量现值低于其账面价值的差额， 单独进行减值测试，计提坏账准备；经单独测试未发生减值 的，包括在具有类似信用风险特征的应收款项组合中计提坏 账准备。</w:t>
            </w:r>
          </w:p>
        </w:tc>
      </w:tr>
    </w:tbl>
    <w:p>
      <w:pPr>
        <w:spacing w:line="240" w:lineRule="auto" w:before="2"/>
        <w:rPr>
          <w:rFonts w:ascii="宋体" w:hAnsi="宋体" w:cs="宋体" w:eastAsia="宋体" w:hint="default"/>
          <w:b/>
          <w:bCs/>
          <w:sz w:val="19"/>
          <w:szCs w:val="19"/>
        </w:rPr>
      </w:pPr>
    </w:p>
    <w:p>
      <w:pPr>
        <w:pStyle w:val="Heading6"/>
        <w:spacing w:line="240" w:lineRule="auto" w:before="35"/>
        <w:ind w:left="154" w:right="0"/>
        <w:jc w:val="left"/>
        <w:rPr>
          <w:b w:val="0"/>
          <w:bCs w:val="0"/>
        </w:rPr>
      </w:pPr>
      <w:bookmarkStart w:name="（2）按信用风险特征组合计提坏账准备的应收款项" w:id="179"/>
      <w:bookmarkEnd w:id="179"/>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合并范围内往来组合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组合中，采用余额百分比法计提坏账准备的：</w:t>
      </w:r>
    </w:p>
    <w:p>
      <w:pPr>
        <w:pStyle w:val="BodyText"/>
        <w:spacing w:line="340" w:lineRule="auto" w:before="116"/>
        <w:ind w:left="153"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注</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合并范围内往来组合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注</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6" w:lineRule="auto" w:before="10"/>
        <w:ind w:left="514" w:right="1118"/>
        <w:jc w:val="left"/>
      </w:pPr>
      <w:r>
        <w:rPr/>
        <w:t>注： </w:t>
      </w:r>
      <w:r>
        <w:rPr>
          <w:spacing w:val="-2"/>
        </w:rPr>
        <w:t>保证金组合采用单独进行减值测试，若有客观证据表明发生了减值，按预计未来现金流量现值低于其账面价值的差额计</w:t>
      </w:r>
    </w:p>
    <w:p>
      <w:pPr>
        <w:pStyle w:val="BodyText"/>
        <w:spacing w:line="316" w:lineRule="auto" w:before="19"/>
        <w:ind w:left="514" w:right="0" w:hanging="360"/>
        <w:jc w:val="left"/>
      </w:pPr>
      <w:r>
        <w:rPr/>
        <w:t>提坏账准备；经单独测试未发现减值，不计提坏账准备。 </w:t>
      </w:r>
      <w:r>
        <w:rPr>
          <w:spacing w:val="-2"/>
        </w:rPr>
        <w:t>合并范围内往来组合采用单独进行减值测试，若有客观证据表明发生了减值，按预计未来现金流量现值低于其账面价值</w:t>
      </w:r>
    </w:p>
    <w:p>
      <w:pPr>
        <w:pStyle w:val="BodyText"/>
        <w:spacing w:line="240" w:lineRule="auto" w:before="19"/>
        <w:ind w:right="0"/>
        <w:jc w:val="left"/>
      </w:pPr>
      <w:r>
        <w:rPr/>
        <w:t>的差额计提坏账准备；经单独测试未发现减值，不计提坏账准备。</w:t>
      </w:r>
    </w:p>
    <w:p>
      <w:pPr>
        <w:spacing w:line="240" w:lineRule="auto" w:before="12"/>
        <w:rPr>
          <w:rFonts w:ascii="宋体" w:hAnsi="宋体" w:cs="宋体" w:eastAsia="宋体" w:hint="default"/>
          <w:sz w:val="26"/>
          <w:szCs w:val="26"/>
        </w:rPr>
      </w:pPr>
    </w:p>
    <w:p>
      <w:pPr>
        <w:pStyle w:val="Heading6"/>
        <w:spacing w:line="240" w:lineRule="auto"/>
        <w:ind w:right="0"/>
        <w:jc w:val="left"/>
        <w:rPr>
          <w:b w:val="0"/>
          <w:bCs w:val="0"/>
        </w:rPr>
      </w:pPr>
      <w:bookmarkStart w:name="（3）单项金额不重大但单独计提坏账准备的应收款项" w:id="180"/>
      <w:bookmarkEnd w:id="180"/>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有确凿证据表明其可收回性存在明显差异</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值的差额计提坏账准备；经单独测试未发生减值的，包括在 具有类似信用风险特征的应收款项组合中计提坏账准备。</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6"/>
        <w:spacing w:line="240" w:lineRule="auto" w:before="35"/>
        <w:ind w:right="0"/>
        <w:jc w:val="left"/>
        <w:rPr>
          <w:b w:val="0"/>
          <w:bCs w:val="0"/>
        </w:rPr>
      </w:pPr>
      <w:bookmarkStart w:name="12、存货" w:id="181"/>
      <w:bookmarkEnd w:id="181"/>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4"/>
          <w:szCs w:val="24"/>
        </w:rPr>
      </w:pPr>
    </w:p>
    <w:p>
      <w:pPr>
        <w:spacing w:line="256" w:lineRule="auto" w:before="0"/>
        <w:ind w:left="574" w:right="508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b/>
          <w:bCs/>
          <w:w w:val="99"/>
          <w:sz w:val="21"/>
          <w:szCs w:val="21"/>
        </w:rPr>
        <w:t> </w:t>
      </w:r>
      <w:r>
        <w:rPr>
          <w:rFonts w:ascii="宋体" w:hAnsi="宋体" w:cs="宋体" w:eastAsia="宋体" w:hint="default"/>
          <w:sz w:val="21"/>
          <w:szCs w:val="21"/>
        </w:rPr>
        <w:t>存货分类为：原材料、周转材料、库存商品、在产品等。</w:t>
      </w:r>
    </w:p>
    <w:p>
      <w:pPr>
        <w:spacing w:line="256" w:lineRule="auto" w:before="23"/>
        <w:ind w:left="573" w:right="7393"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99"/>
          <w:sz w:val="21"/>
          <w:szCs w:val="21"/>
        </w:rPr>
        <w:t> </w:t>
      </w:r>
      <w:r>
        <w:rPr>
          <w:rFonts w:ascii="宋体" w:hAnsi="宋体" w:cs="宋体" w:eastAsia="宋体" w:hint="default"/>
          <w:sz w:val="21"/>
          <w:szCs w:val="21"/>
        </w:rPr>
        <w:t>存货发出时按加权平均法计价。</w:t>
      </w:r>
    </w:p>
    <w:p>
      <w:pPr>
        <w:spacing w:line="256" w:lineRule="auto" w:before="22"/>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）不同类别存货可变现净值的确定依据</w:t>
      </w:r>
      <w:r>
        <w:rPr>
          <w:rFonts w:ascii="宋体" w:hAnsi="宋体" w:cs="宋体" w:eastAsia="宋体" w:hint="default"/>
          <w:b/>
          <w:bCs/>
          <w:w w:val="99"/>
          <w:sz w:val="21"/>
          <w:szCs w:val="21"/>
        </w:rPr>
        <w:t> </w:t>
      </w:r>
      <w:r>
        <w:rPr>
          <w:rFonts w:ascii="宋体" w:hAnsi="宋体" w:cs="宋体" w:eastAsia="宋体" w:hint="default"/>
          <w:spacing w:val="-1"/>
          <w:sz w:val="21"/>
          <w:szCs w:val="21"/>
        </w:rPr>
        <w:t>产成品、库存商品和用于出售的材料等直接用于出售的商品存货，在正常生产经营过程中，以该存货</w:t>
      </w:r>
    </w:p>
    <w:p>
      <w:pPr>
        <w:pStyle w:val="Heading7"/>
        <w:spacing w:line="273" w:lineRule="auto" w:before="22"/>
        <w:ind w:left="154" w:right="1131"/>
        <w:jc w:val="both"/>
      </w:pPr>
      <w:r>
        <w:rPr>
          <w:spacing w:val="-1"/>
        </w:rPr>
        <w:t>的估计售价减去估计的销售费用和相关税费后的金额，确定其可变现净值；需要经过加工的材料存货，在</w:t>
      </w:r>
      <w:r>
        <w:rPr>
          <w:spacing w:val="-83"/>
        </w:rPr>
        <w:t> </w:t>
      </w:r>
      <w:r>
        <w:rPr>
          <w:spacing w:val="-83"/>
        </w:rPr>
      </w:r>
      <w:r>
        <w:rPr>
          <w:spacing w:val="-1"/>
        </w:rPr>
        <w:t>正常生产经营过程中，以所生产的产成品的估计售价减去至完工时估计将要发生的成本、估计的销售费用</w:t>
      </w:r>
      <w:r>
        <w:rPr>
          <w:spacing w:val="-81"/>
        </w:rPr>
        <w:t> </w:t>
      </w:r>
      <w:r>
        <w:rPr>
          <w:spacing w:val="-81"/>
        </w:rPr>
      </w:r>
      <w:r>
        <w:rPr>
          <w:spacing w:val="-1"/>
        </w:rPr>
        <w:t>和相关税费后的金额，确定其可变现净值；为执行销售合同或者劳务合同而持有的存货，其可变现净值以</w:t>
      </w:r>
      <w:r>
        <w:rPr>
          <w:spacing w:val="-83"/>
        </w:rPr>
        <w:t> </w:t>
      </w:r>
      <w:r>
        <w:rPr>
          <w:spacing w:val="-83"/>
        </w:rPr>
      </w:r>
      <w:r>
        <w:rPr>
          <w:spacing w:val="-1"/>
        </w:rPr>
        <w:t>合同价格为基础计算，若持有存货的数量多于销售合同订购数量的，超出部分的存货的可变现净值以一般</w:t>
      </w:r>
      <w:r>
        <w:rPr>
          <w:spacing w:val="-81"/>
        </w:rPr>
        <w:t> </w:t>
      </w:r>
      <w:r>
        <w:rPr>
          <w:spacing w:val="-81"/>
        </w:rPr>
      </w:r>
      <w:r>
        <w:rPr/>
        <w:t>销售价格为基础计算。</w:t>
      </w:r>
    </w:p>
    <w:p>
      <w:pPr>
        <w:pStyle w:val="Heading7"/>
        <w:spacing w:line="273" w:lineRule="auto"/>
        <w:ind w:left="154" w:right="1130" w:firstLine="420"/>
        <w:jc w:val="both"/>
      </w:pPr>
      <w:r>
        <w:rPr>
          <w:spacing w:val="-1"/>
        </w:rPr>
        <w:t>期末按照单个存货项目计提存货跌价准备；但对于数量繁多、单价较低的存货，按照存货类别计提存</w:t>
      </w:r>
      <w:r>
        <w:rPr/>
        <w:t> </w:t>
      </w:r>
      <w:r>
        <w:rPr>
          <w:spacing w:val="-1"/>
        </w:rPr>
        <w:t>货跌价准备；与在同一地区生产和销售的产品系列相关、具有相同或类似最终用途或目的，且难以与其他</w:t>
      </w:r>
      <w:r>
        <w:rPr>
          <w:spacing w:val="-83"/>
        </w:rPr>
        <w:t> </w:t>
      </w:r>
      <w:r>
        <w:rPr>
          <w:spacing w:val="-83"/>
        </w:rPr>
      </w:r>
      <w:r>
        <w:rPr/>
        <w:t>项目分开计量的存货，则合并计提存货跌价准备。</w:t>
      </w:r>
    </w:p>
    <w:p>
      <w:pPr>
        <w:pStyle w:val="Heading7"/>
        <w:spacing w:line="273" w:lineRule="auto"/>
        <w:ind w:left="154" w:right="1132" w:firstLine="420"/>
        <w:jc w:val="both"/>
      </w:pPr>
      <w:r>
        <w:rPr>
          <w:spacing w:val="-1"/>
        </w:rPr>
        <w:t>除有明确证据表明资产负债表日市场价格异常外，存货项目的可变现净值以资产负债表日市场价格为</w:t>
      </w:r>
      <w:r>
        <w:rPr/>
        <w:t> 基础确定。</w:t>
      </w:r>
    </w:p>
    <w:p>
      <w:pPr>
        <w:spacing w:line="256" w:lineRule="auto" w:before="7"/>
        <w:ind w:left="574" w:right="865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采用永续盘存制。</w:t>
      </w:r>
    </w:p>
    <w:p>
      <w:pPr>
        <w:pStyle w:val="Heading6"/>
        <w:spacing w:line="240" w:lineRule="auto" w:before="22"/>
        <w:ind w:left="154" w:right="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pStyle w:val="Heading7"/>
        <w:spacing w:line="240" w:lineRule="auto" w:before="21"/>
        <w:ind w:left="574" w:right="0"/>
        <w:jc w:val="left"/>
      </w:pPr>
      <w:r>
        <w:rPr/>
        <w:t>（</w:t>
      </w:r>
      <w:r>
        <w:rPr>
          <w:rFonts w:ascii="宋体" w:hAnsi="宋体" w:cs="宋体" w:eastAsia="宋体" w:hint="default"/>
        </w:rPr>
        <w:t>1</w:t>
      </w:r>
      <w:r>
        <w:rPr/>
        <w:t>）低值易耗品采用一次转销法。</w:t>
      </w:r>
    </w:p>
    <w:p>
      <w:pPr>
        <w:pStyle w:val="Heading7"/>
        <w:spacing w:line="240" w:lineRule="auto" w:before="37"/>
        <w:ind w:left="574" w:right="0"/>
        <w:jc w:val="left"/>
      </w:pPr>
      <w:r>
        <w:rPr/>
        <w:t>（</w:t>
      </w:r>
      <w:r>
        <w:rPr>
          <w:rFonts w:ascii="宋体" w:hAnsi="宋体" w:cs="宋体" w:eastAsia="宋体" w:hint="default"/>
        </w:rPr>
        <w:t>2</w:t>
      </w:r>
      <w:r>
        <w:rPr/>
        <w:t>）包装物采用一次转销法。</w:t>
      </w:r>
    </w:p>
    <w:p>
      <w:pPr>
        <w:spacing w:line="240" w:lineRule="auto" w:before="11"/>
        <w:rPr>
          <w:rFonts w:ascii="宋体" w:hAnsi="宋体" w:cs="宋体" w:eastAsia="宋体" w:hint="default"/>
          <w:sz w:val="25"/>
          <w:szCs w:val="25"/>
        </w:rPr>
      </w:pPr>
    </w:p>
    <w:p>
      <w:pPr>
        <w:pStyle w:val="Heading6"/>
        <w:spacing w:line="506" w:lineRule="auto"/>
        <w:ind w:left="573" w:right="8435" w:hanging="420"/>
        <w:jc w:val="left"/>
        <w:rPr>
          <w:rFonts w:ascii="宋体" w:hAnsi="宋体" w:cs="宋体" w:eastAsia="宋体" w:hint="default"/>
          <w:b w:val="0"/>
          <w:bCs w:val="0"/>
        </w:rPr>
      </w:pPr>
      <w:bookmarkStart w:name="13、划分为持有待售资产" w:id="182"/>
      <w:bookmarkEnd w:id="182"/>
      <w:r>
        <w:rPr>
          <w:b w:val="0"/>
          <w:bCs w:val="0"/>
        </w:rPr>
      </w:r>
      <w:r>
        <w:rPr>
          <w:rFonts w:ascii="Times New Roman" w:hAnsi="Times New Roman" w:cs="Times New Roman" w:eastAsia="Times New Roman" w:hint="default"/>
        </w:rPr>
        <w:t>13</w:t>
      </w:r>
      <w:r>
        <w:rPr/>
        <w:t>、划分为持有待售资产</w:t>
      </w:r>
      <w:r>
        <w:rPr>
          <w:w w:val="99"/>
        </w:rPr>
        <w:t> </w:t>
      </w:r>
      <w:r>
        <w:rPr>
          <w:rFonts w:ascii="宋体" w:hAnsi="宋体" w:cs="宋体" w:eastAsia="宋体" w:hint="default"/>
          <w:b w:val="0"/>
          <w:bCs w:val="0"/>
        </w:rPr>
        <w:t>无。</w:t>
      </w:r>
    </w:p>
    <w:p>
      <w:pPr>
        <w:pStyle w:val="Heading6"/>
        <w:spacing w:line="240" w:lineRule="auto" w:before="105"/>
        <w:ind w:right="0"/>
        <w:jc w:val="left"/>
        <w:rPr>
          <w:b w:val="0"/>
          <w:bCs w:val="0"/>
        </w:rPr>
      </w:pPr>
      <w:bookmarkStart w:name="14、长期股权投资" w:id="183"/>
      <w:bookmarkEnd w:id="183"/>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4"/>
          <w:szCs w:val="24"/>
        </w:rPr>
      </w:pPr>
    </w:p>
    <w:p>
      <w:pPr>
        <w:spacing w:line="256" w:lineRule="auto" w:before="0"/>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）、共同控制、重大影响的判断标准</w:t>
      </w:r>
      <w:r>
        <w:rPr>
          <w:rFonts w:ascii="宋体" w:hAnsi="宋体" w:cs="宋体" w:eastAsia="宋体" w:hint="default"/>
          <w:b/>
          <w:bCs/>
          <w:w w:val="99"/>
          <w:sz w:val="21"/>
          <w:szCs w:val="21"/>
        </w:rPr>
        <w:t> </w:t>
      </w:r>
      <w:r>
        <w:rPr>
          <w:rFonts w:ascii="宋体" w:hAnsi="宋体" w:cs="宋体" w:eastAsia="宋体" w:hint="default"/>
          <w:spacing w:val="-1"/>
          <w:sz w:val="21"/>
          <w:szCs w:val="21"/>
        </w:rPr>
        <w:t>共同控制，是指按照相关约定对某项安排所共有的控制，并且该安排的相关活动必须经过分享控制权</w:t>
      </w:r>
    </w:p>
    <w:p>
      <w:pPr>
        <w:pStyle w:val="Heading7"/>
        <w:spacing w:line="273" w:lineRule="auto" w:before="22"/>
        <w:ind w:left="154" w:right="1132"/>
        <w:jc w:val="both"/>
      </w:pPr>
      <w:r>
        <w:rPr>
          <w:spacing w:val="-1"/>
        </w:rPr>
        <w:t>的参与方一致同意后才能决策。本公司与其他合营方一同对被投资单位实施共同控制且对被投资单位净资</w:t>
      </w:r>
      <w:r>
        <w:rPr>
          <w:spacing w:val="-81"/>
        </w:rPr>
        <w:t> </w:t>
      </w:r>
      <w:r>
        <w:rPr>
          <w:spacing w:val="-81"/>
        </w:rPr>
      </w:r>
      <w:r>
        <w:rPr/>
        <w:t>产享有权利的，被投资单位为本公司的合营企业。</w:t>
      </w:r>
    </w:p>
    <w:p>
      <w:pPr>
        <w:pStyle w:val="Heading7"/>
        <w:spacing w:line="273" w:lineRule="auto"/>
        <w:ind w:left="154" w:right="1131" w:firstLine="420"/>
        <w:jc w:val="both"/>
      </w:pPr>
      <w:r>
        <w:rPr>
          <w:spacing w:val="-1"/>
        </w:rPr>
        <w:t>重大影响，是指对一个企业的财务和经营决策有参与决策的权力，但并不能够控制或者与其他方一起</w:t>
      </w:r>
      <w:r>
        <w:rPr/>
        <w:t> 共同控制这些政策的制定。本公司能够对被投资单位施加重大影响的，被投资单位为本公司联营企业。</w:t>
      </w:r>
    </w:p>
    <w:p>
      <w:pPr>
        <w:pStyle w:val="Heading6"/>
        <w:spacing w:line="240" w:lineRule="auto" w:before="7"/>
        <w:ind w:right="0"/>
        <w:jc w:val="left"/>
        <w:rPr>
          <w:b w:val="0"/>
          <w:bCs w:val="0"/>
        </w:rPr>
      </w:pPr>
      <w:r>
        <w:rPr/>
        <w:t>（</w:t>
      </w:r>
      <w:r>
        <w:rPr>
          <w:rFonts w:ascii="Times New Roman" w:hAnsi="Times New Roman" w:cs="Times New Roman" w:eastAsia="Times New Roman" w:hint="default"/>
        </w:rPr>
        <w:t>2</w:t>
      </w:r>
      <w:r>
        <w:rPr/>
        <w:t>）、初始投资成本的确定</w:t>
      </w:r>
      <w:r>
        <w:rPr>
          <w:b w:val="0"/>
          <w:bCs w:val="0"/>
        </w:rPr>
      </w:r>
    </w:p>
    <w:p>
      <w:pPr>
        <w:pStyle w:val="Heading7"/>
        <w:spacing w:line="273" w:lineRule="auto" w:before="21"/>
        <w:ind w:left="573" w:right="0"/>
        <w:jc w:val="left"/>
      </w:pPr>
      <w:r>
        <w:rPr/>
        <w:t>①企业合并形成的长期股权投资 </w:t>
      </w:r>
      <w:r>
        <w:rPr>
          <w:spacing w:val="-1"/>
        </w:rPr>
        <w:t>同一控制下的企业合并：公司以支付现金、转让非现金资产或承担债务方式以及以发行权益性证券作</w:t>
      </w:r>
    </w:p>
    <w:p>
      <w:pPr>
        <w:pStyle w:val="Heading7"/>
        <w:spacing w:line="273" w:lineRule="auto"/>
        <w:ind w:right="1130"/>
        <w:jc w:val="both"/>
      </w:pPr>
      <w:r>
        <w:rPr>
          <w:spacing w:val="-1"/>
        </w:rPr>
        <w:t>为合并对价的，在合并日按照取得被合并方所有者权益在最终控制方合并财务报表中的账面价值的份额作</w:t>
      </w:r>
      <w:r>
        <w:rPr>
          <w:spacing w:val="-81"/>
        </w:rPr>
        <w:t> </w:t>
      </w:r>
      <w:r>
        <w:rPr>
          <w:spacing w:val="-81"/>
        </w:rPr>
      </w:r>
      <w:r>
        <w:rPr>
          <w:spacing w:val="-1"/>
        </w:rPr>
        <w:t>为长期股权投资的初始投资成本。因追加投资等原因能够对同一控制下的被投资单位实施控制的，在合并</w:t>
      </w:r>
      <w:r>
        <w:rPr>
          <w:spacing w:val="-81"/>
        </w:rPr>
        <w:t> </w:t>
      </w:r>
      <w:r>
        <w:rPr>
          <w:spacing w:val="-81"/>
        </w:rPr>
      </w:r>
      <w:r>
        <w:rPr>
          <w:spacing w:val="-1"/>
        </w:rPr>
        <w:t>日根据合并后应享有被合并方净资产在最终控制方合并财务报表中的账面价值的份额，确定长期股权投资</w:t>
      </w:r>
      <w:r>
        <w:rPr>
          <w:spacing w:val="-81"/>
        </w:rPr>
        <w:t> </w:t>
      </w:r>
      <w:r>
        <w:rPr>
          <w:spacing w:val="-81"/>
        </w:rPr>
      </w:r>
      <w:r>
        <w:rPr>
          <w:spacing w:val="-1"/>
        </w:rPr>
        <w:t>的初始投资成本。合并日长期股权投资的初始投资成本，与达到合并前的长期股权投资账面价值加上合并</w:t>
      </w:r>
      <w:r>
        <w:rPr>
          <w:spacing w:val="-81"/>
        </w:rPr>
        <w:t> </w:t>
      </w:r>
      <w:r>
        <w:rPr>
          <w:spacing w:val="-81"/>
        </w:rPr>
      </w:r>
      <w:r>
        <w:rPr>
          <w:spacing w:val="-1"/>
        </w:rPr>
        <w:t>日进一步取得股份新支付对价的账面价值之和的差额，调整股本溢价，股本溢价不足冲减的，冲减留存收</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7"/>
        <w:spacing w:line="240" w:lineRule="auto" w:before="35"/>
        <w:ind w:right="0"/>
        <w:jc w:val="both"/>
      </w:pPr>
      <w:r>
        <w:rPr/>
        <w:t>益。</w:t>
      </w:r>
    </w:p>
    <w:p>
      <w:pPr>
        <w:pStyle w:val="Heading7"/>
        <w:spacing w:line="273" w:lineRule="auto" w:before="37"/>
        <w:ind w:left="154" w:right="1131" w:firstLine="420"/>
        <w:jc w:val="both"/>
      </w:pPr>
      <w:r>
        <w:rPr>
          <w:spacing w:val="-1"/>
        </w:rPr>
        <w:t>非同一控制下的企业合并：公司按照购买日确定的合并成本作为长期股权投资的初始投资成本。因追</w:t>
      </w:r>
      <w:r>
        <w:rPr/>
        <w:t> </w:t>
      </w:r>
      <w:r>
        <w:rPr>
          <w:spacing w:val="-1"/>
        </w:rPr>
        <w:t>加投资等原因能够对非同一控制下的被投资单位实施控制的，按照原持有的股权投资账面价值加上新增投</w:t>
      </w:r>
      <w:r>
        <w:rPr>
          <w:spacing w:val="-81"/>
        </w:rPr>
        <w:t> </w:t>
      </w:r>
      <w:r>
        <w:rPr>
          <w:spacing w:val="-81"/>
        </w:rPr>
      </w:r>
      <w:r>
        <w:rPr/>
        <w:t>资成本之和，作为改按成本法核算的初始投资成本。</w:t>
      </w:r>
    </w:p>
    <w:p>
      <w:pPr>
        <w:pStyle w:val="Heading7"/>
        <w:spacing w:line="273" w:lineRule="auto" w:before="8"/>
        <w:ind w:left="573" w:right="0"/>
        <w:jc w:val="left"/>
      </w:pPr>
      <w:r>
        <w:rPr/>
        <w:t>②其他方式取得的长期股权投资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1"/>
        </w:rPr>
        <w:t>在非货币性资产交换具备商业实质和换入资产或换出资产的公允价值能够可靠计量的前提下，非货币</w:t>
      </w:r>
    </w:p>
    <w:p>
      <w:pPr>
        <w:pStyle w:val="Heading7"/>
        <w:spacing w:line="273" w:lineRule="auto"/>
        <w:ind w:right="1131"/>
        <w:jc w:val="both"/>
      </w:pPr>
      <w:r>
        <w:rPr>
          <w:spacing w:val="-1"/>
        </w:rPr>
        <w:t>性资产交换换入的长期股权投资以换出资产的公允价值和应支付的相关税费确定其初始投资成本，除非有</w:t>
      </w:r>
      <w:r>
        <w:rPr>
          <w:spacing w:val="-81"/>
        </w:rPr>
        <w:t> </w:t>
      </w:r>
      <w:r>
        <w:rPr>
          <w:spacing w:val="-81"/>
        </w:rPr>
      </w:r>
      <w:r>
        <w:rPr>
          <w:spacing w:val="-1"/>
        </w:rPr>
        <w:t>确凿证据表明换入资产的公允价值更加可靠；不满足上述前提的非货币性资产交换，以换出资产的账面价</w:t>
      </w:r>
      <w:r>
        <w:rPr>
          <w:spacing w:val="-81"/>
        </w:rPr>
        <w:t> </w:t>
      </w:r>
      <w:r>
        <w:rPr>
          <w:spacing w:val="-81"/>
        </w:rPr>
      </w:r>
      <w:r>
        <w:rPr/>
        <w:t>值和应支付的相关税费作为换入长期股权投资的初始投资成本。</w:t>
      </w:r>
    </w:p>
    <w:p>
      <w:pPr>
        <w:pStyle w:val="Heading7"/>
        <w:spacing w:line="240" w:lineRule="auto"/>
        <w:ind w:left="573" w:right="0"/>
        <w:jc w:val="left"/>
      </w:pPr>
      <w:r>
        <w:rPr/>
        <w:t>通过债务重组取得的长期股权投资，其初始投资成本按照公允价值为基础确定。</w:t>
      </w:r>
    </w:p>
    <w:p>
      <w:pPr>
        <w:spacing w:line="240" w:lineRule="auto" w:before="9"/>
        <w:rPr>
          <w:rFonts w:ascii="宋体" w:hAnsi="宋体" w:cs="宋体" w:eastAsia="宋体" w:hint="default"/>
          <w:sz w:val="26"/>
          <w:szCs w:val="26"/>
        </w:rPr>
      </w:pPr>
    </w:p>
    <w:p>
      <w:pPr>
        <w:pStyle w:val="Heading6"/>
        <w:spacing w:line="240" w:lineRule="auto"/>
        <w:ind w:left="154" w:right="0"/>
        <w:jc w:val="both"/>
        <w:rPr>
          <w:b w:val="0"/>
          <w:bCs w:val="0"/>
        </w:rPr>
      </w:pPr>
      <w:r>
        <w:rPr/>
        <w:t>（</w:t>
      </w:r>
      <w:r>
        <w:rPr>
          <w:rFonts w:ascii="Times New Roman" w:hAnsi="Times New Roman" w:cs="Times New Roman" w:eastAsia="Times New Roman" w:hint="default"/>
        </w:rPr>
        <w:t>3</w:t>
      </w:r>
      <w:r>
        <w:rPr/>
        <w:t>）、后续计量及损益确认方法</w:t>
      </w:r>
      <w:r>
        <w:rPr>
          <w:b w:val="0"/>
          <w:bCs w:val="0"/>
        </w:rPr>
      </w:r>
    </w:p>
    <w:p>
      <w:pPr>
        <w:pStyle w:val="Heading7"/>
        <w:spacing w:line="273" w:lineRule="auto" w:before="21"/>
        <w:ind w:left="573" w:right="0"/>
        <w:jc w:val="left"/>
      </w:pPr>
      <w:r>
        <w:rPr/>
        <w:t>①成本法核算的长期股权投资 </w:t>
      </w:r>
      <w:r>
        <w:rPr>
          <w:spacing w:val="-1"/>
        </w:rPr>
        <w:t>公司对子公司的长期股权投资，采用成本法核算。除取得投资时实际支付的价款或对价中包含的已宣</w:t>
      </w:r>
    </w:p>
    <w:p>
      <w:pPr>
        <w:pStyle w:val="Heading7"/>
        <w:spacing w:line="273" w:lineRule="auto"/>
        <w:ind w:right="1131"/>
        <w:jc w:val="both"/>
      </w:pPr>
      <w:r>
        <w:rPr>
          <w:spacing w:val="-1"/>
        </w:rPr>
        <w:t>告但尚未发放的现金股利或利润外，公司按照享有被投资单位宣告发放的现金股利或利润确认当期投资收</w:t>
      </w:r>
      <w:r>
        <w:rPr>
          <w:spacing w:val="-81"/>
        </w:rPr>
        <w:t> </w:t>
      </w:r>
      <w:r>
        <w:rPr>
          <w:spacing w:val="-81"/>
        </w:rPr>
      </w:r>
      <w:r>
        <w:rPr/>
        <w:t>益。</w:t>
      </w:r>
    </w:p>
    <w:p>
      <w:pPr>
        <w:pStyle w:val="Heading7"/>
        <w:spacing w:line="273" w:lineRule="auto"/>
        <w:ind w:left="573" w:right="0"/>
        <w:jc w:val="left"/>
      </w:pPr>
      <w:r>
        <w:rPr/>
        <w:t>②权益法核算的长期股权投资 </w:t>
      </w:r>
      <w:r>
        <w:rPr>
          <w:spacing w:val="-1"/>
        </w:rPr>
        <w:t>对联营企业和合营企业的长期股权投资，采用权益法核算。初始投资成本大于投资时应享有被投资单</w:t>
      </w:r>
    </w:p>
    <w:p>
      <w:pPr>
        <w:pStyle w:val="Heading7"/>
        <w:spacing w:line="273" w:lineRule="auto"/>
        <w:ind w:right="1131"/>
        <w:jc w:val="both"/>
      </w:pPr>
      <w:r>
        <w:rPr>
          <w:spacing w:val="-1"/>
        </w:rPr>
        <w:t>位可辨认净资产公允价值份额的差额，不调整长期股权投资的初始投资成本；初始投资成本小于投资时应</w:t>
      </w:r>
      <w:r>
        <w:rPr>
          <w:spacing w:val="-81"/>
        </w:rPr>
        <w:t> </w:t>
      </w:r>
      <w:r>
        <w:rPr>
          <w:spacing w:val="-81"/>
        </w:rPr>
      </w:r>
      <w:r>
        <w:rPr/>
        <w:t>享有被投资单位可辨认净资产公允价值份额的差额，计入当期损益。</w:t>
      </w:r>
    </w:p>
    <w:p>
      <w:pPr>
        <w:pStyle w:val="Heading7"/>
        <w:spacing w:line="273" w:lineRule="auto" w:before="8"/>
        <w:ind w:right="1131" w:firstLine="420"/>
        <w:jc w:val="both"/>
      </w:pPr>
      <w:r>
        <w:rPr>
          <w:spacing w:val="-1"/>
        </w:rPr>
        <w:t>公司按照应享有或应分担的被投资单位实现的净损益和其他综合收益的份额，分别确认投资收益和其</w:t>
      </w:r>
      <w:r>
        <w:rPr/>
        <w:t> </w:t>
      </w:r>
      <w:r>
        <w:rPr>
          <w:spacing w:val="-1"/>
        </w:rPr>
        <w:t>他综合收益，同时调整长期股权投资的账面价值；按照被投资单位宣告分派的利润或现金股利计算应享有</w:t>
      </w:r>
      <w:r>
        <w:rPr>
          <w:spacing w:val="-81"/>
        </w:rPr>
        <w:t> </w:t>
      </w:r>
      <w:r>
        <w:rPr>
          <w:spacing w:val="-81"/>
        </w:rPr>
      </w:r>
      <w:r>
        <w:rPr>
          <w:spacing w:val="-1"/>
        </w:rPr>
        <w:t>的部分，相应减少长期股权投资的账面价值；对于被投资单位除净损益、其他综合收益和利润分配以外所</w:t>
      </w:r>
      <w:r>
        <w:rPr>
          <w:spacing w:val="-83"/>
        </w:rPr>
        <w:t> </w:t>
      </w:r>
      <w:r>
        <w:rPr>
          <w:spacing w:val="-83"/>
        </w:rPr>
      </w:r>
      <w:r>
        <w:rPr/>
        <w:t>有者权益的其他变动，调整长期股权投资的账面价值并计入所有者权益。</w:t>
      </w:r>
    </w:p>
    <w:p>
      <w:pPr>
        <w:pStyle w:val="Heading7"/>
        <w:spacing w:line="273" w:lineRule="auto"/>
        <w:ind w:right="0" w:firstLine="420"/>
        <w:jc w:val="left"/>
      </w:pPr>
      <w:r>
        <w:rPr>
          <w:spacing w:val="-1"/>
        </w:rPr>
        <w:t>在确认应享有被投资单位净损益的份额时，以取得投资时被投资单位可辨认净资产的公允价值为基础，</w:t>
      </w:r>
      <w:r>
        <w:rPr/>
        <w:t> 并按照公司的会计政策及会计期间，对被投资单位的净利润进行调整后确认。在持有投资期间，被投资单 位编制合并财务报表的，以合并财务报表中的净利润、其他综合收益和其他所有者权益变动中归属于被投 资单位的金额为基础进行核算。</w:t>
      </w:r>
    </w:p>
    <w:p>
      <w:pPr>
        <w:pStyle w:val="Heading7"/>
        <w:spacing w:line="266" w:lineRule="auto"/>
        <w:ind w:right="0" w:firstLine="420"/>
        <w:jc w:val="left"/>
      </w:pPr>
      <w:r>
        <w:rPr>
          <w:spacing w:val="-1"/>
        </w:rPr>
        <w:t>公司与联营企业、合营企业之间发生的未实现内部交易损益按照应享有的比例计算归属于公司的部分，</w:t>
      </w:r>
      <w:r>
        <w:rPr/>
        <w:t> 予以抵销，在此基础上确认投资收益。与被投资单位发生的未实现内部交易损失，属于资产减值损失的，</w:t>
      </w:r>
      <w:r>
        <w:rPr>
          <w:spacing w:val="-35"/>
        </w:rPr>
        <w:t> </w:t>
      </w:r>
      <w:r>
        <w:rPr>
          <w:spacing w:val="-35"/>
        </w:rPr>
      </w:r>
      <w:r>
        <w:rPr/>
        <w:t>全额确认。公司与联营企业、合营企业之间发生投出或出售资产的交易，该资产构成业务的，按照本附注</w:t>
      </w:r>
      <w:r>
        <w:rPr/>
        <w:t> </w:t>
      </w:r>
      <w:r>
        <w:rPr>
          <w:rFonts w:ascii="Calibri" w:hAnsi="Calibri" w:cs="Calibri" w:eastAsia="Calibri" w:hint="default"/>
        </w:rPr>
        <w:t>“</w:t>
      </w:r>
      <w:r>
        <w:rPr/>
        <w:t>五、</w:t>
      </w:r>
      <w:r>
        <w:rPr>
          <w:rFonts w:ascii="宋体" w:hAnsi="宋体" w:cs="宋体" w:eastAsia="宋体" w:hint="default"/>
        </w:rPr>
        <w:t>5</w:t>
      </w:r>
      <w:r>
        <w:rPr/>
        <w:t>、同一控制下和非同一控制下企业合并的会计处理方法</w:t>
      </w:r>
      <w:r>
        <w:rPr>
          <w:rFonts w:ascii="Calibri" w:hAnsi="Calibri" w:cs="Calibri" w:eastAsia="Calibri" w:hint="default"/>
        </w:rPr>
        <w:t>”</w:t>
      </w:r>
      <w:r>
        <w:rPr/>
        <w:t>和</w:t>
      </w:r>
      <w:r>
        <w:rPr>
          <w:rFonts w:ascii="Calibri" w:hAnsi="Calibri" w:cs="Calibri" w:eastAsia="Calibri" w:hint="default"/>
        </w:rPr>
        <w:t>“</w:t>
      </w:r>
      <w:r>
        <w:rPr/>
        <w:t>五、</w:t>
      </w:r>
      <w:r>
        <w:rPr>
          <w:rFonts w:ascii="宋体" w:hAnsi="宋体" w:cs="宋体" w:eastAsia="宋体" w:hint="default"/>
        </w:rPr>
        <w:t>6</w:t>
      </w:r>
      <w:r>
        <w:rPr/>
        <w:t>、合并财务报表的编制方法</w:t>
      </w:r>
      <w:r>
        <w:rPr>
          <w:rFonts w:ascii="Calibri" w:hAnsi="Calibri" w:cs="Calibri" w:eastAsia="Calibri" w:hint="default"/>
        </w:rPr>
        <w:t>”</w:t>
      </w:r>
      <w:r>
        <w:rPr/>
        <w:t>中披 露的相关政策进行会计处理。</w:t>
      </w:r>
    </w:p>
    <w:p>
      <w:pPr>
        <w:pStyle w:val="Heading7"/>
        <w:spacing w:line="273" w:lineRule="auto" w:before="14"/>
        <w:ind w:left="154" w:right="1131" w:firstLine="420"/>
        <w:jc w:val="both"/>
      </w:pPr>
      <w:r>
        <w:rPr>
          <w:spacing w:val="-1"/>
        </w:rPr>
        <w:t>在公司确认应分担被投资单位发生的亏损时，按照以下顺序进行处理：首先，冲减长期股权投资的账</w:t>
      </w:r>
      <w:r>
        <w:rPr/>
        <w:t> </w:t>
      </w:r>
      <w:r>
        <w:rPr>
          <w:spacing w:val="-1"/>
        </w:rPr>
        <w:t>面价值。其次，长期股权投资的账面价值不足以冲减的，以其他实质上构成对被投资单位净投资的长期权</w:t>
      </w:r>
      <w:r>
        <w:rPr>
          <w:spacing w:val="-83"/>
        </w:rPr>
        <w:t> </w:t>
      </w:r>
      <w:r>
        <w:rPr>
          <w:spacing w:val="-83"/>
        </w:rPr>
      </w:r>
      <w:r>
        <w:rPr>
          <w:spacing w:val="-1"/>
        </w:rPr>
        <w:t>益账面价值为限继续确认投资损失，冲减长期应收项目等的账面价值。最后，经过上述处理，按照投资合</w:t>
      </w:r>
      <w:r>
        <w:rPr>
          <w:spacing w:val="-86"/>
        </w:rPr>
        <w:t> </w:t>
      </w:r>
      <w:r>
        <w:rPr>
          <w:spacing w:val="-86"/>
        </w:rPr>
      </w:r>
      <w:r>
        <w:rPr/>
        <w:t>同或协议约定企业仍承担额外义务的，按预计承担的义务确认预计负债，计入当期投资损失。</w:t>
      </w:r>
    </w:p>
    <w:p>
      <w:pPr>
        <w:pStyle w:val="Heading7"/>
        <w:spacing w:line="273" w:lineRule="auto"/>
        <w:ind w:left="574" w:right="3612"/>
        <w:jc w:val="left"/>
      </w:pPr>
      <w:r>
        <w:rPr/>
        <w:t>③长期股权投资的处置 处置长期股权投资，其账面价值与实际取得价款的差额，计入当期损益。</w:t>
      </w:r>
    </w:p>
    <w:p>
      <w:pPr>
        <w:pStyle w:val="Heading7"/>
        <w:spacing w:line="273" w:lineRule="auto"/>
        <w:ind w:right="1131" w:firstLine="420"/>
        <w:jc w:val="both"/>
      </w:pPr>
      <w:r>
        <w:rPr>
          <w:spacing w:val="-1"/>
        </w:rPr>
        <w:t>采用权益法核算的长期股权投资，在处置该项投资时，采用与被投资单位直接处置相关资产或负债相</w:t>
      </w:r>
      <w:r>
        <w:rPr/>
        <w:t> </w:t>
      </w:r>
      <w:r>
        <w:rPr>
          <w:spacing w:val="-1"/>
        </w:rPr>
        <w:t>同的基础，按相应比例对原计入其他综合收益的部分进行会计处理。因被投资单位除净损益、其他综合收</w:t>
      </w:r>
      <w:r>
        <w:rPr>
          <w:spacing w:val="-83"/>
        </w:rPr>
        <w:t> </w:t>
      </w:r>
      <w:r>
        <w:rPr>
          <w:spacing w:val="-83"/>
        </w:rPr>
      </w:r>
      <w:r>
        <w:rPr>
          <w:spacing w:val="-1"/>
        </w:rPr>
        <w:t>益和利润分配以外的其他所有者权益变动而确认的所有者权益，按比例结转入当期损益，由于被投资方重</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7"/>
        <w:spacing w:line="273" w:lineRule="auto" w:before="35"/>
        <w:ind w:left="573" w:right="0" w:hanging="420"/>
        <w:jc w:val="left"/>
      </w:pPr>
      <w:r>
        <w:rPr/>
        <w:t>新计量设定受益计划净负债或净资产变动而产生的其他综合收益除外。 </w:t>
      </w:r>
      <w:r>
        <w:rPr>
          <w:spacing w:val="-1"/>
        </w:rPr>
        <w:t>因处置部分股权投资等原因丧失了对被投资单位的共同控制或重大影响的，处置后的剩余股权改按金</w:t>
      </w:r>
    </w:p>
    <w:p>
      <w:pPr>
        <w:pStyle w:val="Heading7"/>
        <w:spacing w:line="273" w:lineRule="auto"/>
        <w:ind w:right="1131"/>
        <w:jc w:val="both"/>
      </w:pPr>
      <w:r>
        <w:rPr>
          <w:spacing w:val="-1"/>
        </w:rPr>
        <w:t>融工具确认和计量准则核算，其在丧失共同控制或重大影响之日的公允价值与账面价值之间的差额计入当</w:t>
      </w:r>
      <w:r>
        <w:rPr>
          <w:spacing w:val="-81"/>
        </w:rPr>
        <w:t> </w:t>
      </w:r>
      <w:r>
        <w:rPr>
          <w:spacing w:val="-81"/>
        </w:rPr>
      </w:r>
      <w:r>
        <w:rPr>
          <w:spacing w:val="-1"/>
        </w:rPr>
        <w:t>期损益。原股权投资因采用权益法核算而确认的其他综合收益，在终止采用权益法核算时采用与被投资单</w:t>
      </w:r>
      <w:r>
        <w:rPr>
          <w:spacing w:val="-81"/>
        </w:rPr>
        <w:t> </w:t>
      </w:r>
      <w:r>
        <w:rPr>
          <w:spacing w:val="-81"/>
        </w:rPr>
      </w:r>
      <w:r>
        <w:rPr>
          <w:spacing w:val="-1"/>
        </w:rPr>
        <w:t>位直接处置相关资产或负债相同的基础进行会计处理。因被投资方除净损益、其他综合收益和利润分配以</w:t>
      </w:r>
      <w:r>
        <w:rPr>
          <w:spacing w:val="-81"/>
        </w:rPr>
        <w:t> </w:t>
      </w:r>
      <w:r>
        <w:rPr>
          <w:spacing w:val="-81"/>
        </w:rPr>
      </w:r>
      <w:r>
        <w:rPr/>
        <w:t>外的其他所有者权益变动而确认的所有者权益，在终止采用权益法核算时全部转入当期损益。</w:t>
      </w:r>
    </w:p>
    <w:p>
      <w:pPr>
        <w:pStyle w:val="Heading7"/>
        <w:spacing w:line="273" w:lineRule="auto"/>
        <w:ind w:right="1131" w:firstLine="420"/>
        <w:jc w:val="both"/>
      </w:pPr>
      <w:r>
        <w:rPr>
          <w:spacing w:val="-1"/>
        </w:rPr>
        <w:t>因处置部分股权投资、因其他投资方对子公司增资而导致本公司持股比例下降等原因丧失了对被投资</w:t>
      </w:r>
      <w:r>
        <w:rPr/>
        <w:t> </w:t>
      </w:r>
      <w:r>
        <w:rPr>
          <w:spacing w:val="-1"/>
        </w:rPr>
        <w:t>单位控制权的，在编制个别财务报表时，剩余股权能够对被投资单位实施共同控制或重大影响的，改按权</w:t>
      </w:r>
      <w:r>
        <w:rPr>
          <w:spacing w:val="-83"/>
        </w:rPr>
        <w:t> </w:t>
      </w:r>
      <w:r>
        <w:rPr>
          <w:spacing w:val="-83"/>
        </w:rPr>
      </w:r>
      <w:r>
        <w:rPr>
          <w:spacing w:val="-1"/>
        </w:rPr>
        <w:t>益法核算，并对该剩余股权视同自取得时即采用权益法核算进行调整；剩余股权不能对被投资单位实施共</w:t>
      </w:r>
      <w:r>
        <w:rPr>
          <w:spacing w:val="-81"/>
        </w:rPr>
        <w:t> </w:t>
      </w:r>
      <w:r>
        <w:rPr>
          <w:spacing w:val="-81"/>
        </w:rPr>
      </w:r>
      <w:r>
        <w:rPr>
          <w:spacing w:val="-1"/>
        </w:rPr>
        <w:t>同控制或施加重大影响的，改按金融工具确认和计量准则的有关规定进行会计处理，其在丧失控制之日的</w:t>
      </w:r>
      <w:r>
        <w:rPr>
          <w:spacing w:val="-81"/>
        </w:rPr>
        <w:t> </w:t>
      </w:r>
      <w:r>
        <w:rPr>
          <w:spacing w:val="-81"/>
        </w:rPr>
      </w:r>
      <w:r>
        <w:rPr/>
        <w:t>公允价值与账面价值间的差额计入当期损益。</w:t>
      </w:r>
    </w:p>
    <w:p>
      <w:pPr>
        <w:pStyle w:val="Heading7"/>
        <w:spacing w:line="273" w:lineRule="auto"/>
        <w:ind w:right="1131" w:firstLine="420"/>
        <w:jc w:val="both"/>
      </w:pPr>
      <w:r>
        <w:rPr>
          <w:spacing w:val="-1"/>
        </w:rPr>
        <w:t>处置的股权是因追加投资等原因通过企业合并取得的，在编制个别财务报表时，处置后的剩余股权采</w:t>
      </w:r>
      <w:r>
        <w:rPr/>
        <w:t> </w:t>
      </w:r>
      <w:r>
        <w:rPr>
          <w:spacing w:val="-1"/>
        </w:rPr>
        <w:t>用成本法或权益法核算的，购买日之前持有的股权投资因采用权益法核算而确认的其他综合收益和其他所</w:t>
      </w:r>
      <w:r>
        <w:rPr>
          <w:spacing w:val="-81"/>
        </w:rPr>
        <w:t> </w:t>
      </w:r>
      <w:r>
        <w:rPr>
          <w:spacing w:val="-81"/>
        </w:rPr>
      </w:r>
      <w:r>
        <w:rPr>
          <w:spacing w:val="-1"/>
        </w:rPr>
        <w:t>有者权益按比例结转；处置后的剩余股权改按金融工具确认和计量准则进行会计处理的，其他综合收益和</w:t>
      </w:r>
      <w:r>
        <w:rPr>
          <w:spacing w:val="-81"/>
        </w:rPr>
        <w:t> </w:t>
      </w:r>
      <w:r>
        <w:rPr>
          <w:spacing w:val="-81"/>
        </w:rPr>
      </w:r>
      <w:r>
        <w:rPr/>
        <w:t>其他所有者权益全部结转。</w:t>
      </w:r>
    </w:p>
    <w:p>
      <w:pPr>
        <w:spacing w:line="240" w:lineRule="auto" w:before="8"/>
        <w:rPr>
          <w:rFonts w:ascii="宋体" w:hAnsi="宋体" w:cs="宋体" w:eastAsia="宋体" w:hint="default"/>
          <w:sz w:val="23"/>
          <w:szCs w:val="23"/>
        </w:rPr>
      </w:pPr>
    </w:p>
    <w:p>
      <w:pPr>
        <w:pStyle w:val="Heading6"/>
        <w:spacing w:line="240" w:lineRule="auto"/>
        <w:ind w:right="0"/>
        <w:jc w:val="left"/>
        <w:rPr>
          <w:b w:val="0"/>
          <w:bCs w:val="0"/>
        </w:rPr>
      </w:pPr>
      <w:bookmarkStart w:name="15、投资性房地产" w:id="184"/>
      <w:bookmarkEnd w:id="184"/>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8952"/>
        <w:jc w:val="left"/>
      </w:pPr>
      <w:r>
        <w:rPr/>
        <w:t>投资性房地产计量模式 成本法计量 折旧或摊销方法</w:t>
      </w:r>
    </w:p>
    <w:p>
      <w:pPr>
        <w:pStyle w:val="Heading7"/>
        <w:spacing w:line="273" w:lineRule="auto" w:before="0"/>
        <w:ind w:left="154" w:right="0" w:firstLine="420"/>
        <w:jc w:val="left"/>
      </w:pPr>
      <w:r>
        <w:rPr/>
        <w:t>投资性房地产是指为赚取租金或资本增值，或两者兼有而持有的房地产，包括已出租的土地使用权、 持有并准备增值后转让的土地使用权、已出租的建筑物（含自行建造或开发活动完成后用于出租的建筑物 以及正在建造或开发过程中将来用于出租的建筑物）。</w:t>
      </w:r>
    </w:p>
    <w:p>
      <w:pPr>
        <w:pStyle w:val="Heading7"/>
        <w:spacing w:line="273" w:lineRule="auto"/>
        <w:ind w:right="1132" w:firstLine="420"/>
        <w:jc w:val="both"/>
      </w:pPr>
      <w:r>
        <w:rPr>
          <w:spacing w:val="-1"/>
        </w:rPr>
        <w:t>公司对现有投资性房地产采用成本模式计量。对按照成本模式计量的投资性房地产－出租用建筑物采</w:t>
      </w:r>
      <w:r>
        <w:rPr/>
        <w:t> 用与本公司固定资产相同的折旧政策，出租用土地使用权按与无形资产相同的摊销政策执行。</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6"/>
        <w:spacing w:line="240" w:lineRule="auto"/>
        <w:ind w:right="0"/>
        <w:jc w:val="left"/>
        <w:rPr>
          <w:b w:val="0"/>
          <w:bCs w:val="0"/>
        </w:rPr>
      </w:pPr>
      <w:bookmarkStart w:name="16、固定资产" w:id="185"/>
      <w:bookmarkEnd w:id="185"/>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确认条件" w:id="186"/>
      <w:bookmarkEnd w:id="186"/>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right="1131" w:firstLine="360"/>
        <w:jc w:val="both"/>
      </w:pPr>
      <w:r>
        <w:rPr>
          <w:spacing w:val="-2"/>
        </w:rPr>
        <w:t>固定资产指为生产商品、提供劳务、出租或经营管理而持有，并且使用寿命超过一个会计年度的有形资产。固定资产在</w:t>
      </w:r>
      <w:r>
        <w:rPr/>
        <w:t> </w:t>
      </w:r>
      <w:r>
        <w:rPr>
          <w:spacing w:val="-8"/>
        </w:rPr>
        <w:t>同时满足下列条件时予以确认：（</w:t>
      </w:r>
      <w:r>
        <w:rPr>
          <w:rFonts w:ascii="Times New Roman" w:hAnsi="Times New Roman" w:cs="Times New Roman" w:eastAsia="Times New Roman" w:hint="default"/>
          <w:spacing w:val="-8"/>
        </w:rPr>
        <w:t>1</w:t>
      </w:r>
      <w:r>
        <w:rPr>
          <w:spacing w:val="-8"/>
        </w:rPr>
        <w:t>）与该固定资产有关的经济利益很可能流入企业；（</w:t>
      </w:r>
      <w:r>
        <w:rPr>
          <w:rFonts w:ascii="Times New Roman" w:hAnsi="Times New Roman" w:cs="Times New Roman" w:eastAsia="Times New Roman" w:hint="default"/>
          <w:spacing w:val="-8"/>
        </w:rPr>
        <w:t>2</w:t>
      </w:r>
      <w:r>
        <w:rPr>
          <w:spacing w:val="-8"/>
        </w:rPr>
        <w:t>）该固定资产的成本能够可靠地计量。</w:t>
      </w:r>
    </w:p>
    <w:p>
      <w:pPr>
        <w:spacing w:line="240" w:lineRule="auto" w:before="10"/>
        <w:rPr>
          <w:rFonts w:ascii="宋体" w:hAnsi="宋体" w:cs="宋体" w:eastAsia="宋体" w:hint="default"/>
          <w:sz w:val="20"/>
          <w:szCs w:val="20"/>
        </w:rPr>
      </w:pPr>
    </w:p>
    <w:p>
      <w:pPr>
        <w:pStyle w:val="Heading6"/>
        <w:spacing w:line="240" w:lineRule="auto"/>
        <w:ind w:right="0"/>
        <w:jc w:val="left"/>
        <w:rPr>
          <w:b w:val="0"/>
          <w:bCs w:val="0"/>
        </w:rPr>
      </w:pPr>
      <w:bookmarkStart w:name="（2）折旧方法" w:id="187"/>
      <w:bookmarkEnd w:id="187"/>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left="153" w:right="1133" w:firstLine="360"/>
        <w:jc w:val="both"/>
      </w:pPr>
      <w:r>
        <w:rPr>
          <w:spacing w:val="-2"/>
        </w:rPr>
        <w:t>固定资产折旧采用年限平均法分类计提，根据固定资产类别、预计使用寿命和预计净残值率确定折旧率。如固定资产各</w:t>
      </w:r>
      <w:r>
        <w:rPr/>
        <w:t> 组成部分的使用寿命不同或者以不同方式为企业提供经济利益，则选择不同折旧率或折旧方法，分别计提折旧。</w:t>
      </w:r>
    </w:p>
    <w:p>
      <w:pPr>
        <w:pStyle w:val="BodyText"/>
        <w:spacing w:line="240" w:lineRule="auto" w:before="58"/>
        <w:ind w:left="513" w:right="0"/>
        <w:jc w:val="left"/>
      </w:pPr>
      <w:r>
        <w:rPr/>
        <w:t>各类固定资产折旧方法、折旧年限、残值率和年折旧率如下：</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70"/>
              <w:jc w:val="right"/>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1"/>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33.33</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3）融资租入固定资产的认定依据、计价和折旧方法" w:id="188"/>
      <w:bookmarkEnd w:id="188"/>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54" w:right="0"/>
        <w:jc w:val="left"/>
        <w:rPr>
          <w:b w:val="0"/>
          <w:bCs w:val="0"/>
        </w:rPr>
      </w:pPr>
      <w:bookmarkStart w:name="17、在建工程" w:id="189"/>
      <w:bookmarkEnd w:id="189"/>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7"/>
        <w:rPr>
          <w:rFonts w:ascii="宋体" w:hAnsi="宋体" w:cs="宋体" w:eastAsia="宋体" w:hint="default"/>
          <w:b/>
          <w:bCs/>
          <w:sz w:val="24"/>
          <w:szCs w:val="24"/>
        </w:rPr>
      </w:pPr>
    </w:p>
    <w:p>
      <w:pPr>
        <w:pStyle w:val="Heading7"/>
        <w:spacing w:line="273" w:lineRule="auto" w:before="0"/>
        <w:ind w:left="154" w:right="1023" w:firstLine="420"/>
        <w:jc w:val="left"/>
      </w:pPr>
      <w:r>
        <w:rPr/>
        <w:t>在建工程项目按建造该项资产达到预定可使用状态前所发生的必要支出，作为固定资产的入账价值。 </w:t>
      </w:r>
      <w:r>
        <w:rPr>
          <w:spacing w:val="-3"/>
        </w:rPr>
        <w:t>所建造的固定资产在工程已达到预定可使用状态，但尚未办理竣工决算的，自达到预定可使用状态之日起，</w:t>
      </w:r>
      <w:r>
        <w:rPr>
          <w:spacing w:val="-92"/>
        </w:rPr>
        <w:t> </w:t>
      </w:r>
      <w:r>
        <w:rPr>
          <w:spacing w:val="-92"/>
        </w:rPr>
      </w:r>
      <w:r>
        <w:rPr/>
        <w:t>根据工程预算、造价或者工程实际成本等，按估计的价值转入固定资产，并按本公司固定资产折旧政策计</w:t>
      </w:r>
      <w:r>
        <w:rPr/>
        <w:t> </w:t>
      </w:r>
      <w:r>
        <w:rPr>
          <w:spacing w:val="-5"/>
        </w:rPr>
        <w:t>提固定资产的折旧，待办理竣工决算后，再按实际成本调整原来的暂估价值，但不调整原已计提的折旧额。</w:t>
      </w:r>
    </w:p>
    <w:p>
      <w:pPr>
        <w:spacing w:line="240" w:lineRule="auto" w:before="8"/>
        <w:rPr>
          <w:rFonts w:ascii="宋体" w:hAnsi="宋体" w:cs="宋体" w:eastAsia="宋体" w:hint="default"/>
          <w:sz w:val="23"/>
          <w:szCs w:val="23"/>
        </w:rPr>
      </w:pPr>
    </w:p>
    <w:p>
      <w:pPr>
        <w:pStyle w:val="Heading6"/>
        <w:spacing w:line="240" w:lineRule="auto"/>
        <w:ind w:left="154" w:right="0"/>
        <w:jc w:val="left"/>
        <w:rPr>
          <w:b w:val="0"/>
          <w:bCs w:val="0"/>
        </w:rPr>
      </w:pPr>
      <w:bookmarkStart w:name="18、借款费用" w:id="190"/>
      <w:bookmarkEnd w:id="190"/>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8"/>
        <w:rPr>
          <w:rFonts w:ascii="宋体" w:hAnsi="宋体" w:cs="宋体" w:eastAsia="宋体" w:hint="default"/>
          <w:b/>
          <w:bCs/>
          <w:sz w:val="24"/>
          <w:szCs w:val="24"/>
        </w:rPr>
      </w:pPr>
    </w:p>
    <w:p>
      <w:pPr>
        <w:pStyle w:val="Heading7"/>
        <w:spacing w:line="264" w:lineRule="auto" w:before="0"/>
        <w:ind w:left="573" w:right="0" w:hanging="420"/>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）、借款费用资本化的确认原则</w:t>
      </w:r>
      <w:r>
        <w:rPr>
          <w:rFonts w:ascii="宋体" w:hAnsi="宋体" w:cs="宋体" w:eastAsia="宋体" w:hint="default"/>
          <w:b/>
          <w:bCs/>
          <w:w w:val="99"/>
        </w:rPr>
        <w:t> </w:t>
      </w:r>
      <w:r>
        <w:rPr/>
        <w:t>借款费用，包括借款利息、折价或者溢价的摊销、辅助费用以及因外币借款而发生的汇兑差额等。 </w:t>
      </w:r>
      <w:r>
        <w:rPr>
          <w:spacing w:val="-1"/>
        </w:rPr>
        <w:t>公司发生的借款费用，可直接归属于符合资本化条件的资产的购建或者生产的，予以资本化，计入相</w:t>
      </w:r>
    </w:p>
    <w:p>
      <w:pPr>
        <w:pStyle w:val="Heading7"/>
        <w:spacing w:line="273" w:lineRule="auto" w:before="16"/>
        <w:ind w:left="573" w:right="0" w:hanging="420"/>
        <w:jc w:val="left"/>
      </w:pPr>
      <w:r>
        <w:rPr/>
        <w:t>关资产成本；其他借款费用，在发生时根据其发生额确认为费用，计入当期损益。 </w:t>
      </w:r>
      <w:r>
        <w:rPr>
          <w:spacing w:val="-1"/>
        </w:rPr>
        <w:t>符合资本化条件的资产，是指需要经过相当长时间的购建或者生产活动才能达到预定可使用或者可销</w:t>
      </w:r>
    </w:p>
    <w:p>
      <w:pPr>
        <w:pStyle w:val="Heading7"/>
        <w:spacing w:line="273" w:lineRule="auto"/>
        <w:ind w:left="574" w:right="6132" w:hanging="420"/>
        <w:jc w:val="left"/>
      </w:pPr>
      <w:r>
        <w:rPr/>
        <w:t>售状态的固定资产、投资性房地产和存货等资产。 借款费用同时满足下列条件时开始资本化：</w:t>
      </w:r>
    </w:p>
    <w:p>
      <w:pPr>
        <w:pStyle w:val="Heading7"/>
        <w:spacing w:line="273" w:lineRule="auto"/>
        <w:ind w:left="154" w:right="0" w:firstLine="420"/>
        <w:jc w:val="left"/>
      </w:pPr>
      <w:r>
        <w:rPr>
          <w:spacing w:val="-1"/>
        </w:rPr>
        <w:t>①资产支出已经发生，资产支出包括为购建或者生产符合资本化条件的资产而以支付现金、转移非现</w:t>
      </w:r>
      <w:r>
        <w:rPr/>
        <w:t> 金资产或者承担带息债务形式发生的支出；</w:t>
      </w:r>
    </w:p>
    <w:p>
      <w:pPr>
        <w:pStyle w:val="Heading7"/>
        <w:spacing w:line="240" w:lineRule="auto"/>
        <w:ind w:left="574" w:right="0"/>
        <w:jc w:val="left"/>
      </w:pPr>
      <w:r>
        <w:rPr/>
        <w:t>②借款费用已经发生；</w:t>
      </w:r>
    </w:p>
    <w:p>
      <w:pPr>
        <w:pStyle w:val="Heading7"/>
        <w:spacing w:line="240" w:lineRule="auto" w:before="37"/>
        <w:ind w:left="574" w:right="0"/>
        <w:jc w:val="left"/>
      </w:pPr>
      <w:r>
        <w:rPr/>
        <w:t>③为使资产达到预定可使用或者可销售状态所必要的购建或者生产活动已经开始。</w:t>
      </w:r>
    </w:p>
    <w:p>
      <w:pPr>
        <w:spacing w:line="256" w:lineRule="auto" w:before="37"/>
        <w:ind w:left="573"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99"/>
          <w:sz w:val="21"/>
          <w:szCs w:val="21"/>
        </w:rPr>
        <w:t> </w:t>
      </w:r>
      <w:r>
        <w:rPr>
          <w:rFonts w:ascii="宋体" w:hAnsi="宋体" w:cs="宋体" w:eastAsia="宋体" w:hint="default"/>
          <w:spacing w:val="-1"/>
          <w:sz w:val="21"/>
          <w:szCs w:val="21"/>
        </w:rPr>
        <w:t>资本化期间，指从借款费用开始资本化时点到停止资本化时点的期间，借款费用暂停资本化的期间不</w:t>
      </w:r>
    </w:p>
    <w:p>
      <w:pPr>
        <w:pStyle w:val="Heading7"/>
        <w:spacing w:line="240" w:lineRule="auto" w:before="22"/>
        <w:ind w:right="0"/>
        <w:jc w:val="left"/>
      </w:pPr>
      <w:r>
        <w:rPr/>
        <w:t>包括在内。</w:t>
      </w:r>
    </w:p>
    <w:p>
      <w:pPr>
        <w:pStyle w:val="Heading7"/>
        <w:spacing w:line="273" w:lineRule="auto" w:before="37"/>
        <w:ind w:left="573" w:right="0"/>
        <w:jc w:val="left"/>
      </w:pPr>
      <w:r>
        <w:rPr/>
        <w:t>当购建或者生产符合资本化条件的资产达到预定可使用或者可销售状态时，借款费用停止资本化。 </w:t>
      </w:r>
      <w:r>
        <w:rPr>
          <w:spacing w:val="-1"/>
        </w:rPr>
        <w:t>当购建或者生产符合资本化条件的资产中部分项目分别完工且可单独使用时，该部分资产借款费用停</w:t>
      </w:r>
    </w:p>
    <w:p>
      <w:pPr>
        <w:pStyle w:val="Heading7"/>
        <w:spacing w:line="240" w:lineRule="auto"/>
        <w:ind w:right="0"/>
        <w:jc w:val="left"/>
      </w:pPr>
      <w:r>
        <w:rPr/>
        <w:t>止资本化。</w:t>
      </w:r>
    </w:p>
    <w:p>
      <w:pPr>
        <w:pStyle w:val="Heading7"/>
        <w:spacing w:line="273" w:lineRule="auto" w:before="37"/>
        <w:ind w:left="154" w:right="0" w:firstLine="420"/>
        <w:jc w:val="left"/>
      </w:pPr>
      <w:r>
        <w:rPr>
          <w:spacing w:val="-1"/>
        </w:rPr>
        <w:t>购建或者生产的资产的各部分分别完工，但必须等到整体完工后才可使用或可对外销售的，在该资产</w:t>
      </w:r>
      <w:r>
        <w:rPr/>
        <w:t> 整体完工时停止借款费用资本化。</w:t>
      </w:r>
    </w:p>
    <w:p>
      <w:pPr>
        <w:spacing w:line="256" w:lineRule="auto" w:before="7"/>
        <w:ind w:left="574" w:right="1197"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）、暂停资本化期间</w:t>
      </w:r>
      <w:r>
        <w:rPr>
          <w:rFonts w:ascii="宋体" w:hAnsi="宋体" w:cs="宋体" w:eastAsia="宋体" w:hint="default"/>
          <w:b/>
          <w:bCs/>
          <w:w w:val="99"/>
          <w:sz w:val="21"/>
          <w:szCs w:val="21"/>
        </w:rPr>
        <w:t> </w:t>
      </w:r>
      <w:r>
        <w:rPr>
          <w:rFonts w:ascii="宋体" w:hAnsi="宋体" w:cs="宋体" w:eastAsia="宋体" w:hint="default"/>
          <w:sz w:val="21"/>
          <w:szCs w:val="21"/>
        </w:rPr>
        <w:t>符合资本化条件的资产在购建或生产过程中发生的非正常中断、且中断时间连续超过</w:t>
      </w:r>
      <w:r>
        <w:rPr>
          <w:rFonts w:ascii="宋体" w:hAnsi="宋体" w:cs="宋体" w:eastAsia="宋体" w:hint="default"/>
          <w:sz w:val="21"/>
          <w:szCs w:val="21"/>
        </w:rPr>
        <w:t>3</w:t>
      </w:r>
      <w:r>
        <w:rPr>
          <w:rFonts w:ascii="宋体" w:hAnsi="宋体" w:cs="宋体" w:eastAsia="宋体" w:hint="default"/>
          <w:sz w:val="21"/>
          <w:szCs w:val="21"/>
        </w:rPr>
        <w:t>个月的，则借</w:t>
      </w:r>
    </w:p>
    <w:p>
      <w:pPr>
        <w:pStyle w:val="Heading7"/>
        <w:spacing w:line="273" w:lineRule="auto" w:before="22"/>
        <w:ind w:right="1131"/>
        <w:jc w:val="both"/>
      </w:pPr>
      <w:r>
        <w:rPr>
          <w:spacing w:val="-1"/>
        </w:rPr>
        <w:t>款费用暂停资本化；该项中断如是所购建或生产的符合资本化条件的资产达到预定可使用状态或者可销售</w:t>
      </w:r>
      <w:r>
        <w:rPr>
          <w:spacing w:val="-81"/>
        </w:rPr>
        <w:t> </w:t>
      </w:r>
      <w:r>
        <w:rPr>
          <w:spacing w:val="-81"/>
        </w:rPr>
      </w:r>
      <w:r>
        <w:rPr>
          <w:spacing w:val="-1"/>
        </w:rPr>
        <w:t>状态必要的程序，则借款费用继续资本化。在中断期间发生的借款费用确认为当期损益，直至资产的购建</w:t>
      </w:r>
      <w:r>
        <w:rPr>
          <w:spacing w:val="-83"/>
        </w:rPr>
        <w:t> </w:t>
      </w:r>
      <w:r>
        <w:rPr>
          <w:spacing w:val="-83"/>
        </w:rPr>
      </w:r>
      <w:r>
        <w:rPr/>
        <w:t>或者生产活动重新开始后借款费用继续资本化。</w:t>
      </w:r>
    </w:p>
    <w:p>
      <w:pPr>
        <w:spacing w:line="256" w:lineRule="auto" w:before="6"/>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）、借款费用资本化率、资本化金额的计算方法</w:t>
      </w:r>
      <w:r>
        <w:rPr>
          <w:rFonts w:ascii="宋体" w:hAnsi="宋体" w:cs="宋体" w:eastAsia="宋体" w:hint="default"/>
          <w:b/>
          <w:bCs/>
          <w:w w:val="99"/>
          <w:sz w:val="21"/>
          <w:szCs w:val="21"/>
        </w:rPr>
        <w:t> </w:t>
      </w:r>
      <w:r>
        <w:rPr>
          <w:rFonts w:ascii="宋体" w:hAnsi="宋体" w:cs="宋体" w:eastAsia="宋体" w:hint="default"/>
          <w:spacing w:val="-1"/>
          <w:sz w:val="21"/>
          <w:szCs w:val="21"/>
        </w:rPr>
        <w:t>对于为购建或者生产符合资本化条件的资产而借入的专门借款，以专门借款当期实际发生的借款费用，</w:t>
      </w:r>
    </w:p>
    <w:p>
      <w:pPr>
        <w:pStyle w:val="Heading7"/>
        <w:spacing w:line="273" w:lineRule="auto" w:before="23"/>
        <w:ind w:left="154" w:right="0"/>
        <w:jc w:val="left"/>
      </w:pPr>
      <w:r>
        <w:rPr>
          <w:spacing w:val="-1"/>
        </w:rPr>
        <w:t>减去尚未动用的借款资金存入银行取得的利息收入或进行暂时性投资取得的投资收益后的金额，来确定借</w:t>
      </w:r>
      <w:r>
        <w:rPr>
          <w:spacing w:val="-81"/>
        </w:rPr>
        <w:t> </w:t>
      </w:r>
      <w:r>
        <w:rPr>
          <w:spacing w:val="-81"/>
        </w:rPr>
      </w:r>
      <w:r>
        <w:rPr/>
        <w:t>款费用的资本化金额。</w:t>
      </w:r>
    </w:p>
    <w:p>
      <w:pPr>
        <w:pStyle w:val="Heading7"/>
        <w:spacing w:line="273" w:lineRule="auto"/>
        <w:ind w:left="154" w:right="0" w:firstLine="420"/>
        <w:jc w:val="left"/>
      </w:pPr>
      <w:r>
        <w:rPr/>
        <w:t>对于为购建或者生产符合资本化条件的资产而占用的一般借款，根据累计资产支出超过专门借款部分 的资产支出加权平均数乘以所占用一般借款的资本化率，计算确定一般借款应予资本化的借款费用金额。</w:t>
      </w:r>
    </w:p>
    <w:p>
      <w:pPr>
        <w:spacing w:after="0" w:line="273" w:lineRule="auto"/>
        <w:jc w:val="left"/>
        <w:sectPr>
          <w:footerReference w:type="default" r:id="rId18"/>
          <w:pgSz w:w="11910" w:h="16840"/>
          <w:pgMar w:footer="979" w:header="747" w:top="1060" w:bottom="1160" w:left="980" w:right="0"/>
        </w:sectPr>
      </w:pPr>
    </w:p>
    <w:p>
      <w:pPr>
        <w:spacing w:line="240" w:lineRule="auto" w:before="9"/>
        <w:rPr>
          <w:rFonts w:ascii="宋体" w:hAnsi="宋体" w:cs="宋体" w:eastAsia="宋体" w:hint="default"/>
          <w:sz w:val="24"/>
          <w:szCs w:val="24"/>
        </w:rPr>
      </w:pPr>
    </w:p>
    <w:p>
      <w:pPr>
        <w:pStyle w:val="Heading7"/>
        <w:spacing w:line="240" w:lineRule="auto" w:before="35"/>
        <w:ind w:right="0"/>
        <w:jc w:val="left"/>
      </w:pPr>
      <w:r>
        <w:rPr/>
        <w:t>资本化率根据一般借款加权平均利率计算确定。</w:t>
      </w:r>
    </w:p>
    <w:p>
      <w:pPr>
        <w:spacing w:line="240" w:lineRule="auto" w:before="11"/>
        <w:rPr>
          <w:rFonts w:ascii="宋体" w:hAnsi="宋体" w:cs="宋体" w:eastAsia="宋体" w:hint="default"/>
          <w:sz w:val="25"/>
          <w:szCs w:val="25"/>
        </w:rPr>
      </w:pPr>
    </w:p>
    <w:p>
      <w:pPr>
        <w:pStyle w:val="Heading6"/>
        <w:spacing w:line="240" w:lineRule="auto"/>
        <w:ind w:right="0"/>
        <w:jc w:val="left"/>
        <w:rPr>
          <w:b w:val="0"/>
          <w:bCs w:val="0"/>
        </w:rPr>
      </w:pPr>
      <w:bookmarkStart w:name="19、生物资产" w:id="191"/>
      <w:bookmarkEnd w:id="191"/>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14" w:right="0"/>
        <w:jc w:val="left"/>
      </w:pPr>
      <w:r>
        <w:rPr/>
        <w:t>无。</w:t>
      </w:r>
    </w:p>
    <w:p>
      <w:pPr>
        <w:spacing w:line="240" w:lineRule="auto" w:before="12"/>
        <w:rPr>
          <w:rFonts w:ascii="宋体" w:hAnsi="宋体" w:cs="宋体" w:eastAsia="宋体" w:hint="default"/>
          <w:sz w:val="26"/>
          <w:szCs w:val="26"/>
        </w:rPr>
      </w:pPr>
    </w:p>
    <w:p>
      <w:pPr>
        <w:pStyle w:val="Heading6"/>
        <w:spacing w:line="240" w:lineRule="auto"/>
        <w:ind w:left="154" w:right="0"/>
        <w:jc w:val="left"/>
        <w:rPr>
          <w:b w:val="0"/>
          <w:bCs w:val="0"/>
        </w:rPr>
      </w:pPr>
      <w:bookmarkStart w:name="20、油气资产" w:id="192"/>
      <w:bookmarkEnd w:id="192"/>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14" w:right="0"/>
        <w:jc w:val="left"/>
      </w:pPr>
      <w:r>
        <w:rPr/>
        <w:t>无。</w:t>
      </w:r>
    </w:p>
    <w:p>
      <w:pPr>
        <w:spacing w:line="240" w:lineRule="auto" w:before="12"/>
        <w:rPr>
          <w:rFonts w:ascii="宋体" w:hAnsi="宋体" w:cs="宋体" w:eastAsia="宋体" w:hint="default"/>
          <w:sz w:val="26"/>
          <w:szCs w:val="26"/>
        </w:rPr>
      </w:pPr>
    </w:p>
    <w:p>
      <w:pPr>
        <w:pStyle w:val="Heading6"/>
        <w:spacing w:line="240" w:lineRule="auto"/>
        <w:ind w:left="154" w:right="0"/>
        <w:jc w:val="left"/>
        <w:rPr>
          <w:b w:val="0"/>
          <w:bCs w:val="0"/>
        </w:rPr>
      </w:pPr>
      <w:bookmarkStart w:name="21、无形资产" w:id="193"/>
      <w:bookmarkEnd w:id="193"/>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计价方法、使用寿命、减值测试" w:id="194"/>
      <w:bookmarkEnd w:id="194"/>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left="154" w:right="0"/>
        <w:jc w:val="left"/>
        <w:rPr>
          <w:b w:val="0"/>
          <w:bCs w:val="0"/>
        </w:rPr>
      </w:pPr>
      <w:r>
        <w:rPr>
          <w:rFonts w:ascii="Times New Roman" w:hAnsi="Times New Roman" w:cs="Times New Roman" w:eastAsia="Times New Roman" w:hint="default"/>
        </w:rPr>
        <w:t>1</w:t>
      </w:r>
      <w:r>
        <w:rPr/>
        <w:t>、无形资产的计价方法</w:t>
      </w:r>
      <w:r>
        <w:rPr>
          <w:b w:val="0"/>
          <w:bCs w:val="0"/>
        </w:rPr>
      </w:r>
    </w:p>
    <w:p>
      <w:pPr>
        <w:pStyle w:val="Heading7"/>
        <w:spacing w:line="273" w:lineRule="auto" w:before="21"/>
        <w:ind w:left="574" w:right="0"/>
        <w:jc w:val="left"/>
      </w:pPr>
      <w:r>
        <w:rPr/>
        <w:t>（</w:t>
      </w:r>
      <w:r>
        <w:rPr>
          <w:rFonts w:ascii="宋体" w:hAnsi="宋体" w:cs="宋体" w:eastAsia="宋体" w:hint="default"/>
        </w:rPr>
        <w:t>1</w:t>
      </w:r>
      <w:r>
        <w:rPr/>
        <w:t>）公司取得无形资产时按成本进行初始计量； </w:t>
      </w:r>
      <w:r>
        <w:rPr>
          <w:spacing w:val="-1"/>
        </w:rPr>
        <w:t>外购无形资产的成本，包括购买价款、相关税费以及直接归属于使该项资产达到预定用途所发生的其</w:t>
      </w:r>
    </w:p>
    <w:p>
      <w:pPr>
        <w:pStyle w:val="Heading7"/>
        <w:spacing w:line="273" w:lineRule="auto"/>
        <w:ind w:left="154" w:right="0"/>
        <w:jc w:val="left"/>
      </w:pPr>
      <w:r>
        <w:rPr>
          <w:spacing w:val="-1"/>
        </w:rPr>
        <w:t>他支出。购买无形资产的价款超过正常信用条件延期支付，实质上具有融资性质的，无形资产的成本以购</w:t>
      </w:r>
      <w:r>
        <w:rPr>
          <w:spacing w:val="-83"/>
        </w:rPr>
        <w:t> </w:t>
      </w:r>
      <w:r>
        <w:rPr>
          <w:spacing w:val="-83"/>
        </w:rPr>
      </w:r>
      <w:r>
        <w:rPr/>
        <w:t>买价款的现值为基础确定。</w:t>
      </w:r>
    </w:p>
    <w:p>
      <w:pPr>
        <w:pStyle w:val="Heading7"/>
        <w:spacing w:line="273" w:lineRule="auto"/>
        <w:ind w:left="154" w:right="1131" w:firstLine="420"/>
        <w:jc w:val="both"/>
      </w:pPr>
      <w:r>
        <w:rPr>
          <w:spacing w:val="-1"/>
        </w:rPr>
        <w:t>债务重组取得债务人用以抵债的无形资产，以该无形资产的公允价值为基础确定其入账价值，并将重</w:t>
      </w:r>
      <w:r>
        <w:rPr/>
        <w:t> 组债务的账面价值与该用以抵债的无形资产公允价值之间的差额，计入当期损益。</w:t>
      </w:r>
    </w:p>
    <w:p>
      <w:pPr>
        <w:pStyle w:val="Heading7"/>
        <w:spacing w:line="273" w:lineRule="auto"/>
        <w:ind w:left="154" w:right="1131" w:firstLine="420"/>
        <w:jc w:val="both"/>
      </w:pPr>
      <w:r>
        <w:rPr>
          <w:spacing w:val="-1"/>
        </w:rPr>
        <w:t>在非货币性资产交换具备商业实质且换入资产或换出资产的公允价值能够可靠计量的前提下，非货币</w:t>
      </w:r>
      <w:r>
        <w:rPr/>
        <w:t> </w:t>
      </w:r>
      <w:r>
        <w:rPr>
          <w:spacing w:val="-1"/>
        </w:rPr>
        <w:t>性资产交换换入的无形资产以换出资产的公允价值为基础确定其入账价值，除非有确凿证据表明换入资产</w:t>
      </w:r>
      <w:r>
        <w:rPr>
          <w:spacing w:val="-81"/>
        </w:rPr>
        <w:t> </w:t>
      </w:r>
      <w:r>
        <w:rPr>
          <w:spacing w:val="-81"/>
        </w:rPr>
      </w:r>
      <w:r>
        <w:rPr>
          <w:spacing w:val="-1"/>
        </w:rPr>
        <w:t>的公允价值更加可靠；不满足上述前提的非货币性资产交换，以换出资产的账面价值和应支付的相关税费</w:t>
      </w:r>
      <w:r>
        <w:rPr>
          <w:spacing w:val="-81"/>
        </w:rPr>
        <w:t> </w:t>
      </w:r>
      <w:r>
        <w:rPr>
          <w:spacing w:val="-81"/>
        </w:rPr>
      </w:r>
      <w:r>
        <w:rPr/>
        <w:t>作为换入无形资产的成本，不确认损益。</w:t>
      </w:r>
    </w:p>
    <w:p>
      <w:pPr>
        <w:pStyle w:val="Heading7"/>
        <w:spacing w:line="273" w:lineRule="auto"/>
        <w:ind w:left="574" w:right="6552"/>
        <w:jc w:val="left"/>
      </w:pPr>
      <w:r>
        <w:rPr/>
        <w:t>（</w:t>
      </w:r>
      <w:r>
        <w:rPr>
          <w:rFonts w:ascii="宋体" w:hAnsi="宋体" w:cs="宋体" w:eastAsia="宋体" w:hint="default"/>
        </w:rPr>
        <w:t>2</w:t>
      </w:r>
      <w:r>
        <w:rPr/>
        <w:t>）后续计量 在取得无形资产时分析判断其使用寿命。</w:t>
      </w:r>
    </w:p>
    <w:p>
      <w:pPr>
        <w:pStyle w:val="Heading7"/>
        <w:spacing w:line="273" w:lineRule="auto"/>
        <w:ind w:left="573" w:right="1723"/>
        <w:jc w:val="left"/>
      </w:pPr>
      <w:r>
        <w:rPr/>
        <w:t>对于使用寿命有限的无形资产，在为企业带来经济利益的期限内按直线法摊销； 无法预见无形资产为企业带来经济利益期限的，视为使用寿命不确定的无形资产，不予摊销。</w:t>
      </w:r>
    </w:p>
    <w:p>
      <w:pPr>
        <w:pStyle w:val="Heading6"/>
        <w:spacing w:line="240" w:lineRule="auto" w:before="7"/>
        <w:ind w:right="0"/>
        <w:jc w:val="left"/>
        <w:rPr>
          <w:b w:val="0"/>
          <w:bCs w:val="0"/>
        </w:rPr>
      </w:pP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10"/>
        <w:rPr>
          <w:rFonts w:ascii="宋体" w:hAnsi="宋体" w:cs="宋体" w:eastAsia="宋体" w:hint="default"/>
          <w:b/>
          <w:bCs/>
          <w:sz w:val="2"/>
          <w:szCs w:val="2"/>
        </w:rPr>
      </w:pPr>
    </w:p>
    <w:tbl>
      <w:tblPr>
        <w:tblW w:w="0" w:type="auto"/>
        <w:jc w:val="left"/>
        <w:tblInd w:w="137" w:type="dxa"/>
        <w:tblLayout w:type="fixed"/>
        <w:tblCellMar>
          <w:top w:w="0" w:type="dxa"/>
          <w:left w:w="0" w:type="dxa"/>
          <w:bottom w:w="0" w:type="dxa"/>
          <w:right w:w="0" w:type="dxa"/>
        </w:tblCellMar>
        <w:tblLook w:val="01E0"/>
      </w:tblPr>
      <w:tblGrid>
        <w:gridCol w:w="4658"/>
        <w:gridCol w:w="5001"/>
      </w:tblGrid>
      <w:tr>
        <w:trPr>
          <w:trHeight w:val="347" w:hRule="exact"/>
        </w:trPr>
        <w:tc>
          <w:tcPr>
            <w:tcW w:w="4658" w:type="dxa"/>
            <w:tcBorders>
              <w:top w:val="single" w:sz="6" w:space="0" w:color="000000"/>
              <w:left w:val="single" w:sz="6" w:space="0" w:color="000000"/>
              <w:bottom w:val="single" w:sz="6" w:space="0" w:color="000000"/>
              <w:right w:val="single" w:sz="6" w:space="0" w:color="000000"/>
            </w:tcBorders>
          </w:tcPr>
          <w:p>
            <w:pPr>
              <w:pStyle w:val="TableParagraph"/>
              <w:tabs>
                <w:tab w:pos="419" w:val="left" w:leader="none"/>
              </w:tabs>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500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预计使用寿命</w:t>
            </w:r>
          </w:p>
        </w:tc>
      </w:tr>
      <w:tr>
        <w:trPr>
          <w:trHeight w:val="348" w:hRule="exact"/>
        </w:trPr>
        <w:tc>
          <w:tcPr>
            <w:tcW w:w="465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外购软件</w:t>
            </w:r>
          </w:p>
        </w:tc>
        <w:tc>
          <w:tcPr>
            <w:tcW w:w="500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5-10</w:t>
            </w:r>
            <w:r>
              <w:rPr>
                <w:rFonts w:ascii="宋体" w:hAnsi="宋体" w:cs="宋体" w:eastAsia="宋体" w:hint="default"/>
                <w:sz w:val="21"/>
                <w:szCs w:val="21"/>
              </w:rPr>
              <w:t>年</w:t>
            </w:r>
          </w:p>
        </w:tc>
      </w:tr>
      <w:tr>
        <w:trPr>
          <w:trHeight w:val="347" w:hRule="exact"/>
        </w:trPr>
        <w:tc>
          <w:tcPr>
            <w:tcW w:w="465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500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5-10</w:t>
            </w:r>
            <w:r>
              <w:rPr>
                <w:rFonts w:ascii="宋体" w:hAnsi="宋体" w:cs="宋体" w:eastAsia="宋体" w:hint="default"/>
                <w:sz w:val="21"/>
                <w:szCs w:val="21"/>
              </w:rPr>
              <w:t>年</w:t>
            </w:r>
          </w:p>
        </w:tc>
      </w:tr>
      <w:tr>
        <w:trPr>
          <w:trHeight w:val="347" w:hRule="exact"/>
        </w:trPr>
        <w:tc>
          <w:tcPr>
            <w:tcW w:w="465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域名</w:t>
            </w:r>
          </w:p>
        </w:tc>
        <w:tc>
          <w:tcPr>
            <w:tcW w:w="500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5-10</w:t>
            </w:r>
            <w:r>
              <w:rPr>
                <w:rFonts w:ascii="宋体" w:hAnsi="宋体" w:cs="宋体" w:eastAsia="宋体" w:hint="default"/>
                <w:sz w:val="21"/>
                <w:szCs w:val="21"/>
              </w:rPr>
              <w:t>年</w:t>
            </w:r>
          </w:p>
        </w:tc>
      </w:tr>
    </w:tbl>
    <w:p>
      <w:pPr>
        <w:pStyle w:val="Heading7"/>
        <w:spacing w:line="260" w:lineRule="exact" w:before="0"/>
        <w:ind w:left="574" w:right="0"/>
        <w:jc w:val="left"/>
      </w:pPr>
      <w:r>
        <w:rPr/>
        <w:t>每年度终了，对使用寿命有限的无形资产的使用寿命及摊销方法进行复核。</w:t>
      </w:r>
    </w:p>
    <w:p>
      <w:pPr>
        <w:pStyle w:val="Heading7"/>
        <w:spacing w:line="240" w:lineRule="auto" w:before="37"/>
        <w:ind w:left="573" w:right="0"/>
        <w:jc w:val="left"/>
      </w:pPr>
      <w:r>
        <w:rPr/>
        <w:t>经复核，本年期末无形资产的使用寿命及摊销方法与以前估计未有不同。</w:t>
      </w:r>
    </w:p>
    <w:p>
      <w:pPr>
        <w:spacing w:line="240" w:lineRule="auto" w:before="9"/>
        <w:rPr>
          <w:rFonts w:ascii="宋体" w:hAnsi="宋体" w:cs="宋体" w:eastAsia="宋体" w:hint="default"/>
          <w:sz w:val="26"/>
          <w:szCs w:val="26"/>
        </w:rPr>
      </w:pPr>
    </w:p>
    <w:p>
      <w:pPr>
        <w:spacing w:line="256" w:lineRule="auto" w:before="0"/>
        <w:ind w:left="573"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、使用寿命不确定的无形资产的判断依据以及对其使用寿命进行复核的程序</w:t>
      </w:r>
      <w:r>
        <w:rPr>
          <w:rFonts w:ascii="宋体" w:hAnsi="宋体" w:cs="宋体" w:eastAsia="宋体" w:hint="default"/>
          <w:b/>
          <w:bCs/>
          <w:w w:val="99"/>
          <w:sz w:val="21"/>
          <w:szCs w:val="21"/>
        </w:rPr>
        <w:t> </w:t>
      </w:r>
      <w:r>
        <w:rPr>
          <w:rFonts w:ascii="宋体" w:hAnsi="宋体" w:cs="宋体" w:eastAsia="宋体" w:hint="default"/>
          <w:spacing w:val="-1"/>
          <w:sz w:val="21"/>
          <w:szCs w:val="21"/>
        </w:rPr>
        <w:t>本公司认为在可预见的将来公司拥有的高尔夫权证均会使用并带给本公司预期的经济利益流入，故认</w:t>
      </w:r>
    </w:p>
    <w:p>
      <w:pPr>
        <w:pStyle w:val="Heading7"/>
        <w:spacing w:line="273" w:lineRule="auto" w:before="22"/>
        <w:ind w:left="573" w:right="4663" w:hanging="420"/>
        <w:jc w:val="left"/>
      </w:pPr>
      <w:r>
        <w:rPr/>
        <w:t>定其使用寿命为不确定。 每期末，对使用寿命不确定的无形资产的使用寿命进行复核。 经复核，该类无形资产的使用寿命仍为不确定。</w:t>
      </w:r>
    </w:p>
    <w:p>
      <w:pPr>
        <w:spacing w:after="0" w:line="273" w:lineRule="auto"/>
        <w:jc w:val="left"/>
        <w:sectPr>
          <w:footerReference w:type="default" r:id="rId19"/>
          <w:pgSz w:w="11910" w:h="16840"/>
          <w:pgMar w:footer="979" w:header="747" w:top="1060" w:bottom="1160" w:left="980" w:right="0"/>
          <w:pgNumType w:start="101"/>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2）内部研究开发支出会计政策" w:id="195"/>
      <w:bookmarkEnd w:id="195"/>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4"/>
          <w:szCs w:val="24"/>
        </w:rPr>
      </w:pPr>
    </w:p>
    <w:p>
      <w:pPr>
        <w:spacing w:line="266" w:lineRule="auto" w:before="0"/>
        <w:ind w:left="573" w:right="1303"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划分研究阶段和开发阶段的具体标准</w:t>
      </w:r>
      <w:r>
        <w:rPr>
          <w:rFonts w:ascii="宋体" w:hAnsi="宋体" w:cs="宋体" w:eastAsia="宋体" w:hint="default"/>
          <w:b/>
          <w:bCs/>
          <w:w w:val="99"/>
          <w:sz w:val="21"/>
          <w:szCs w:val="21"/>
        </w:rPr>
        <w:t> </w:t>
      </w:r>
      <w:r>
        <w:rPr>
          <w:rFonts w:ascii="宋体" w:hAnsi="宋体" w:cs="宋体" w:eastAsia="宋体" w:hint="default"/>
          <w:sz w:val="21"/>
          <w:szCs w:val="21"/>
        </w:rPr>
        <w:t>公司内部研究开发项目的支出分为研究阶段支出和开发阶段支出。 研究阶段：为获取并理解新的科学或技术知识等而进行的独创性的有计划调查、研究活动的阶段。</w:t>
      </w:r>
    </w:p>
    <w:p>
      <w:pPr>
        <w:pStyle w:val="Heading7"/>
        <w:spacing w:line="273" w:lineRule="auto" w:before="14"/>
        <w:ind w:right="0" w:firstLine="420"/>
        <w:jc w:val="left"/>
      </w:pPr>
      <w:r>
        <w:rPr>
          <w:spacing w:val="-1"/>
        </w:rPr>
        <w:t>开发阶段：在进行商业性生产或使用前，将研究成果或其他知识应用于某项计划或设计，以生产出新</w:t>
      </w:r>
      <w:r>
        <w:rPr/>
        <w:t> 的或具有实质性改进的材料、装置、产品等活动的阶段。</w:t>
      </w:r>
    </w:p>
    <w:p>
      <w:pPr>
        <w:spacing w:line="240" w:lineRule="auto" w:before="6"/>
        <w:rPr>
          <w:rFonts w:ascii="宋体" w:hAnsi="宋体" w:cs="宋体" w:eastAsia="宋体" w:hint="default"/>
          <w:sz w:val="24"/>
          <w:szCs w:val="24"/>
        </w:rPr>
      </w:pPr>
    </w:p>
    <w:p>
      <w:pPr>
        <w:pStyle w:val="Heading7"/>
        <w:spacing w:line="268" w:lineRule="auto" w:before="0"/>
        <w:ind w:left="573" w:right="4348" w:hanging="420"/>
        <w:jc w:val="left"/>
      </w:pPr>
      <w:r>
        <w:rPr>
          <w:rFonts w:ascii="Times New Roman" w:hAnsi="Times New Roman" w:cs="Times New Roman" w:eastAsia="Times New Roman" w:hint="default"/>
          <w:b/>
          <w:bCs/>
        </w:rPr>
        <w:t>2</w:t>
      </w:r>
      <w:r>
        <w:rPr>
          <w:rFonts w:ascii="宋体" w:hAnsi="宋体" w:cs="宋体" w:eastAsia="宋体" w:hint="default"/>
          <w:b/>
          <w:bCs/>
        </w:rPr>
        <w:t>、开发阶段支出资本化的具体条件</w:t>
      </w:r>
      <w:r>
        <w:rPr>
          <w:rFonts w:ascii="宋体" w:hAnsi="宋体" w:cs="宋体" w:eastAsia="宋体" w:hint="default"/>
          <w:b/>
          <w:bCs/>
          <w:w w:val="99"/>
        </w:rPr>
        <w:t> </w:t>
      </w:r>
      <w:r>
        <w:rPr/>
        <w:t>同时满足下列条件的，确认为无形资产： </w:t>
      </w:r>
      <w:r>
        <w:rPr>
          <w:rFonts w:ascii="宋体" w:hAnsi="宋体" w:cs="宋体" w:eastAsia="宋体" w:hint="default"/>
        </w:rPr>
        <w:t>(1)</w:t>
      </w:r>
      <w:r>
        <w:rPr/>
        <w:t>完成该无形资产以使其能够使用或出售在技术上具有可行性； </w:t>
      </w:r>
      <w:r>
        <w:rPr>
          <w:rFonts w:ascii="宋体" w:hAnsi="宋体" w:cs="宋体" w:eastAsia="宋体" w:hint="default"/>
        </w:rPr>
        <w:t>(2)</w:t>
      </w:r>
      <w:r>
        <w:rPr/>
        <w:t>管理层具有完成该无形资产并使用或出售的意图； </w:t>
      </w:r>
      <w:r>
        <w:rPr>
          <w:rFonts w:ascii="宋体" w:hAnsi="宋体" w:cs="宋体" w:eastAsia="宋体" w:hint="default"/>
        </w:rPr>
        <w:t>(3)</w:t>
      </w:r>
      <w:r>
        <w:rPr/>
        <w:t>能够证明该无形资产将如何产生经济利益；</w:t>
      </w:r>
    </w:p>
    <w:p>
      <w:pPr>
        <w:pStyle w:val="Heading7"/>
        <w:spacing w:line="273" w:lineRule="auto" w:before="12"/>
        <w:ind w:right="1198" w:firstLine="420"/>
        <w:jc w:val="left"/>
      </w:pPr>
      <w:r>
        <w:rPr>
          <w:rFonts w:ascii="宋体" w:hAnsi="宋体" w:cs="宋体" w:eastAsia="宋体" w:hint="default"/>
        </w:rPr>
        <w:t>(4)</w:t>
      </w:r>
      <w:r>
        <w:rPr/>
        <w:t>有足够的技术、财务资源和其他资源支持，以完成该无形资产的开发，并有能力使用或出售该无 形资产；</w:t>
      </w:r>
    </w:p>
    <w:p>
      <w:pPr>
        <w:pStyle w:val="Heading7"/>
        <w:spacing w:line="273" w:lineRule="auto"/>
        <w:ind w:left="574" w:right="0"/>
        <w:jc w:val="left"/>
      </w:pPr>
      <w:r>
        <w:rPr>
          <w:rFonts w:ascii="宋体" w:hAnsi="宋体" w:cs="宋体" w:eastAsia="宋体" w:hint="default"/>
        </w:rPr>
        <w:t>(5)</w:t>
      </w:r>
      <w:r>
        <w:rPr/>
        <w:t>归属于该无形资产开发阶段的支出能够可靠地计量。 </w:t>
      </w:r>
      <w:r>
        <w:rPr>
          <w:spacing w:val="-1"/>
        </w:rPr>
        <w:t>不满足上述条件的开发阶段的支出，于发生时计入当期损益。前期已计入损益的开发支出不在以后期</w:t>
      </w:r>
    </w:p>
    <w:p>
      <w:pPr>
        <w:pStyle w:val="Heading7"/>
        <w:spacing w:line="273" w:lineRule="auto"/>
        <w:ind w:left="154" w:right="1130"/>
        <w:jc w:val="both"/>
      </w:pPr>
      <w:r>
        <w:rPr>
          <w:spacing w:val="-1"/>
        </w:rPr>
        <w:t>间确认为资产。已资本化的开发阶段的支出在资产负债表上列示为开发支出，自该项目达到预定可使用状</w:t>
      </w:r>
      <w:r>
        <w:rPr>
          <w:spacing w:val="-80"/>
        </w:rPr>
        <w:t> </w:t>
      </w:r>
      <w:r>
        <w:rPr>
          <w:spacing w:val="-80"/>
        </w:rPr>
      </w:r>
      <w:r>
        <w:rPr/>
        <w:t>态之日起转为无形资产。</w:t>
      </w:r>
    </w:p>
    <w:p>
      <w:pPr>
        <w:pStyle w:val="Heading7"/>
        <w:spacing w:line="240" w:lineRule="auto"/>
        <w:ind w:left="574" w:right="0"/>
        <w:jc w:val="left"/>
      </w:pPr>
      <w:r>
        <w:rPr/>
        <w:t>当开发支出的可收回金额低于其账面价值时，账面价值减记至可收回金额。</w:t>
      </w:r>
    </w:p>
    <w:p>
      <w:pPr>
        <w:pStyle w:val="Heading7"/>
        <w:spacing w:line="590" w:lineRule="atLeast" w:before="39"/>
        <w:ind w:left="574" w:right="0" w:hanging="420"/>
        <w:jc w:val="left"/>
      </w:pPr>
      <w:bookmarkStart w:name="22、长期资产减值" w:id="196"/>
      <w:bookmarkEnd w:id="196"/>
      <w:r>
        <w:rPr/>
      </w:r>
      <w:r>
        <w:rPr>
          <w:rFonts w:ascii="Times New Roman" w:hAnsi="Times New Roman" w:cs="Times New Roman" w:eastAsia="Times New Roman" w:hint="default"/>
          <w:b/>
          <w:bCs/>
        </w:rPr>
        <w:t>22</w:t>
      </w:r>
      <w:r>
        <w:rPr>
          <w:rFonts w:ascii="宋体" w:hAnsi="宋体" w:cs="宋体" w:eastAsia="宋体" w:hint="default"/>
          <w:b/>
          <w:bCs/>
        </w:rPr>
        <w:t>、长期资产减值</w:t>
      </w:r>
      <w:r>
        <w:rPr>
          <w:rFonts w:ascii="宋体" w:hAnsi="宋体" w:cs="宋体" w:eastAsia="宋体" w:hint="default"/>
          <w:b/>
          <w:bCs/>
          <w:w w:val="99"/>
        </w:rPr>
        <w:t> </w:t>
      </w:r>
      <w:r>
        <w:rPr>
          <w:spacing w:val="-1"/>
        </w:rPr>
        <w:t>长期股权投资、采用成本模式计量的投资性房地产、固定资产、在建工程、使用寿命有限的无形资产</w:t>
      </w:r>
    </w:p>
    <w:p>
      <w:pPr>
        <w:pStyle w:val="Heading7"/>
        <w:spacing w:line="273" w:lineRule="auto" w:before="37"/>
        <w:ind w:left="154" w:right="1131"/>
        <w:jc w:val="both"/>
      </w:pPr>
      <w:r>
        <w:rPr>
          <w:spacing w:val="-1"/>
        </w:rPr>
        <w:t>等长期资产，于资产负债表日存在减值迹象的，进行减值测试。减值测试结果表明资产的可收回金额低于</w:t>
      </w:r>
      <w:r>
        <w:rPr>
          <w:spacing w:val="-83"/>
        </w:rPr>
        <w:t> </w:t>
      </w:r>
      <w:r>
        <w:rPr>
          <w:spacing w:val="-83"/>
        </w:rPr>
      </w:r>
      <w:r>
        <w:rPr>
          <w:spacing w:val="-1"/>
        </w:rPr>
        <w:t>其账面价值的，按其差额计提减值准备并计入减值损失。可收回金额为资产的公允价值减去处置费用后的</w:t>
      </w:r>
      <w:r>
        <w:rPr>
          <w:spacing w:val="-81"/>
        </w:rPr>
        <w:t> </w:t>
      </w:r>
      <w:r>
        <w:rPr>
          <w:spacing w:val="-81"/>
        </w:rPr>
      </w:r>
      <w:r>
        <w:rPr>
          <w:spacing w:val="-1"/>
        </w:rPr>
        <w:t>净额与资产预计未来现金流量的现值两者之间的较高者。资产减值准备按单项资产为基础计算并确认，如</w:t>
      </w:r>
      <w:r>
        <w:rPr>
          <w:spacing w:val="-81"/>
        </w:rPr>
        <w:t> </w:t>
      </w:r>
      <w:r>
        <w:rPr>
          <w:spacing w:val="-81"/>
        </w:rPr>
      </w:r>
      <w:r>
        <w:rPr>
          <w:spacing w:val="-1"/>
        </w:rPr>
        <w:t>果难以对单项资产的可收回金额进行估计的，以该资产所属的资产组确定资产组的可收回金额。资产组是</w:t>
      </w:r>
      <w:r>
        <w:rPr>
          <w:spacing w:val="-81"/>
        </w:rPr>
        <w:t> </w:t>
      </w:r>
      <w:r>
        <w:rPr>
          <w:spacing w:val="-81"/>
        </w:rPr>
      </w:r>
      <w:r>
        <w:rPr/>
        <w:t>能够独立产生现金流入的最小资产组合。</w:t>
      </w:r>
    </w:p>
    <w:p>
      <w:pPr>
        <w:pStyle w:val="Heading7"/>
        <w:spacing w:line="273" w:lineRule="auto"/>
        <w:ind w:left="574" w:right="0"/>
        <w:jc w:val="left"/>
      </w:pPr>
      <w:r>
        <w:rPr/>
        <w:t>商誉至少在每年年度终了进行减值测试。 </w:t>
      </w:r>
      <w:r>
        <w:rPr>
          <w:spacing w:val="-1"/>
        </w:rPr>
        <w:t>本公司进行商誉减值测试，对于因企业合并形成的商誉的账面价值，自购买日起按照合理的方法分摊</w:t>
      </w:r>
    </w:p>
    <w:p>
      <w:pPr>
        <w:pStyle w:val="Heading7"/>
        <w:spacing w:line="273" w:lineRule="auto"/>
        <w:ind w:left="154" w:right="1131"/>
        <w:jc w:val="both"/>
      </w:pPr>
      <w:r>
        <w:rPr>
          <w:spacing w:val="-1"/>
        </w:rPr>
        <w:t>至相关的资产组；难以分摊至相关的资产组的，将其分摊至相关的资产组组合。在将商誉的账面价值分摊</w:t>
      </w:r>
      <w:r>
        <w:rPr>
          <w:spacing w:val="-83"/>
        </w:rPr>
        <w:t> </w:t>
      </w:r>
      <w:r>
        <w:rPr>
          <w:spacing w:val="-83"/>
        </w:rPr>
      </w:r>
      <w:r>
        <w:rPr>
          <w:spacing w:val="-1"/>
        </w:rPr>
        <w:t>至相关的资产组或者资产组组合时，按照各资产组或者资产组组合的公允价值占相关资产组或者资产组组</w:t>
      </w:r>
      <w:r>
        <w:rPr>
          <w:spacing w:val="-81"/>
        </w:rPr>
        <w:t> </w:t>
      </w:r>
      <w:r>
        <w:rPr>
          <w:spacing w:val="-81"/>
        </w:rPr>
      </w:r>
      <w:r>
        <w:rPr>
          <w:spacing w:val="-1"/>
        </w:rPr>
        <w:t>合公允价值总额的比例进行分摊。公允价值难以可靠计量的，按照各资产组或者资产组组合的账面价值占</w:t>
      </w:r>
      <w:r>
        <w:rPr>
          <w:spacing w:val="-81"/>
        </w:rPr>
        <w:t> </w:t>
      </w:r>
      <w:r>
        <w:rPr>
          <w:spacing w:val="-81"/>
        </w:rPr>
      </w:r>
      <w:r>
        <w:rPr/>
        <w:t>相关资产组或者资产组组合账面价值总额的比例进行分摊。</w:t>
      </w:r>
    </w:p>
    <w:p>
      <w:pPr>
        <w:pStyle w:val="Heading7"/>
        <w:spacing w:line="273" w:lineRule="auto"/>
        <w:ind w:left="154" w:right="0" w:firstLine="420"/>
        <w:jc w:val="left"/>
      </w:pPr>
      <w:r>
        <w:rPr/>
        <w:t>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面价值相比较，确认相应的减值损失。再对包含商誉的资产组或者资产组组合进行减值测试，比较这些相 关资产组或者资产组组合的账面价值（包括所分摊的商誉的账面价值部分）与其可收回金额，如相关资产 组或者资产组组合的可收回金额低于其账面价值的，确认商誉的减值损失。上述资产减值损失一经确认，</w:t>
      </w:r>
      <w:r>
        <w:rPr>
          <w:spacing w:val="-38"/>
        </w:rPr>
        <w:t> </w:t>
      </w:r>
      <w:r>
        <w:rPr>
          <w:spacing w:val="-38"/>
        </w:rPr>
      </w:r>
      <w:r>
        <w:rPr/>
        <w:t>在以后会计期间不予转回。</w:t>
      </w:r>
    </w:p>
    <w:p>
      <w:pPr>
        <w:spacing w:after="0" w:line="273"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23、长期待摊费用" w:id="197"/>
      <w:bookmarkEnd w:id="197"/>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4"/>
          <w:szCs w:val="24"/>
        </w:rPr>
      </w:pPr>
    </w:p>
    <w:p>
      <w:pPr>
        <w:pStyle w:val="Heading7"/>
        <w:spacing w:line="273" w:lineRule="auto" w:before="0"/>
        <w:ind w:left="154" w:right="0" w:firstLine="420"/>
        <w:jc w:val="left"/>
      </w:pPr>
      <w:r>
        <w:rPr>
          <w:spacing w:val="-1"/>
        </w:rPr>
        <w:t>长期待摊费用为已经发生但应由本期和以后各期负担的分摊期限在一年以上的各项费用。本公司长期</w:t>
      </w:r>
      <w:r>
        <w:rPr/>
        <w:t> 待摊费用包括经营租入固定资产改良支出。</w:t>
      </w:r>
    </w:p>
    <w:p>
      <w:pPr>
        <w:pStyle w:val="Heading7"/>
        <w:spacing w:line="273" w:lineRule="auto" w:before="8"/>
        <w:ind w:left="573" w:right="7183"/>
        <w:jc w:val="left"/>
      </w:pPr>
      <w:r>
        <w:rPr>
          <w:rFonts w:ascii="宋体" w:hAnsi="宋体" w:cs="宋体" w:eastAsia="宋体" w:hint="default"/>
        </w:rPr>
        <w:t>1</w:t>
      </w:r>
      <w:r>
        <w:rPr/>
        <w:t>、摊销方法 长期待摊费用在受益期内平均摊销 </w:t>
      </w:r>
      <w:r>
        <w:rPr>
          <w:rFonts w:ascii="宋体" w:hAnsi="宋体" w:cs="宋体" w:eastAsia="宋体" w:hint="default"/>
        </w:rPr>
        <w:t>2</w:t>
      </w:r>
      <w:r>
        <w:rPr/>
        <w:t>、摊销年限</w:t>
      </w:r>
    </w:p>
    <w:tbl>
      <w:tblPr>
        <w:tblW w:w="0" w:type="auto"/>
        <w:jc w:val="left"/>
        <w:tblInd w:w="137" w:type="dxa"/>
        <w:tblLayout w:type="fixed"/>
        <w:tblCellMar>
          <w:top w:w="0" w:type="dxa"/>
          <w:left w:w="0" w:type="dxa"/>
          <w:bottom w:w="0" w:type="dxa"/>
          <w:right w:w="0" w:type="dxa"/>
        </w:tblCellMar>
        <w:tblLook w:val="01E0"/>
      </w:tblPr>
      <w:tblGrid>
        <w:gridCol w:w="3628"/>
        <w:gridCol w:w="6031"/>
      </w:tblGrid>
      <w:tr>
        <w:trPr>
          <w:trHeight w:val="347" w:hRule="exact"/>
        </w:trPr>
        <w:tc>
          <w:tcPr>
            <w:tcW w:w="362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03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摊销年限</w:t>
            </w:r>
          </w:p>
        </w:tc>
      </w:tr>
      <w:tr>
        <w:trPr>
          <w:trHeight w:val="348" w:hRule="exact"/>
        </w:trPr>
        <w:tc>
          <w:tcPr>
            <w:tcW w:w="362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经营租入固定资产改良支出</w:t>
            </w:r>
          </w:p>
        </w:tc>
        <w:tc>
          <w:tcPr>
            <w:tcW w:w="603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剩余租赁期与租赁资产尚可使用年限中较短者</w:t>
            </w:r>
          </w:p>
        </w:tc>
      </w:tr>
    </w:tbl>
    <w:p>
      <w:pPr>
        <w:spacing w:line="240" w:lineRule="auto" w:before="12"/>
        <w:rPr>
          <w:rFonts w:ascii="宋体" w:hAnsi="宋体" w:cs="宋体" w:eastAsia="宋体" w:hint="default"/>
          <w:sz w:val="20"/>
          <w:szCs w:val="20"/>
        </w:rPr>
      </w:pPr>
    </w:p>
    <w:p>
      <w:pPr>
        <w:pStyle w:val="Heading6"/>
        <w:spacing w:line="240" w:lineRule="auto" w:before="35"/>
        <w:ind w:left="154" w:right="0"/>
        <w:jc w:val="left"/>
        <w:rPr>
          <w:b w:val="0"/>
          <w:bCs w:val="0"/>
        </w:rPr>
      </w:pPr>
      <w:bookmarkStart w:name="24、职工薪酬" w:id="198"/>
      <w:bookmarkEnd w:id="198"/>
      <w:r>
        <w:rPr>
          <w:b w:val="0"/>
          <w:bCs w:val="0"/>
        </w:rPr>
      </w:r>
      <w:r>
        <w:rPr>
          <w:rFonts w:ascii="Times New Roman" w:hAnsi="Times New Roman" w:cs="Times New Roman" w:eastAsia="Times New Roman" w:hint="default"/>
        </w:rPr>
        <w:t>24</w:t>
      </w:r>
      <w:r>
        <w:rPr/>
        <w:t>、职工薪酬</w:t>
      </w:r>
      <w:r>
        <w:rPr>
          <w:b w:val="0"/>
          <w:bCs w:val="0"/>
        </w:rPr>
      </w:r>
    </w:p>
    <w:p>
      <w:pPr>
        <w:spacing w:line="590" w:lineRule="atLeast" w:before="23"/>
        <w:ind w:left="574" w:right="0" w:hanging="420"/>
        <w:jc w:val="left"/>
        <w:rPr>
          <w:rFonts w:ascii="宋体" w:hAnsi="宋体" w:cs="宋体" w:eastAsia="宋体" w:hint="default"/>
          <w:sz w:val="21"/>
          <w:szCs w:val="21"/>
        </w:rPr>
      </w:pPr>
      <w:bookmarkStart w:name="（1）短期薪酬的会计处理方法" w:id="199"/>
      <w:bookmarkEnd w:id="1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本公司在职工为本公司提供服务的会计期间，将实际发生的短期薪酬确认为负债，并计入当期损益或</w:t>
      </w:r>
    </w:p>
    <w:p>
      <w:pPr>
        <w:pStyle w:val="Heading7"/>
        <w:spacing w:line="273" w:lineRule="auto" w:before="37"/>
        <w:ind w:left="574" w:right="1118" w:hanging="420"/>
        <w:jc w:val="left"/>
      </w:pPr>
      <w:r>
        <w:rPr/>
        <w:t>相关资产成本。 </w:t>
      </w:r>
      <w:r>
        <w:rPr>
          <w:spacing w:val="-1"/>
        </w:rPr>
        <w:t>本公司为职工缴纳的社会保险费和住房公积金，以及按规定提取的工会经费和职工教育经费，在职工</w:t>
      </w:r>
    </w:p>
    <w:p>
      <w:pPr>
        <w:pStyle w:val="Heading7"/>
        <w:spacing w:line="273" w:lineRule="auto"/>
        <w:ind w:left="573" w:right="1933" w:hanging="420"/>
        <w:jc w:val="left"/>
      </w:pPr>
      <w:r>
        <w:rPr/>
        <w:t>为本公司提供服务的会计期间，根据规定的计提基础和计提比例计算确定相应的职工薪酬金额。 职工福利费为非货币性福利的，如能够可靠计量的，按照公允价值计量。</w:t>
      </w:r>
    </w:p>
    <w:p>
      <w:pPr>
        <w:spacing w:line="590" w:lineRule="atLeast" w:before="9"/>
        <w:ind w:left="573" w:right="7696" w:hanging="420"/>
        <w:jc w:val="left"/>
        <w:rPr>
          <w:rFonts w:ascii="宋体" w:hAnsi="宋体" w:cs="宋体" w:eastAsia="宋体" w:hint="default"/>
          <w:sz w:val="21"/>
          <w:szCs w:val="21"/>
        </w:rPr>
      </w:pPr>
      <w:bookmarkStart w:name="（2）离职后福利的会计处理方法" w:id="200"/>
      <w:bookmarkEnd w:id="2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设定提存计划</w:t>
      </w:r>
    </w:p>
    <w:p>
      <w:pPr>
        <w:pStyle w:val="Heading7"/>
        <w:spacing w:line="273" w:lineRule="auto" w:before="37"/>
        <w:ind w:right="0" w:firstLine="420"/>
        <w:jc w:val="left"/>
      </w:pPr>
      <w:r>
        <w:rPr/>
        <w:t>本公司按当地政府的相关规定为职工缴纳基本养老保险和失业保险，在职工为本公司提供服务的会计 期间，按以当地规定的缴纳基数和比例计算应缴纳金额，确认为负债，并计入当期损益或相关资产成本。</w:t>
      </w:r>
    </w:p>
    <w:p>
      <w:pPr>
        <w:spacing w:line="590" w:lineRule="atLeast" w:before="9"/>
        <w:ind w:left="574" w:right="0" w:hanging="420"/>
        <w:jc w:val="left"/>
        <w:rPr>
          <w:rFonts w:ascii="宋体" w:hAnsi="宋体" w:cs="宋体" w:eastAsia="宋体" w:hint="default"/>
          <w:sz w:val="21"/>
          <w:szCs w:val="21"/>
        </w:rPr>
      </w:pPr>
      <w:bookmarkStart w:name="（3）辞退福利的会计处理方法" w:id="201"/>
      <w:bookmarkEnd w:id="2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本公司在不能单方面撤回因解除劳动关系计划或裁减建议所提供的辞退福利时，或确认与涉及支付辞</w:t>
      </w:r>
    </w:p>
    <w:p>
      <w:pPr>
        <w:pStyle w:val="Heading7"/>
        <w:spacing w:line="240" w:lineRule="auto" w:before="37"/>
        <w:ind w:left="154" w:right="0"/>
        <w:jc w:val="left"/>
      </w:pPr>
      <w:r>
        <w:rPr/>
        <w:t>退福利的重组相关的成本或费用时（两者孰早），确认辞退福利产生的职工薪酬负债，并计入当期损益。</w:t>
      </w:r>
    </w:p>
    <w:p>
      <w:pPr>
        <w:spacing w:line="240" w:lineRule="auto" w:before="11"/>
        <w:rPr>
          <w:rFonts w:ascii="宋体" w:hAnsi="宋体" w:cs="宋体" w:eastAsia="宋体" w:hint="default"/>
          <w:sz w:val="25"/>
          <w:szCs w:val="25"/>
        </w:rPr>
      </w:pPr>
    </w:p>
    <w:p>
      <w:pPr>
        <w:pStyle w:val="Heading6"/>
        <w:spacing w:line="240" w:lineRule="auto"/>
        <w:ind w:left="154" w:right="0"/>
        <w:jc w:val="left"/>
        <w:rPr>
          <w:b w:val="0"/>
          <w:bCs w:val="0"/>
        </w:rPr>
      </w:pPr>
      <w:bookmarkStart w:name="（4）其他长期职工福利的会计处理方法" w:id="202"/>
      <w:bookmarkEnd w:id="202"/>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25、预计负债" w:id="203"/>
      <w:bookmarkEnd w:id="203"/>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4"/>
          <w:szCs w:val="24"/>
        </w:rPr>
      </w:pPr>
    </w:p>
    <w:p>
      <w:pPr>
        <w:pStyle w:val="Heading7"/>
        <w:spacing w:line="273" w:lineRule="auto" w:before="0"/>
        <w:ind w:left="574" w:right="0"/>
        <w:jc w:val="left"/>
      </w:pPr>
      <w:r>
        <w:rPr/>
        <w:t>预计负债的确认标准 </w:t>
      </w:r>
      <w:r>
        <w:rPr>
          <w:spacing w:val="-1"/>
        </w:rPr>
        <w:t>与诉讼、债务担保、亏损合同、重组事项等或有事项相关的义务同时满足下列条件时，本公司确认为</w:t>
      </w:r>
    </w:p>
    <w:p>
      <w:pPr>
        <w:pStyle w:val="Heading7"/>
        <w:spacing w:line="240" w:lineRule="auto"/>
        <w:ind w:left="154" w:right="0"/>
        <w:jc w:val="left"/>
      </w:pPr>
      <w:r>
        <w:rPr/>
        <w:t>预计负债：</w:t>
      </w:r>
    </w:p>
    <w:p>
      <w:pPr>
        <w:pStyle w:val="Heading7"/>
        <w:spacing w:line="240" w:lineRule="auto" w:before="37"/>
        <w:ind w:left="574" w:right="0"/>
        <w:jc w:val="left"/>
      </w:pPr>
      <w:r>
        <w:rPr/>
        <w:t>（</w:t>
      </w:r>
      <w:r>
        <w:rPr>
          <w:rFonts w:ascii="宋体" w:hAnsi="宋体" w:cs="宋体" w:eastAsia="宋体" w:hint="default"/>
        </w:rPr>
        <w:t>1</w:t>
      </w:r>
      <w:r>
        <w:rPr/>
        <w:t>）该义务是本公司承担的现时义务；</w:t>
      </w:r>
    </w:p>
    <w:p>
      <w:pPr>
        <w:pStyle w:val="Heading7"/>
        <w:spacing w:line="240" w:lineRule="auto" w:before="37"/>
        <w:ind w:left="574" w:right="0"/>
        <w:jc w:val="left"/>
      </w:pPr>
      <w:r>
        <w:rPr/>
        <w:t>（</w:t>
      </w:r>
      <w:r>
        <w:rPr>
          <w:rFonts w:ascii="宋体" w:hAnsi="宋体" w:cs="宋体" w:eastAsia="宋体" w:hint="default"/>
        </w:rPr>
        <w:t>2</w:t>
      </w:r>
      <w:r>
        <w:rPr/>
        <w:t>）履行该义务很可能导致经济利益流出本公司；</w:t>
      </w:r>
    </w:p>
    <w:p>
      <w:pPr>
        <w:pStyle w:val="Heading7"/>
        <w:spacing w:line="273" w:lineRule="auto" w:before="37"/>
        <w:ind w:left="574" w:right="6867"/>
        <w:jc w:val="left"/>
      </w:pPr>
      <w:r>
        <w:rPr/>
        <w:t>（</w:t>
      </w:r>
      <w:r>
        <w:rPr>
          <w:rFonts w:ascii="宋体" w:hAnsi="宋体" w:cs="宋体" w:eastAsia="宋体" w:hint="default"/>
        </w:rPr>
        <w:t>3</w:t>
      </w:r>
      <w:r>
        <w:rPr/>
        <w:t>）该义务的金额能够可靠地计量。 各类预计负债的计量方法</w:t>
      </w:r>
    </w:p>
    <w:p>
      <w:pPr>
        <w:pStyle w:val="Heading7"/>
        <w:spacing w:line="273" w:lineRule="auto"/>
        <w:ind w:left="574" w:right="0"/>
        <w:jc w:val="left"/>
      </w:pPr>
      <w:r>
        <w:rPr/>
        <w:t>本公司预计负债按履行相关现时义务所需的支出的最佳估计数进行初始计量。 </w:t>
      </w:r>
      <w:r>
        <w:rPr>
          <w:spacing w:val="-1"/>
        </w:rPr>
        <w:t>本公司在确定最佳估计数时，综合考虑与或有事项有关的风险、不确定性和货币时间价值等因素。对</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7"/>
        <w:spacing w:line="273" w:lineRule="auto" w:before="35"/>
        <w:ind w:left="573" w:right="1118" w:hanging="420"/>
        <w:jc w:val="left"/>
      </w:pPr>
      <w:r>
        <w:rPr/>
        <w:t>于货币时间价值影响重大的，通过对相关未来现金流出进行折现后确定最佳估计数。 最佳估计数分别以下情况处理： </w:t>
      </w:r>
      <w:r>
        <w:rPr>
          <w:spacing w:val="-1"/>
        </w:rPr>
        <w:t>所需支出存在一个连续范围（或区间），且该范围内各种结果发生的可能性相同的，则最佳估计数按</w:t>
      </w:r>
    </w:p>
    <w:p>
      <w:pPr>
        <w:pStyle w:val="Heading7"/>
        <w:spacing w:line="273" w:lineRule="auto"/>
        <w:ind w:left="573" w:right="0" w:hanging="420"/>
        <w:jc w:val="left"/>
      </w:pPr>
      <w:r>
        <w:rPr/>
        <w:t>照该范围的中间值即上下限金额的平均数确定。 </w:t>
      </w:r>
      <w:r>
        <w:rPr>
          <w:spacing w:val="-1"/>
        </w:rPr>
        <w:t>所需支出不存在一个连续范围（或区间），或虽然存在一个连续范围但该范围内各种结果发生的可能</w:t>
      </w:r>
    </w:p>
    <w:p>
      <w:pPr>
        <w:pStyle w:val="Heading7"/>
        <w:spacing w:line="273" w:lineRule="auto"/>
        <w:ind w:right="1131"/>
        <w:jc w:val="both"/>
      </w:pPr>
      <w:r>
        <w:rPr>
          <w:spacing w:val="-1"/>
        </w:rPr>
        <w:t>性不相同的，如或有事项涉及单个项目的，则最佳估计数按照最可能发生金额确定；如或有事项涉及多个</w:t>
      </w:r>
      <w:r>
        <w:rPr>
          <w:spacing w:val="-83"/>
        </w:rPr>
        <w:t> </w:t>
      </w:r>
      <w:r>
        <w:rPr>
          <w:spacing w:val="-83"/>
        </w:rPr>
      </w:r>
      <w:r>
        <w:rPr/>
        <w:t>项目的，则最佳估计数按各种可能结果及相关概率计算确定。</w:t>
      </w:r>
    </w:p>
    <w:p>
      <w:pPr>
        <w:pStyle w:val="Heading7"/>
        <w:spacing w:line="273" w:lineRule="auto"/>
        <w:ind w:right="0" w:firstLine="420"/>
        <w:jc w:val="left"/>
      </w:pPr>
      <w:r>
        <w:rPr>
          <w:spacing w:val="-1"/>
        </w:rPr>
        <w:t>本公司清偿预计负债所需支出全部或部分预期由第三方补偿的，补偿金额在基本确定能够收到时，作</w:t>
      </w:r>
      <w:r>
        <w:rPr/>
        <w:t> 为资产单独确认，确认的补偿金额不超过预计负债的账面价值。</w:t>
      </w:r>
    </w:p>
    <w:p>
      <w:pPr>
        <w:spacing w:line="240" w:lineRule="auto" w:before="8"/>
        <w:rPr>
          <w:rFonts w:ascii="宋体" w:hAnsi="宋体" w:cs="宋体" w:eastAsia="宋体" w:hint="default"/>
          <w:sz w:val="23"/>
          <w:szCs w:val="23"/>
        </w:rPr>
      </w:pPr>
    </w:p>
    <w:p>
      <w:pPr>
        <w:pStyle w:val="Heading6"/>
        <w:spacing w:line="240" w:lineRule="auto"/>
        <w:ind w:right="0"/>
        <w:jc w:val="left"/>
        <w:rPr>
          <w:b w:val="0"/>
          <w:bCs w:val="0"/>
        </w:rPr>
      </w:pPr>
      <w:bookmarkStart w:name="26、股份支付" w:id="204"/>
      <w:bookmarkEnd w:id="204"/>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14" w:right="0"/>
        <w:jc w:val="left"/>
      </w:pPr>
      <w:r>
        <w:rPr/>
        <w:t>无。</w:t>
      </w:r>
    </w:p>
    <w:p>
      <w:pPr>
        <w:spacing w:line="240" w:lineRule="auto" w:before="12"/>
        <w:rPr>
          <w:rFonts w:ascii="宋体" w:hAnsi="宋体" w:cs="宋体" w:eastAsia="宋体" w:hint="default"/>
          <w:sz w:val="26"/>
          <w:szCs w:val="26"/>
        </w:rPr>
      </w:pPr>
    </w:p>
    <w:p>
      <w:pPr>
        <w:pStyle w:val="Heading6"/>
        <w:spacing w:line="240" w:lineRule="auto"/>
        <w:ind w:left="154" w:right="0"/>
        <w:jc w:val="left"/>
        <w:rPr>
          <w:b w:val="0"/>
          <w:bCs w:val="0"/>
        </w:rPr>
      </w:pPr>
      <w:bookmarkStart w:name="27、优先股、永续债等其他金融工具" w:id="205"/>
      <w:bookmarkEnd w:id="205"/>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13" w:right="0"/>
        <w:jc w:val="left"/>
      </w:pPr>
      <w:r>
        <w:rPr/>
        <w:t>无。</w:t>
      </w:r>
    </w:p>
    <w:p>
      <w:pPr>
        <w:spacing w:line="240" w:lineRule="auto" w:before="12"/>
        <w:rPr>
          <w:rFonts w:ascii="宋体" w:hAnsi="宋体" w:cs="宋体" w:eastAsia="宋体" w:hint="default"/>
          <w:sz w:val="26"/>
          <w:szCs w:val="26"/>
        </w:rPr>
      </w:pPr>
    </w:p>
    <w:p>
      <w:pPr>
        <w:pStyle w:val="Heading6"/>
        <w:spacing w:line="240" w:lineRule="auto"/>
        <w:ind w:right="0"/>
        <w:jc w:val="left"/>
        <w:rPr>
          <w:b w:val="0"/>
          <w:bCs w:val="0"/>
        </w:rPr>
      </w:pPr>
      <w:bookmarkStart w:name="28、收入" w:id="206"/>
      <w:bookmarkEnd w:id="206"/>
      <w:r>
        <w:rPr>
          <w:b w:val="0"/>
          <w:bCs w:val="0"/>
        </w:rPr>
      </w: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24"/>
          <w:szCs w:val="24"/>
        </w:rPr>
      </w:pPr>
    </w:p>
    <w:p>
      <w:pPr>
        <w:pStyle w:val="Heading7"/>
        <w:spacing w:line="273" w:lineRule="auto" w:before="0"/>
        <w:ind w:left="154" w:right="0" w:firstLine="420"/>
        <w:jc w:val="left"/>
      </w:pPr>
      <w:r>
        <w:rPr>
          <w:spacing w:val="-1"/>
        </w:rPr>
        <w:t>收入的金额按照本公司在日常经营活动中销售商品和提供劳务时，已收或应收合同或协议价款的公允</w:t>
      </w:r>
      <w:r>
        <w:rPr/>
        <w:t> 价值确定。收入按扣除增值税、商业折扣、销售折让及销售退回的净额列示。</w:t>
      </w:r>
    </w:p>
    <w:p>
      <w:pPr>
        <w:pStyle w:val="Heading7"/>
        <w:spacing w:line="273" w:lineRule="auto" w:before="8"/>
        <w:ind w:right="0" w:firstLine="420"/>
        <w:jc w:val="left"/>
      </w:pPr>
      <w:r>
        <w:rPr>
          <w:spacing w:val="-1"/>
        </w:rPr>
        <w:t>与交易相关的经济利益能够流入本公司，相关的收入能够可靠计量且满足下列各项经营活动的特定收</w:t>
      </w:r>
      <w:r>
        <w:rPr/>
        <w:t> 入确认标准时，确认相关的收入。</w:t>
      </w:r>
    </w:p>
    <w:p>
      <w:pPr>
        <w:pStyle w:val="Heading7"/>
        <w:spacing w:line="259" w:lineRule="auto"/>
        <w:ind w:left="573" w:right="0"/>
        <w:jc w:val="left"/>
      </w:pPr>
      <w:r>
        <w:rPr>
          <w:rFonts w:ascii="Arial" w:hAnsi="Arial" w:cs="Arial" w:eastAsia="Arial" w:hint="default"/>
        </w:rPr>
        <w:t>1</w:t>
      </w:r>
      <w:r>
        <w:rPr/>
        <w:t>、销售商品收入 </w:t>
      </w:r>
      <w:r>
        <w:rPr>
          <w:spacing w:val="-1"/>
        </w:rPr>
        <w:t>商品销售在商品所有权上的主要风险和报酬已转移给买方，本公司不再对该商品实施继续管理权和实</w:t>
      </w:r>
    </w:p>
    <w:p>
      <w:pPr>
        <w:pStyle w:val="Heading7"/>
        <w:spacing w:line="273" w:lineRule="auto" w:before="20"/>
        <w:ind w:right="1131"/>
        <w:jc w:val="both"/>
      </w:pPr>
      <w:r>
        <w:rPr>
          <w:spacing w:val="-1"/>
        </w:rPr>
        <w:t>际控制权，与交易相关的经济利益很可能流入企业，并且与销售该商品相关的收入和成本能够可靠地计量</w:t>
      </w:r>
      <w:r>
        <w:rPr>
          <w:spacing w:val="-81"/>
        </w:rPr>
        <w:t> </w:t>
      </w:r>
      <w:r>
        <w:rPr>
          <w:spacing w:val="-81"/>
        </w:rPr>
      </w:r>
      <w:r>
        <w:rPr/>
        <w:t>时，确认商品销售收入的实现。</w:t>
      </w:r>
    </w:p>
    <w:p>
      <w:pPr>
        <w:spacing w:line="240" w:lineRule="auto" w:before="6"/>
        <w:rPr>
          <w:rFonts w:ascii="宋体" w:hAnsi="宋体" w:cs="宋体" w:eastAsia="宋体" w:hint="default"/>
          <w:sz w:val="24"/>
          <w:szCs w:val="24"/>
        </w:rPr>
      </w:pPr>
    </w:p>
    <w:p>
      <w:pPr>
        <w:pStyle w:val="Heading7"/>
        <w:spacing w:line="259" w:lineRule="auto" w:before="0"/>
        <w:ind w:left="573" w:right="1118"/>
        <w:jc w:val="left"/>
      </w:pPr>
      <w:r>
        <w:rPr>
          <w:rFonts w:ascii="Arial" w:hAnsi="Arial" w:cs="Arial" w:eastAsia="Arial" w:hint="default"/>
        </w:rPr>
        <w:t>2</w:t>
      </w:r>
      <w:r>
        <w:rPr/>
        <w:t>、提供劳务 </w:t>
      </w:r>
      <w:r>
        <w:rPr>
          <w:spacing w:val="-1"/>
        </w:rPr>
        <w:t>提供的劳务在同一会计年度开始并完成的，在劳务已经提供，收到价款或取得收取价款的证据时，确</w:t>
      </w:r>
    </w:p>
    <w:p>
      <w:pPr>
        <w:pStyle w:val="Heading7"/>
        <w:spacing w:line="273" w:lineRule="auto" w:before="20"/>
        <w:ind w:right="1131"/>
        <w:jc w:val="both"/>
      </w:pPr>
      <w:r>
        <w:rPr>
          <w:spacing w:val="-1"/>
        </w:rPr>
        <w:t>认营业收入的实现；劳务的开始和完成分属不同会计年度的，在劳务合同的总收入、劳务的完成程度能够</w:t>
      </w:r>
      <w:r>
        <w:rPr>
          <w:spacing w:val="-83"/>
        </w:rPr>
        <w:t> </w:t>
      </w:r>
      <w:r>
        <w:rPr>
          <w:spacing w:val="-83"/>
        </w:rPr>
      </w:r>
      <w:r>
        <w:rPr>
          <w:spacing w:val="-1"/>
        </w:rPr>
        <w:t>可靠地确定，与交易相关的价款能够流入，已经发生的成本和为完成劳务将要发生的成本能够可靠地计量</w:t>
      </w:r>
      <w:r>
        <w:rPr>
          <w:spacing w:val="-81"/>
        </w:rPr>
        <w:t> </w:t>
      </w:r>
      <w:r>
        <w:rPr>
          <w:spacing w:val="-81"/>
        </w:rPr>
      </w:r>
      <w:r>
        <w:rPr>
          <w:spacing w:val="-1"/>
        </w:rPr>
        <w:t>时，按完工百分比法确认营业收入的实现；长期合同工程在合同结果已经能够合理地预见时，按结账时已</w:t>
      </w:r>
      <w:r>
        <w:rPr>
          <w:spacing w:val="-83"/>
        </w:rPr>
        <w:t> </w:t>
      </w:r>
      <w:r>
        <w:rPr>
          <w:spacing w:val="-83"/>
        </w:rPr>
      </w:r>
      <w:r>
        <w:rPr/>
        <w:t>完成工程进度的百分比法确认营业收入的实现。</w:t>
      </w:r>
    </w:p>
    <w:p>
      <w:pPr>
        <w:pStyle w:val="Heading7"/>
        <w:spacing w:line="240" w:lineRule="auto"/>
        <w:ind w:left="574" w:right="0"/>
        <w:jc w:val="left"/>
      </w:pPr>
      <w:r>
        <w:rPr/>
        <w:t>其中互联网业务按不同业务情况分搜索引擎收入、网站推广与营销业务收入和软件推广收入三种形式：</w:t>
      </w:r>
    </w:p>
    <w:p>
      <w:pPr>
        <w:pStyle w:val="Heading7"/>
        <w:spacing w:line="259" w:lineRule="auto" w:before="37"/>
        <w:ind w:right="1186" w:firstLine="420"/>
        <w:jc w:val="left"/>
      </w:pPr>
      <w:r>
        <w:rPr/>
        <w:t>（</w:t>
      </w:r>
      <w:r>
        <w:rPr>
          <w:rFonts w:ascii="Arial" w:hAnsi="Arial" w:cs="Arial" w:eastAsia="Arial" w:hint="default"/>
        </w:rPr>
        <w:t>1</w:t>
      </w:r>
      <w:r>
        <w:rPr/>
        <w:t>）搜索引擎收入指公司向用户推广客户的搜索引擎取得的收入。搜索引擎收入按与客户确认推广 效果确认收入。</w:t>
      </w:r>
    </w:p>
    <w:p>
      <w:pPr>
        <w:pStyle w:val="Heading7"/>
        <w:spacing w:line="259" w:lineRule="auto" w:before="20"/>
        <w:ind w:right="1186" w:firstLine="420"/>
        <w:jc w:val="left"/>
      </w:pPr>
      <w:r>
        <w:rPr/>
        <w:t>（</w:t>
      </w:r>
      <w:r>
        <w:rPr>
          <w:rFonts w:ascii="Arial" w:hAnsi="Arial" w:cs="Arial" w:eastAsia="Arial" w:hint="default"/>
        </w:rPr>
        <w:t>2</w:t>
      </w:r>
      <w:r>
        <w:rPr/>
        <w:t>）网站推广与营销业务收入指在公司的网址导航页面或公司拥有</w:t>
      </w:r>
      <w:r>
        <w:rPr>
          <w:rFonts w:ascii="Arial" w:hAnsi="Arial" w:cs="Arial" w:eastAsia="Arial" w:hint="default"/>
        </w:rPr>
        <w:t>APP</w:t>
      </w:r>
      <w:r>
        <w:rPr/>
        <w:t>中为客户提供推广取得的收 入。网站推广与营销业务收入分为按导航链接刊期确认收入和按与客户确认推广效果确认收入。</w:t>
      </w:r>
    </w:p>
    <w:p>
      <w:pPr>
        <w:pStyle w:val="Heading7"/>
        <w:spacing w:line="259" w:lineRule="auto" w:before="20"/>
        <w:ind w:right="1186" w:firstLine="420"/>
        <w:jc w:val="left"/>
      </w:pPr>
      <w:r>
        <w:rPr/>
        <w:t>（</w:t>
      </w:r>
      <w:r>
        <w:rPr>
          <w:rFonts w:ascii="Arial" w:hAnsi="Arial" w:cs="Arial" w:eastAsia="Arial" w:hint="default"/>
        </w:rPr>
        <w:t>3</w:t>
      </w:r>
      <w:r>
        <w:rPr/>
        <w:t>）软件推广收入指在公司网站为用户提供客户软件下载及软件信息等服务取得的收入。软件推广 收入按与客户确认的当期软件有效安装量确认收入。</w:t>
      </w:r>
    </w:p>
    <w:p>
      <w:pPr>
        <w:spacing w:line="240" w:lineRule="auto" w:before="5"/>
        <w:rPr>
          <w:rFonts w:ascii="宋体" w:hAnsi="宋体" w:cs="宋体" w:eastAsia="宋体" w:hint="default"/>
          <w:sz w:val="25"/>
          <w:szCs w:val="25"/>
        </w:rPr>
      </w:pPr>
    </w:p>
    <w:p>
      <w:pPr>
        <w:pStyle w:val="Heading7"/>
        <w:spacing w:line="259" w:lineRule="auto" w:before="0"/>
        <w:ind w:left="573" w:right="0"/>
        <w:jc w:val="left"/>
      </w:pPr>
      <w:r>
        <w:rPr>
          <w:rFonts w:ascii="Arial" w:hAnsi="Arial" w:cs="Arial" w:eastAsia="Arial" w:hint="default"/>
        </w:rPr>
        <w:t>3</w:t>
      </w:r>
      <w:r>
        <w:rPr/>
        <w:t>、让渡资产使用权 </w:t>
      </w:r>
      <w:r>
        <w:rPr>
          <w:spacing w:val="-1"/>
        </w:rPr>
        <w:t>让渡资产使用权取得的利息收入和使用费收入，在与交易相关的经济利益能够流入企业，且收入的金</w:t>
      </w:r>
    </w:p>
    <w:p>
      <w:pPr>
        <w:spacing w:after="0" w:line="259"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7"/>
        <w:spacing w:line="240" w:lineRule="auto" w:before="35"/>
        <w:ind w:right="0"/>
        <w:jc w:val="left"/>
      </w:pPr>
      <w:r>
        <w:rPr/>
        <w:t>额能够可靠地计量时，确认收入的实现。</w:t>
      </w:r>
    </w:p>
    <w:p>
      <w:pPr>
        <w:spacing w:line="240" w:lineRule="auto" w:before="11"/>
        <w:rPr>
          <w:rFonts w:ascii="宋体" w:hAnsi="宋体" w:cs="宋体" w:eastAsia="宋体" w:hint="default"/>
          <w:sz w:val="25"/>
          <w:szCs w:val="25"/>
        </w:rPr>
      </w:pPr>
    </w:p>
    <w:p>
      <w:pPr>
        <w:pStyle w:val="Heading6"/>
        <w:spacing w:line="240" w:lineRule="auto"/>
        <w:ind w:right="0"/>
        <w:jc w:val="left"/>
        <w:rPr>
          <w:b w:val="0"/>
          <w:bCs w:val="0"/>
        </w:rPr>
      </w:pPr>
      <w:bookmarkStart w:name="29、政府补助" w:id="207"/>
      <w:bookmarkEnd w:id="207"/>
      <w:r>
        <w:rPr>
          <w:b w:val="0"/>
          <w:bCs w:val="0"/>
        </w:rPr>
      </w:r>
      <w:r>
        <w:rPr>
          <w:rFonts w:ascii="Times New Roman" w:hAnsi="Times New Roman" w:cs="Times New Roman" w:eastAsia="Times New Roman" w:hint="default"/>
        </w:rPr>
        <w:t>29</w:t>
      </w:r>
      <w:r>
        <w:rPr/>
        <w:t>、政府补助</w:t>
      </w:r>
      <w:r>
        <w:rPr>
          <w:b w:val="0"/>
          <w:bCs w:val="0"/>
        </w:rPr>
      </w:r>
    </w:p>
    <w:p>
      <w:pPr>
        <w:spacing w:line="590" w:lineRule="atLeast" w:before="23"/>
        <w:ind w:left="574" w:right="0" w:hanging="420"/>
        <w:jc w:val="left"/>
        <w:rPr>
          <w:rFonts w:ascii="宋体" w:hAnsi="宋体" w:cs="宋体" w:eastAsia="宋体" w:hint="default"/>
          <w:sz w:val="21"/>
          <w:szCs w:val="21"/>
        </w:rPr>
      </w:pPr>
      <w:bookmarkStart w:name="（1）与资产相关的政府补助判断依据及会计处理方法" w:id="208"/>
      <w:bookmarkEnd w:id="2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政府补助，是本公司从政府无偿取得的货币性资产与非货币性资产。分为与资产相关的政府补助和与</w:t>
      </w:r>
    </w:p>
    <w:p>
      <w:pPr>
        <w:pStyle w:val="Heading7"/>
        <w:spacing w:line="273" w:lineRule="auto" w:before="37"/>
        <w:ind w:left="574" w:right="0" w:hanging="420"/>
        <w:jc w:val="left"/>
      </w:pPr>
      <w:r>
        <w:rPr/>
        <w:t>收益相关的政府补助。 </w:t>
      </w:r>
      <w:r>
        <w:rPr>
          <w:spacing w:val="-1"/>
        </w:rPr>
        <w:t>与资产相关的政府补助，是指本公司取得的、用于购建或以其他方式形成长期资产的政府补助，包括</w:t>
      </w:r>
    </w:p>
    <w:p>
      <w:pPr>
        <w:pStyle w:val="Heading7"/>
        <w:spacing w:line="273" w:lineRule="auto"/>
        <w:ind w:left="154" w:right="0"/>
        <w:jc w:val="left"/>
      </w:pPr>
      <w:r>
        <w:rPr>
          <w:spacing w:val="-1"/>
        </w:rPr>
        <w:t>购买固定资产或无形资产的财政拨款、固定资产专门借款的财政贴息等。与收益相关的政府补助，是指除</w:t>
      </w:r>
      <w:r>
        <w:rPr>
          <w:spacing w:val="-83"/>
        </w:rPr>
        <w:t> </w:t>
      </w:r>
      <w:r>
        <w:rPr>
          <w:spacing w:val="-83"/>
        </w:rPr>
      </w:r>
      <w:r>
        <w:rPr/>
        <w:t>与资产相关的政府补助之外的政府补助。</w:t>
      </w:r>
    </w:p>
    <w:p>
      <w:pPr>
        <w:pStyle w:val="Heading7"/>
        <w:spacing w:line="273" w:lineRule="auto"/>
        <w:ind w:left="154" w:right="1131" w:firstLine="420"/>
        <w:jc w:val="both"/>
      </w:pPr>
      <w:r>
        <w:rPr>
          <w:spacing w:val="-1"/>
        </w:rPr>
        <w:t>本公司将政府补助划分为与资产相关的具体标准为：本公司取得的、用于构建或以其他方式形成长期</w:t>
      </w:r>
      <w:r>
        <w:rPr/>
        <w:t> 资产的政府补助。</w:t>
      </w:r>
    </w:p>
    <w:p>
      <w:pPr>
        <w:pStyle w:val="Heading7"/>
        <w:spacing w:line="240" w:lineRule="auto"/>
        <w:ind w:left="574" w:right="0"/>
        <w:jc w:val="left"/>
      </w:pPr>
      <w:r>
        <w:rPr/>
        <w:t>与资产相关的政府补助，确认为递延收益，按照所建造或购买的资产使用年限分期计入营业外收入。</w:t>
      </w:r>
    </w:p>
    <w:p>
      <w:pPr>
        <w:spacing w:line="590" w:lineRule="atLeast" w:before="39"/>
        <w:ind w:left="574" w:right="0" w:hanging="420"/>
        <w:jc w:val="left"/>
        <w:rPr>
          <w:rFonts w:ascii="宋体" w:hAnsi="宋体" w:cs="宋体" w:eastAsia="宋体" w:hint="default"/>
          <w:sz w:val="21"/>
          <w:szCs w:val="21"/>
        </w:rPr>
      </w:pPr>
      <w:bookmarkStart w:name="（2）与收益相关的政府补助判断依据及会计处理方法" w:id="209"/>
      <w:bookmarkEnd w:id="20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本公司将政府补助划分为与收益相关的具体标准为：本公司取得的除与资产相关的政府补助之外的政</w:t>
      </w:r>
    </w:p>
    <w:p>
      <w:pPr>
        <w:pStyle w:val="Heading7"/>
        <w:spacing w:line="240" w:lineRule="auto" w:before="37"/>
        <w:ind w:left="154" w:right="0"/>
        <w:jc w:val="left"/>
      </w:pPr>
      <w:r>
        <w:rPr/>
        <w:t>府补助；</w:t>
      </w:r>
    </w:p>
    <w:p>
      <w:pPr>
        <w:pStyle w:val="Heading7"/>
        <w:spacing w:line="273" w:lineRule="auto" w:before="37"/>
        <w:ind w:left="154" w:right="1132" w:firstLine="420"/>
        <w:jc w:val="both"/>
      </w:pPr>
      <w:r>
        <w:rPr>
          <w:spacing w:val="-1"/>
        </w:rPr>
        <w:t>对于政府文件未明确规定补助对象的，本公司将该政府补助划分为与资产相关或与收益相关的判断依</w:t>
      </w:r>
      <w:r>
        <w:rPr/>
        <w:t> 据为：是否用于购建或以其他方式形成长期资产。</w:t>
      </w:r>
    </w:p>
    <w:p>
      <w:pPr>
        <w:pStyle w:val="Heading7"/>
        <w:spacing w:line="273" w:lineRule="auto"/>
        <w:ind w:left="154" w:right="1131" w:firstLine="420"/>
        <w:jc w:val="both"/>
      </w:pPr>
      <w:r>
        <w:rPr>
          <w:spacing w:val="-1"/>
        </w:rPr>
        <w:t>与收益相关的政府补助，用于补偿本公司以后期间的相关费用或损失的，取得时确认为递延收益，在</w:t>
      </w:r>
      <w:r>
        <w:rPr/>
        <w:t> </w:t>
      </w:r>
      <w:r>
        <w:rPr>
          <w:spacing w:val="-1"/>
        </w:rPr>
        <w:t>确认相关费用的期间计入当期营业外收入；用于补偿本公司已发生的相关费用或损失的，取得时直接计入</w:t>
      </w:r>
      <w:r>
        <w:rPr>
          <w:spacing w:val="-81"/>
        </w:rPr>
        <w:t> </w:t>
      </w:r>
      <w:r>
        <w:rPr>
          <w:spacing w:val="-81"/>
        </w:rPr>
      </w:r>
      <w:r>
        <w:rPr/>
        <w:t>当期营业外收入。</w:t>
      </w:r>
    </w:p>
    <w:p>
      <w:pPr>
        <w:spacing w:line="590" w:lineRule="atLeast" w:before="9"/>
        <w:ind w:left="573" w:right="0" w:hanging="420"/>
        <w:jc w:val="left"/>
        <w:rPr>
          <w:rFonts w:ascii="宋体" w:hAnsi="宋体" w:cs="宋体" w:eastAsia="宋体" w:hint="default"/>
          <w:sz w:val="21"/>
          <w:szCs w:val="21"/>
        </w:rPr>
      </w:pPr>
      <w:bookmarkStart w:name="30、递延所得税资产/递延所得税负债" w:id="210"/>
      <w:bookmarkEnd w:id="210"/>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pacing w:val="-1"/>
          <w:sz w:val="21"/>
          <w:szCs w:val="21"/>
        </w:rPr>
        <w:t>对于可抵扣暂时性差异确认递延所得税资产，以未来期间很可能取得的用来抵扣可抵扣暂时性差异的</w:t>
      </w:r>
    </w:p>
    <w:p>
      <w:pPr>
        <w:pStyle w:val="Heading7"/>
        <w:spacing w:line="273" w:lineRule="auto" w:before="37"/>
        <w:ind w:right="0"/>
        <w:jc w:val="left"/>
      </w:pPr>
      <w:r>
        <w:rPr>
          <w:spacing w:val="-1"/>
        </w:rPr>
        <w:t>应纳税所得额为限。对于能够结转以后年度的可抵扣亏损和税款抵减，以很可能获得用来抵扣可抵扣亏损</w:t>
      </w:r>
      <w:r>
        <w:rPr>
          <w:spacing w:val="-81"/>
        </w:rPr>
        <w:t> </w:t>
      </w:r>
      <w:r>
        <w:rPr>
          <w:spacing w:val="-81"/>
        </w:rPr>
      </w:r>
      <w:r>
        <w:rPr/>
        <w:t>和税款抵减的未来应纳税所得额为限，确认相应的递延所得税资产。</w:t>
      </w:r>
    </w:p>
    <w:p>
      <w:pPr>
        <w:pStyle w:val="Heading7"/>
        <w:spacing w:line="273" w:lineRule="auto"/>
        <w:ind w:left="573" w:right="0"/>
        <w:jc w:val="left"/>
      </w:pPr>
      <w:r>
        <w:rPr/>
        <w:t>对于应纳税暂时性差异，除特殊情况外，确认递延所得税负债。 </w:t>
      </w:r>
      <w:r>
        <w:rPr>
          <w:spacing w:val="-1"/>
        </w:rPr>
        <w:t>不确认递延所得税资产或递延所得税负债的特殊情况包括：商誉的初始确认；除企业合并以外的发生</w:t>
      </w:r>
    </w:p>
    <w:p>
      <w:pPr>
        <w:pStyle w:val="Heading7"/>
        <w:spacing w:line="273" w:lineRule="auto"/>
        <w:ind w:left="573" w:right="0" w:hanging="420"/>
        <w:jc w:val="left"/>
      </w:pPr>
      <w:r>
        <w:rPr/>
        <w:t>时既不影响会计利润也不影响应纳税所得额（或可抵扣亏损）的其他交易或事项。 </w:t>
      </w:r>
      <w:r>
        <w:rPr>
          <w:spacing w:val="-1"/>
        </w:rPr>
        <w:t>当拥有以净额结算的法定权利，且意图以净额结算或取得资产、清偿负债同时进行时，当期所得税资</w:t>
      </w:r>
    </w:p>
    <w:p>
      <w:pPr>
        <w:pStyle w:val="Heading7"/>
        <w:spacing w:line="273" w:lineRule="auto"/>
        <w:ind w:left="574" w:right="0" w:hanging="420"/>
        <w:jc w:val="left"/>
      </w:pPr>
      <w:r>
        <w:rPr/>
        <w:t>产及当期所得税负债以抵销后的净额列报。 </w:t>
      </w:r>
      <w:r>
        <w:rPr>
          <w:spacing w:val="-1"/>
        </w:rPr>
        <w:t>当拥有以净额结算当期所得税资产及当期所得税负债的法定权利，且递延所得税资产及递延所得税负</w:t>
      </w:r>
    </w:p>
    <w:p>
      <w:pPr>
        <w:pStyle w:val="Heading7"/>
        <w:spacing w:line="273" w:lineRule="auto"/>
        <w:ind w:left="154" w:right="1131"/>
        <w:jc w:val="both"/>
      </w:pPr>
      <w:r>
        <w:rPr>
          <w:spacing w:val="-1"/>
        </w:rPr>
        <w:t>债是与同一税收征管部门对同一纳税主体征收的所得税相关或者是对不同的纳税主体相关，但在未来每一</w:t>
      </w:r>
      <w:r>
        <w:rPr>
          <w:spacing w:val="-81"/>
        </w:rPr>
        <w:t> </w:t>
      </w:r>
      <w:r>
        <w:rPr>
          <w:spacing w:val="-81"/>
        </w:rPr>
      </w:r>
      <w:r>
        <w:rPr>
          <w:spacing w:val="-1"/>
        </w:rPr>
        <w:t>具有重要性的递延所得税资产及负债转回的期间内，涉及的纳税主体意图以净额结算当期所得税资产和负</w:t>
      </w:r>
      <w:r>
        <w:rPr>
          <w:spacing w:val="-81"/>
        </w:rPr>
        <w:t> </w:t>
      </w:r>
      <w:r>
        <w:rPr>
          <w:spacing w:val="-81"/>
        </w:rPr>
      </w:r>
      <w:r>
        <w:rPr/>
        <w:t>债或是同时取得资产、清偿负债时，递延所得税资产及递延所得税负债以抵销后的净额列报。</w:t>
      </w:r>
    </w:p>
    <w:p>
      <w:pPr>
        <w:spacing w:line="240" w:lineRule="auto" w:before="8"/>
        <w:rPr>
          <w:rFonts w:ascii="宋体" w:hAnsi="宋体" w:cs="宋体" w:eastAsia="宋体" w:hint="default"/>
          <w:sz w:val="23"/>
          <w:szCs w:val="23"/>
        </w:rPr>
      </w:pPr>
    </w:p>
    <w:p>
      <w:pPr>
        <w:pStyle w:val="Heading6"/>
        <w:spacing w:line="240" w:lineRule="auto"/>
        <w:ind w:right="0"/>
        <w:jc w:val="left"/>
        <w:rPr>
          <w:b w:val="0"/>
          <w:bCs w:val="0"/>
        </w:rPr>
      </w:pPr>
      <w:bookmarkStart w:name="31、租赁" w:id="211"/>
      <w:bookmarkEnd w:id="211"/>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经营租赁的会计处理方法" w:id="212"/>
      <w:bookmarkEnd w:id="212"/>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4"/>
          <w:szCs w:val="24"/>
        </w:rPr>
      </w:pPr>
    </w:p>
    <w:p>
      <w:pPr>
        <w:pStyle w:val="Heading7"/>
        <w:spacing w:line="240" w:lineRule="auto" w:before="0"/>
        <w:ind w:left="574" w:right="0"/>
        <w:jc w:val="left"/>
      </w:pPr>
      <w:r>
        <w:rPr/>
        <w:t>①公司租入资产所支付的租赁费，在不扣除免租期的整个租赁期内，按直线法进行分摊，计入当期费</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7"/>
        <w:spacing w:line="273" w:lineRule="auto" w:before="35"/>
        <w:ind w:left="573" w:right="0" w:hanging="420"/>
        <w:jc w:val="left"/>
      </w:pPr>
      <w:r>
        <w:rPr/>
        <w:t>用。公司支付的与租赁交易相关的初始直接费用，计入当期费用。 </w:t>
      </w:r>
      <w:r>
        <w:rPr>
          <w:spacing w:val="-1"/>
        </w:rPr>
        <w:t>资产出租方承担了应由公司承担的与租赁相关的费用时，公司将该部分费用从租金总额中扣除，按扣</w:t>
      </w:r>
    </w:p>
    <w:p>
      <w:pPr>
        <w:pStyle w:val="Heading7"/>
        <w:spacing w:line="240" w:lineRule="auto"/>
        <w:ind w:right="0"/>
        <w:jc w:val="left"/>
      </w:pPr>
      <w:r>
        <w:rPr/>
        <w:t>除后的租金费用在租赁期内分摊，计入当期费用。</w:t>
      </w:r>
    </w:p>
    <w:p>
      <w:pPr>
        <w:pStyle w:val="Heading7"/>
        <w:spacing w:line="273" w:lineRule="auto" w:before="37"/>
        <w:ind w:right="0" w:firstLine="420"/>
        <w:jc w:val="left"/>
      </w:pPr>
      <w:r>
        <w:rPr/>
        <w:t>②公司出租资产所收取的租赁费，在不扣除免租期的整个租赁期内，按直线法进行分摊，确认为租赁 相关收入。公司支付的与租赁交易相关的初始直接费用，计入当期费用；如金额较大的，则予以资本化，</w:t>
      </w:r>
      <w:r>
        <w:rPr>
          <w:spacing w:val="-38"/>
        </w:rPr>
        <w:t> </w:t>
      </w:r>
      <w:r>
        <w:rPr>
          <w:spacing w:val="-38"/>
        </w:rPr>
      </w:r>
      <w:r>
        <w:rPr/>
        <w:t>在整个租赁期间内按照与租赁相关收入确认相同的基础分期计入当期收益。</w:t>
      </w:r>
    </w:p>
    <w:p>
      <w:pPr>
        <w:pStyle w:val="Heading7"/>
        <w:spacing w:line="273" w:lineRule="auto"/>
        <w:ind w:right="0" w:firstLine="420"/>
        <w:jc w:val="left"/>
      </w:pPr>
      <w:r>
        <w:rPr>
          <w:spacing w:val="-1"/>
        </w:rPr>
        <w:t>公司承担了应由承租方承担的与租赁相关的费用时，公司将该部分费用从租金收入总额中扣除，按扣</w:t>
      </w:r>
      <w:r>
        <w:rPr/>
        <w:t> 除后的租金费用在租赁期内分配。</w:t>
      </w:r>
    </w:p>
    <w:p>
      <w:pPr>
        <w:spacing w:line="240" w:lineRule="auto" w:before="8"/>
        <w:rPr>
          <w:rFonts w:ascii="宋体" w:hAnsi="宋体" w:cs="宋体" w:eastAsia="宋体" w:hint="default"/>
          <w:sz w:val="23"/>
          <w:szCs w:val="23"/>
        </w:rPr>
      </w:pPr>
    </w:p>
    <w:p>
      <w:pPr>
        <w:pStyle w:val="Heading6"/>
        <w:spacing w:line="506" w:lineRule="auto"/>
        <w:ind w:left="573" w:right="7907" w:hanging="420"/>
        <w:jc w:val="left"/>
        <w:rPr>
          <w:rFonts w:ascii="宋体" w:hAnsi="宋体" w:cs="宋体" w:eastAsia="宋体" w:hint="default"/>
          <w:b w:val="0"/>
          <w:bCs w:val="0"/>
        </w:rPr>
      </w:pPr>
      <w:bookmarkStart w:name="（2）融资租赁的会计处理方法" w:id="213"/>
      <w:bookmarkEnd w:id="213"/>
      <w:r>
        <w:rPr>
          <w:b w:val="0"/>
          <w:bCs w:val="0"/>
        </w:rPr>
      </w:r>
      <w:r>
        <w:rPr/>
        <w:t>（</w:t>
      </w:r>
      <w:r>
        <w:rPr>
          <w:rFonts w:ascii="Times New Roman" w:hAnsi="Times New Roman" w:cs="Times New Roman" w:eastAsia="Times New Roman" w:hint="default"/>
        </w:rPr>
        <w:t>2</w:t>
      </w:r>
      <w:r>
        <w:rPr/>
        <w:t>）融资租赁的会计处理方法</w:t>
      </w:r>
      <w:r>
        <w:rPr>
          <w:w w:val="99"/>
        </w:rPr>
        <w:t> </w:t>
      </w:r>
      <w:r>
        <w:rPr>
          <w:rFonts w:ascii="宋体" w:hAnsi="宋体" w:cs="宋体" w:eastAsia="宋体" w:hint="default"/>
          <w:b w:val="0"/>
          <w:bCs w:val="0"/>
        </w:rPr>
        <w:t>无。</w:t>
      </w:r>
    </w:p>
    <w:p>
      <w:pPr>
        <w:pStyle w:val="Heading6"/>
        <w:spacing w:line="506" w:lineRule="auto" w:before="105"/>
        <w:ind w:left="573" w:right="7381" w:hanging="420"/>
        <w:jc w:val="left"/>
        <w:rPr>
          <w:rFonts w:ascii="宋体" w:hAnsi="宋体" w:cs="宋体" w:eastAsia="宋体" w:hint="default"/>
          <w:b w:val="0"/>
          <w:bCs w:val="0"/>
        </w:rPr>
      </w:pPr>
      <w:bookmarkStart w:name="32、其他重要的会计政策和会计估计" w:id="214"/>
      <w:bookmarkEnd w:id="214"/>
      <w:r>
        <w:rPr>
          <w:b w:val="0"/>
          <w:bCs w:val="0"/>
        </w:rPr>
      </w:r>
      <w:r>
        <w:rPr>
          <w:rFonts w:ascii="Times New Roman" w:hAnsi="Times New Roman" w:cs="Times New Roman" w:eastAsia="Times New Roman" w:hint="default"/>
        </w:rPr>
        <w:t>32</w:t>
      </w:r>
      <w:r>
        <w:rPr/>
        <w:t>、其他重要的会计政策和会计估计</w:t>
      </w:r>
      <w:r>
        <w:rPr>
          <w:w w:val="99"/>
        </w:rPr>
        <w:t> </w:t>
      </w:r>
      <w:r>
        <w:rPr>
          <w:rFonts w:ascii="宋体" w:hAnsi="宋体" w:cs="宋体" w:eastAsia="宋体" w:hint="default"/>
          <w:b w:val="0"/>
          <w:bCs w:val="0"/>
        </w:rPr>
        <w:t>无。</w:t>
      </w:r>
    </w:p>
    <w:p>
      <w:pPr>
        <w:pStyle w:val="Heading6"/>
        <w:spacing w:line="240" w:lineRule="auto" w:before="105"/>
        <w:ind w:right="0"/>
        <w:jc w:val="left"/>
        <w:rPr>
          <w:b w:val="0"/>
          <w:bCs w:val="0"/>
        </w:rPr>
      </w:pPr>
      <w:bookmarkStart w:name="33、重要会计政策和会计估计变更" w:id="215"/>
      <w:bookmarkEnd w:id="215"/>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重要会计政策变更" w:id="216"/>
      <w:bookmarkEnd w:id="216"/>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6"/>
        <w:spacing w:line="240" w:lineRule="auto"/>
        <w:ind w:right="0"/>
        <w:jc w:val="left"/>
        <w:rPr>
          <w:b w:val="0"/>
          <w:bCs w:val="0"/>
        </w:rPr>
      </w:pPr>
      <w:bookmarkStart w:name="（2）重要会计估计变更" w:id="217"/>
      <w:bookmarkEnd w:id="217"/>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bookmarkStart w:name="34、其他" w:id="218"/>
      <w:bookmarkEnd w:id="218"/>
      <w:r>
        <w:rPr>
          <w:b w:val="0"/>
          <w:bCs w:val="0"/>
        </w:rPr>
      </w:r>
      <w:r>
        <w:rPr>
          <w:rFonts w:ascii="Times New Roman" w:hAnsi="Times New Roman" w:cs="Times New Roman" w:eastAsia="Times New Roman" w:hint="default"/>
        </w:rPr>
        <w:t>34</w:t>
      </w:r>
      <w:r>
        <w:rPr/>
        <w:t>、其他</w:t>
      </w:r>
      <w:r>
        <w:rPr>
          <w:b w:val="0"/>
          <w:bCs w:val="0"/>
        </w:rPr>
      </w:r>
    </w:p>
    <w:p>
      <w:pPr>
        <w:spacing w:line="240" w:lineRule="auto" w:before="7"/>
        <w:rPr>
          <w:rFonts w:ascii="宋体" w:hAnsi="宋体" w:cs="宋体" w:eastAsia="宋体" w:hint="default"/>
          <w:b/>
          <w:bCs/>
          <w:sz w:val="24"/>
          <w:szCs w:val="24"/>
        </w:rPr>
      </w:pPr>
    </w:p>
    <w:p>
      <w:pPr>
        <w:spacing w:line="501" w:lineRule="auto" w:before="0"/>
        <w:ind w:left="153" w:right="8969" w:firstLine="420"/>
        <w:jc w:val="left"/>
        <w:rPr>
          <w:rFonts w:ascii="宋体" w:hAnsi="宋体" w:cs="宋体" w:eastAsia="宋体" w:hint="default"/>
          <w:sz w:val="21"/>
          <w:szCs w:val="21"/>
        </w:rPr>
      </w:pPr>
      <w:r>
        <w:rPr>
          <w:rFonts w:ascii="宋体" w:hAnsi="宋体" w:cs="宋体" w:eastAsia="宋体" w:hint="default"/>
          <w:sz w:val="21"/>
          <w:szCs w:val="21"/>
        </w:rPr>
        <w:t>无。 </w:t>
      </w:r>
      <w:bookmarkStart w:name="六、税项" w:id="219"/>
      <w:bookmarkEnd w:id="219"/>
      <w:r>
        <w:rPr>
          <w:rFonts w:ascii="宋体" w:hAnsi="宋体" w:cs="宋体" w:eastAsia="宋体" w:hint="default"/>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20"/>
      <w:bookmarkEnd w:id="220"/>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4"/>
        <w:rPr>
          <w:rFonts w:ascii="宋体" w:hAnsi="宋体" w:cs="宋体" w:eastAsia="宋体" w:hint="default"/>
          <w:b/>
          <w:bCs/>
          <w:sz w:val="6"/>
          <w:szCs w:val="6"/>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317"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95"/>
              <w:jc w:val="both"/>
              <w:rPr>
                <w:rFonts w:ascii="宋体" w:hAnsi="宋体" w:cs="宋体" w:eastAsia="宋体" w:hint="default"/>
                <w:sz w:val="18"/>
                <w:szCs w:val="18"/>
              </w:rPr>
            </w:pPr>
            <w:r>
              <w:rPr>
                <w:rFonts w:ascii="宋体" w:hAnsi="宋体" w:cs="宋体" w:eastAsia="宋体" w:hint="default"/>
                <w:sz w:val="18"/>
                <w:szCs w:val="18"/>
              </w:rPr>
              <w:t>应纳税销售额（日本地区消费税，应纳 税额按应纳税消费额乘以适用税率扣除 当期允许抵扣的进项税后的余额计算</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按应税营业收入计缴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 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34.09%</w:t>
            </w:r>
          </w:p>
        </w:tc>
      </w:tr>
    </w:tbl>
    <w:p>
      <w:pPr>
        <w:pStyle w:val="BodyText"/>
        <w:spacing w:line="240" w:lineRule="auto" w:before="51"/>
        <w:ind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上海二三四五网络控股集团股份有限公司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上海海隆软件有限公司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江苏海隆软件技术有限公司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上海华钟计算机软件开发有限公司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上海海隆宜通信息技术有限公司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日本海隆株式会社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34.09</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海隆网讯科技（北京）有限公司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上海二三四五网络科技有限公司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上海二三四五移动科技有限公司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上海二三四五科技投资有限公司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吉隆瑞美信息咨询有限公司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吉隆瑞信投资有限公司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海隆软件（昆山）有限公司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上海二三四五海隆金融信息服务有限公司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上海薪想互联网金融信息服务有限公司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税收优惠" w:id="221"/>
      <w:bookmarkEnd w:id="221"/>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Heading7"/>
        <w:spacing w:line="259" w:lineRule="auto" w:before="0"/>
        <w:ind w:right="1196" w:firstLine="420"/>
        <w:jc w:val="left"/>
      </w:pPr>
      <w:r>
        <w:rPr/>
        <w:t>本公司于</w:t>
      </w:r>
      <w:r>
        <w:rPr>
          <w:rFonts w:ascii="Arial" w:hAnsi="Arial" w:cs="Arial" w:eastAsia="Arial" w:hint="default"/>
        </w:rPr>
        <w:t>2014</w:t>
      </w:r>
      <w:r>
        <w:rPr/>
        <w:t>年</w:t>
      </w:r>
      <w:r>
        <w:rPr>
          <w:rFonts w:ascii="Arial" w:hAnsi="Arial" w:cs="Arial" w:eastAsia="Arial" w:hint="default"/>
        </w:rPr>
        <w:t>9</w:t>
      </w:r>
      <w:r>
        <w:rPr/>
        <w:t>月</w:t>
      </w:r>
      <w:r>
        <w:rPr>
          <w:rFonts w:ascii="Arial" w:hAnsi="Arial" w:cs="Arial" w:eastAsia="Arial" w:hint="default"/>
        </w:rPr>
        <w:t>4</w:t>
      </w:r>
      <w:r>
        <w:rPr/>
        <w:t>日被认定为高新技术企业（证书编号：</w:t>
      </w:r>
      <w:r>
        <w:rPr>
          <w:rFonts w:ascii="Arial" w:hAnsi="Arial" w:cs="Arial" w:eastAsia="Arial" w:hint="default"/>
        </w:rPr>
        <w:t>GR201431000496</w:t>
      </w:r>
      <w:r>
        <w:rPr/>
        <w:t>），有效期三年，在 有效期内享受高新技术企业所得税优惠，</w:t>
      </w:r>
      <w:r>
        <w:rPr>
          <w:rFonts w:ascii="Arial" w:hAnsi="Arial" w:cs="Arial" w:eastAsia="Arial" w:hint="default"/>
        </w:rPr>
        <w:t>2015</w:t>
      </w:r>
      <w:r>
        <w:rPr/>
        <w:t>年度减按</w:t>
      </w:r>
      <w:r>
        <w:rPr>
          <w:rFonts w:ascii="Arial" w:hAnsi="Arial" w:cs="Arial" w:eastAsia="Arial" w:hint="default"/>
        </w:rPr>
        <w:t>15%</w:t>
      </w:r>
      <w:r>
        <w:rPr/>
        <w:t>税率征收企业所得税。</w:t>
      </w:r>
    </w:p>
    <w:p>
      <w:pPr>
        <w:pStyle w:val="Heading7"/>
        <w:spacing w:line="240" w:lineRule="auto" w:before="3"/>
        <w:ind w:left="573" w:right="0"/>
        <w:jc w:val="left"/>
      </w:pPr>
      <w:r>
        <w:rPr/>
        <w:t>本公司之孙子公司江苏海隆软件技术有限公司于</w:t>
      </w:r>
      <w:r>
        <w:rPr>
          <w:rFonts w:ascii="Arial" w:hAnsi="Arial" w:cs="Arial" w:eastAsia="Arial" w:hint="default"/>
        </w:rPr>
        <w:t>2011</w:t>
      </w:r>
      <w:r>
        <w:rPr/>
        <w:t>年</w:t>
      </w:r>
      <w:r>
        <w:rPr>
          <w:rFonts w:ascii="Arial" w:hAnsi="Arial" w:cs="Arial" w:eastAsia="Arial" w:hint="default"/>
        </w:rPr>
        <w:t>10</w:t>
      </w:r>
      <w:r>
        <w:rPr/>
        <w:t>月</w:t>
      </w:r>
      <w:r>
        <w:rPr>
          <w:rFonts w:ascii="Arial" w:hAnsi="Arial" w:cs="Arial" w:eastAsia="Arial" w:hint="default"/>
        </w:rPr>
        <w:t>8</w:t>
      </w:r>
      <w:r>
        <w:rPr/>
        <w:t>日被认定为软件企业（证书编号为苏</w:t>
      </w:r>
    </w:p>
    <w:p>
      <w:pPr>
        <w:pStyle w:val="Heading7"/>
        <w:spacing w:line="240" w:lineRule="auto" w:before="22"/>
        <w:ind w:right="0"/>
        <w:jc w:val="left"/>
        <w:rPr>
          <w:rFonts w:ascii="Arial" w:hAnsi="Arial" w:cs="Arial" w:eastAsia="Arial" w:hint="default"/>
        </w:rPr>
      </w:pPr>
      <w:r>
        <w:rPr>
          <w:rFonts w:ascii="Arial" w:hAnsi="Arial" w:cs="Arial" w:eastAsia="Arial" w:hint="default"/>
          <w:spacing w:val="-1"/>
          <w:w w:val="99"/>
        </w:rPr>
        <w:t>R</w:t>
      </w:r>
      <w:r>
        <w:rPr>
          <w:rFonts w:ascii="Arial" w:hAnsi="Arial" w:cs="Arial" w:eastAsia="Arial" w:hint="default"/>
          <w:spacing w:val="-1"/>
          <w:w w:val="99"/>
        </w:rPr>
        <w:t>-</w:t>
      </w:r>
      <w:r>
        <w:rPr>
          <w:rFonts w:ascii="Arial" w:hAnsi="Arial" w:cs="Arial" w:eastAsia="Arial" w:hint="default"/>
          <w:w w:val="99"/>
        </w:rPr>
        <w:t>2011</w:t>
      </w:r>
      <w:r>
        <w:rPr>
          <w:rFonts w:ascii="Arial" w:hAnsi="Arial" w:cs="Arial" w:eastAsia="Arial" w:hint="default"/>
          <w:w w:val="99"/>
        </w:rPr>
        <w:t>-</w:t>
      </w:r>
      <w:r>
        <w:rPr>
          <w:rFonts w:ascii="Arial" w:hAnsi="Arial" w:cs="Arial" w:eastAsia="Arial" w:hint="default"/>
          <w:w w:val="99"/>
        </w:rPr>
        <w:t>0</w:t>
      </w:r>
      <w:r>
        <w:rPr>
          <w:rFonts w:ascii="Arial" w:hAnsi="Arial" w:cs="Arial" w:eastAsia="Arial" w:hint="default"/>
          <w:spacing w:val="-1"/>
          <w:w w:val="99"/>
        </w:rPr>
        <w:t>0</w:t>
      </w:r>
      <w:r>
        <w:rPr>
          <w:rFonts w:ascii="Arial" w:hAnsi="Arial" w:cs="Arial" w:eastAsia="Arial" w:hint="default"/>
          <w:w w:val="99"/>
        </w:rPr>
        <w:t>7</w:t>
      </w:r>
      <w:r>
        <w:rPr>
          <w:rFonts w:ascii="Arial" w:hAnsi="Arial" w:cs="Arial" w:eastAsia="Arial" w:hint="default"/>
          <w:spacing w:val="1"/>
          <w:w w:val="99"/>
        </w:rPr>
        <w:t>7</w:t>
      </w:r>
      <w:r>
        <w:rPr>
          <w:spacing w:val="-100"/>
        </w:rPr>
        <w:t>），</w:t>
      </w:r>
      <w:r>
        <w:rPr/>
        <w:t>自获利年</w:t>
      </w:r>
      <w:r>
        <w:rPr>
          <w:spacing w:val="-1"/>
        </w:rPr>
        <w:t>度</w:t>
      </w:r>
      <w:r>
        <w:rPr>
          <w:rFonts w:ascii="Arial" w:hAnsi="Arial" w:cs="Arial" w:eastAsia="Arial" w:hint="default"/>
          <w:w w:val="99"/>
        </w:rPr>
        <w:t>(</w:t>
      </w:r>
      <w:r>
        <w:rPr>
          <w:rFonts w:ascii="Arial" w:hAnsi="Arial" w:cs="Arial" w:eastAsia="Arial" w:hint="default"/>
          <w:spacing w:val="-1"/>
          <w:w w:val="99"/>
        </w:rPr>
        <w:t>2</w:t>
      </w:r>
      <w:r>
        <w:rPr>
          <w:rFonts w:ascii="Arial" w:hAnsi="Arial" w:cs="Arial" w:eastAsia="Arial" w:hint="default"/>
          <w:w w:val="99"/>
        </w:rPr>
        <w:t>011</w:t>
      </w:r>
      <w:r>
        <w:rPr/>
        <w:t>年</w:t>
      </w:r>
      <w:r>
        <w:rPr>
          <w:rFonts w:ascii="Arial" w:hAnsi="Arial" w:cs="Arial" w:eastAsia="Arial" w:hint="default"/>
        </w:rPr>
        <w:t>)</w:t>
      </w:r>
      <w:r>
        <w:rPr/>
        <w:t>起</w:t>
      </w:r>
      <w:r>
        <w:rPr>
          <w:spacing w:val="-100"/>
        </w:rPr>
        <w:t>，</w:t>
      </w:r>
      <w:r>
        <w:rPr/>
        <w:t>享受企业所得税</w:t>
      </w:r>
      <w:r>
        <w:rPr>
          <w:spacing w:val="-1"/>
        </w:rPr>
        <w:t>“</w:t>
      </w:r>
      <w:r>
        <w:rPr/>
        <w:t>两免三减半”优惠政策</w:t>
      </w:r>
      <w:r>
        <w:rPr>
          <w:spacing w:val="-100"/>
        </w:rPr>
        <w:t>，</w:t>
      </w:r>
      <w:r>
        <w:rPr>
          <w:rFonts w:ascii="Arial" w:hAnsi="Arial" w:cs="Arial" w:eastAsia="Arial" w:hint="default"/>
          <w:w w:val="99"/>
        </w:rPr>
        <w:t>201</w:t>
      </w:r>
      <w:r>
        <w:rPr>
          <w:rFonts w:ascii="Arial" w:hAnsi="Arial" w:cs="Arial" w:eastAsia="Arial" w:hint="default"/>
          <w:spacing w:val="-1"/>
          <w:w w:val="99"/>
        </w:rPr>
        <w:t>5</w:t>
      </w:r>
      <w:r>
        <w:rPr/>
        <w:t>年度减</w:t>
      </w:r>
      <w:r>
        <w:rPr>
          <w:spacing w:val="1"/>
        </w:rPr>
        <w:t>半</w:t>
      </w:r>
      <w:r>
        <w:rPr/>
        <w:t>按</w:t>
      </w:r>
      <w:r>
        <w:rPr>
          <w:rFonts w:ascii="Arial" w:hAnsi="Arial" w:cs="Arial" w:eastAsia="Arial" w:hint="default"/>
          <w:w w:val="99"/>
        </w:rPr>
        <w:t>1</w:t>
      </w:r>
      <w:r>
        <w:rPr>
          <w:rFonts w:ascii="Arial" w:hAnsi="Arial" w:cs="Arial" w:eastAsia="Arial" w:hint="default"/>
          <w:spacing w:val="-1"/>
          <w:w w:val="99"/>
        </w:rPr>
        <w:t>2</w:t>
      </w:r>
      <w:r>
        <w:rPr>
          <w:rFonts w:ascii="Arial" w:hAnsi="Arial" w:cs="Arial" w:eastAsia="Arial" w:hint="default"/>
          <w:w w:val="99"/>
        </w:rPr>
        <w:t>.5%</w:t>
      </w:r>
      <w:r>
        <w:rPr>
          <w:rFonts w:ascii="Arial" w:hAnsi="Arial" w:cs="Arial" w:eastAsia="Arial" w:hint="default"/>
        </w:rPr>
      </w:r>
    </w:p>
    <w:p>
      <w:pPr>
        <w:pStyle w:val="Heading7"/>
        <w:spacing w:line="273" w:lineRule="auto" w:before="22"/>
        <w:ind w:left="573" w:right="1209" w:hanging="420"/>
        <w:jc w:val="left"/>
      </w:pPr>
      <w:r>
        <w:rPr/>
        <w:t>税率征收企业所得税。 本公司之子公司上海华钟计算机软件开发有限公司于</w:t>
      </w:r>
      <w:r>
        <w:rPr>
          <w:rFonts w:ascii="Arial" w:hAnsi="Arial" w:cs="Arial" w:eastAsia="Arial" w:hint="default"/>
        </w:rPr>
        <w:t>2015</w:t>
      </w:r>
      <w:r>
        <w:rPr/>
        <w:t>年</w:t>
      </w:r>
      <w:r>
        <w:rPr>
          <w:rFonts w:ascii="Arial" w:hAnsi="Arial" w:cs="Arial" w:eastAsia="Arial" w:hint="default"/>
        </w:rPr>
        <w:t>10</w:t>
      </w:r>
      <w:r>
        <w:rPr/>
        <w:t>月</w:t>
      </w:r>
      <w:r>
        <w:rPr>
          <w:rFonts w:ascii="Arial" w:hAnsi="Arial" w:cs="Arial" w:eastAsia="Arial" w:hint="default"/>
        </w:rPr>
        <w:t>30</w:t>
      </w:r>
      <w:r>
        <w:rPr/>
        <w:t>日被认定为高新技术企业（证书</w:t>
      </w:r>
    </w:p>
    <w:p>
      <w:pPr>
        <w:pStyle w:val="Heading7"/>
        <w:spacing w:line="259" w:lineRule="auto" w:before="0"/>
        <w:ind w:right="1120"/>
        <w:jc w:val="left"/>
      </w:pPr>
      <w:r>
        <w:rPr/>
        <w:t>编号为</w:t>
      </w:r>
      <w:r>
        <w:rPr>
          <w:spacing w:val="-6"/>
        </w:rPr>
        <w:t> </w:t>
      </w:r>
      <w:r>
        <w:rPr>
          <w:rFonts w:ascii="Arial" w:hAnsi="Arial" w:cs="Arial" w:eastAsia="Arial" w:hint="default"/>
        </w:rPr>
        <w:t>GR201531000579</w:t>
      </w:r>
      <w:r>
        <w:rPr/>
        <w:t>），在有效期内享受高新技术企业所得税优惠，</w:t>
      </w:r>
      <w:r>
        <w:rPr>
          <w:rFonts w:ascii="Arial" w:hAnsi="Arial" w:cs="Arial" w:eastAsia="Arial" w:hint="default"/>
        </w:rPr>
        <w:t>2015</w:t>
      </w:r>
      <w:r>
        <w:rPr/>
        <w:t>年度减按</w:t>
      </w:r>
      <w:r>
        <w:rPr>
          <w:rFonts w:ascii="Arial" w:hAnsi="Arial" w:cs="Arial" w:eastAsia="Arial" w:hint="default"/>
        </w:rPr>
        <w:t>15%</w:t>
      </w:r>
      <w:r>
        <w:rPr/>
        <w:t>税率征收企 业所得税。</w:t>
      </w:r>
    </w:p>
    <w:p>
      <w:pPr>
        <w:pStyle w:val="Heading7"/>
        <w:spacing w:line="259" w:lineRule="auto" w:before="20"/>
        <w:ind w:right="1131" w:firstLine="420"/>
        <w:jc w:val="both"/>
      </w:pPr>
      <w:r>
        <w:rPr/>
        <w:t>本公司之子公司上海二三四五网络科技有限公司于</w:t>
      </w:r>
      <w:r>
        <w:rPr>
          <w:rFonts w:ascii="Arial" w:hAnsi="Arial" w:cs="Arial" w:eastAsia="Arial" w:hint="default"/>
        </w:rPr>
        <w:t>2013</w:t>
      </w:r>
      <w:r>
        <w:rPr/>
        <w:t>年</w:t>
      </w:r>
      <w:r>
        <w:rPr>
          <w:rFonts w:ascii="Arial" w:hAnsi="Arial" w:cs="Arial" w:eastAsia="Arial" w:hint="default"/>
        </w:rPr>
        <w:t>2</w:t>
      </w:r>
      <w:r>
        <w:rPr/>
        <w:t>月</w:t>
      </w:r>
      <w:r>
        <w:rPr>
          <w:rFonts w:ascii="Arial" w:hAnsi="Arial" w:cs="Arial" w:eastAsia="Arial" w:hint="default"/>
        </w:rPr>
        <w:t>10</w:t>
      </w:r>
      <w:r>
        <w:rPr/>
        <w:t>日被认定为软件企业（证书编号为沪 </w:t>
      </w:r>
      <w:r>
        <w:rPr>
          <w:rFonts w:ascii="Arial" w:hAnsi="Arial" w:cs="Arial" w:eastAsia="Arial" w:hint="default"/>
          <w:spacing w:val="-7"/>
          <w:w w:val="99"/>
        </w:rPr>
        <w:t>R-2013-0106</w:t>
      </w:r>
      <w:r>
        <w:rPr>
          <w:spacing w:val="-7"/>
          <w:w w:val="99"/>
        </w:rPr>
        <w:t>），自获利年度</w:t>
      </w:r>
      <w:r>
        <w:rPr>
          <w:rFonts w:ascii="Arial" w:hAnsi="Arial" w:cs="Arial" w:eastAsia="Arial" w:hint="default"/>
          <w:spacing w:val="-7"/>
          <w:w w:val="99"/>
        </w:rPr>
        <w:t>(2012</w:t>
      </w:r>
      <w:r>
        <w:rPr>
          <w:spacing w:val="-7"/>
          <w:w w:val="99"/>
        </w:rPr>
        <w:t>年</w:t>
      </w:r>
      <w:r>
        <w:rPr>
          <w:rFonts w:ascii="Arial" w:hAnsi="Arial" w:cs="Arial" w:eastAsia="Arial" w:hint="default"/>
          <w:spacing w:val="-7"/>
          <w:w w:val="99"/>
        </w:rPr>
        <w:t>)</w:t>
      </w:r>
      <w:r>
        <w:rPr>
          <w:spacing w:val="-7"/>
          <w:w w:val="99"/>
        </w:rPr>
        <w:t>起，享受企业所得税“两免三减半”优惠政策，</w:t>
      </w:r>
      <w:r>
        <w:rPr>
          <w:rFonts w:ascii="Arial" w:hAnsi="Arial" w:cs="Arial" w:eastAsia="Arial" w:hint="default"/>
          <w:spacing w:val="-7"/>
          <w:w w:val="99"/>
        </w:rPr>
        <w:t>2015</w:t>
      </w:r>
      <w:r>
        <w:rPr>
          <w:spacing w:val="-7"/>
          <w:w w:val="99"/>
        </w:rPr>
        <w:t>年度减半按</w:t>
      </w:r>
      <w:r>
        <w:rPr>
          <w:rFonts w:ascii="Arial" w:hAnsi="Arial" w:cs="Arial" w:eastAsia="Arial" w:hint="default"/>
          <w:spacing w:val="-7"/>
          <w:w w:val="99"/>
        </w:rPr>
        <w:t>12.5%</w:t>
      </w:r>
      <w:r>
        <w:rPr>
          <w:rFonts w:ascii="Arial" w:hAnsi="Arial" w:cs="Arial" w:eastAsia="Arial" w:hint="default"/>
          <w:spacing w:val="-45"/>
          <w:w w:val="99"/>
        </w:rPr>
        <w:t> </w:t>
      </w:r>
      <w:r>
        <w:rPr>
          <w:rFonts w:ascii="Arial" w:hAnsi="Arial" w:cs="Arial" w:eastAsia="Arial" w:hint="default"/>
          <w:spacing w:val="-45"/>
          <w:w w:val="99"/>
        </w:rPr>
      </w:r>
      <w:r>
        <w:rPr/>
        <w:t>税率征收企业所得税。</w:t>
      </w:r>
    </w:p>
    <w:p>
      <w:pPr>
        <w:pStyle w:val="Heading7"/>
        <w:spacing w:line="259" w:lineRule="auto" w:before="20"/>
        <w:ind w:right="1131" w:firstLine="420"/>
        <w:jc w:val="left"/>
      </w:pPr>
      <w:r>
        <w:rPr/>
        <w:t>本公司之子公司上海二三四五移动科技有限公司于</w:t>
      </w:r>
      <w:r>
        <w:rPr>
          <w:rFonts w:ascii="Arial" w:hAnsi="Arial" w:cs="Arial" w:eastAsia="Arial" w:hint="default"/>
        </w:rPr>
        <w:t>2014</w:t>
      </w:r>
      <w:r>
        <w:rPr/>
        <w:t>年</w:t>
      </w:r>
      <w:r>
        <w:rPr>
          <w:rFonts w:ascii="Arial" w:hAnsi="Arial" w:cs="Arial" w:eastAsia="Arial" w:hint="default"/>
        </w:rPr>
        <w:t>2</w:t>
      </w:r>
      <w:r>
        <w:rPr/>
        <w:t>月</w:t>
      </w:r>
      <w:r>
        <w:rPr>
          <w:rFonts w:ascii="Arial" w:hAnsi="Arial" w:cs="Arial" w:eastAsia="Arial" w:hint="default"/>
        </w:rPr>
        <w:t>10</w:t>
      </w:r>
      <w:r>
        <w:rPr/>
        <w:t>日被认定为软件企业（证书编号为沪 </w:t>
      </w:r>
      <w:r>
        <w:rPr>
          <w:rFonts w:ascii="Arial" w:hAnsi="Arial" w:cs="Arial" w:eastAsia="Arial" w:hint="default"/>
        </w:rPr>
        <w:t>R-2014-011</w:t>
      </w:r>
      <w:r>
        <w:rPr/>
        <w:t>），自获利年度起，享受企业所得税“两免三减半”优惠政策，</w:t>
      </w:r>
      <w:r>
        <w:rPr>
          <w:rFonts w:ascii="Arial" w:hAnsi="Arial" w:cs="Arial" w:eastAsia="Arial" w:hint="default"/>
        </w:rPr>
        <w:t>2015</w:t>
      </w:r>
      <w:r>
        <w:rPr/>
        <w:t>年为第一个获利年度， 享受所得税免税优惠。</w:t>
      </w:r>
    </w:p>
    <w:p>
      <w:pPr>
        <w:pStyle w:val="Heading7"/>
        <w:spacing w:line="273" w:lineRule="auto" w:before="20"/>
        <w:ind w:right="0" w:firstLine="420"/>
        <w:jc w:val="left"/>
      </w:pPr>
      <w:r>
        <w:rPr>
          <w:spacing w:val="-1"/>
        </w:rPr>
        <w:t>本公司之子公司吉隆瑞美信息咨询有限公司根据西藏自治区人民政府《关于我区企业所得税税率问题</w:t>
      </w:r>
      <w:r>
        <w:rPr/>
        <w:t> </w:t>
      </w:r>
      <w:r>
        <w:rPr>
          <w:spacing w:val="-2"/>
        </w:rPr>
        <w:t>的通知》（藏政发</w:t>
      </w:r>
      <w:r>
        <w:rPr>
          <w:rFonts w:ascii="Arial" w:hAnsi="Arial" w:cs="Arial" w:eastAsia="Arial" w:hint="default"/>
          <w:spacing w:val="-2"/>
        </w:rPr>
        <w:t>[2011]14</w:t>
      </w:r>
      <w:r>
        <w:rPr>
          <w:spacing w:val="-2"/>
        </w:rPr>
        <w:t>号）的规定：对设在西藏自治区的各类企业（含西藏驻区外企业），在</w:t>
      </w:r>
      <w:r>
        <w:rPr>
          <w:rFonts w:ascii="Arial" w:hAnsi="Arial" w:cs="Arial" w:eastAsia="Arial" w:hint="default"/>
          <w:spacing w:val="-2"/>
        </w:rPr>
        <w:t>2011</w:t>
      </w:r>
      <w:r>
        <w:rPr>
          <w:spacing w:val="-2"/>
        </w:rPr>
        <w:t>年</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7"/>
        <w:spacing w:line="259" w:lineRule="auto" w:before="35"/>
        <w:ind w:left="573" w:right="0" w:hanging="420"/>
        <w:jc w:val="left"/>
      </w:pPr>
      <w:r>
        <w:rPr/>
        <w:t>至</w:t>
      </w:r>
      <w:r>
        <w:rPr>
          <w:rFonts w:ascii="Arial" w:hAnsi="Arial" w:cs="Arial" w:eastAsia="Arial" w:hint="default"/>
        </w:rPr>
        <w:t>2020</w:t>
      </w:r>
      <w:r>
        <w:rPr/>
        <w:t>年期间，继续按</w:t>
      </w:r>
      <w:r>
        <w:rPr>
          <w:rFonts w:ascii="Arial" w:hAnsi="Arial" w:cs="Arial" w:eastAsia="Arial" w:hint="default"/>
        </w:rPr>
        <w:t>15%</w:t>
      </w:r>
      <w:r>
        <w:rPr/>
        <w:t>的税率征收企业所得税。公司</w:t>
      </w:r>
      <w:r>
        <w:rPr>
          <w:rFonts w:ascii="Arial" w:hAnsi="Arial" w:cs="Arial" w:eastAsia="Arial" w:hint="default"/>
        </w:rPr>
        <w:t>2015</w:t>
      </w:r>
      <w:r>
        <w:rPr/>
        <w:t>年度按</w:t>
      </w:r>
      <w:r>
        <w:rPr>
          <w:rFonts w:ascii="Arial" w:hAnsi="Arial" w:cs="Arial" w:eastAsia="Arial" w:hint="default"/>
        </w:rPr>
        <w:t>15%</w:t>
      </w:r>
      <w:r>
        <w:rPr/>
        <w:t>税率征收企业所得税。 </w:t>
      </w:r>
      <w:r>
        <w:rPr>
          <w:spacing w:val="-1"/>
        </w:rPr>
        <w:t>本公司之子公司吉隆瑞信投资有限公司根据西藏自治区人民政府《关于我区企业所得税税率问题的通</w:t>
      </w:r>
    </w:p>
    <w:p>
      <w:pPr>
        <w:pStyle w:val="Heading7"/>
        <w:spacing w:line="259" w:lineRule="auto" w:before="20"/>
        <w:ind w:left="154" w:right="0"/>
        <w:jc w:val="left"/>
      </w:pPr>
      <w:r>
        <w:rPr>
          <w:spacing w:val="-6"/>
          <w:w w:val="99"/>
        </w:rPr>
        <w:t>知》（藏政发</w:t>
      </w:r>
      <w:r>
        <w:rPr>
          <w:rFonts w:ascii="Arial" w:hAnsi="Arial" w:cs="Arial" w:eastAsia="Arial" w:hint="default"/>
          <w:spacing w:val="-6"/>
          <w:w w:val="99"/>
        </w:rPr>
        <w:t>[2011]14</w:t>
      </w:r>
      <w:r>
        <w:rPr>
          <w:spacing w:val="-6"/>
          <w:w w:val="99"/>
        </w:rPr>
        <w:t>号）的规定：对设在西藏自治区的各类企业（含西藏驻区外企业），在</w:t>
      </w:r>
      <w:r>
        <w:rPr>
          <w:rFonts w:ascii="Arial" w:hAnsi="Arial" w:cs="Arial" w:eastAsia="Arial" w:hint="default"/>
          <w:spacing w:val="-6"/>
          <w:w w:val="99"/>
        </w:rPr>
        <w:t>2011</w:t>
      </w:r>
      <w:r>
        <w:rPr>
          <w:spacing w:val="-6"/>
          <w:w w:val="99"/>
        </w:rPr>
        <w:t>年至</w:t>
      </w:r>
      <w:r>
        <w:rPr>
          <w:rFonts w:ascii="Arial" w:hAnsi="Arial" w:cs="Arial" w:eastAsia="Arial" w:hint="default"/>
          <w:spacing w:val="-6"/>
          <w:w w:val="99"/>
        </w:rPr>
        <w:t>2020</w:t>
      </w:r>
      <w:r>
        <w:rPr>
          <w:rFonts w:ascii="Arial" w:hAnsi="Arial" w:cs="Arial" w:eastAsia="Arial" w:hint="default"/>
          <w:spacing w:val="-38"/>
          <w:w w:val="99"/>
        </w:rPr>
        <w:t> </w:t>
      </w:r>
      <w:r>
        <w:rPr>
          <w:rFonts w:ascii="Arial" w:hAnsi="Arial" w:cs="Arial" w:eastAsia="Arial" w:hint="default"/>
          <w:spacing w:val="-38"/>
          <w:w w:val="99"/>
        </w:rPr>
      </w:r>
      <w:r>
        <w:rPr/>
        <w:t>年期间，继续按</w:t>
      </w:r>
      <w:r>
        <w:rPr>
          <w:rFonts w:ascii="Arial" w:hAnsi="Arial" w:cs="Arial" w:eastAsia="Arial" w:hint="default"/>
        </w:rPr>
        <w:t>15%</w:t>
      </w:r>
      <w:r>
        <w:rPr/>
        <w:t>的税率征收企业所得税。公司</w:t>
      </w:r>
      <w:r>
        <w:rPr>
          <w:rFonts w:ascii="Arial" w:hAnsi="Arial" w:cs="Arial" w:eastAsia="Arial" w:hint="default"/>
        </w:rPr>
        <w:t>2015</w:t>
      </w:r>
      <w:r>
        <w:rPr/>
        <w:t>年度按</w:t>
      </w:r>
      <w:r>
        <w:rPr>
          <w:rFonts w:ascii="Arial" w:hAnsi="Arial" w:cs="Arial" w:eastAsia="Arial" w:hint="default"/>
        </w:rPr>
        <w:t>15%</w:t>
      </w:r>
      <w:r>
        <w:rPr/>
        <w:t>税率征收企业所得税。</w:t>
      </w:r>
    </w:p>
    <w:p>
      <w:pPr>
        <w:spacing w:line="240" w:lineRule="auto" w:before="4"/>
        <w:rPr>
          <w:rFonts w:ascii="宋体" w:hAnsi="宋体" w:cs="宋体" w:eastAsia="宋体" w:hint="default"/>
          <w:sz w:val="23"/>
          <w:szCs w:val="23"/>
        </w:rPr>
      </w:pPr>
    </w:p>
    <w:p>
      <w:pPr>
        <w:spacing w:line="487" w:lineRule="auto" w:before="0"/>
        <w:ind w:left="154" w:right="7333" w:firstLine="0"/>
        <w:jc w:val="left"/>
        <w:rPr>
          <w:rFonts w:ascii="宋体" w:hAnsi="宋体" w:cs="宋体" w:eastAsia="宋体" w:hint="default"/>
          <w:sz w:val="21"/>
          <w:szCs w:val="21"/>
        </w:rPr>
      </w:pPr>
      <w:bookmarkStart w:name="3、其他" w:id="222"/>
      <w:bookmarkEnd w:id="22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23"/>
      <w:bookmarkEnd w:id="223"/>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24"/>
      <w:bookmarkEnd w:id="224"/>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170,055.73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85,973.88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1,071,157,994.66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370,064,430.38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13,331,278.34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8,026,420.01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1,084,659,328.73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378,176,824.27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27,970,118.62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14,995,764.45</w:t>
            </w:r>
          </w:p>
        </w:tc>
      </w:tr>
    </w:tbl>
    <w:p>
      <w:pPr>
        <w:pStyle w:val="BodyText"/>
        <w:spacing w:line="240" w:lineRule="auto" w:before="51"/>
        <w:ind w:right="0"/>
        <w:jc w:val="left"/>
      </w:pPr>
      <w:r>
        <w:rPr/>
        <w:t>其他说明</w:t>
      </w:r>
    </w:p>
    <w:p>
      <w:pPr>
        <w:pStyle w:val="Heading7"/>
        <w:spacing w:line="240" w:lineRule="auto" w:before="90"/>
        <w:ind w:left="574" w:right="0"/>
        <w:jc w:val="left"/>
      </w:pPr>
      <w:r>
        <w:rPr/>
        <w:t>其中使用有限制的货币资金明细如下：</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4126"/>
        <w:gridCol w:w="2766"/>
        <w:gridCol w:w="2766"/>
      </w:tblGrid>
      <w:tr>
        <w:trPr>
          <w:trHeight w:val="34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845"/>
              <w:jc w:val="right"/>
              <w:rPr>
                <w:rFonts w:ascii="宋体" w:hAnsi="宋体" w:cs="宋体" w:eastAsia="宋体" w:hint="default"/>
                <w:sz w:val="21"/>
                <w:szCs w:val="21"/>
              </w:rPr>
            </w:pPr>
            <w:r>
              <w:rPr>
                <w:rFonts w:ascii="宋体" w:hAnsi="宋体" w:cs="宋体" w:eastAsia="宋体" w:hint="default"/>
                <w:sz w:val="21"/>
                <w:szCs w:val="21"/>
              </w:rPr>
              <w:t>项目</w:t>
            </w:r>
          </w:p>
        </w:tc>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34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6,000,000.00</w:t>
            </w:r>
          </w:p>
        </w:tc>
        <w:tc>
          <w:tcPr>
            <w:tcW w:w="276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远期结汇保证金</w:t>
            </w:r>
          </w:p>
        </w:tc>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4,850,000.00</w:t>
            </w:r>
          </w:p>
        </w:tc>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8,000,000.00</w:t>
            </w:r>
          </w:p>
        </w:tc>
      </w:tr>
      <w:tr>
        <w:trPr>
          <w:trHeight w:val="34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845"/>
              <w:jc w:val="right"/>
              <w:rPr>
                <w:rFonts w:ascii="宋体" w:hAnsi="宋体" w:cs="宋体" w:eastAsia="宋体" w:hint="default"/>
                <w:sz w:val="21"/>
                <w:szCs w:val="21"/>
              </w:rPr>
            </w:pPr>
            <w:r>
              <w:rPr>
                <w:rFonts w:ascii="宋体" w:hAnsi="宋体" w:cs="宋体" w:eastAsia="宋体" w:hint="default"/>
                <w:sz w:val="21"/>
                <w:szCs w:val="21"/>
              </w:rPr>
              <w:t>合计</w:t>
            </w:r>
          </w:p>
        </w:tc>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10,850,000.00</w:t>
            </w:r>
          </w:p>
        </w:tc>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8,000,000.00</w:t>
            </w:r>
          </w:p>
        </w:tc>
      </w:tr>
    </w:tbl>
    <w:p>
      <w:pPr>
        <w:pStyle w:val="Heading7"/>
        <w:spacing w:line="260" w:lineRule="exact" w:before="0"/>
        <w:ind w:left="574" w:right="0"/>
        <w:jc w:val="left"/>
      </w:pPr>
      <w:r>
        <w:rPr/>
        <w:t>其他说明：</w:t>
      </w:r>
    </w:p>
    <w:p>
      <w:pPr>
        <w:pStyle w:val="Heading7"/>
        <w:spacing w:line="273" w:lineRule="auto" w:before="37"/>
        <w:ind w:right="1118" w:firstLine="420"/>
        <w:jc w:val="left"/>
      </w:pPr>
      <w:r>
        <w:rPr/>
        <w:t>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日，其他货币资金中：（</w:t>
      </w:r>
      <w:r>
        <w:rPr>
          <w:rFonts w:ascii="宋体" w:hAnsi="宋体" w:cs="宋体" w:eastAsia="宋体" w:hint="default"/>
        </w:rPr>
        <w:t>1</w:t>
      </w:r>
      <w:r>
        <w:rPr/>
        <w:t>）人民币</w:t>
      </w:r>
      <w:r>
        <w:rPr>
          <w:rFonts w:ascii="宋体" w:hAnsi="宋体" w:cs="宋体" w:eastAsia="宋体" w:hint="default"/>
        </w:rPr>
        <w:t>6,000,000.00</w:t>
      </w:r>
      <w:r>
        <w:rPr/>
        <w:t>元为本公司开具银行承兑汇票存 </w:t>
      </w:r>
      <w:r>
        <w:rPr>
          <w:spacing w:val="-9"/>
        </w:rPr>
        <w:t>入的保证金存款；（</w:t>
      </w:r>
      <w:r>
        <w:rPr>
          <w:rFonts w:ascii="宋体" w:hAnsi="宋体" w:cs="宋体" w:eastAsia="宋体" w:hint="default"/>
          <w:spacing w:val="-9"/>
        </w:rPr>
        <w:t>2</w:t>
      </w:r>
      <w:r>
        <w:rPr>
          <w:spacing w:val="-9"/>
        </w:rPr>
        <w:t>）人民币</w:t>
      </w:r>
      <w:r>
        <w:rPr>
          <w:rFonts w:ascii="宋体" w:hAnsi="宋体" w:cs="宋体" w:eastAsia="宋体" w:hint="default"/>
          <w:spacing w:val="-9"/>
        </w:rPr>
        <w:t>4,850,000.00</w:t>
      </w:r>
      <w:r>
        <w:rPr>
          <w:rFonts w:ascii="宋体" w:hAnsi="宋体" w:cs="宋体" w:eastAsia="宋体" w:hint="default"/>
          <w:spacing w:val="26"/>
        </w:rPr>
        <w:t> </w:t>
      </w:r>
      <w:r>
        <w:rPr>
          <w:spacing w:val="-1"/>
        </w:rPr>
        <w:t>元为本公司向银行申请远期结售汇业务所存入的保证金存款。</w:t>
      </w:r>
    </w:p>
    <w:p>
      <w:pPr>
        <w:pStyle w:val="Heading7"/>
        <w:spacing w:line="273" w:lineRule="auto"/>
        <w:ind w:right="1198" w:firstLine="420"/>
        <w:jc w:val="left"/>
      </w:pPr>
      <w:r>
        <w:rPr/>
        <w:t>货币资金期末较期初增长</w:t>
      </w:r>
      <w:r>
        <w:rPr>
          <w:rFonts w:ascii="宋体" w:hAnsi="宋体" w:cs="宋体" w:eastAsia="宋体" w:hint="default"/>
        </w:rPr>
        <w:t>706,482,504.46</w:t>
      </w:r>
      <w:r>
        <w:rPr/>
        <w:t>元，增长比例</w:t>
      </w:r>
      <w:r>
        <w:rPr>
          <w:rFonts w:ascii="宋体" w:hAnsi="宋体" w:cs="宋体" w:eastAsia="宋体" w:hint="default"/>
        </w:rPr>
        <w:t>186.81%</w:t>
      </w:r>
      <w:r>
        <w:rPr/>
        <w:t>，系期末理财产品到期转回银行存款 所致。</w:t>
      </w:r>
    </w:p>
    <w:p>
      <w:pPr>
        <w:spacing w:line="240" w:lineRule="auto" w:before="8"/>
        <w:rPr>
          <w:rFonts w:ascii="宋体" w:hAnsi="宋体" w:cs="宋体" w:eastAsia="宋体" w:hint="default"/>
          <w:sz w:val="23"/>
          <w:szCs w:val="23"/>
        </w:rPr>
      </w:pPr>
    </w:p>
    <w:p>
      <w:pPr>
        <w:pStyle w:val="Heading6"/>
        <w:spacing w:line="240" w:lineRule="auto"/>
        <w:ind w:right="0"/>
        <w:jc w:val="left"/>
        <w:rPr>
          <w:b w:val="0"/>
          <w:bCs w:val="0"/>
        </w:rPr>
      </w:pPr>
      <w:bookmarkStart w:name="2、以公允价值计量且其变动计入当期损益的金融资产" w:id="225"/>
      <w:bookmarkEnd w:id="225"/>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3、衍生金融资产" w:id="226"/>
      <w:bookmarkEnd w:id="226"/>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left="573" w:right="0"/>
        <w:jc w:val="left"/>
        <w:rPr>
          <w:b w:val="0"/>
          <w:bCs w:val="0"/>
        </w:rPr>
      </w:pPr>
      <w:bookmarkStart w:name="4、应收票据" w:id="227"/>
      <w:bookmarkEnd w:id="227"/>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573" w:right="0"/>
        <w:jc w:val="left"/>
        <w:rPr>
          <w:b w:val="0"/>
          <w:bCs w:val="0"/>
        </w:rPr>
      </w:pPr>
      <w:bookmarkStart w:name="（1）应收票据分类列示" w:id="228"/>
      <w:bookmarkEnd w:id="228"/>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56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6"/>
        <w:spacing w:line="240" w:lineRule="auto" w:before="35"/>
        <w:ind w:left="574" w:right="0"/>
        <w:jc w:val="left"/>
        <w:rPr>
          <w:b w:val="0"/>
          <w:bCs w:val="0"/>
        </w:rPr>
      </w:pPr>
      <w:bookmarkStart w:name="（2）期末公司已质押的应收票据" w:id="229"/>
      <w:bookmarkEnd w:id="229"/>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56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6"/>
        <w:spacing w:line="240" w:lineRule="auto" w:before="35"/>
        <w:ind w:left="574" w:right="0"/>
        <w:jc w:val="left"/>
        <w:rPr>
          <w:b w:val="0"/>
          <w:bCs w:val="0"/>
        </w:rPr>
      </w:pPr>
      <w:bookmarkStart w:name="（3）期末公司已背书或贴现且在资产负债表日尚未到期的应收票据" w:id="230"/>
      <w:bookmarkEnd w:id="230"/>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56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2"/>
        <w:rPr>
          <w:rFonts w:ascii="宋体" w:hAnsi="宋体" w:cs="宋体" w:eastAsia="宋体" w:hint="default"/>
          <w:sz w:val="19"/>
          <w:szCs w:val="19"/>
        </w:rPr>
      </w:pPr>
    </w:p>
    <w:p>
      <w:pPr>
        <w:pStyle w:val="Heading6"/>
        <w:spacing w:line="240" w:lineRule="auto" w:before="35"/>
        <w:ind w:left="574" w:right="0"/>
        <w:jc w:val="left"/>
        <w:rPr>
          <w:b w:val="0"/>
          <w:bCs w:val="0"/>
        </w:rPr>
      </w:pPr>
      <w:bookmarkStart w:name="（4）期末公司因出票人未履约而将其转应收账款的票据" w:id="231"/>
      <w:bookmarkEnd w:id="231"/>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56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1"/>
        <w:ind w:left="57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left="573" w:right="0"/>
        <w:jc w:val="left"/>
        <w:rPr>
          <w:b w:val="0"/>
          <w:bCs w:val="0"/>
        </w:rPr>
      </w:pPr>
      <w:bookmarkStart w:name="5、应收账款" w:id="232"/>
      <w:bookmarkEnd w:id="232"/>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574" w:right="0"/>
        <w:jc w:val="left"/>
        <w:rPr>
          <w:b w:val="0"/>
          <w:bCs w:val="0"/>
        </w:rPr>
      </w:pPr>
      <w:bookmarkStart w:name="（1）应收账款分类披露" w:id="233"/>
      <w:bookmarkEnd w:id="233"/>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970"/>
        <w:gridCol w:w="1287"/>
        <w:gridCol w:w="762"/>
        <w:gridCol w:w="938"/>
        <w:gridCol w:w="615"/>
        <w:gridCol w:w="1222"/>
        <w:gridCol w:w="1134"/>
        <w:gridCol w:w="762"/>
        <w:gridCol w:w="986"/>
        <w:gridCol w:w="574"/>
        <w:gridCol w:w="1194"/>
      </w:tblGrid>
      <w:tr>
        <w:trPr>
          <w:trHeight w:val="397" w:hRule="exact"/>
        </w:trPr>
        <w:tc>
          <w:tcPr>
            <w:tcW w:w="970" w:type="dxa"/>
            <w:vMerge w:val="restart"/>
            <w:tcBorders>
              <w:top w:val="single" w:sz="4" w:space="0" w:color="000000"/>
              <w:left w:val="single" w:sz="4" w:space="0" w:color="000000"/>
              <w:right w:val="single" w:sz="4" w:space="0" w:color="000000"/>
            </w:tcBorders>
            <w:shd w:val="clear" w:color="auto" w:fill="D2D2D2"/>
          </w:tcPr>
          <w:p>
            <w:pPr/>
          </w:p>
        </w:tc>
        <w:tc>
          <w:tcPr>
            <w:tcW w:w="482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65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970" w:type="dxa"/>
            <w:vMerge/>
            <w:tcBorders>
              <w:left w:val="single" w:sz="4" w:space="0" w:color="000000"/>
              <w:bottom w:val="nil" w:sz="6" w:space="0" w:color="auto"/>
              <w:right w:val="single" w:sz="4" w:space="0" w:color="000000"/>
            </w:tcBorders>
            <w:shd w:val="clear" w:color="auto" w:fill="D2D2D2"/>
          </w:tcPr>
          <w:p>
            <w:pPr/>
          </w:p>
        </w:tc>
        <w:tc>
          <w:tcPr>
            <w:tcW w:w="20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22" w:type="dxa"/>
            <w:vMerge w:val="restart"/>
            <w:tcBorders>
              <w:top w:val="single" w:sz="4" w:space="0" w:color="000000"/>
              <w:left w:val="single" w:sz="4" w:space="0" w:color="000000"/>
              <w:right w:val="single" w:sz="4" w:space="0" w:color="000000"/>
            </w:tcBorders>
            <w:shd w:val="clear" w:color="auto" w:fill="D2D2D2"/>
          </w:tcPr>
          <w:p>
            <w:pPr/>
          </w:p>
        </w:tc>
        <w:tc>
          <w:tcPr>
            <w:tcW w:w="18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1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94"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9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2049" w:type="dxa"/>
            <w:gridSpan w:val="2"/>
            <w:vMerge/>
            <w:tcBorders>
              <w:left w:val="single" w:sz="4" w:space="0" w:color="000000"/>
              <w:bottom w:val="single" w:sz="4" w:space="0" w:color="000000"/>
              <w:right w:val="single" w:sz="4" w:space="0" w:color="000000"/>
            </w:tcBorders>
            <w:shd w:val="clear" w:color="auto" w:fill="D2D2D2"/>
          </w:tcPr>
          <w:p>
            <w:pPr/>
          </w:p>
        </w:tc>
        <w:tc>
          <w:tcPr>
            <w:tcW w:w="1553" w:type="dxa"/>
            <w:gridSpan w:val="2"/>
            <w:vMerge/>
            <w:tcBorders>
              <w:left w:val="single" w:sz="4" w:space="0" w:color="000000"/>
              <w:bottom w:val="single" w:sz="4" w:space="0" w:color="000000"/>
              <w:right w:val="single" w:sz="4" w:space="0" w:color="000000"/>
            </w:tcBorders>
            <w:shd w:val="clear" w:color="auto" w:fill="D2D2D2"/>
          </w:tcPr>
          <w:p>
            <w:pPr/>
          </w:p>
        </w:tc>
        <w:tc>
          <w:tcPr>
            <w:tcW w:w="1222" w:type="dxa"/>
            <w:vMerge/>
            <w:tcBorders>
              <w:left w:val="single" w:sz="4" w:space="0" w:color="000000"/>
              <w:bottom w:val="nil" w:sz="6" w:space="0" w:color="auto"/>
              <w:right w:val="single" w:sz="4" w:space="0" w:color="000000"/>
            </w:tcBorders>
            <w:shd w:val="clear" w:color="auto" w:fill="D2D2D2"/>
          </w:tcPr>
          <w:p>
            <w:pPr/>
          </w:p>
        </w:tc>
        <w:tc>
          <w:tcPr>
            <w:tcW w:w="1896" w:type="dxa"/>
            <w:gridSpan w:val="2"/>
            <w:vMerge/>
            <w:tcBorders>
              <w:left w:val="single" w:sz="4" w:space="0" w:color="000000"/>
              <w:bottom w:val="single" w:sz="4" w:space="0" w:color="000000"/>
              <w:right w:val="single" w:sz="4" w:space="0" w:color="000000"/>
            </w:tcBorders>
            <w:shd w:val="clear" w:color="auto" w:fill="D2D2D2"/>
          </w:tcPr>
          <w:p>
            <w:pPr/>
          </w:p>
        </w:tc>
        <w:tc>
          <w:tcPr>
            <w:tcW w:w="1560" w:type="dxa"/>
            <w:gridSpan w:val="2"/>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970" w:type="dxa"/>
            <w:vMerge/>
            <w:tcBorders>
              <w:left w:val="single" w:sz="4" w:space="0" w:color="000000"/>
              <w:bottom w:val="nil" w:sz="6" w:space="0" w:color="auto"/>
              <w:right w:val="single" w:sz="4" w:space="0" w:color="000000"/>
            </w:tcBorders>
            <w:shd w:val="clear" w:color="auto" w:fill="D2D2D2"/>
          </w:tcPr>
          <w:p>
            <w:pPr/>
          </w:p>
        </w:tc>
        <w:tc>
          <w:tcPr>
            <w:tcW w:w="1287"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8" w:type="dxa"/>
            <w:tcBorders>
              <w:top w:val="single" w:sz="4" w:space="0" w:color="000000"/>
              <w:left w:val="single" w:sz="4" w:space="0" w:color="000000"/>
              <w:bottom w:val="nil" w:sz="6" w:space="0" w:color="auto"/>
              <w:right w:val="single" w:sz="4" w:space="0" w:color="000000"/>
            </w:tcBorders>
            <w:shd w:val="clear" w:color="auto" w:fill="D2D2D2"/>
          </w:tcPr>
          <w:p>
            <w:pP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11" w:right="3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2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4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9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02" w:right="101"/>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970" w:type="dxa"/>
            <w:vMerge w:val="restart"/>
            <w:tcBorders>
              <w:top w:val="nil" w:sz="6" w:space="0" w:color="auto"/>
              <w:left w:val="single" w:sz="4" w:space="0" w:color="000000"/>
              <w:right w:val="single" w:sz="4" w:space="0" w:color="000000"/>
            </w:tcBorders>
            <w:shd w:val="clear" w:color="auto" w:fill="D2D2D2"/>
          </w:tcPr>
          <w:p>
            <w:pPr/>
          </w:p>
        </w:tc>
        <w:tc>
          <w:tcPr>
            <w:tcW w:w="12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15" w:type="dxa"/>
            <w:vMerge/>
            <w:tcBorders>
              <w:left w:val="single" w:sz="4" w:space="0" w:color="000000"/>
              <w:right w:val="single" w:sz="4" w:space="0" w:color="000000"/>
            </w:tcBorders>
            <w:shd w:val="clear" w:color="auto" w:fill="D2D2D2"/>
          </w:tcPr>
          <w:p>
            <w:pPr/>
          </w:p>
        </w:tc>
        <w:tc>
          <w:tcPr>
            <w:tcW w:w="1222"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74"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970" w:type="dxa"/>
            <w:vMerge/>
            <w:tcBorders>
              <w:left w:val="single" w:sz="4" w:space="0" w:color="000000"/>
              <w:right w:val="single" w:sz="4" w:space="0" w:color="000000"/>
            </w:tcBorders>
            <w:shd w:val="clear" w:color="auto" w:fill="D2D2D2"/>
          </w:tcPr>
          <w:p>
            <w:pPr/>
          </w:p>
        </w:tc>
        <w:tc>
          <w:tcPr>
            <w:tcW w:w="1287"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938" w:type="dxa"/>
            <w:vMerge/>
            <w:tcBorders>
              <w:left w:val="single" w:sz="4" w:space="0" w:color="000000"/>
              <w:bottom w:val="nil" w:sz="6" w:space="0" w:color="auto"/>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1222" w:type="dxa"/>
            <w:vMerge w:val="restart"/>
            <w:tcBorders>
              <w:top w:val="nil" w:sz="6" w:space="0" w:color="auto"/>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986"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970" w:type="dxa"/>
            <w:vMerge/>
            <w:tcBorders>
              <w:left w:val="single" w:sz="4" w:space="0" w:color="000000"/>
              <w:bottom w:val="single" w:sz="4" w:space="0" w:color="000000"/>
              <w:right w:val="single" w:sz="4" w:space="0" w:color="000000"/>
            </w:tcBorders>
            <w:shd w:val="clear" w:color="auto" w:fill="D2D2D2"/>
          </w:tcPr>
          <w:p>
            <w:pPr/>
          </w:p>
        </w:tc>
        <w:tc>
          <w:tcPr>
            <w:tcW w:w="1287"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8" w:type="dxa"/>
            <w:tcBorders>
              <w:top w:val="nil" w:sz="6" w:space="0" w:color="auto"/>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1222"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98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8"/>
              <w:jc w:val="both"/>
              <w:rPr>
                <w:rFonts w:ascii="宋体" w:hAnsi="宋体" w:cs="宋体" w:eastAsia="宋体" w:hint="default"/>
                <w:sz w:val="18"/>
                <w:szCs w:val="18"/>
              </w:rPr>
            </w:pPr>
            <w:r>
              <w:rPr>
                <w:rFonts w:ascii="宋体" w:hAnsi="宋体" w:cs="宋体" w:eastAsia="宋体" w:hint="default"/>
                <w:sz w:val="18"/>
                <w:szCs w:val="18"/>
              </w:rPr>
              <w:t>按信用风险 特征组合计 提坏账准备 的应收账款</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123,589,788.46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375,294.80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0.30%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123,214,493.66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88,088,209.45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680,363.70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0.77%</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87,407,845.75</w:t>
            </w:r>
          </w:p>
        </w:tc>
      </w:tr>
      <w:tr>
        <w:trPr>
          <w:trHeight w:val="402" w:hRule="exact"/>
        </w:trPr>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123,589,788.46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375,294.80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0.30%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123,214,493.66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88,088,209.45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100.00%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680,363.70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0.77%</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87,407,845.75</w:t>
            </w:r>
          </w:p>
        </w:tc>
      </w:tr>
    </w:tbl>
    <w:p>
      <w:pPr>
        <w:pStyle w:val="BodyText"/>
        <w:spacing w:line="240" w:lineRule="auto" w:before="51"/>
        <w:ind w:left="574" w:right="0"/>
        <w:jc w:val="left"/>
      </w:pPr>
      <w:r>
        <w:rPr/>
        <w:t>期末单项金额重大并单项计提坏账准备的应收账款：</w:t>
      </w:r>
    </w:p>
    <w:p>
      <w:pPr>
        <w:pStyle w:val="BodyText"/>
        <w:spacing w:line="338" w:lineRule="auto" w:before="117"/>
        <w:ind w:left="573"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left="57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560" w:right="0"/>
        </w:sectPr>
      </w:pPr>
    </w:p>
    <w:p>
      <w:pPr>
        <w:spacing w:line="240" w:lineRule="auto" w:before="13"/>
        <w:rPr>
          <w:rFonts w:ascii="宋体" w:hAnsi="宋体" w:cs="宋体" w:eastAsia="宋体" w:hint="default"/>
          <w:sz w:val="25"/>
          <w:szCs w:val="25"/>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2"/>
        <w:gridCol w:w="2392"/>
      </w:tblGrid>
      <w:tr>
        <w:trPr>
          <w:trHeight w:val="206"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123,204,752.06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1,293.60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323.40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17,542.80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8,771.40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366,200.00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366,200.00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123,589,788.46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375,294.80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6432"/>
        <w:jc w:val="left"/>
      </w:pPr>
      <w:r>
        <w:rPr/>
        <w:t>确定该组合依据的说明： 组合中，采用余额百分比法计提坏账准备的应收账款：</w:t>
      </w:r>
    </w:p>
    <w:p>
      <w:pPr>
        <w:pStyle w:val="BodyText"/>
        <w:spacing w:line="338" w:lineRule="auto" w:before="29"/>
        <w:ind w:left="153"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bookmarkStart w:name="（2）本期计提、收回或转回的坏账准备情况" w:id="234"/>
      <w:bookmarkEnd w:id="23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ind w:left="153" w:right="-15"/>
        <w:jc w:val="left"/>
      </w:pPr>
      <w:r>
        <w:rPr/>
        <w:t>本期计提坏账准备金额</w:t>
      </w:r>
      <w:r>
        <w:rPr>
          <w:rFonts w:ascii="Times New Roman" w:hAnsi="Times New Roman" w:cs="Times New Roman" w:eastAsia="Times New Roman" w:hint="default"/>
        </w:rPr>
        <w:t>-305,068.90</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6334" w:space="249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3）本期实际核销的应收账款情况" w:id="235"/>
      <w:bookmarkEnd w:id="235"/>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0"/>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1"/>
        <w:ind w:left="513" w:right="8053" w:hanging="360"/>
        <w:jc w:val="left"/>
      </w:pPr>
      <w:r>
        <w:rPr/>
        <w:t>应收账款核销说明： 本期无实际核销的应收账款。</w:t>
      </w:r>
    </w:p>
    <w:p>
      <w:pPr>
        <w:spacing w:line="240" w:lineRule="auto" w:before="2"/>
        <w:rPr>
          <w:rFonts w:ascii="宋体" w:hAnsi="宋体" w:cs="宋体" w:eastAsia="宋体" w:hint="default"/>
          <w:sz w:val="20"/>
          <w:szCs w:val="20"/>
        </w:rPr>
      </w:pPr>
    </w:p>
    <w:p>
      <w:pPr>
        <w:pStyle w:val="Heading6"/>
        <w:spacing w:line="240" w:lineRule="auto"/>
        <w:ind w:right="0"/>
        <w:jc w:val="left"/>
        <w:rPr>
          <w:b w:val="0"/>
          <w:bCs w:val="0"/>
        </w:rPr>
      </w:pPr>
      <w:bookmarkStart w:name="（4）按欠款方归集的期末余额前五名的应收账款情况" w:id="236"/>
      <w:bookmarkEnd w:id="236"/>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7" w:type="dxa"/>
        <w:tblLayout w:type="fixed"/>
        <w:tblCellMar>
          <w:top w:w="0" w:type="dxa"/>
          <w:left w:w="0" w:type="dxa"/>
          <w:bottom w:w="0" w:type="dxa"/>
          <w:right w:w="0" w:type="dxa"/>
        </w:tblCellMar>
        <w:tblLook w:val="01E0"/>
      </w:tblPr>
      <w:tblGrid>
        <w:gridCol w:w="4154"/>
        <w:gridCol w:w="1975"/>
        <w:gridCol w:w="1766"/>
        <w:gridCol w:w="1764"/>
      </w:tblGrid>
      <w:tr>
        <w:trPr>
          <w:trHeight w:val="347" w:hRule="exact"/>
        </w:trPr>
        <w:tc>
          <w:tcPr>
            <w:tcW w:w="4154"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50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60" w:hRule="exact"/>
        </w:trPr>
        <w:tc>
          <w:tcPr>
            <w:tcW w:w="4154" w:type="dxa"/>
            <w:vMerge/>
            <w:tcBorders>
              <w:left w:val="single" w:sz="6" w:space="0" w:color="000000"/>
              <w:bottom w:val="single" w:sz="6" w:space="0" w:color="000000"/>
              <w:right w:val="single" w:sz="6" w:space="0" w:color="000000"/>
            </w:tcBorders>
          </w:tcPr>
          <w:p>
            <w:pP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2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559" w:right="64" w:hanging="49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 比例</w:t>
            </w:r>
            <w:r>
              <w:rPr>
                <w:rFonts w:ascii="Times New Roman" w:hAnsi="Times New Roman" w:cs="Times New Roman" w:eastAsia="Times New Roman" w:hint="default"/>
                <w:sz w:val="18"/>
                <w:szCs w:val="18"/>
              </w:rPr>
              <w:t>(%)</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1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76" w:hRule="exact"/>
        </w:trPr>
        <w:tc>
          <w:tcPr>
            <w:tcW w:w="4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807" w:right="0"/>
              <w:jc w:val="left"/>
              <w:rPr>
                <w:rFonts w:ascii="Arial" w:hAnsi="Arial" w:cs="Arial" w:eastAsia="Arial" w:hint="default"/>
                <w:sz w:val="18"/>
                <w:szCs w:val="18"/>
              </w:rPr>
            </w:pPr>
            <w:r>
              <w:rPr>
                <w:rFonts w:ascii="Arial"/>
                <w:sz w:val="18"/>
              </w:rPr>
              <w:t>29,451,247.77</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Arial" w:hAnsi="Arial" w:cs="Arial" w:eastAsia="Arial" w:hint="default"/>
                <w:sz w:val="18"/>
                <w:szCs w:val="18"/>
              </w:rPr>
            </w:pPr>
            <w:r>
              <w:rPr>
                <w:rFonts w:ascii="Arial"/>
                <w:spacing w:val="-1"/>
                <w:sz w:val="18"/>
              </w:rPr>
              <w:t>23.83</w:t>
            </w:r>
          </w:p>
        </w:tc>
        <w:tc>
          <w:tcPr>
            <w:tcW w:w="176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37" w:type="dxa"/>
        <w:tblLayout w:type="fixed"/>
        <w:tblCellMar>
          <w:top w:w="0" w:type="dxa"/>
          <w:left w:w="0" w:type="dxa"/>
          <w:bottom w:w="0" w:type="dxa"/>
          <w:right w:w="0" w:type="dxa"/>
        </w:tblCellMar>
        <w:tblLook w:val="01E0"/>
      </w:tblPr>
      <w:tblGrid>
        <w:gridCol w:w="4154"/>
        <w:gridCol w:w="1975"/>
        <w:gridCol w:w="1766"/>
        <w:gridCol w:w="1764"/>
      </w:tblGrid>
      <w:tr>
        <w:trPr>
          <w:trHeight w:val="576" w:hRule="exact"/>
        </w:trPr>
        <w:tc>
          <w:tcPr>
            <w:tcW w:w="4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Arial" w:hAnsi="Arial" w:cs="Arial" w:eastAsia="Arial" w:hint="default"/>
                <w:sz w:val="18"/>
                <w:szCs w:val="18"/>
              </w:rPr>
            </w:pPr>
            <w:r>
              <w:rPr>
                <w:rFonts w:ascii="Arial"/>
                <w:spacing w:val="-1"/>
                <w:sz w:val="18"/>
              </w:rPr>
              <w:t>26,111,850.54</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21.13</w:t>
            </w:r>
          </w:p>
        </w:tc>
        <w:tc>
          <w:tcPr>
            <w:tcW w:w="1764" w:type="dxa"/>
            <w:tcBorders>
              <w:top w:val="single" w:sz="6" w:space="0" w:color="000000"/>
              <w:left w:val="single" w:sz="6" w:space="0" w:color="000000"/>
              <w:bottom w:val="single" w:sz="6" w:space="0" w:color="000000"/>
              <w:right w:val="single" w:sz="6" w:space="0" w:color="000000"/>
            </w:tcBorders>
          </w:tcPr>
          <w:p>
            <w:pPr/>
          </w:p>
        </w:tc>
      </w:tr>
      <w:tr>
        <w:trPr>
          <w:trHeight w:val="576" w:hRule="exact"/>
        </w:trPr>
        <w:tc>
          <w:tcPr>
            <w:tcW w:w="4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Arial" w:hAnsi="Arial" w:cs="Arial" w:eastAsia="Arial" w:hint="default"/>
                <w:sz w:val="18"/>
                <w:szCs w:val="18"/>
              </w:rPr>
            </w:pPr>
            <w:r>
              <w:rPr>
                <w:rFonts w:ascii="Arial"/>
                <w:spacing w:val="-1"/>
                <w:sz w:val="18"/>
              </w:rPr>
              <w:t>12,046,979.70</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9.75</w:t>
            </w:r>
          </w:p>
        </w:tc>
        <w:tc>
          <w:tcPr>
            <w:tcW w:w="1764" w:type="dxa"/>
            <w:tcBorders>
              <w:top w:val="single" w:sz="6" w:space="0" w:color="000000"/>
              <w:left w:val="single" w:sz="6" w:space="0" w:color="000000"/>
              <w:bottom w:val="single" w:sz="6" w:space="0" w:color="000000"/>
              <w:right w:val="single" w:sz="6" w:space="0" w:color="000000"/>
            </w:tcBorders>
          </w:tcPr>
          <w:p>
            <w:pPr/>
          </w:p>
        </w:tc>
      </w:tr>
      <w:tr>
        <w:trPr>
          <w:trHeight w:val="575" w:hRule="exact"/>
        </w:trPr>
        <w:tc>
          <w:tcPr>
            <w:tcW w:w="4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Arial" w:hAnsi="Arial" w:cs="Arial" w:eastAsia="Arial" w:hint="default"/>
                <w:sz w:val="18"/>
                <w:szCs w:val="18"/>
              </w:rPr>
            </w:pPr>
            <w:r>
              <w:rPr>
                <w:rFonts w:ascii="Arial"/>
                <w:spacing w:val="-1"/>
                <w:sz w:val="18"/>
              </w:rPr>
              <w:t>9,161,026.70</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Arial" w:hAnsi="Arial" w:cs="Arial" w:eastAsia="Arial" w:hint="default"/>
                <w:sz w:val="18"/>
                <w:szCs w:val="18"/>
              </w:rPr>
            </w:pPr>
            <w:r>
              <w:rPr>
                <w:rFonts w:ascii="Arial"/>
                <w:spacing w:val="-1"/>
                <w:sz w:val="18"/>
              </w:rPr>
              <w:t>7.41</w:t>
            </w:r>
          </w:p>
        </w:tc>
        <w:tc>
          <w:tcPr>
            <w:tcW w:w="1764" w:type="dxa"/>
            <w:tcBorders>
              <w:top w:val="single" w:sz="6" w:space="0" w:color="000000"/>
              <w:left w:val="single" w:sz="6" w:space="0" w:color="000000"/>
              <w:bottom w:val="single" w:sz="6" w:space="0" w:color="000000"/>
              <w:right w:val="single" w:sz="6" w:space="0" w:color="000000"/>
            </w:tcBorders>
          </w:tcPr>
          <w:p>
            <w:pPr/>
          </w:p>
        </w:tc>
      </w:tr>
      <w:tr>
        <w:trPr>
          <w:trHeight w:val="576" w:hRule="exact"/>
        </w:trPr>
        <w:tc>
          <w:tcPr>
            <w:tcW w:w="4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Arial" w:hAnsi="Arial" w:cs="Arial" w:eastAsia="Arial" w:hint="default"/>
                <w:sz w:val="18"/>
                <w:szCs w:val="18"/>
              </w:rPr>
            </w:pPr>
            <w:r>
              <w:rPr>
                <w:rFonts w:ascii="Arial"/>
                <w:spacing w:val="-1"/>
                <w:sz w:val="18"/>
              </w:rPr>
              <w:t>8,896,291.58</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7.20</w:t>
            </w:r>
          </w:p>
        </w:tc>
        <w:tc>
          <w:tcPr>
            <w:tcW w:w="1764" w:type="dxa"/>
            <w:tcBorders>
              <w:top w:val="single" w:sz="6" w:space="0" w:color="000000"/>
              <w:left w:val="single" w:sz="6" w:space="0" w:color="000000"/>
              <w:bottom w:val="single" w:sz="6" w:space="0" w:color="000000"/>
              <w:right w:val="single" w:sz="6" w:space="0" w:color="000000"/>
            </w:tcBorders>
          </w:tcPr>
          <w:p>
            <w:pPr/>
          </w:p>
        </w:tc>
      </w:tr>
      <w:tr>
        <w:trPr>
          <w:trHeight w:val="577" w:hRule="exact"/>
        </w:trPr>
        <w:tc>
          <w:tcPr>
            <w:tcW w:w="4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Arial" w:hAnsi="Arial" w:cs="Arial" w:eastAsia="Arial" w:hint="default"/>
                <w:sz w:val="18"/>
                <w:szCs w:val="18"/>
              </w:rPr>
            </w:pPr>
            <w:r>
              <w:rPr>
                <w:rFonts w:ascii="Arial"/>
                <w:spacing w:val="-1"/>
                <w:sz w:val="18"/>
              </w:rPr>
              <w:t>85,667,396.29</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69.32</w:t>
            </w:r>
          </w:p>
        </w:tc>
        <w:tc>
          <w:tcPr>
            <w:tcW w:w="176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6"/>
        <w:spacing w:line="240" w:lineRule="auto" w:before="35"/>
        <w:ind w:left="154" w:right="0"/>
        <w:jc w:val="left"/>
        <w:rPr>
          <w:b w:val="0"/>
          <w:bCs w:val="0"/>
        </w:rPr>
      </w:pPr>
      <w:bookmarkStart w:name="（5）因金融资产转移而终止确认的应收账款" w:id="237"/>
      <w:bookmarkEnd w:id="237"/>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6）转移应收账款且继续涉入形成的资产、负债金额" w:id="238"/>
      <w:bookmarkEnd w:id="238"/>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left="154" w:right="0"/>
        <w:jc w:val="left"/>
        <w:rPr>
          <w:b w:val="0"/>
          <w:bCs w:val="0"/>
        </w:rPr>
      </w:pPr>
      <w:bookmarkStart w:name="6、预付款项" w:id="239"/>
      <w:bookmarkEnd w:id="239"/>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预付款项按账龄列示" w:id="240"/>
      <w:bookmarkEnd w:id="240"/>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15"/>
      </w:tblGrid>
      <w:tr>
        <w:trPr>
          <w:trHeight w:val="207"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39,580,200.03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28,951,253.64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99.62%</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256,927.56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3"/>
                <w:sz w:val="18"/>
              </w:rPr>
              <w:t>111,366.11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0.38%</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39,837,127.59</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29,062,619.75</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9"/>
        <w:rPr>
          <w:rFonts w:ascii="宋体" w:hAnsi="宋体" w:cs="宋体" w:eastAsia="宋体" w:hint="default"/>
          <w:sz w:val="25"/>
          <w:szCs w:val="25"/>
        </w:rPr>
      </w:pPr>
    </w:p>
    <w:p>
      <w:pPr>
        <w:pStyle w:val="Heading6"/>
        <w:spacing w:line="240" w:lineRule="auto"/>
        <w:ind w:left="154" w:right="0"/>
        <w:jc w:val="left"/>
        <w:rPr>
          <w:b w:val="0"/>
          <w:bCs w:val="0"/>
        </w:rPr>
      </w:pPr>
      <w:bookmarkStart w:name="（2）按预付对象归集的期末余额前五名的预付款情况" w:id="241"/>
      <w:bookmarkEnd w:id="241"/>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37" w:type="dxa"/>
        <w:tblLayout w:type="fixed"/>
        <w:tblCellMar>
          <w:top w:w="0" w:type="dxa"/>
          <w:left w:w="0" w:type="dxa"/>
          <w:bottom w:w="0" w:type="dxa"/>
          <w:right w:w="0" w:type="dxa"/>
        </w:tblCellMar>
        <w:tblLook w:val="01E0"/>
      </w:tblPr>
      <w:tblGrid>
        <w:gridCol w:w="3270"/>
        <w:gridCol w:w="3261"/>
        <w:gridCol w:w="3128"/>
      </w:tblGrid>
      <w:tr>
        <w:trPr>
          <w:trHeight w:val="347"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6" w:right="0"/>
              <w:jc w:val="left"/>
              <w:rPr>
                <w:rFonts w:ascii="宋体" w:hAnsi="宋体" w:cs="宋体" w:eastAsia="宋体" w:hint="default"/>
                <w:sz w:val="18"/>
                <w:szCs w:val="18"/>
              </w:rPr>
            </w:pPr>
            <w:r>
              <w:rPr>
                <w:rFonts w:ascii="宋体" w:hAnsi="宋体" w:cs="宋体" w:eastAsia="宋体" w:hint="default"/>
                <w:sz w:val="18"/>
                <w:szCs w:val="18"/>
              </w:rPr>
              <w:t>占预付款期末余额合计数的比例</w:t>
            </w:r>
          </w:p>
        </w:tc>
      </w:tr>
      <w:tr>
        <w:trPr>
          <w:trHeight w:val="347"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21,675,889.86</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54.41</w:t>
            </w:r>
          </w:p>
        </w:tc>
      </w:tr>
      <w:tr>
        <w:trPr>
          <w:trHeight w:val="347"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8,000,000.00</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20.08</w:t>
            </w:r>
          </w:p>
        </w:tc>
      </w:tr>
      <w:tr>
        <w:trPr>
          <w:trHeight w:val="348"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3,396,627.64</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8.53</w:t>
            </w:r>
          </w:p>
        </w:tc>
      </w:tr>
      <w:tr>
        <w:trPr>
          <w:trHeight w:val="347"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656,150.85</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1.65</w:t>
            </w:r>
          </w:p>
        </w:tc>
      </w:tr>
      <w:tr>
        <w:trPr>
          <w:trHeight w:val="347"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550,000.00</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1.38</w:t>
            </w:r>
          </w:p>
        </w:tc>
      </w:tr>
      <w:tr>
        <w:trPr>
          <w:trHeight w:val="348"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34,278,668.35</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86.05</w:t>
            </w:r>
          </w:p>
        </w:tc>
      </w:tr>
    </w:tbl>
    <w:p>
      <w:pPr>
        <w:spacing w:line="240" w:lineRule="auto" w:before="5"/>
        <w:rPr>
          <w:rFonts w:ascii="宋体" w:hAnsi="宋体" w:cs="宋体" w:eastAsia="宋体" w:hint="default"/>
          <w:b/>
          <w:bCs/>
          <w:sz w:val="24"/>
          <w:szCs w:val="24"/>
        </w:rPr>
      </w:pPr>
    </w:p>
    <w:p>
      <w:pPr>
        <w:pStyle w:val="BodyText"/>
        <w:spacing w:line="240" w:lineRule="auto"/>
        <w:ind w:right="0"/>
        <w:jc w:val="left"/>
      </w:pPr>
      <w:r>
        <w:rPr/>
        <w:t>其他说明：</w:t>
      </w:r>
    </w:p>
    <w:p>
      <w:pPr>
        <w:pStyle w:val="BodyText"/>
        <w:spacing w:line="240" w:lineRule="auto" w:before="115"/>
        <w:ind w:left="514" w:right="0"/>
        <w:jc w:val="left"/>
      </w:pPr>
      <w:r>
        <w:rPr/>
        <w:t>预付款项期末较期初增长</w:t>
      </w:r>
      <w:r>
        <w:rPr>
          <w:rFonts w:ascii="Arial" w:hAnsi="Arial" w:cs="Arial" w:eastAsia="Arial" w:hint="default"/>
        </w:rPr>
        <w:t>10,774,507.84</w:t>
      </w:r>
      <w:r>
        <w:rPr/>
        <w:t>元，增长比例</w:t>
      </w:r>
      <w:r>
        <w:rPr>
          <w:rFonts w:ascii="Arial" w:hAnsi="Arial" w:cs="Arial" w:eastAsia="Arial" w:hint="default"/>
        </w:rPr>
        <w:t>37.07%</w:t>
      </w:r>
      <w:r>
        <w:rPr/>
        <w:t>，系本期预付非公开发行费用人民币</w:t>
      </w:r>
      <w:r>
        <w:rPr>
          <w:rFonts w:ascii="Arial" w:hAnsi="Arial" w:cs="Arial" w:eastAsia="Arial" w:hint="default"/>
        </w:rPr>
        <w:t>8,750,000.00</w:t>
      </w:r>
      <w:r>
        <w:rPr/>
        <w:t>元所致。</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7、应收利息" w:id="242"/>
      <w:bookmarkEnd w:id="242"/>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应收利息分类" w:id="243"/>
      <w:bookmarkEnd w:id="243"/>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理财产品及定期存款利息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6,306,119.08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649,698.62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6,306,119.08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649,698.62</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重要逾期利息" w:id="244"/>
      <w:bookmarkEnd w:id="244"/>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8、应收股利" w:id="245"/>
      <w:bookmarkEnd w:id="245"/>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应收股利" w:id="246"/>
      <w:bookmarkEnd w:id="246"/>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重要的账龄超过1年的应收股利" w:id="247"/>
      <w:bookmarkEnd w:id="247"/>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9、其他应收款" w:id="248"/>
      <w:bookmarkEnd w:id="248"/>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其他应收款分类披露" w:id="249"/>
      <w:bookmarkEnd w:id="249"/>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981"/>
        <w:gridCol w:w="1020"/>
        <w:gridCol w:w="762"/>
        <w:gridCol w:w="967"/>
        <w:gridCol w:w="568"/>
        <w:gridCol w:w="1134"/>
        <w:gridCol w:w="1134"/>
        <w:gridCol w:w="762"/>
        <w:gridCol w:w="938"/>
        <w:gridCol w:w="568"/>
        <w:gridCol w:w="1134"/>
      </w:tblGrid>
      <w:tr>
        <w:trPr>
          <w:trHeight w:val="397" w:hRule="exact"/>
        </w:trPr>
        <w:tc>
          <w:tcPr>
            <w:tcW w:w="981" w:type="dxa"/>
            <w:vMerge w:val="restart"/>
            <w:tcBorders>
              <w:top w:val="single" w:sz="4" w:space="0" w:color="000000"/>
              <w:left w:val="single" w:sz="4" w:space="0" w:color="000000"/>
              <w:right w:val="single" w:sz="4" w:space="0" w:color="000000"/>
            </w:tcBorders>
            <w:shd w:val="clear" w:color="auto" w:fill="D2D2D2"/>
          </w:tcPr>
          <w:p>
            <w:pPr/>
          </w:p>
        </w:tc>
        <w:tc>
          <w:tcPr>
            <w:tcW w:w="44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53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981" w:type="dxa"/>
            <w:vMerge/>
            <w:tcBorders>
              <w:left w:val="single" w:sz="4" w:space="0" w:color="000000"/>
              <w:bottom w:val="nil" w:sz="6" w:space="0" w:color="auto"/>
              <w:right w:val="single" w:sz="4" w:space="0" w:color="000000"/>
            </w:tcBorders>
            <w:shd w:val="clear" w:color="auto" w:fill="D2D2D2"/>
          </w:tcPr>
          <w:p>
            <w:pPr/>
          </w:p>
        </w:tc>
        <w:tc>
          <w:tcPr>
            <w:tcW w:w="17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8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8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9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782" w:type="dxa"/>
            <w:gridSpan w:val="2"/>
            <w:vMerge/>
            <w:tcBorders>
              <w:left w:val="single" w:sz="4" w:space="0" w:color="000000"/>
              <w:bottom w:val="single" w:sz="4" w:space="0" w:color="000000"/>
              <w:right w:val="single" w:sz="4" w:space="0" w:color="000000"/>
            </w:tcBorders>
            <w:shd w:val="clear" w:color="auto" w:fill="D2D2D2"/>
          </w:tcPr>
          <w:p>
            <w:pP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896" w:type="dxa"/>
            <w:gridSpan w:val="2"/>
            <w:vMerge/>
            <w:tcBorders>
              <w:left w:val="single" w:sz="4" w:space="0" w:color="000000"/>
              <w:bottom w:val="single" w:sz="4" w:space="0" w:color="000000"/>
              <w:right w:val="single" w:sz="4" w:space="0" w:color="000000"/>
            </w:tcBorders>
            <w:shd w:val="clear" w:color="auto" w:fill="D2D2D2"/>
          </w:tcPr>
          <w:p>
            <w:pPr/>
          </w:p>
        </w:tc>
        <w:tc>
          <w:tcPr>
            <w:tcW w:w="1506" w:type="dxa"/>
            <w:gridSpan w:val="2"/>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981" w:type="dxa"/>
            <w:vMerge/>
            <w:tcBorders>
              <w:left w:val="single" w:sz="4" w:space="0" w:color="000000"/>
              <w:bottom w:val="nil" w:sz="6" w:space="0" w:color="auto"/>
              <w:right w:val="single" w:sz="4" w:space="0" w:color="000000"/>
            </w:tcBorders>
            <w:shd w:val="clear" w:color="auto" w:fill="D2D2D2"/>
          </w:tcPr>
          <w:p>
            <w:pPr/>
          </w:p>
        </w:tc>
        <w:tc>
          <w:tcPr>
            <w:tcW w:w="10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96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98" w:right="97"/>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98" w:right="97"/>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981" w:type="dxa"/>
            <w:vMerge w:val="restart"/>
            <w:tcBorders>
              <w:top w:val="nil" w:sz="6" w:space="0" w:color="auto"/>
              <w:left w:val="single" w:sz="4" w:space="0" w:color="000000"/>
              <w:right w:val="single" w:sz="4" w:space="0" w:color="000000"/>
            </w:tcBorders>
            <w:shd w:val="clear" w:color="auto" w:fill="D2D2D2"/>
          </w:tcPr>
          <w:p>
            <w:pPr/>
          </w:p>
        </w:tc>
        <w:tc>
          <w:tcPr>
            <w:tcW w:w="10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8"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8"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981" w:type="dxa"/>
            <w:vMerge/>
            <w:tcBorders>
              <w:left w:val="single" w:sz="4" w:space="0" w:color="000000"/>
              <w:right w:val="single" w:sz="4" w:space="0" w:color="000000"/>
            </w:tcBorders>
            <w:shd w:val="clear" w:color="auto" w:fill="D2D2D2"/>
          </w:tcPr>
          <w:p>
            <w:pPr/>
          </w:p>
        </w:tc>
        <w:tc>
          <w:tcPr>
            <w:tcW w:w="1020"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967"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938"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981" w:type="dxa"/>
            <w:vMerge/>
            <w:tcBorders>
              <w:left w:val="single" w:sz="4" w:space="0" w:color="000000"/>
              <w:bottom w:val="single" w:sz="4" w:space="0" w:color="000000"/>
              <w:right w:val="single" w:sz="4" w:space="0" w:color="000000"/>
            </w:tcBorders>
            <w:shd w:val="clear" w:color="auto" w:fill="D2D2D2"/>
          </w:tcPr>
          <w:p>
            <w:pPr/>
          </w:p>
        </w:tc>
        <w:tc>
          <w:tcPr>
            <w:tcW w:w="10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96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r>
      <w:tr>
        <w:trPr>
          <w:trHeight w:val="986" w:hRule="exact"/>
        </w:trPr>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both"/>
              <w:rPr>
                <w:rFonts w:ascii="宋体" w:hAnsi="宋体" w:cs="宋体" w:eastAsia="宋体" w:hint="default"/>
                <w:sz w:val="18"/>
                <w:szCs w:val="18"/>
              </w:rPr>
            </w:pPr>
            <w:r>
              <w:rPr>
                <w:rFonts w:ascii="宋体" w:hAnsi="宋体" w:cs="宋体" w:eastAsia="宋体" w:hint="default"/>
                <w:sz w:val="18"/>
                <w:szCs w:val="18"/>
              </w:rPr>
              <w:t>按信用风险 特征组合计 提坏账准备</w:t>
            </w:r>
          </w:p>
        </w:tc>
        <w:tc>
          <w:tcPr>
            <w:tcW w:w="10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30" w:right="0"/>
              <w:jc w:val="left"/>
              <w:rPr>
                <w:rFonts w:ascii="Times New Roman" w:hAnsi="Times New Roman" w:cs="Times New Roman" w:eastAsia="Times New Roman" w:hint="default"/>
                <w:sz w:val="18"/>
                <w:szCs w:val="18"/>
              </w:rPr>
            </w:pPr>
            <w:r>
              <w:rPr>
                <w:rFonts w:ascii="Times New Roman"/>
                <w:sz w:val="18"/>
              </w:rPr>
              <w:t>7,007,772.87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84" w:right="0"/>
              <w:jc w:val="left"/>
              <w:rPr>
                <w:rFonts w:ascii="Times New Roman" w:hAnsi="Times New Roman" w:cs="Times New Roman" w:eastAsia="Times New Roman" w:hint="default"/>
                <w:sz w:val="18"/>
                <w:szCs w:val="18"/>
              </w:rPr>
            </w:pPr>
            <w:r>
              <w:rPr>
                <w:rFonts w:ascii="Times New Roman"/>
                <w:sz w:val="18"/>
              </w:rPr>
              <w:t>100.00%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23" w:right="0"/>
              <w:jc w:val="left"/>
              <w:rPr>
                <w:rFonts w:ascii="Times New Roman" w:hAnsi="Times New Roman" w:cs="Times New Roman" w:eastAsia="Times New Roman" w:hint="default"/>
                <w:sz w:val="18"/>
                <w:szCs w:val="18"/>
              </w:rPr>
            </w:pPr>
            <w:r>
              <w:rPr>
                <w:rFonts w:ascii="Times New Roman"/>
                <w:sz w:val="18"/>
              </w:rPr>
              <w:t>440,946.62</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69" w:right="0"/>
              <w:jc w:val="left"/>
              <w:rPr>
                <w:rFonts w:ascii="Times New Roman" w:hAnsi="Times New Roman" w:cs="Times New Roman" w:eastAsia="Times New Roman" w:hint="default"/>
                <w:sz w:val="18"/>
                <w:szCs w:val="18"/>
              </w:rPr>
            </w:pPr>
            <w:r>
              <w:rPr>
                <w:rFonts w:ascii="Times New Roman"/>
                <w:sz w:val="18"/>
              </w:rPr>
              <w:t>6.29%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56" w:right="0"/>
              <w:jc w:val="left"/>
              <w:rPr>
                <w:rFonts w:ascii="Times New Roman" w:hAnsi="Times New Roman" w:cs="Times New Roman" w:eastAsia="Times New Roman" w:hint="default"/>
                <w:sz w:val="18"/>
                <w:szCs w:val="18"/>
              </w:rPr>
            </w:pPr>
            <w:r>
              <w:rPr>
                <w:rFonts w:ascii="Times New Roman"/>
                <w:sz w:val="18"/>
              </w:rPr>
              <w:t>6,566,826.25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62" w:right="0"/>
              <w:jc w:val="left"/>
              <w:rPr>
                <w:rFonts w:ascii="Times New Roman" w:hAnsi="Times New Roman" w:cs="Times New Roman" w:eastAsia="Times New Roman" w:hint="default"/>
                <w:sz w:val="18"/>
                <w:szCs w:val="18"/>
              </w:rPr>
            </w:pPr>
            <w:r>
              <w:rPr>
                <w:rFonts w:ascii="Times New Roman"/>
                <w:sz w:val="18"/>
              </w:rPr>
              <w:t>5,115,521.55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83" w:right="0"/>
              <w:jc w:val="left"/>
              <w:rPr>
                <w:rFonts w:ascii="Times New Roman" w:hAnsi="Times New Roman" w:cs="Times New Roman" w:eastAsia="Times New Roman" w:hint="default"/>
                <w:sz w:val="18"/>
                <w:szCs w:val="18"/>
              </w:rPr>
            </w:pPr>
            <w:r>
              <w:rPr>
                <w:rFonts w:ascii="Times New Roman"/>
                <w:sz w:val="18"/>
              </w:rPr>
              <w:t>100.00%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95" w:right="0"/>
              <w:jc w:val="left"/>
              <w:rPr>
                <w:rFonts w:ascii="Times New Roman" w:hAnsi="Times New Roman" w:cs="Times New Roman" w:eastAsia="Times New Roman" w:hint="default"/>
                <w:sz w:val="18"/>
                <w:szCs w:val="18"/>
              </w:rPr>
            </w:pPr>
            <w:r>
              <w:rPr>
                <w:rFonts w:ascii="Times New Roman"/>
                <w:sz w:val="18"/>
              </w:rPr>
              <w:t>219,693.84</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69" w:right="0"/>
              <w:jc w:val="left"/>
              <w:rPr>
                <w:rFonts w:ascii="Times New Roman" w:hAnsi="Times New Roman" w:cs="Times New Roman" w:eastAsia="Times New Roman" w:hint="default"/>
                <w:sz w:val="18"/>
                <w:szCs w:val="18"/>
              </w:rPr>
            </w:pPr>
            <w:r>
              <w:rPr>
                <w:rFonts w:ascii="Times New Roman"/>
                <w:sz w:val="18"/>
              </w:rPr>
              <w:t>4.29%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56" w:right="0"/>
              <w:jc w:val="left"/>
              <w:rPr>
                <w:rFonts w:ascii="Times New Roman" w:hAnsi="Times New Roman" w:cs="Times New Roman" w:eastAsia="Times New Roman" w:hint="default"/>
                <w:sz w:val="18"/>
                <w:szCs w:val="18"/>
              </w:rPr>
            </w:pPr>
            <w:r>
              <w:rPr>
                <w:rFonts w:ascii="Times New Roman"/>
                <w:sz w:val="18"/>
              </w:rPr>
              <w:t>4,895,827.71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993"/>
        <w:gridCol w:w="1020"/>
        <w:gridCol w:w="762"/>
        <w:gridCol w:w="967"/>
        <w:gridCol w:w="568"/>
        <w:gridCol w:w="1134"/>
        <w:gridCol w:w="1134"/>
        <w:gridCol w:w="762"/>
        <w:gridCol w:w="938"/>
        <w:gridCol w:w="568"/>
        <w:gridCol w:w="1134"/>
      </w:tblGrid>
      <w:tr>
        <w:trPr>
          <w:trHeight w:val="674"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58"/>
              <w:jc w:val="left"/>
              <w:rPr>
                <w:rFonts w:ascii="宋体" w:hAnsi="宋体" w:cs="宋体" w:eastAsia="宋体" w:hint="default"/>
                <w:sz w:val="18"/>
                <w:szCs w:val="18"/>
              </w:rPr>
            </w:pPr>
            <w:r>
              <w:rPr>
                <w:rFonts w:ascii="宋体" w:hAnsi="宋体" w:cs="宋体" w:eastAsia="宋体" w:hint="default"/>
                <w:sz w:val="18"/>
                <w:szCs w:val="18"/>
              </w:rPr>
              <w:t>的其他应收 款</w:t>
            </w:r>
          </w:p>
        </w:tc>
        <w:tc>
          <w:tcPr>
            <w:tcW w:w="1020"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7,007,772.87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100.00%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440,946.62</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6.29%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left"/>
              <w:rPr>
                <w:rFonts w:ascii="Times New Roman" w:hAnsi="Times New Roman" w:cs="Times New Roman" w:eastAsia="Times New Roman" w:hint="default"/>
                <w:sz w:val="18"/>
                <w:szCs w:val="18"/>
              </w:rPr>
            </w:pPr>
            <w:r>
              <w:rPr>
                <w:rFonts w:ascii="Times New Roman"/>
                <w:sz w:val="18"/>
              </w:rPr>
              <w:t>6,566,826.25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2" w:right="0"/>
              <w:jc w:val="left"/>
              <w:rPr>
                <w:rFonts w:ascii="Times New Roman" w:hAnsi="Times New Roman" w:cs="Times New Roman" w:eastAsia="Times New Roman" w:hint="default"/>
                <w:sz w:val="18"/>
                <w:szCs w:val="18"/>
              </w:rPr>
            </w:pPr>
            <w:r>
              <w:rPr>
                <w:rFonts w:ascii="Times New Roman"/>
                <w:sz w:val="18"/>
              </w:rPr>
              <w:t>5,115,521.55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100.00%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219,693.84</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4.29%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left"/>
              <w:rPr>
                <w:rFonts w:ascii="Times New Roman" w:hAnsi="Times New Roman" w:cs="Times New Roman" w:eastAsia="Times New Roman" w:hint="default"/>
                <w:sz w:val="18"/>
                <w:szCs w:val="18"/>
              </w:rPr>
            </w:pPr>
            <w:r>
              <w:rPr>
                <w:rFonts w:ascii="Times New Roman"/>
                <w:sz w:val="18"/>
              </w:rPr>
              <w:t>4,895,827.71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left="153"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2"/>
        <w:gridCol w:w="2392"/>
      </w:tblGrid>
      <w:tr>
        <w:trPr>
          <w:trHeight w:val="206"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1,798,610.07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35,859.20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8,964.80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33,079.25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16,539.63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415,442.19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415,442.19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2,282,990.71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440,946.62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252"/>
        <w:jc w:val="left"/>
      </w:pPr>
      <w:r>
        <w:rPr/>
        <w:t>确定该组合依据的说明： 组合中，采用余额百分比法计提坏账准备的其他应收款：</w:t>
      </w:r>
    </w:p>
    <w:p>
      <w:pPr>
        <w:pStyle w:val="BodyText"/>
        <w:spacing w:line="340" w:lineRule="auto" w:before="26"/>
        <w:ind w:left="153"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37" w:type="dxa"/>
        <w:tblLayout w:type="fixed"/>
        <w:tblCellMar>
          <w:top w:w="0" w:type="dxa"/>
          <w:left w:w="0" w:type="dxa"/>
          <w:bottom w:w="0" w:type="dxa"/>
          <w:right w:w="0" w:type="dxa"/>
        </w:tblCellMar>
        <w:tblLook w:val="01E0"/>
      </w:tblPr>
      <w:tblGrid>
        <w:gridCol w:w="2948"/>
        <w:gridCol w:w="2583"/>
        <w:gridCol w:w="2008"/>
        <w:gridCol w:w="2120"/>
      </w:tblGrid>
      <w:tr>
        <w:trPr>
          <w:trHeight w:val="347" w:hRule="exact"/>
        </w:trPr>
        <w:tc>
          <w:tcPr>
            <w:tcW w:w="2948"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组合</w:t>
            </w:r>
          </w:p>
        </w:tc>
        <w:tc>
          <w:tcPr>
            <w:tcW w:w="671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8" w:hRule="exact"/>
        </w:trPr>
        <w:tc>
          <w:tcPr>
            <w:tcW w:w="2948" w:type="dxa"/>
            <w:vMerge/>
            <w:tcBorders>
              <w:left w:val="single" w:sz="6" w:space="0" w:color="000000"/>
              <w:bottom w:val="single" w:sz="6" w:space="0" w:color="000000"/>
              <w:right w:val="single" w:sz="6" w:space="0" w:color="000000"/>
            </w:tcBorders>
          </w:tcPr>
          <w:p>
            <w:pP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3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3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3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7" w:hRule="exact"/>
        </w:trPr>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保证金组合</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21" w:right="0"/>
              <w:jc w:val="left"/>
              <w:rPr>
                <w:rFonts w:ascii="Times New Roman" w:hAnsi="Times New Roman" w:cs="Times New Roman" w:eastAsia="Times New Roman" w:hint="default"/>
                <w:sz w:val="18"/>
                <w:szCs w:val="18"/>
              </w:rPr>
            </w:pPr>
            <w:r>
              <w:rPr>
                <w:rFonts w:ascii="Times New Roman"/>
                <w:sz w:val="18"/>
              </w:rPr>
              <w:t>4,724,782.16</w:t>
            </w:r>
          </w:p>
        </w:tc>
        <w:tc>
          <w:tcPr>
            <w:tcW w:w="2008" w:type="dxa"/>
            <w:tcBorders>
              <w:top w:val="single" w:sz="6" w:space="0" w:color="000000"/>
              <w:left w:val="single" w:sz="6" w:space="0" w:color="000000"/>
              <w:bottom w:val="single" w:sz="6" w:space="0" w:color="000000"/>
              <w:right w:val="single" w:sz="6" w:space="0" w:color="000000"/>
            </w:tcBorders>
          </w:tcPr>
          <w:p>
            <w:pPr/>
          </w:p>
        </w:tc>
        <w:tc>
          <w:tcPr>
            <w:tcW w:w="212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6"/>
        <w:spacing w:line="240" w:lineRule="auto" w:before="35"/>
        <w:ind w:left="154" w:right="0"/>
        <w:jc w:val="left"/>
        <w:rPr>
          <w:b w:val="0"/>
          <w:bCs w:val="0"/>
        </w:rPr>
      </w:pPr>
      <w:bookmarkStart w:name="（2）本期计提、收回或转回的坏账准备情况" w:id="250"/>
      <w:bookmarkEnd w:id="25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340" w:lineRule="auto"/>
        <w:ind w:left="153" w:right="-15"/>
        <w:jc w:val="left"/>
      </w:pPr>
      <w:r>
        <w:rPr/>
        <w:t>本期计提坏账准备金额</w:t>
      </w:r>
      <w:r>
        <w:rPr>
          <w:spacing w:val="-46"/>
        </w:rPr>
        <w:t> </w:t>
      </w:r>
      <w:r>
        <w:rPr>
          <w:rFonts w:ascii="Times New Roman" w:hAnsi="Times New Roman" w:cs="Times New Roman" w:eastAsia="Times New Roman" w:hint="default"/>
        </w:rPr>
        <w:t>221,252.78</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6320" w:space="2510"/>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6"/>
        <w:spacing w:line="240" w:lineRule="auto" w:before="35"/>
        <w:ind w:left="154" w:right="0"/>
        <w:jc w:val="left"/>
        <w:rPr>
          <w:b w:val="0"/>
          <w:bCs w:val="0"/>
        </w:rPr>
      </w:pPr>
      <w:bookmarkStart w:name="（3）本期实际核销的其他应收款情况" w:id="251"/>
      <w:bookmarkEnd w:id="251"/>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0"/>
        <w:jc w:val="left"/>
      </w:pPr>
      <w:r>
        <w:rPr/>
        <w:t>其中重要的其他应收款核销情况：</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2"/>
        <w:ind w:right="8007"/>
        <w:jc w:val="left"/>
        <w:rPr>
          <w:rFonts w:ascii="Times New Roman" w:hAnsi="Times New Roman" w:cs="Times New Roman" w:eastAsia="Times New Roman" w:hint="default"/>
        </w:rPr>
      </w:pPr>
      <w:r>
        <w:rPr/>
        <w:t>其他应收款核销说明： 本期无实际核销的其他应收款情况</w:t>
      </w:r>
      <w:r>
        <w:rPr>
          <w:rFonts w:ascii="Times New Roman" w:hAnsi="Times New Roman" w:cs="Times New Roman" w:eastAsia="Times New Roman" w:hint="default"/>
        </w:rPr>
        <w:t>.</w:t>
      </w:r>
    </w:p>
    <w:p>
      <w:pPr>
        <w:spacing w:line="240" w:lineRule="auto" w:before="11"/>
        <w:rPr>
          <w:rFonts w:ascii="Times New Roman" w:hAnsi="Times New Roman" w:cs="Times New Roman" w:eastAsia="Times New Roman" w:hint="default"/>
          <w:sz w:val="20"/>
          <w:szCs w:val="20"/>
        </w:rPr>
      </w:pPr>
    </w:p>
    <w:p>
      <w:pPr>
        <w:pStyle w:val="Heading6"/>
        <w:spacing w:line="240" w:lineRule="auto"/>
        <w:ind w:left="154" w:right="0"/>
        <w:jc w:val="left"/>
        <w:rPr>
          <w:b w:val="0"/>
          <w:bCs w:val="0"/>
        </w:rPr>
      </w:pPr>
      <w:bookmarkStart w:name="（4）其他应收款按款项性质分类情况" w:id="252"/>
      <w:bookmarkEnd w:id="252"/>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2,282,990.71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2,512,123.39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4,724,782.16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2,603,398.16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7,007,772.87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5,115,521.55</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5）按欠款方归集的期末余额前五名的其他应收款情况" w:id="253"/>
      <w:bookmarkEnd w:id="253"/>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上海浦东软件园股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2,161,080.00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30.84%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上海普天科创电子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1,739,454.16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24.82%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江苏美乐地房地产 开发有限公司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296,758.00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日本阳光开拓者不 动产株式会社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264,516.77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264,516.77</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上海齐汇通讯技术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182,516.32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4,644,325.25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264,516.77</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6）涉及政府补助的应收款项" w:id="254"/>
      <w:bookmarkEnd w:id="254"/>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7）因金融资产转移而终止确认的其他应收款" w:id="255"/>
      <w:bookmarkEnd w:id="255"/>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8）转移其他应收款且继续涉入形成的资产、负债金额" w:id="256"/>
      <w:bookmarkEnd w:id="256"/>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3"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10、存货" w:id="257"/>
      <w:bookmarkEnd w:id="257"/>
      <w:r>
        <w:rPr>
          <w:b w:val="0"/>
          <w:bCs w:val="0"/>
        </w:rPr>
      </w:r>
      <w:r>
        <w:rPr>
          <w:rFonts w:ascii="Times New Roman" w:hAnsi="Times New Roman" w:cs="Times New Roman" w:eastAsia="Times New Roman" w:hint="default"/>
        </w:rPr>
        <w:t>10</w:t>
      </w:r>
      <w:r>
        <w:rPr/>
        <w:t>、存货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存货分类" w:id="258"/>
      <w:bookmarkEnd w:id="258"/>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5"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2,277,952.32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2,277,952.32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3,827,575.04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3,827,575.04</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2,277,952.32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2,277,952.32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3,827,575.04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3,827,575.04</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存货跌价准备" w:id="259"/>
      <w:bookmarkEnd w:id="259"/>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6"/>
        <w:spacing w:line="240" w:lineRule="auto" w:before="35"/>
        <w:ind w:left="154" w:right="0"/>
        <w:jc w:val="left"/>
        <w:rPr>
          <w:b w:val="0"/>
          <w:bCs w:val="0"/>
        </w:rPr>
      </w:pPr>
      <w:bookmarkStart w:name="（3）存货期末余额含有借款费用资本化金额的说明" w:id="260"/>
      <w:bookmarkEnd w:id="260"/>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4）期末建造合同形成的已完工未结算资产情况" w:id="261"/>
      <w:bookmarkEnd w:id="261"/>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11、划分为持有待售的资产" w:id="262"/>
      <w:bookmarkEnd w:id="262"/>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12、一年内到期的非流动资产" w:id="263"/>
      <w:bookmarkEnd w:id="263"/>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13、其他流动资产" w:id="264"/>
      <w:bookmarkEnd w:id="264"/>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待退及预缴纳税金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453,075.11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2,206,689.94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855,000,000.00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1,139,300,000.00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855,453,075.11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1,141,506,689.94</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14、可供出售金融资产" w:id="265"/>
      <w:bookmarkEnd w:id="265"/>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可供出售金融资产情况" w:id="266"/>
      <w:bookmarkEnd w:id="266"/>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89"/>
        <w:gridCol w:w="1207"/>
        <w:gridCol w:w="1196"/>
        <w:gridCol w:w="1196"/>
        <w:gridCol w:w="1248"/>
        <w:gridCol w:w="1367"/>
        <w:gridCol w:w="1367"/>
      </w:tblGrid>
      <w:tr>
        <w:trPr>
          <w:trHeight w:val="205"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62,778,450.00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62,778,450.00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62,778,450.00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62,778,450.00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62,778,450.00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62,778,450.00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14,000,000.00</w:t>
            </w:r>
          </w:p>
        </w:tc>
      </w:tr>
    </w:tbl>
    <w:p>
      <w:pPr>
        <w:spacing w:line="240" w:lineRule="auto" w:before="3"/>
        <w:rPr>
          <w:rFonts w:ascii="宋体" w:hAnsi="宋体" w:cs="宋体" w:eastAsia="宋体" w:hint="default"/>
          <w:sz w:val="19"/>
          <w:szCs w:val="19"/>
        </w:rPr>
      </w:pPr>
    </w:p>
    <w:p>
      <w:pPr>
        <w:pStyle w:val="Heading6"/>
        <w:spacing w:line="240" w:lineRule="auto" w:before="35"/>
        <w:ind w:left="154" w:right="0"/>
        <w:jc w:val="left"/>
        <w:rPr>
          <w:b w:val="0"/>
          <w:bCs w:val="0"/>
        </w:rPr>
      </w:pPr>
      <w:bookmarkStart w:name="（2）期末按公允价值计量的可供出售金融资产" w:id="267"/>
      <w:bookmarkEnd w:id="267"/>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3）期末按成本计量的可供出售金融资产" w:id="268"/>
      <w:bookmarkEnd w:id="268"/>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1122"/>
        <w:gridCol w:w="1134"/>
        <w:gridCol w:w="425"/>
        <w:gridCol w:w="1134"/>
        <w:gridCol w:w="568"/>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81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1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71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1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6" w:right="26"/>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上海艾云 慧信创业 投资有限 公司</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14,000,000.00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14,000,000.00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5.89%</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上海魁首 投资管理 中心（有 限合伙）</w:t>
            </w:r>
          </w:p>
        </w:tc>
        <w:tc>
          <w:tcPr>
            <w:tcW w:w="11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38,800,000.00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38,800,000.00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99.99%</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1122"/>
        <w:gridCol w:w="1134"/>
        <w:gridCol w:w="425"/>
        <w:gridCol w:w="1134"/>
        <w:gridCol w:w="568"/>
        <w:gridCol w:w="870"/>
        <w:gridCol w:w="870"/>
        <w:gridCol w:w="870"/>
        <w:gridCol w:w="870"/>
        <w:gridCol w:w="870"/>
      </w:tblGrid>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上海鼎储 投资管理 有限公司</w:t>
            </w:r>
          </w:p>
        </w:tc>
        <w:tc>
          <w:tcPr>
            <w:tcW w:w="11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01VC</w:t>
            </w:r>
          </w:p>
          <w:p>
            <w:pPr>
              <w:pStyle w:val="TableParagraph"/>
              <w:spacing w:line="362" w:lineRule="auto" w:before="105"/>
              <w:ind w:left="22" w:right="308"/>
              <w:jc w:val="left"/>
              <w:rPr>
                <w:rFonts w:ascii="Times New Roman" w:hAnsi="Times New Roman" w:cs="Times New Roman" w:eastAsia="Times New Roman" w:hint="default"/>
                <w:sz w:val="18"/>
                <w:szCs w:val="18"/>
              </w:rPr>
            </w:pPr>
            <w:r>
              <w:rPr>
                <w:rFonts w:ascii="Times New Roman"/>
                <w:sz w:val="18"/>
              </w:rPr>
              <w:t>Fund</w:t>
            </w:r>
            <w:r>
              <w:rPr>
                <w:rFonts w:ascii="Times New Roman"/>
                <w:spacing w:val="-1"/>
                <w:sz w:val="18"/>
              </w:rPr>
              <w:t> </w:t>
            </w:r>
            <w:r>
              <w:rPr>
                <w:rFonts w:ascii="Times New Roman"/>
                <w:sz w:val="18"/>
              </w:rPr>
              <w:t>I,</w:t>
            </w:r>
            <w:r>
              <w:rPr>
                <w:rFonts w:ascii="Times New Roman"/>
                <w:w w:val="99"/>
                <w:sz w:val="18"/>
              </w:rPr>
              <w:t> </w:t>
            </w:r>
            <w:r>
              <w:rPr>
                <w:rFonts w:ascii="Times New Roman"/>
                <w:spacing w:val="-6"/>
                <w:sz w:val="18"/>
              </w:rPr>
              <w:t>L.P.</w:t>
            </w:r>
          </w:p>
        </w:tc>
        <w:tc>
          <w:tcPr>
            <w:tcW w:w="11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9,178,450.00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9,178,450.00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6.48%</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2" w:right="0"/>
              <w:jc w:val="left"/>
              <w:rPr>
                <w:rFonts w:ascii="Times New Roman" w:hAnsi="Times New Roman" w:cs="Times New Roman" w:eastAsia="Times New Roman" w:hint="default"/>
                <w:sz w:val="18"/>
                <w:szCs w:val="18"/>
              </w:rPr>
            </w:pPr>
            <w:r>
              <w:rPr>
                <w:rFonts w:ascii="Times New Roman"/>
                <w:sz w:val="18"/>
              </w:rPr>
              <w:t>14,000,000.00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48,778,450.00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62,778,450.00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4）报告期内可供出售金融资产减值的变动情况" w:id="269"/>
      <w:bookmarkEnd w:id="269"/>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5）可供出售权益工具期末公允价值严重下跌或非暂时性下跌但未计提减值准备的相关说" w:id="270"/>
      <w:bookmarkEnd w:id="270"/>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2"/>
        <w:ind w:right="0"/>
        <w:jc w:val="both"/>
      </w:pPr>
      <w:r>
        <w:rPr/>
        <w:t>其他说明</w:t>
      </w:r>
    </w:p>
    <w:p>
      <w:pPr>
        <w:pStyle w:val="BodyText"/>
        <w:spacing w:line="300" w:lineRule="auto" w:before="115"/>
        <w:ind w:left="153" w:right="1153" w:firstLine="360"/>
        <w:jc w:val="left"/>
      </w:pPr>
      <w:r>
        <w:rPr/>
        <w:t>公司孙公司上海二三四五科技投资有限公司（以下简称</w:t>
      </w:r>
      <w:r>
        <w:rPr>
          <w:rFonts w:ascii="Times New Roman" w:hAnsi="Times New Roman" w:cs="Times New Roman" w:eastAsia="Times New Roman" w:hint="default"/>
        </w:rPr>
        <w:t>“</w:t>
      </w:r>
      <w:r>
        <w:rPr/>
        <w:t>二三四五投资</w:t>
      </w:r>
      <w:r>
        <w:rPr>
          <w:rFonts w:ascii="Times New Roman" w:hAnsi="Times New Roman" w:cs="Times New Roman" w:eastAsia="Times New Roman" w:hint="default"/>
        </w:rPr>
        <w:t>”</w:t>
      </w:r>
      <w:r>
        <w:rPr/>
        <w:t>）与上海本垒投资咨询有限公司（以下简称</w:t>
      </w:r>
      <w:r>
        <w:rPr>
          <w:rFonts w:ascii="Times New Roman" w:hAnsi="Times New Roman" w:cs="Times New Roman" w:eastAsia="Times New Roman" w:hint="default"/>
        </w:rPr>
        <w:t>“</w:t>
      </w:r>
      <w:r>
        <w:rPr/>
        <w:t>本 </w:t>
      </w:r>
      <w:r>
        <w:rPr>
          <w:spacing w:val="-3"/>
          <w:w w:val="100"/>
        </w:rPr>
        <w:t>垒投资</w:t>
      </w:r>
      <w:r>
        <w:rPr>
          <w:rFonts w:ascii="Times New Roman" w:hAnsi="Times New Roman" w:cs="Times New Roman" w:eastAsia="Times New Roman" w:hint="default"/>
          <w:spacing w:val="-3"/>
          <w:w w:val="100"/>
        </w:rPr>
        <w:t>”</w:t>
      </w:r>
      <w:r>
        <w:rPr>
          <w:spacing w:val="-3"/>
          <w:w w:val="100"/>
        </w:rPr>
        <w:t>）合资设立上海鼎储投资管理有限公司（以下简称</w:t>
      </w:r>
      <w:r>
        <w:rPr>
          <w:rFonts w:ascii="Times New Roman" w:hAnsi="Times New Roman" w:cs="Times New Roman" w:eastAsia="Times New Roman" w:hint="default"/>
          <w:spacing w:val="-3"/>
          <w:w w:val="100"/>
        </w:rPr>
        <w:t>“</w:t>
      </w:r>
      <w:r>
        <w:rPr>
          <w:spacing w:val="-3"/>
          <w:w w:val="100"/>
        </w:rPr>
        <w:t>鼎储投资</w:t>
      </w:r>
      <w:r>
        <w:rPr>
          <w:rFonts w:ascii="Times New Roman" w:hAnsi="Times New Roman" w:cs="Times New Roman" w:eastAsia="Times New Roman" w:hint="default"/>
          <w:spacing w:val="-3"/>
          <w:w w:val="100"/>
        </w:rPr>
        <w:t>”</w:t>
      </w:r>
      <w:r>
        <w:rPr>
          <w:spacing w:val="-3"/>
          <w:w w:val="100"/>
        </w:rPr>
        <w:t>）。鼎储投资注册资本</w:t>
      </w:r>
      <w:r>
        <w:rPr>
          <w:w w:val="100"/>
        </w:rPr>
        <w:t> </w:t>
      </w:r>
      <w:r>
        <w:rPr>
          <w:rFonts w:ascii="Times New Roman" w:hAnsi="Times New Roman" w:cs="Times New Roman" w:eastAsia="Times New Roman" w:hint="default"/>
        </w:rPr>
        <w:t>200</w:t>
      </w:r>
      <w:r>
        <w:rPr>
          <w:rFonts w:ascii="Times New Roman" w:hAnsi="Times New Roman" w:cs="Times New Roman" w:eastAsia="Times New Roman" w:hint="default"/>
          <w:spacing w:val="-12"/>
        </w:rPr>
        <w:t> </w:t>
      </w:r>
      <w:r>
        <w:rPr/>
        <w:t>万元，二三四五投资认缴</w:t>
      </w:r>
    </w:p>
    <w:p>
      <w:pPr>
        <w:pStyle w:val="BodyText"/>
        <w:spacing w:line="240" w:lineRule="auto" w:before="13"/>
        <w:ind w:right="0"/>
        <w:jc w:val="both"/>
      </w:pPr>
      <w:r>
        <w:rPr>
          <w:rFonts w:ascii="Times New Roman" w:hAnsi="Times New Roman" w:cs="Times New Roman" w:eastAsia="Times New Roman" w:hint="default"/>
        </w:rPr>
        <w:t>80</w:t>
      </w:r>
      <w:r>
        <w:rPr>
          <w:rFonts w:ascii="Times New Roman" w:hAnsi="Times New Roman" w:cs="Times New Roman" w:eastAsia="Times New Roman" w:hint="default"/>
          <w:spacing w:val="-6"/>
        </w:rPr>
        <w:t> </w:t>
      </w:r>
      <w:r>
        <w:rPr/>
        <w:t>万元，占注册资本的</w:t>
      </w:r>
      <w:r>
        <w:rPr>
          <w:spacing w:val="-51"/>
        </w:rPr>
        <w:t> </w:t>
      </w:r>
      <w:r>
        <w:rPr>
          <w:rFonts w:ascii="Times New Roman" w:hAnsi="Times New Roman" w:cs="Times New Roman" w:eastAsia="Times New Roman" w:hint="default"/>
        </w:rPr>
        <w:t>40%</w:t>
      </w:r>
      <w:r>
        <w:rPr/>
        <w:t>，本垒投资认缴</w:t>
      </w:r>
      <w:r>
        <w:rPr>
          <w:spacing w:val="-51"/>
        </w:rPr>
        <w:t> </w:t>
      </w:r>
      <w:r>
        <w:rPr>
          <w:rFonts w:ascii="Times New Roman" w:hAnsi="Times New Roman" w:cs="Times New Roman" w:eastAsia="Times New Roman" w:hint="default"/>
        </w:rPr>
        <w:t>120</w:t>
      </w:r>
      <w:r>
        <w:rPr>
          <w:rFonts w:ascii="Times New Roman" w:hAnsi="Times New Roman" w:cs="Times New Roman" w:eastAsia="Times New Roman" w:hint="default"/>
          <w:spacing w:val="-6"/>
        </w:rPr>
        <w:t> </w:t>
      </w:r>
      <w:r>
        <w:rPr/>
        <w:t>万元，占注册资本的</w:t>
      </w:r>
      <w:r>
        <w:rPr>
          <w:spacing w:val="-51"/>
        </w:rPr>
        <w:t> </w:t>
      </w:r>
      <w:r>
        <w:rPr>
          <w:rFonts w:ascii="Times New Roman" w:hAnsi="Times New Roman" w:cs="Times New Roman" w:eastAsia="Times New Roman" w:hint="default"/>
          <w:spacing w:val="-3"/>
        </w:rPr>
        <w:t>60%</w:t>
      </w:r>
      <w:r>
        <w:rPr>
          <w:spacing w:val="-3"/>
        </w:rPr>
        <w:t>。截止</w:t>
      </w:r>
      <w:r>
        <w:rPr>
          <w:spacing w:val="-5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日，鼎储投资已收到二三</w:t>
      </w:r>
    </w:p>
    <w:p>
      <w:pPr>
        <w:pStyle w:val="BodyText"/>
        <w:spacing w:line="309" w:lineRule="auto" w:before="63"/>
        <w:ind w:right="1133"/>
        <w:jc w:val="both"/>
      </w:pPr>
      <w:r>
        <w:rPr/>
        <w:t>四五投资出资金额</w:t>
      </w:r>
      <w:r>
        <w:rPr>
          <w:spacing w:val="-46"/>
        </w:rPr>
        <w:t> </w:t>
      </w:r>
      <w:r>
        <w:rPr>
          <w:rFonts w:ascii="Times New Roman" w:hAnsi="Times New Roman" w:cs="Times New Roman" w:eastAsia="Times New Roman" w:hint="default"/>
        </w:rPr>
        <w:t>80</w:t>
      </w:r>
      <w:r>
        <w:rPr>
          <w:rFonts w:ascii="Times New Roman" w:hAnsi="Times New Roman" w:cs="Times New Roman" w:eastAsia="Times New Roman" w:hint="default"/>
          <w:spacing w:val="-1"/>
        </w:rPr>
        <w:t> </w:t>
      </w:r>
      <w:r>
        <w:rPr/>
        <w:t>万元。本公司此次出资仅作为财务投资者，按股权比例享受分红，不参与鼎储投资的经营管理决策， </w:t>
      </w:r>
      <w:r>
        <w:rPr>
          <w:spacing w:val="-2"/>
        </w:rPr>
        <w:t>对鼎储投资不具有控制、共同控制及重大影响，并在鼎储投资公司章程中各股东进行了相应约定。公司将对鼎储投资的出资</w:t>
      </w:r>
      <w:r>
        <w:rPr>
          <w:spacing w:val="-66"/>
        </w:rPr>
        <w:t> </w:t>
      </w:r>
      <w:r>
        <w:rPr>
          <w:spacing w:val="-66"/>
        </w:rPr>
      </w:r>
      <w:r>
        <w:rPr/>
        <w:t>作为可供出售金融资产核算。</w:t>
      </w:r>
    </w:p>
    <w:p>
      <w:pPr>
        <w:pStyle w:val="BodyText"/>
        <w:spacing w:line="300" w:lineRule="auto" w:before="64"/>
        <w:ind w:right="1121" w:firstLine="360"/>
        <w:jc w:val="left"/>
        <w:rPr>
          <w:rFonts w:ascii="Times New Roman" w:hAnsi="Times New Roman" w:cs="Times New Roman" w:eastAsia="Times New Roman" w:hint="default"/>
        </w:rPr>
      </w:pPr>
      <w:r>
        <w:rPr>
          <w:spacing w:val="-2"/>
          <w:w w:val="100"/>
        </w:rPr>
        <w:t>二三四五投资与鼎储投资共同出资设立上海魁首投资管理中心（有限合伙）企业（以下简称</w:t>
      </w:r>
      <w:r>
        <w:rPr>
          <w:rFonts w:ascii="Times New Roman" w:hAnsi="Times New Roman" w:cs="Times New Roman" w:eastAsia="Times New Roman" w:hint="default"/>
          <w:spacing w:val="-2"/>
          <w:w w:val="100"/>
        </w:rPr>
        <w:t>“</w:t>
      </w:r>
      <w:r>
        <w:rPr>
          <w:spacing w:val="-2"/>
          <w:w w:val="100"/>
        </w:rPr>
        <w:t>魁首投资</w:t>
      </w:r>
      <w:r>
        <w:rPr>
          <w:rFonts w:ascii="Times New Roman" w:hAnsi="Times New Roman" w:cs="Times New Roman" w:eastAsia="Times New Roman" w:hint="default"/>
          <w:spacing w:val="-2"/>
          <w:w w:val="100"/>
        </w:rPr>
        <w:t>”</w:t>
      </w:r>
      <w:r>
        <w:rPr>
          <w:spacing w:val="-2"/>
          <w:w w:val="100"/>
        </w:rPr>
        <w:t>），二三四五投</w:t>
      </w:r>
      <w:r>
        <w:rPr/>
        <w:t> 资为有限合伙人，鼎储投资为普通合伙人。根据合伙协议，鼎储投资出资</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万元，二三四五投资出资</w:t>
      </w:r>
      <w:r>
        <w:rPr>
          <w:spacing w:val="-54"/>
        </w:rPr>
        <w:t> </w:t>
      </w:r>
      <w:r>
        <w:rPr>
          <w:rFonts w:ascii="Times New Roman" w:hAnsi="Times New Roman" w:cs="Times New Roman" w:eastAsia="Times New Roman" w:hint="default"/>
        </w:rPr>
        <w:t>7919</w:t>
      </w:r>
      <w:r>
        <w:rPr>
          <w:rFonts w:ascii="Times New Roman" w:hAnsi="Times New Roman" w:cs="Times New Roman" w:eastAsia="Times New Roman" w:hint="default"/>
          <w:spacing w:val="-9"/>
        </w:rPr>
        <w:t> </w:t>
      </w:r>
      <w:r>
        <w:rPr/>
        <w:t>万元。截止</w:t>
      </w:r>
      <w:r>
        <w:rPr>
          <w:spacing w:val="-54"/>
        </w:rPr>
        <w:t> </w:t>
      </w:r>
      <w:r>
        <w:rPr>
          <w:rFonts w:ascii="Times New Roman" w:hAnsi="Times New Roman" w:cs="Times New Roman" w:eastAsia="Times New Roman" w:hint="default"/>
        </w:rPr>
        <w:t>2015</w:t>
      </w:r>
    </w:p>
    <w:p>
      <w:pPr>
        <w:pStyle w:val="BodyText"/>
        <w:spacing w:line="312" w:lineRule="auto" w:before="13"/>
        <w:ind w:left="153" w:right="1131"/>
        <w:jc w:val="both"/>
      </w:pP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日，魁首投资已收到鼎储投资出资额</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万元，二三四五投资出资额</w:t>
      </w:r>
      <w:r>
        <w:rPr>
          <w:spacing w:val="-46"/>
        </w:rPr>
        <w:t> </w:t>
      </w:r>
      <w:r>
        <w:rPr>
          <w:rFonts w:ascii="Times New Roman" w:hAnsi="Times New Roman" w:cs="Times New Roman" w:eastAsia="Times New Roman" w:hint="default"/>
        </w:rPr>
        <w:t>3880 </w:t>
      </w:r>
      <w:r>
        <w:rPr/>
        <w:t>万元。根据魁首投资合伙协议，鼎储投 </w:t>
      </w:r>
      <w:r>
        <w:rPr>
          <w:spacing w:val="-2"/>
        </w:rPr>
        <w:t>资作为唯一普通合伙人，负责执行合伙企业事务，二三四五投资作为有限合伙人，不参与合伙企业经营管理决策，按出资比</w:t>
      </w:r>
      <w:r>
        <w:rPr>
          <w:spacing w:val="-66"/>
        </w:rPr>
        <w:t> </w:t>
      </w:r>
      <w:r>
        <w:rPr>
          <w:spacing w:val="-66"/>
        </w:rPr>
      </w:r>
      <w:r>
        <w:rPr>
          <w:spacing w:val="-2"/>
        </w:rPr>
        <w:t>例享受合伙企业产生的利润分配，对魁首投资不具有控制、共同控制及重大影响。公司将对魁首投资的出资作为可供出售金</w:t>
      </w:r>
      <w:r>
        <w:rPr>
          <w:spacing w:val="-66"/>
        </w:rPr>
        <w:t> </w:t>
      </w:r>
      <w:r>
        <w:rPr>
          <w:spacing w:val="-66"/>
        </w:rPr>
      </w:r>
      <w:r>
        <w:rPr/>
        <w:t>融资产核算。</w:t>
      </w:r>
    </w:p>
    <w:p>
      <w:pPr>
        <w:spacing w:line="240" w:lineRule="auto" w:before="8"/>
        <w:rPr>
          <w:rFonts w:ascii="宋体" w:hAnsi="宋体" w:cs="宋体" w:eastAsia="宋体" w:hint="default"/>
          <w:sz w:val="22"/>
          <w:szCs w:val="22"/>
        </w:rPr>
      </w:pPr>
    </w:p>
    <w:p>
      <w:pPr>
        <w:pStyle w:val="Heading6"/>
        <w:spacing w:line="240" w:lineRule="auto"/>
        <w:ind w:right="0"/>
        <w:jc w:val="both"/>
        <w:rPr>
          <w:b w:val="0"/>
          <w:bCs w:val="0"/>
        </w:rPr>
      </w:pPr>
      <w:bookmarkStart w:name="15、持有至到期投资" w:id="271"/>
      <w:bookmarkEnd w:id="271"/>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both"/>
        <w:rPr>
          <w:b w:val="0"/>
          <w:bCs w:val="0"/>
        </w:rPr>
      </w:pPr>
      <w:bookmarkStart w:name="（1）持有至到期投资情况" w:id="272"/>
      <w:bookmarkEnd w:id="272"/>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left="913" w:right="1127"/>
        <w:jc w:val="left"/>
        <w:rPr>
          <w:b w:val="0"/>
          <w:bCs w:val="0"/>
        </w:rPr>
      </w:pPr>
      <w:bookmarkStart w:name="（2）期末重要的持有至到期投资" w:id="273"/>
      <w:bookmarkEnd w:id="273"/>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90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6"/>
        <w:spacing w:line="240" w:lineRule="auto" w:before="35"/>
        <w:ind w:left="914" w:right="1127"/>
        <w:jc w:val="left"/>
        <w:rPr>
          <w:b w:val="0"/>
          <w:bCs w:val="0"/>
        </w:rPr>
      </w:pPr>
      <w:bookmarkStart w:name="（3）本期重分类的持有至到期投资" w:id="274"/>
      <w:bookmarkEnd w:id="274"/>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914" w:right="1127"/>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left="914" w:right="1127"/>
        <w:jc w:val="left"/>
        <w:rPr>
          <w:b w:val="0"/>
          <w:bCs w:val="0"/>
        </w:rPr>
      </w:pPr>
      <w:bookmarkStart w:name="16、长期应收款" w:id="275"/>
      <w:bookmarkEnd w:id="275"/>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914" w:right="1127"/>
        <w:jc w:val="left"/>
        <w:rPr>
          <w:b w:val="0"/>
          <w:bCs w:val="0"/>
        </w:rPr>
      </w:pPr>
      <w:bookmarkStart w:name="（1）长期应收款情况" w:id="276"/>
      <w:bookmarkEnd w:id="276"/>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90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1"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高尔夫会员卡押 金</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248,700.00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248,700.00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248,700.00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248,700.00</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248,700.00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248,700.00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248,700.00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248,700.00</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6"/>
        <w:spacing w:line="240" w:lineRule="auto" w:before="35"/>
        <w:ind w:left="914" w:right="1127"/>
        <w:jc w:val="left"/>
        <w:rPr>
          <w:b w:val="0"/>
          <w:bCs w:val="0"/>
        </w:rPr>
      </w:pPr>
      <w:bookmarkStart w:name="（2）因金融资产转移而终止确认的长期应收款" w:id="277"/>
      <w:bookmarkEnd w:id="277"/>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914" w:right="1127"/>
        <w:jc w:val="left"/>
        <w:rPr>
          <w:b w:val="0"/>
          <w:bCs w:val="0"/>
        </w:rPr>
      </w:pPr>
      <w:bookmarkStart w:name="（3）转移长期应收款且继续涉入形成的资产、负债金额" w:id="278"/>
      <w:bookmarkEnd w:id="278"/>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913" w:right="1127"/>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left="913" w:right="1127"/>
        <w:jc w:val="left"/>
        <w:rPr>
          <w:b w:val="0"/>
          <w:bCs w:val="0"/>
        </w:rPr>
      </w:pPr>
      <w:bookmarkStart w:name="17、长期股权投资" w:id="279"/>
      <w:bookmarkEnd w:id="279"/>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5"/>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563"/>
        <w:gridCol w:w="1193"/>
        <w:gridCol w:w="1138"/>
        <w:gridCol w:w="275"/>
        <w:gridCol w:w="1142"/>
        <w:gridCol w:w="989"/>
        <w:gridCol w:w="996"/>
        <w:gridCol w:w="417"/>
        <w:gridCol w:w="1109"/>
        <w:gridCol w:w="1138"/>
        <w:gridCol w:w="1138"/>
        <w:gridCol w:w="1119"/>
      </w:tblGrid>
      <w:tr>
        <w:trPr>
          <w:trHeight w:val="397" w:hRule="exact"/>
        </w:trPr>
        <w:tc>
          <w:tcPr>
            <w:tcW w:w="563" w:type="dxa"/>
            <w:vMerge w:val="restart"/>
            <w:tcBorders>
              <w:top w:val="single" w:sz="4" w:space="0" w:color="000000"/>
              <w:left w:val="single" w:sz="4" w:space="0" w:color="000000"/>
              <w:right w:val="single" w:sz="4" w:space="0" w:color="000000"/>
            </w:tcBorders>
            <w:shd w:val="clear" w:color="auto" w:fill="D2D2D2"/>
          </w:tcPr>
          <w:p>
            <w:pPr/>
          </w:p>
        </w:tc>
        <w:tc>
          <w:tcPr>
            <w:tcW w:w="1193" w:type="dxa"/>
            <w:vMerge w:val="restart"/>
            <w:tcBorders>
              <w:top w:val="single" w:sz="4" w:space="0" w:color="000000"/>
              <w:left w:val="single" w:sz="4" w:space="0" w:color="000000"/>
              <w:right w:val="single" w:sz="4" w:space="0" w:color="000000"/>
            </w:tcBorders>
            <w:shd w:val="clear" w:color="auto" w:fill="D2D2D2"/>
          </w:tcPr>
          <w:p>
            <w:pPr/>
          </w:p>
        </w:tc>
        <w:tc>
          <w:tcPr>
            <w:tcW w:w="720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38" w:type="dxa"/>
            <w:vMerge w:val="restart"/>
            <w:tcBorders>
              <w:top w:val="single" w:sz="4" w:space="0" w:color="000000"/>
              <w:left w:val="single" w:sz="4" w:space="0" w:color="000000"/>
              <w:right w:val="single" w:sz="4" w:space="0" w:color="000000"/>
            </w:tcBorders>
            <w:shd w:val="clear" w:color="auto" w:fill="D2D2D2"/>
          </w:tcPr>
          <w:p>
            <w:pPr/>
          </w:p>
        </w:tc>
        <w:tc>
          <w:tcPr>
            <w:tcW w:w="1119" w:type="dxa"/>
            <w:vMerge w:val="restart"/>
            <w:tcBorders>
              <w:top w:val="single" w:sz="4" w:space="0" w:color="000000"/>
              <w:left w:val="single" w:sz="4" w:space="0" w:color="000000"/>
              <w:right w:val="single" w:sz="4" w:space="0" w:color="000000"/>
            </w:tcBorders>
            <w:shd w:val="clear" w:color="auto" w:fill="D2D2D2"/>
          </w:tcPr>
          <w:p>
            <w:pPr/>
          </w:p>
        </w:tc>
      </w:tr>
      <w:tr>
        <w:trPr>
          <w:trHeight w:val="300" w:hRule="exact"/>
        </w:trPr>
        <w:tc>
          <w:tcPr>
            <w:tcW w:w="563" w:type="dxa"/>
            <w:vMerge/>
            <w:tcBorders>
              <w:left w:val="single" w:sz="4" w:space="0" w:color="000000"/>
              <w:bottom w:val="nil" w:sz="6" w:space="0" w:color="auto"/>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1138" w:type="dxa"/>
            <w:vMerge w:val="restart"/>
            <w:tcBorders>
              <w:top w:val="single" w:sz="4" w:space="0" w:color="000000"/>
              <w:left w:val="single" w:sz="4" w:space="0" w:color="000000"/>
              <w:right w:val="single" w:sz="4" w:space="0" w:color="000000"/>
            </w:tcBorders>
            <w:shd w:val="clear" w:color="auto" w:fill="D2D2D2"/>
          </w:tcPr>
          <w:p>
            <w:pPr/>
          </w:p>
        </w:tc>
        <w:tc>
          <w:tcPr>
            <w:tcW w:w="2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2" w:type="dxa"/>
            <w:vMerge w:val="restart"/>
            <w:tcBorders>
              <w:top w:val="single" w:sz="4" w:space="0" w:color="000000"/>
              <w:left w:val="single" w:sz="4" w:space="0" w:color="000000"/>
              <w:right w:val="single" w:sz="4" w:space="0" w:color="000000"/>
            </w:tcBorders>
            <w:shd w:val="clear" w:color="auto" w:fill="D2D2D2"/>
          </w:tcPr>
          <w:p>
            <w:pPr/>
          </w:p>
        </w:tc>
        <w:tc>
          <w:tcPr>
            <w:tcW w:w="989" w:type="dxa"/>
            <w:vMerge w:val="restart"/>
            <w:tcBorders>
              <w:top w:val="single" w:sz="4" w:space="0" w:color="000000"/>
              <w:left w:val="single" w:sz="4" w:space="0" w:color="000000"/>
              <w:right w:val="single" w:sz="4" w:space="0" w:color="000000"/>
            </w:tcBorders>
            <w:shd w:val="clear" w:color="auto" w:fill="D2D2D2"/>
          </w:tcPr>
          <w:p>
            <w:pPr/>
          </w:p>
        </w:tc>
        <w:tc>
          <w:tcPr>
            <w:tcW w:w="996" w:type="dxa"/>
            <w:vMerge w:val="restart"/>
            <w:tcBorders>
              <w:top w:val="single" w:sz="4" w:space="0" w:color="000000"/>
              <w:left w:val="single" w:sz="4" w:space="0" w:color="000000"/>
              <w:right w:val="single" w:sz="4" w:space="0" w:color="000000"/>
            </w:tcBorders>
            <w:shd w:val="clear" w:color="auto" w:fill="D2D2D2"/>
          </w:tcPr>
          <w:p>
            <w:pPr/>
          </w:p>
        </w:tc>
        <w:tc>
          <w:tcPr>
            <w:tcW w:w="4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2" w:right="22"/>
              <w:jc w:val="both"/>
              <w:rPr>
                <w:rFonts w:ascii="宋体" w:hAnsi="宋体" w:cs="宋体" w:eastAsia="宋体" w:hint="default"/>
                <w:sz w:val="18"/>
                <w:szCs w:val="18"/>
              </w:rPr>
            </w:pPr>
            <w:r>
              <w:rPr>
                <w:rFonts w:ascii="宋体" w:hAnsi="宋体" w:cs="宋体" w:eastAsia="宋体" w:hint="default"/>
                <w:sz w:val="18"/>
                <w:szCs w:val="18"/>
              </w:rPr>
              <w:t>宣告 发放 现金 股利 或利 润</w:t>
            </w:r>
          </w:p>
        </w:tc>
        <w:tc>
          <w:tcPr>
            <w:tcW w:w="1109" w:type="dxa"/>
            <w:vMerge w:val="restart"/>
            <w:tcBorders>
              <w:top w:val="single" w:sz="4" w:space="0" w:color="000000"/>
              <w:left w:val="single" w:sz="4" w:space="0" w:color="000000"/>
              <w:right w:val="single" w:sz="4" w:space="0" w:color="000000"/>
            </w:tcBorders>
            <w:shd w:val="clear" w:color="auto" w:fill="D2D2D2"/>
          </w:tcPr>
          <w:p>
            <w:pPr/>
          </w:p>
        </w:tc>
        <w:tc>
          <w:tcPr>
            <w:tcW w:w="1138" w:type="dxa"/>
            <w:vMerge w:val="restart"/>
            <w:tcBorders>
              <w:top w:val="single" w:sz="4" w:space="0" w:color="000000"/>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shd w:val="clear" w:color="auto" w:fill="D2D2D2"/>
          </w:tcPr>
          <w:p>
            <w:pPr/>
          </w:p>
        </w:tc>
        <w:tc>
          <w:tcPr>
            <w:tcW w:w="1119" w:type="dxa"/>
            <w:vMerge/>
            <w:tcBorders>
              <w:left w:val="single" w:sz="4" w:space="0" w:color="000000"/>
              <w:right w:val="single" w:sz="4" w:space="0" w:color="000000"/>
            </w:tcBorders>
            <w:shd w:val="clear" w:color="auto" w:fill="D2D2D2"/>
          </w:tcPr>
          <w:p>
            <w:pPr/>
          </w:p>
        </w:tc>
      </w:tr>
      <w:tr>
        <w:trPr>
          <w:trHeight w:val="156" w:hRule="exact"/>
        </w:trPr>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28"/>
              <w:ind w:left="98" w:right="92"/>
              <w:jc w:val="both"/>
              <w:rPr>
                <w:rFonts w:ascii="宋体" w:hAnsi="宋体" w:cs="宋体" w:eastAsia="宋体" w:hint="default"/>
                <w:sz w:val="18"/>
                <w:szCs w:val="18"/>
              </w:rPr>
            </w:pPr>
            <w:r>
              <w:rPr>
                <w:rFonts w:ascii="宋体" w:hAnsi="宋体" w:cs="宋体" w:eastAsia="宋体" w:hint="default"/>
                <w:sz w:val="18"/>
                <w:szCs w:val="18"/>
              </w:rPr>
              <w:t>被投 资单 位</w:t>
            </w:r>
          </w:p>
        </w:tc>
        <w:tc>
          <w:tcPr>
            <w:tcW w:w="119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shd w:val="clear" w:color="auto" w:fill="D2D2D2"/>
          </w:tcPr>
          <w:p>
            <w:pPr/>
          </w:p>
        </w:tc>
        <w:tc>
          <w:tcPr>
            <w:tcW w:w="27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41" w:right="43"/>
              <w:jc w:val="both"/>
              <w:rPr>
                <w:rFonts w:ascii="宋体" w:hAnsi="宋体" w:cs="宋体" w:eastAsia="宋体" w:hint="default"/>
                <w:sz w:val="18"/>
                <w:szCs w:val="18"/>
              </w:rPr>
            </w:pPr>
            <w:r>
              <w:rPr>
                <w:rFonts w:ascii="宋体" w:hAnsi="宋体" w:cs="宋体" w:eastAsia="宋体" w:hint="default"/>
                <w:sz w:val="18"/>
                <w:szCs w:val="18"/>
              </w:rPr>
              <w:t>减 少 投 资</w:t>
            </w:r>
          </w:p>
        </w:tc>
        <w:tc>
          <w:tcPr>
            <w:tcW w:w="1142" w:type="dxa"/>
            <w:vMerge/>
            <w:tcBorders>
              <w:left w:val="single" w:sz="4" w:space="0" w:color="000000"/>
              <w:bottom w:val="nil" w:sz="6" w:space="0" w:color="auto"/>
              <w:right w:val="single" w:sz="4" w:space="0" w:color="000000"/>
            </w:tcBorders>
            <w:shd w:val="clear" w:color="auto" w:fill="D2D2D2"/>
          </w:tcPr>
          <w:p>
            <w:pPr/>
          </w:p>
        </w:tc>
        <w:tc>
          <w:tcPr>
            <w:tcW w:w="989" w:type="dxa"/>
            <w:vMerge/>
            <w:tcBorders>
              <w:left w:val="single" w:sz="4" w:space="0" w:color="000000"/>
              <w:right w:val="single" w:sz="4" w:space="0" w:color="000000"/>
            </w:tcBorders>
            <w:shd w:val="clear" w:color="auto" w:fill="D2D2D2"/>
          </w:tcPr>
          <w:p>
            <w:pPr/>
          </w:p>
        </w:tc>
        <w:tc>
          <w:tcPr>
            <w:tcW w:w="996" w:type="dxa"/>
            <w:vMerge/>
            <w:tcBorders>
              <w:left w:val="single" w:sz="4" w:space="0" w:color="000000"/>
              <w:right w:val="single" w:sz="4" w:space="0" w:color="000000"/>
            </w:tcBorders>
            <w:shd w:val="clear" w:color="auto" w:fill="D2D2D2"/>
          </w:tcPr>
          <w:p>
            <w:pPr/>
          </w:p>
        </w:tc>
        <w:tc>
          <w:tcPr>
            <w:tcW w:w="417" w:type="dxa"/>
            <w:vMerge/>
            <w:tcBorders>
              <w:left w:val="single" w:sz="4" w:space="0" w:color="000000"/>
              <w:right w:val="single" w:sz="4" w:space="0" w:color="000000"/>
            </w:tcBorders>
            <w:shd w:val="clear" w:color="auto" w:fill="D2D2D2"/>
          </w:tcPr>
          <w:p>
            <w:pPr/>
          </w:p>
        </w:tc>
        <w:tc>
          <w:tcPr>
            <w:tcW w:w="1109"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shd w:val="clear" w:color="auto" w:fill="D2D2D2"/>
          </w:tcPr>
          <w:p>
            <w:pPr/>
          </w:p>
        </w:tc>
        <w:tc>
          <w:tcPr>
            <w:tcW w:w="1119" w:type="dxa"/>
            <w:vMerge/>
            <w:tcBorders>
              <w:left w:val="single" w:sz="4" w:space="0" w:color="000000"/>
              <w:bottom w:val="nil" w:sz="6" w:space="0" w:color="auto"/>
              <w:right w:val="single" w:sz="4" w:space="0" w:color="000000"/>
            </w:tcBorders>
            <w:shd w:val="clear" w:color="auto" w:fill="D2D2D2"/>
          </w:tcPr>
          <w:p>
            <w:pPr/>
          </w:p>
        </w:tc>
      </w:tr>
      <w:tr>
        <w:trPr>
          <w:trHeight w:val="133" w:hRule="exact"/>
        </w:trPr>
        <w:tc>
          <w:tcPr>
            <w:tcW w:w="563"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1138" w:type="dxa"/>
            <w:vMerge/>
            <w:tcBorders>
              <w:left w:val="single" w:sz="4" w:space="0" w:color="000000"/>
              <w:right w:val="single" w:sz="4" w:space="0" w:color="000000"/>
            </w:tcBorders>
            <w:shd w:val="clear" w:color="auto" w:fill="D2D2D2"/>
          </w:tcPr>
          <w:p>
            <w:pPr/>
          </w:p>
        </w:tc>
        <w:tc>
          <w:tcPr>
            <w:tcW w:w="275" w:type="dxa"/>
            <w:vMerge/>
            <w:tcBorders>
              <w:left w:val="single" w:sz="4" w:space="0" w:color="000000"/>
              <w:right w:val="single" w:sz="4" w:space="0" w:color="000000"/>
            </w:tcBorders>
            <w:shd w:val="clear" w:color="auto" w:fill="D2D2D2"/>
          </w:tcPr>
          <w:p>
            <w:pPr/>
          </w:p>
        </w:tc>
        <w:tc>
          <w:tcPr>
            <w:tcW w:w="114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15" w:right="114"/>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989" w:type="dxa"/>
            <w:vMerge/>
            <w:tcBorders>
              <w:left w:val="single" w:sz="4" w:space="0" w:color="000000"/>
              <w:bottom w:val="nil" w:sz="6" w:space="0" w:color="auto"/>
              <w:right w:val="single" w:sz="4" w:space="0" w:color="000000"/>
            </w:tcBorders>
            <w:shd w:val="clear" w:color="auto" w:fill="D2D2D2"/>
          </w:tcPr>
          <w:p>
            <w:pPr/>
          </w:p>
        </w:tc>
        <w:tc>
          <w:tcPr>
            <w:tcW w:w="996" w:type="dxa"/>
            <w:vMerge/>
            <w:tcBorders>
              <w:left w:val="single" w:sz="4" w:space="0" w:color="000000"/>
              <w:bottom w:val="nil" w:sz="6" w:space="0" w:color="auto"/>
              <w:right w:val="single" w:sz="4" w:space="0" w:color="000000"/>
            </w:tcBorders>
            <w:shd w:val="clear" w:color="auto" w:fill="D2D2D2"/>
          </w:tcPr>
          <w:p>
            <w:pPr/>
          </w:p>
        </w:tc>
        <w:tc>
          <w:tcPr>
            <w:tcW w:w="417" w:type="dxa"/>
            <w:vMerge/>
            <w:tcBorders>
              <w:left w:val="single" w:sz="4" w:space="0" w:color="000000"/>
              <w:right w:val="single" w:sz="4" w:space="0" w:color="000000"/>
            </w:tcBorders>
            <w:shd w:val="clear" w:color="auto" w:fill="D2D2D2"/>
          </w:tcPr>
          <w:p>
            <w:pPr/>
          </w:p>
        </w:tc>
        <w:tc>
          <w:tcPr>
            <w:tcW w:w="1109" w:type="dxa"/>
            <w:vMerge/>
            <w:tcBorders>
              <w:left w:val="single" w:sz="4" w:space="0" w:color="000000"/>
              <w:bottom w:val="nil" w:sz="6" w:space="0" w:color="auto"/>
              <w:right w:val="single" w:sz="4" w:space="0" w:color="000000"/>
            </w:tcBorders>
            <w:shd w:val="clear" w:color="auto" w:fill="D2D2D2"/>
          </w:tcPr>
          <w:p>
            <w:pPr/>
          </w:p>
        </w:tc>
        <w:tc>
          <w:tcPr>
            <w:tcW w:w="1138"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bottom w:val="nil" w:sz="6" w:space="0" w:color="auto"/>
              <w:right w:val="single" w:sz="4" w:space="0" w:color="000000"/>
            </w:tcBorders>
            <w:shd w:val="clear" w:color="auto" w:fill="D2D2D2"/>
          </w:tcPr>
          <w:p>
            <w:pPr/>
          </w:p>
        </w:tc>
        <w:tc>
          <w:tcPr>
            <w:tcW w:w="111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28"/>
              <w:ind w:left="287" w:right="99" w:hanging="180"/>
              <w:jc w:val="left"/>
              <w:rPr>
                <w:rFonts w:ascii="宋体" w:hAnsi="宋体" w:cs="宋体" w:eastAsia="宋体" w:hint="default"/>
                <w:sz w:val="18"/>
                <w:szCs w:val="18"/>
              </w:rPr>
            </w:pPr>
            <w:r>
              <w:rPr>
                <w:rFonts w:ascii="宋体" w:hAnsi="宋体" w:cs="宋体" w:eastAsia="宋体" w:hint="default"/>
                <w:sz w:val="18"/>
                <w:szCs w:val="18"/>
              </w:rPr>
              <w:t>减值准备期 末余额</w:t>
            </w:r>
          </w:p>
        </w:tc>
      </w:tr>
      <w:tr>
        <w:trPr>
          <w:trHeight w:val="167" w:hRule="exact"/>
        </w:trPr>
        <w:tc>
          <w:tcPr>
            <w:tcW w:w="563"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8" w:type="dxa"/>
            <w:vMerge/>
            <w:tcBorders>
              <w:left w:val="single" w:sz="4" w:space="0" w:color="000000"/>
              <w:bottom w:val="nil" w:sz="6" w:space="0" w:color="auto"/>
              <w:right w:val="single" w:sz="4" w:space="0" w:color="000000"/>
            </w:tcBorders>
            <w:shd w:val="clear" w:color="auto" w:fill="D2D2D2"/>
          </w:tcPr>
          <w:p>
            <w:pPr/>
          </w:p>
        </w:tc>
        <w:tc>
          <w:tcPr>
            <w:tcW w:w="275" w:type="dxa"/>
            <w:vMerge/>
            <w:tcBorders>
              <w:left w:val="single" w:sz="4" w:space="0" w:color="000000"/>
              <w:right w:val="single" w:sz="4" w:space="0" w:color="000000"/>
            </w:tcBorders>
            <w:shd w:val="clear" w:color="auto" w:fill="D2D2D2"/>
          </w:tcPr>
          <w:p>
            <w:pPr/>
          </w:p>
        </w:tc>
        <w:tc>
          <w:tcPr>
            <w:tcW w:w="1142" w:type="dxa"/>
            <w:vMerge/>
            <w:tcBorders>
              <w:left w:val="single" w:sz="4" w:space="0" w:color="000000"/>
              <w:right w:val="single" w:sz="4" w:space="0" w:color="000000"/>
            </w:tcBorders>
            <w:shd w:val="clear" w:color="auto" w:fill="D2D2D2"/>
          </w:tcPr>
          <w:p>
            <w:pPr/>
          </w:p>
        </w:tc>
        <w:tc>
          <w:tcPr>
            <w:tcW w:w="98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2"/>
              <w:ind w:left="216" w:right="40" w:hanging="180"/>
              <w:jc w:val="left"/>
              <w:rPr>
                <w:rFonts w:ascii="宋体" w:hAnsi="宋体" w:cs="宋体" w:eastAsia="宋体" w:hint="default"/>
                <w:sz w:val="18"/>
                <w:szCs w:val="18"/>
              </w:rPr>
            </w:pPr>
            <w:r>
              <w:rPr>
                <w:rFonts w:ascii="宋体" w:hAnsi="宋体" w:cs="宋体" w:eastAsia="宋体" w:hint="default"/>
                <w:sz w:val="18"/>
                <w:szCs w:val="18"/>
              </w:rPr>
              <w:t>其他综合收 益调整</w:t>
            </w:r>
          </w:p>
        </w:tc>
        <w:tc>
          <w:tcPr>
            <w:tcW w:w="9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2"/>
              <w:ind w:left="400" w:right="43" w:hanging="360"/>
              <w:jc w:val="left"/>
              <w:rPr>
                <w:rFonts w:ascii="宋体" w:hAnsi="宋体" w:cs="宋体" w:eastAsia="宋体" w:hint="default"/>
                <w:sz w:val="18"/>
                <w:szCs w:val="18"/>
              </w:rPr>
            </w:pPr>
            <w:r>
              <w:rPr>
                <w:rFonts w:ascii="宋体" w:hAnsi="宋体" w:cs="宋体" w:eastAsia="宋体" w:hint="default"/>
                <w:sz w:val="18"/>
                <w:szCs w:val="18"/>
              </w:rPr>
              <w:t>其他权益变 动</w:t>
            </w:r>
          </w:p>
        </w:tc>
        <w:tc>
          <w:tcPr>
            <w:tcW w:w="417" w:type="dxa"/>
            <w:vMerge/>
            <w:tcBorders>
              <w:left w:val="single" w:sz="4" w:space="0" w:color="000000"/>
              <w:right w:val="single" w:sz="4" w:space="0" w:color="000000"/>
            </w:tcBorders>
            <w:shd w:val="clear" w:color="auto" w:fill="D2D2D2"/>
          </w:tcPr>
          <w:p>
            <w:pPr/>
          </w:p>
        </w:tc>
        <w:tc>
          <w:tcPr>
            <w:tcW w:w="110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2"/>
              <w:ind w:left="462" w:right="95" w:hanging="360"/>
              <w:jc w:val="left"/>
              <w:rPr>
                <w:rFonts w:ascii="宋体" w:hAnsi="宋体" w:cs="宋体" w:eastAsia="宋体" w:hint="default"/>
                <w:sz w:val="18"/>
                <w:szCs w:val="18"/>
              </w:rPr>
            </w:pPr>
            <w:r>
              <w:rPr>
                <w:rFonts w:ascii="宋体" w:hAnsi="宋体" w:cs="宋体" w:eastAsia="宋体" w:hint="default"/>
                <w:sz w:val="18"/>
                <w:szCs w:val="18"/>
              </w:rPr>
              <w:t>计提减值准 备</w:t>
            </w:r>
          </w:p>
        </w:tc>
        <w:tc>
          <w:tcPr>
            <w:tcW w:w="1138" w:type="dxa"/>
            <w:vMerge/>
            <w:tcBorders>
              <w:left w:val="single" w:sz="4" w:space="0" w:color="000000"/>
              <w:bottom w:val="nil" w:sz="6" w:space="0" w:color="auto"/>
              <w:right w:val="single" w:sz="4" w:space="0" w:color="000000"/>
            </w:tcBorders>
            <w:shd w:val="clear" w:color="auto" w:fill="D2D2D2"/>
          </w:tcPr>
          <w:p>
            <w:pPr/>
          </w:p>
        </w:tc>
        <w:tc>
          <w:tcPr>
            <w:tcW w:w="11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19" w:type="dxa"/>
            <w:vMerge/>
            <w:tcBorders>
              <w:left w:val="single" w:sz="4" w:space="0" w:color="000000"/>
              <w:right w:val="single" w:sz="4" w:space="0" w:color="000000"/>
            </w:tcBorders>
            <w:shd w:val="clear" w:color="auto" w:fill="D2D2D2"/>
          </w:tcPr>
          <w:p>
            <w:pPr/>
          </w:p>
        </w:tc>
      </w:tr>
      <w:tr>
        <w:trPr>
          <w:trHeight w:val="191" w:hRule="exact"/>
        </w:trPr>
        <w:tc>
          <w:tcPr>
            <w:tcW w:w="563"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11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275" w:type="dxa"/>
            <w:vMerge/>
            <w:tcBorders>
              <w:left w:val="single" w:sz="4" w:space="0" w:color="000000"/>
              <w:right w:val="single" w:sz="4" w:space="0" w:color="000000"/>
            </w:tcBorders>
            <w:shd w:val="clear" w:color="auto" w:fill="D2D2D2"/>
          </w:tcPr>
          <w:p>
            <w:pPr/>
          </w:p>
        </w:tc>
        <w:tc>
          <w:tcPr>
            <w:tcW w:w="1142" w:type="dxa"/>
            <w:vMerge/>
            <w:tcBorders>
              <w:left w:val="single" w:sz="4" w:space="0" w:color="000000"/>
              <w:right w:val="single" w:sz="4" w:space="0" w:color="000000"/>
            </w:tcBorders>
            <w:shd w:val="clear" w:color="auto" w:fill="D2D2D2"/>
          </w:tcPr>
          <w:p>
            <w:pPr/>
          </w:p>
        </w:tc>
        <w:tc>
          <w:tcPr>
            <w:tcW w:w="989" w:type="dxa"/>
            <w:vMerge/>
            <w:tcBorders>
              <w:left w:val="single" w:sz="4" w:space="0" w:color="000000"/>
              <w:right w:val="single" w:sz="4" w:space="0" w:color="000000"/>
            </w:tcBorders>
            <w:shd w:val="clear" w:color="auto" w:fill="D2D2D2"/>
          </w:tcPr>
          <w:p>
            <w:pPr/>
          </w:p>
        </w:tc>
        <w:tc>
          <w:tcPr>
            <w:tcW w:w="996" w:type="dxa"/>
            <w:vMerge/>
            <w:tcBorders>
              <w:left w:val="single" w:sz="4" w:space="0" w:color="000000"/>
              <w:right w:val="single" w:sz="4" w:space="0" w:color="000000"/>
            </w:tcBorders>
            <w:shd w:val="clear" w:color="auto" w:fill="D2D2D2"/>
          </w:tcPr>
          <w:p>
            <w:pPr/>
          </w:p>
        </w:tc>
        <w:tc>
          <w:tcPr>
            <w:tcW w:w="417" w:type="dxa"/>
            <w:vMerge/>
            <w:tcBorders>
              <w:left w:val="single" w:sz="4" w:space="0" w:color="000000"/>
              <w:right w:val="single" w:sz="4" w:space="0" w:color="000000"/>
            </w:tcBorders>
            <w:shd w:val="clear" w:color="auto" w:fill="D2D2D2"/>
          </w:tcPr>
          <w:p>
            <w:pPr/>
          </w:p>
        </w:tc>
        <w:tc>
          <w:tcPr>
            <w:tcW w:w="1109" w:type="dxa"/>
            <w:vMerge/>
            <w:tcBorders>
              <w:left w:val="single" w:sz="4" w:space="0" w:color="000000"/>
              <w:right w:val="single" w:sz="4" w:space="0" w:color="000000"/>
            </w:tcBorders>
            <w:shd w:val="clear" w:color="auto" w:fill="D2D2D2"/>
          </w:tcPr>
          <w:p>
            <w:pPr/>
          </w:p>
        </w:tc>
        <w:tc>
          <w:tcPr>
            <w:tcW w:w="11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38" w:type="dxa"/>
            <w:vMerge/>
            <w:tcBorders>
              <w:left w:val="single" w:sz="4" w:space="0" w:color="000000"/>
              <w:bottom w:val="nil" w:sz="6" w:space="0" w:color="auto"/>
              <w:right w:val="single" w:sz="4" w:space="0" w:color="000000"/>
            </w:tcBorders>
            <w:shd w:val="clear" w:color="auto" w:fill="D2D2D2"/>
          </w:tcPr>
          <w:p>
            <w:pPr/>
          </w:p>
        </w:tc>
        <w:tc>
          <w:tcPr>
            <w:tcW w:w="1119" w:type="dxa"/>
            <w:vMerge/>
            <w:tcBorders>
              <w:left w:val="single" w:sz="4" w:space="0" w:color="000000"/>
              <w:right w:val="single" w:sz="4" w:space="0" w:color="000000"/>
            </w:tcBorders>
            <w:shd w:val="clear" w:color="auto" w:fill="D2D2D2"/>
          </w:tcPr>
          <w:p>
            <w:pPr/>
          </w:p>
        </w:tc>
      </w:tr>
      <w:tr>
        <w:trPr>
          <w:trHeight w:val="178" w:hRule="exact"/>
        </w:trPr>
        <w:tc>
          <w:tcPr>
            <w:tcW w:w="563"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
        </w:tc>
        <w:tc>
          <w:tcPr>
            <w:tcW w:w="1138" w:type="dxa"/>
            <w:vMerge/>
            <w:tcBorders>
              <w:left w:val="single" w:sz="4" w:space="0" w:color="000000"/>
              <w:bottom w:val="nil" w:sz="6" w:space="0" w:color="auto"/>
              <w:right w:val="single" w:sz="4" w:space="0" w:color="000000"/>
            </w:tcBorders>
            <w:shd w:val="clear" w:color="auto" w:fill="D2D2D2"/>
          </w:tcPr>
          <w:p>
            <w:pPr/>
          </w:p>
        </w:tc>
        <w:tc>
          <w:tcPr>
            <w:tcW w:w="275" w:type="dxa"/>
            <w:vMerge/>
            <w:tcBorders>
              <w:left w:val="single" w:sz="4" w:space="0" w:color="000000"/>
              <w:right w:val="single" w:sz="4" w:space="0" w:color="000000"/>
            </w:tcBorders>
            <w:shd w:val="clear" w:color="auto" w:fill="D2D2D2"/>
          </w:tcPr>
          <w:p>
            <w:pPr/>
          </w:p>
        </w:tc>
        <w:tc>
          <w:tcPr>
            <w:tcW w:w="1142" w:type="dxa"/>
            <w:vMerge/>
            <w:tcBorders>
              <w:left w:val="single" w:sz="4" w:space="0" w:color="000000"/>
              <w:right w:val="single" w:sz="4" w:space="0" w:color="000000"/>
            </w:tcBorders>
            <w:shd w:val="clear" w:color="auto" w:fill="D2D2D2"/>
          </w:tcPr>
          <w:p>
            <w:pPr/>
          </w:p>
        </w:tc>
        <w:tc>
          <w:tcPr>
            <w:tcW w:w="989" w:type="dxa"/>
            <w:vMerge/>
            <w:tcBorders>
              <w:left w:val="single" w:sz="4" w:space="0" w:color="000000"/>
              <w:right w:val="single" w:sz="4" w:space="0" w:color="000000"/>
            </w:tcBorders>
            <w:shd w:val="clear" w:color="auto" w:fill="D2D2D2"/>
          </w:tcPr>
          <w:p>
            <w:pPr/>
          </w:p>
        </w:tc>
        <w:tc>
          <w:tcPr>
            <w:tcW w:w="996" w:type="dxa"/>
            <w:vMerge/>
            <w:tcBorders>
              <w:left w:val="single" w:sz="4" w:space="0" w:color="000000"/>
              <w:right w:val="single" w:sz="4" w:space="0" w:color="000000"/>
            </w:tcBorders>
            <w:shd w:val="clear" w:color="auto" w:fill="D2D2D2"/>
          </w:tcPr>
          <w:p>
            <w:pPr/>
          </w:p>
        </w:tc>
        <w:tc>
          <w:tcPr>
            <w:tcW w:w="417" w:type="dxa"/>
            <w:vMerge/>
            <w:tcBorders>
              <w:left w:val="single" w:sz="4" w:space="0" w:color="000000"/>
              <w:right w:val="single" w:sz="4" w:space="0" w:color="000000"/>
            </w:tcBorders>
            <w:shd w:val="clear" w:color="auto" w:fill="D2D2D2"/>
          </w:tcPr>
          <w:p>
            <w:pPr/>
          </w:p>
        </w:tc>
        <w:tc>
          <w:tcPr>
            <w:tcW w:w="1109"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bottom w:val="nil" w:sz="6" w:space="0" w:color="auto"/>
              <w:right w:val="single" w:sz="4" w:space="0" w:color="000000"/>
            </w:tcBorders>
            <w:shd w:val="clear" w:color="auto" w:fill="D2D2D2"/>
          </w:tcPr>
          <w:p>
            <w:pPr/>
          </w:p>
        </w:tc>
        <w:tc>
          <w:tcPr>
            <w:tcW w:w="1138" w:type="dxa"/>
            <w:vMerge w:val="restart"/>
            <w:tcBorders>
              <w:top w:val="nil" w:sz="6" w:space="0" w:color="auto"/>
              <w:left w:val="single" w:sz="4" w:space="0" w:color="000000"/>
              <w:right w:val="single" w:sz="4" w:space="0" w:color="000000"/>
            </w:tcBorders>
            <w:shd w:val="clear" w:color="auto" w:fill="D2D2D2"/>
          </w:tcPr>
          <w:p>
            <w:pPr/>
          </w:p>
        </w:tc>
        <w:tc>
          <w:tcPr>
            <w:tcW w:w="1119" w:type="dxa"/>
            <w:vMerge/>
            <w:tcBorders>
              <w:left w:val="single" w:sz="4" w:space="0" w:color="000000"/>
              <w:bottom w:val="nil" w:sz="6" w:space="0" w:color="auto"/>
              <w:right w:val="single" w:sz="4" w:space="0" w:color="000000"/>
            </w:tcBorders>
            <w:shd w:val="clear" w:color="auto" w:fill="D2D2D2"/>
          </w:tcPr>
          <w:p>
            <w:pPr/>
          </w:p>
        </w:tc>
      </w:tr>
      <w:tr>
        <w:trPr>
          <w:trHeight w:val="145" w:hRule="exact"/>
        </w:trPr>
        <w:tc>
          <w:tcPr>
            <w:tcW w:w="563" w:type="dxa"/>
            <w:vMerge/>
            <w:tcBorders>
              <w:left w:val="single" w:sz="4" w:space="0" w:color="000000"/>
              <w:bottom w:val="nil" w:sz="6" w:space="0" w:color="auto"/>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1138" w:type="dxa"/>
            <w:vMerge w:val="restart"/>
            <w:tcBorders>
              <w:top w:val="nil" w:sz="6" w:space="0" w:color="auto"/>
              <w:left w:val="single" w:sz="4" w:space="0" w:color="000000"/>
              <w:right w:val="single" w:sz="4" w:space="0" w:color="000000"/>
            </w:tcBorders>
            <w:shd w:val="clear" w:color="auto" w:fill="D2D2D2"/>
          </w:tcPr>
          <w:p>
            <w:pPr/>
          </w:p>
        </w:tc>
        <w:tc>
          <w:tcPr>
            <w:tcW w:w="275" w:type="dxa"/>
            <w:vMerge/>
            <w:tcBorders>
              <w:left w:val="single" w:sz="4" w:space="0" w:color="000000"/>
              <w:right w:val="single" w:sz="4" w:space="0" w:color="000000"/>
            </w:tcBorders>
            <w:shd w:val="clear" w:color="auto" w:fill="D2D2D2"/>
          </w:tcPr>
          <w:p>
            <w:pPr/>
          </w:p>
        </w:tc>
        <w:tc>
          <w:tcPr>
            <w:tcW w:w="1142" w:type="dxa"/>
            <w:vMerge/>
            <w:tcBorders>
              <w:left w:val="single" w:sz="4" w:space="0" w:color="000000"/>
              <w:right w:val="single" w:sz="4" w:space="0" w:color="000000"/>
            </w:tcBorders>
            <w:shd w:val="clear" w:color="auto" w:fill="D2D2D2"/>
          </w:tcPr>
          <w:p>
            <w:pPr/>
          </w:p>
        </w:tc>
        <w:tc>
          <w:tcPr>
            <w:tcW w:w="989" w:type="dxa"/>
            <w:vMerge/>
            <w:tcBorders>
              <w:left w:val="single" w:sz="4" w:space="0" w:color="000000"/>
              <w:bottom w:val="nil" w:sz="6" w:space="0" w:color="auto"/>
              <w:right w:val="single" w:sz="4" w:space="0" w:color="000000"/>
            </w:tcBorders>
            <w:shd w:val="clear" w:color="auto" w:fill="D2D2D2"/>
          </w:tcPr>
          <w:p>
            <w:pPr/>
          </w:p>
        </w:tc>
        <w:tc>
          <w:tcPr>
            <w:tcW w:w="996" w:type="dxa"/>
            <w:vMerge/>
            <w:tcBorders>
              <w:left w:val="single" w:sz="4" w:space="0" w:color="000000"/>
              <w:bottom w:val="nil" w:sz="6" w:space="0" w:color="auto"/>
              <w:right w:val="single" w:sz="4" w:space="0" w:color="000000"/>
            </w:tcBorders>
            <w:shd w:val="clear" w:color="auto" w:fill="D2D2D2"/>
          </w:tcPr>
          <w:p>
            <w:pPr/>
          </w:p>
        </w:tc>
        <w:tc>
          <w:tcPr>
            <w:tcW w:w="417" w:type="dxa"/>
            <w:vMerge/>
            <w:tcBorders>
              <w:left w:val="single" w:sz="4" w:space="0" w:color="000000"/>
              <w:right w:val="single" w:sz="4" w:space="0" w:color="000000"/>
            </w:tcBorders>
            <w:shd w:val="clear" w:color="auto" w:fill="D2D2D2"/>
          </w:tcPr>
          <w:p>
            <w:pPr/>
          </w:p>
        </w:tc>
        <w:tc>
          <w:tcPr>
            <w:tcW w:w="1109" w:type="dxa"/>
            <w:vMerge/>
            <w:tcBorders>
              <w:left w:val="single" w:sz="4" w:space="0" w:color="000000"/>
              <w:bottom w:val="nil" w:sz="6" w:space="0" w:color="auto"/>
              <w:right w:val="single" w:sz="4" w:space="0" w:color="000000"/>
            </w:tcBorders>
            <w:shd w:val="clear" w:color="auto" w:fill="D2D2D2"/>
          </w:tcPr>
          <w:p>
            <w:pPr/>
          </w:p>
        </w:tc>
        <w:tc>
          <w:tcPr>
            <w:tcW w:w="1138" w:type="dxa"/>
            <w:vMerge w:val="restart"/>
            <w:tcBorders>
              <w:top w:val="nil" w:sz="6" w:space="0" w:color="auto"/>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shd w:val="clear" w:color="auto" w:fill="D2D2D2"/>
          </w:tcPr>
          <w:p>
            <w:pPr/>
          </w:p>
        </w:tc>
        <w:tc>
          <w:tcPr>
            <w:tcW w:w="1119" w:type="dxa"/>
            <w:vMerge w:val="restart"/>
            <w:tcBorders>
              <w:top w:val="nil" w:sz="6" w:space="0" w:color="auto"/>
              <w:left w:val="single" w:sz="4" w:space="0" w:color="000000"/>
              <w:right w:val="single" w:sz="4" w:space="0" w:color="000000"/>
            </w:tcBorders>
            <w:shd w:val="clear" w:color="auto" w:fill="D2D2D2"/>
          </w:tcPr>
          <w:p>
            <w:pPr/>
          </w:p>
        </w:tc>
      </w:tr>
      <w:tr>
        <w:trPr>
          <w:trHeight w:val="167" w:hRule="exact"/>
        </w:trPr>
        <w:tc>
          <w:tcPr>
            <w:tcW w:w="563" w:type="dxa"/>
            <w:vMerge w:val="restart"/>
            <w:tcBorders>
              <w:top w:val="nil" w:sz="6" w:space="0" w:color="auto"/>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shd w:val="clear" w:color="auto" w:fill="D2D2D2"/>
          </w:tcPr>
          <w:p>
            <w:pPr/>
          </w:p>
        </w:tc>
        <w:tc>
          <w:tcPr>
            <w:tcW w:w="275" w:type="dxa"/>
            <w:vMerge/>
            <w:tcBorders>
              <w:left w:val="single" w:sz="4" w:space="0" w:color="000000"/>
              <w:right w:val="single" w:sz="4" w:space="0" w:color="000000"/>
            </w:tcBorders>
            <w:shd w:val="clear" w:color="auto" w:fill="D2D2D2"/>
          </w:tcPr>
          <w:p>
            <w:pPr/>
          </w:p>
        </w:tc>
        <w:tc>
          <w:tcPr>
            <w:tcW w:w="1142" w:type="dxa"/>
            <w:vMerge/>
            <w:tcBorders>
              <w:left w:val="single" w:sz="4" w:space="0" w:color="000000"/>
              <w:bottom w:val="nil" w:sz="6" w:space="0" w:color="auto"/>
              <w:right w:val="single" w:sz="4" w:space="0" w:color="000000"/>
            </w:tcBorders>
            <w:shd w:val="clear" w:color="auto" w:fill="D2D2D2"/>
          </w:tcPr>
          <w:p>
            <w:pPr/>
          </w:p>
        </w:tc>
        <w:tc>
          <w:tcPr>
            <w:tcW w:w="989" w:type="dxa"/>
            <w:vMerge w:val="restart"/>
            <w:tcBorders>
              <w:top w:val="nil" w:sz="6" w:space="0" w:color="auto"/>
              <w:left w:val="single" w:sz="4" w:space="0" w:color="000000"/>
              <w:right w:val="single" w:sz="4" w:space="0" w:color="000000"/>
            </w:tcBorders>
            <w:shd w:val="clear" w:color="auto" w:fill="D2D2D2"/>
          </w:tcPr>
          <w:p>
            <w:pPr/>
          </w:p>
        </w:tc>
        <w:tc>
          <w:tcPr>
            <w:tcW w:w="996" w:type="dxa"/>
            <w:vMerge w:val="restart"/>
            <w:tcBorders>
              <w:top w:val="nil" w:sz="6" w:space="0" w:color="auto"/>
              <w:left w:val="single" w:sz="4" w:space="0" w:color="000000"/>
              <w:right w:val="single" w:sz="4" w:space="0" w:color="000000"/>
            </w:tcBorders>
            <w:shd w:val="clear" w:color="auto" w:fill="D2D2D2"/>
          </w:tcPr>
          <w:p>
            <w:pPr/>
          </w:p>
        </w:tc>
        <w:tc>
          <w:tcPr>
            <w:tcW w:w="417" w:type="dxa"/>
            <w:vMerge/>
            <w:tcBorders>
              <w:left w:val="single" w:sz="4" w:space="0" w:color="000000"/>
              <w:right w:val="single" w:sz="4" w:space="0" w:color="000000"/>
            </w:tcBorders>
            <w:shd w:val="clear" w:color="auto" w:fill="D2D2D2"/>
          </w:tcPr>
          <w:p>
            <w:pPr/>
          </w:p>
        </w:tc>
        <w:tc>
          <w:tcPr>
            <w:tcW w:w="1109" w:type="dxa"/>
            <w:vMerge w:val="restart"/>
            <w:tcBorders>
              <w:top w:val="nil" w:sz="6" w:space="0" w:color="auto"/>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shd w:val="clear" w:color="auto" w:fill="D2D2D2"/>
          </w:tcPr>
          <w:p>
            <w:pPr/>
          </w:p>
        </w:tc>
        <w:tc>
          <w:tcPr>
            <w:tcW w:w="1119" w:type="dxa"/>
            <w:vMerge/>
            <w:tcBorders>
              <w:left w:val="single" w:sz="4" w:space="0" w:color="000000"/>
              <w:right w:val="single" w:sz="4" w:space="0" w:color="000000"/>
            </w:tcBorders>
            <w:shd w:val="clear" w:color="auto" w:fill="D2D2D2"/>
          </w:tcPr>
          <w:p>
            <w:pPr/>
          </w:p>
        </w:tc>
      </w:tr>
      <w:tr>
        <w:trPr>
          <w:trHeight w:val="156" w:hRule="exact"/>
        </w:trPr>
        <w:tc>
          <w:tcPr>
            <w:tcW w:w="563"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shd w:val="clear" w:color="auto" w:fill="D2D2D2"/>
          </w:tcPr>
          <w:p>
            <w:pPr/>
          </w:p>
        </w:tc>
        <w:tc>
          <w:tcPr>
            <w:tcW w:w="275" w:type="dxa"/>
            <w:vMerge/>
            <w:tcBorders>
              <w:left w:val="single" w:sz="4" w:space="0" w:color="000000"/>
              <w:bottom w:val="nil" w:sz="6" w:space="0" w:color="auto"/>
              <w:right w:val="single" w:sz="4" w:space="0" w:color="000000"/>
            </w:tcBorders>
            <w:shd w:val="clear" w:color="auto" w:fill="D2D2D2"/>
          </w:tcPr>
          <w:p>
            <w:pPr/>
          </w:p>
        </w:tc>
        <w:tc>
          <w:tcPr>
            <w:tcW w:w="1142" w:type="dxa"/>
            <w:vMerge w:val="restart"/>
            <w:tcBorders>
              <w:top w:val="nil" w:sz="6" w:space="0" w:color="auto"/>
              <w:left w:val="single" w:sz="4" w:space="0" w:color="000000"/>
              <w:right w:val="single" w:sz="4" w:space="0" w:color="000000"/>
            </w:tcBorders>
            <w:shd w:val="clear" w:color="auto" w:fill="D2D2D2"/>
          </w:tcPr>
          <w:p>
            <w:pPr/>
          </w:p>
        </w:tc>
        <w:tc>
          <w:tcPr>
            <w:tcW w:w="989" w:type="dxa"/>
            <w:vMerge/>
            <w:tcBorders>
              <w:left w:val="single" w:sz="4" w:space="0" w:color="000000"/>
              <w:right w:val="single" w:sz="4" w:space="0" w:color="000000"/>
            </w:tcBorders>
            <w:shd w:val="clear" w:color="auto" w:fill="D2D2D2"/>
          </w:tcPr>
          <w:p>
            <w:pPr/>
          </w:p>
        </w:tc>
        <w:tc>
          <w:tcPr>
            <w:tcW w:w="996" w:type="dxa"/>
            <w:vMerge/>
            <w:tcBorders>
              <w:left w:val="single" w:sz="4" w:space="0" w:color="000000"/>
              <w:right w:val="single" w:sz="4" w:space="0" w:color="000000"/>
            </w:tcBorders>
            <w:shd w:val="clear" w:color="auto" w:fill="D2D2D2"/>
          </w:tcPr>
          <w:p>
            <w:pPr/>
          </w:p>
        </w:tc>
        <w:tc>
          <w:tcPr>
            <w:tcW w:w="417" w:type="dxa"/>
            <w:vMerge/>
            <w:tcBorders>
              <w:left w:val="single" w:sz="4" w:space="0" w:color="000000"/>
              <w:right w:val="single" w:sz="4" w:space="0" w:color="000000"/>
            </w:tcBorders>
            <w:shd w:val="clear" w:color="auto" w:fill="D2D2D2"/>
          </w:tcPr>
          <w:p>
            <w:pPr/>
          </w:p>
        </w:tc>
        <w:tc>
          <w:tcPr>
            <w:tcW w:w="1109"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shd w:val="clear" w:color="auto" w:fill="D2D2D2"/>
          </w:tcPr>
          <w:p>
            <w:pPr/>
          </w:p>
        </w:tc>
        <w:tc>
          <w:tcPr>
            <w:tcW w:w="1119" w:type="dxa"/>
            <w:vMerge/>
            <w:tcBorders>
              <w:left w:val="single" w:sz="4" w:space="0" w:color="000000"/>
              <w:right w:val="single" w:sz="4" w:space="0" w:color="000000"/>
            </w:tcBorders>
            <w:shd w:val="clear" w:color="auto" w:fill="D2D2D2"/>
          </w:tcPr>
          <w:p>
            <w:pPr/>
          </w:p>
        </w:tc>
      </w:tr>
      <w:tr>
        <w:trPr>
          <w:trHeight w:val="317" w:hRule="exact"/>
        </w:trPr>
        <w:tc>
          <w:tcPr>
            <w:tcW w:w="563"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138" w:type="dxa"/>
            <w:vMerge/>
            <w:tcBorders>
              <w:left w:val="single" w:sz="4" w:space="0" w:color="000000"/>
              <w:bottom w:val="single" w:sz="4" w:space="0" w:color="000000"/>
              <w:right w:val="single" w:sz="4" w:space="0" w:color="000000"/>
            </w:tcBorders>
            <w:shd w:val="clear" w:color="auto" w:fill="D2D2D2"/>
          </w:tcPr>
          <w:p>
            <w:pPr/>
          </w:p>
        </w:tc>
        <w:tc>
          <w:tcPr>
            <w:tcW w:w="2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2" w:type="dxa"/>
            <w:vMerge/>
            <w:tcBorders>
              <w:left w:val="single" w:sz="4" w:space="0" w:color="000000"/>
              <w:bottom w:val="single" w:sz="4" w:space="0" w:color="000000"/>
              <w:right w:val="single" w:sz="4" w:space="0" w:color="000000"/>
            </w:tcBorders>
            <w:shd w:val="clear" w:color="auto" w:fill="D2D2D2"/>
          </w:tcPr>
          <w:p>
            <w:pPr/>
          </w:p>
        </w:tc>
        <w:tc>
          <w:tcPr>
            <w:tcW w:w="989" w:type="dxa"/>
            <w:vMerge/>
            <w:tcBorders>
              <w:left w:val="single" w:sz="4" w:space="0" w:color="000000"/>
              <w:bottom w:val="single" w:sz="4" w:space="0" w:color="000000"/>
              <w:right w:val="single" w:sz="4" w:space="0" w:color="000000"/>
            </w:tcBorders>
            <w:shd w:val="clear" w:color="auto" w:fill="D2D2D2"/>
          </w:tcPr>
          <w:p>
            <w:pPr/>
          </w:p>
        </w:tc>
        <w:tc>
          <w:tcPr>
            <w:tcW w:w="996" w:type="dxa"/>
            <w:vMerge/>
            <w:tcBorders>
              <w:left w:val="single" w:sz="4" w:space="0" w:color="000000"/>
              <w:bottom w:val="single" w:sz="4" w:space="0" w:color="000000"/>
              <w:right w:val="single" w:sz="4" w:space="0" w:color="000000"/>
            </w:tcBorders>
            <w:shd w:val="clear" w:color="auto" w:fill="D2D2D2"/>
          </w:tcPr>
          <w:p>
            <w:pPr/>
          </w:p>
        </w:tc>
        <w:tc>
          <w:tcPr>
            <w:tcW w:w="417" w:type="dxa"/>
            <w:vMerge/>
            <w:tcBorders>
              <w:left w:val="single" w:sz="4" w:space="0" w:color="000000"/>
              <w:bottom w:val="single" w:sz="4" w:space="0" w:color="000000"/>
              <w:right w:val="single" w:sz="4" w:space="0" w:color="000000"/>
            </w:tcBorders>
            <w:shd w:val="clear" w:color="auto" w:fill="D2D2D2"/>
          </w:tcPr>
          <w:p>
            <w:pPr/>
          </w:p>
        </w:tc>
        <w:tc>
          <w:tcPr>
            <w:tcW w:w="1109" w:type="dxa"/>
            <w:vMerge/>
            <w:tcBorders>
              <w:left w:val="single" w:sz="4" w:space="0" w:color="000000"/>
              <w:bottom w:val="single" w:sz="4" w:space="0" w:color="000000"/>
              <w:right w:val="single" w:sz="4" w:space="0" w:color="000000"/>
            </w:tcBorders>
            <w:shd w:val="clear" w:color="auto" w:fill="D2D2D2"/>
          </w:tcPr>
          <w:p>
            <w:pPr/>
          </w:p>
        </w:tc>
        <w:tc>
          <w:tcPr>
            <w:tcW w:w="1138" w:type="dxa"/>
            <w:vMerge/>
            <w:tcBorders>
              <w:left w:val="single" w:sz="4" w:space="0" w:color="000000"/>
              <w:bottom w:val="single" w:sz="4" w:space="0" w:color="000000"/>
              <w:right w:val="single" w:sz="4" w:space="0" w:color="000000"/>
            </w:tcBorders>
            <w:shd w:val="clear" w:color="auto" w:fill="D2D2D2"/>
          </w:tcPr>
          <w:p>
            <w:pPr/>
          </w:p>
        </w:tc>
        <w:tc>
          <w:tcPr>
            <w:tcW w:w="1138" w:type="dxa"/>
            <w:vMerge/>
            <w:tcBorders>
              <w:left w:val="single" w:sz="4" w:space="0" w:color="000000"/>
              <w:bottom w:val="single" w:sz="4" w:space="0" w:color="000000"/>
              <w:right w:val="single" w:sz="4" w:space="0" w:color="000000"/>
            </w:tcBorders>
            <w:shd w:val="clear" w:color="auto" w:fill="D2D2D2"/>
          </w:tcPr>
          <w:p>
            <w:pPr/>
          </w:p>
        </w:tc>
        <w:tc>
          <w:tcPr>
            <w:tcW w:w="111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21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93" w:type="dxa"/>
            <w:tcBorders>
              <w:top w:val="single" w:sz="4" w:space="0" w:color="000000"/>
              <w:left w:val="single" w:sz="13" w:space="0" w:color="D2D2D2"/>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275"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417"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121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3" w:hRule="exact"/>
        </w:trPr>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酷吧</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5" w:right="0"/>
              <w:jc w:val="left"/>
              <w:rPr>
                <w:rFonts w:ascii="Times New Roman" w:hAnsi="Times New Roman" w:cs="Times New Roman" w:eastAsia="Times New Roman" w:hint="default"/>
                <w:sz w:val="18"/>
                <w:szCs w:val="18"/>
              </w:rPr>
            </w:pPr>
            <w:r>
              <w:rPr>
                <w:rFonts w:ascii="Times New Roman"/>
                <w:sz w:val="18"/>
              </w:rPr>
              <w:t>14,710,173.90</w:t>
            </w:r>
          </w:p>
        </w:tc>
        <w:tc>
          <w:tcPr>
            <w:tcW w:w="1138" w:type="dxa"/>
            <w:tcBorders>
              <w:top w:val="single" w:sz="4" w:space="0" w:color="000000"/>
              <w:left w:val="single" w:sz="4" w:space="0" w:color="000000"/>
              <w:bottom w:val="single" w:sz="4" w:space="0" w:color="000000"/>
              <w:right w:val="single" w:sz="4" w:space="0" w:color="000000"/>
            </w:tcBorders>
          </w:tcPr>
          <w:p>
            <w:pPr/>
          </w:p>
        </w:tc>
        <w:tc>
          <w:tcPr>
            <w:tcW w:w="275"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Times New Roman" w:hAnsi="Times New Roman" w:cs="Times New Roman" w:eastAsia="Times New Roman" w:hint="default"/>
                <w:sz w:val="18"/>
                <w:szCs w:val="18"/>
              </w:rPr>
            </w:pPr>
            <w:r>
              <w:rPr>
                <w:rFonts w:ascii="Times New Roman"/>
                <w:sz w:val="18"/>
              </w:rPr>
              <w:t>-2,349,089.28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 w:right="0"/>
              <w:jc w:val="left"/>
              <w:rPr>
                <w:rFonts w:ascii="Times New Roman" w:hAnsi="Times New Roman" w:cs="Times New Roman" w:eastAsia="Times New Roman" w:hint="default"/>
                <w:sz w:val="18"/>
                <w:szCs w:val="18"/>
              </w:rPr>
            </w:pPr>
            <w:r>
              <w:rPr>
                <w:rFonts w:ascii="Times New Roman"/>
                <w:sz w:val="18"/>
              </w:rPr>
              <w:t>-882,426.00</w:t>
            </w:r>
          </w:p>
        </w:tc>
        <w:tc>
          <w:tcPr>
            <w:tcW w:w="996" w:type="dxa"/>
            <w:tcBorders>
              <w:top w:val="single" w:sz="4" w:space="0" w:color="000000"/>
              <w:left w:val="single" w:sz="4" w:space="0" w:color="000000"/>
              <w:bottom w:val="single" w:sz="4" w:space="0" w:color="000000"/>
              <w:right w:val="single" w:sz="4" w:space="0" w:color="000000"/>
            </w:tcBorders>
          </w:tcPr>
          <w:p>
            <w:pPr/>
          </w:p>
        </w:tc>
        <w:tc>
          <w:tcPr>
            <w:tcW w:w="417"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0" w:right="0"/>
              <w:jc w:val="left"/>
              <w:rPr>
                <w:rFonts w:ascii="Times New Roman" w:hAnsi="Times New Roman" w:cs="Times New Roman" w:eastAsia="Times New Roman" w:hint="default"/>
                <w:sz w:val="18"/>
                <w:szCs w:val="18"/>
              </w:rPr>
            </w:pPr>
            <w:r>
              <w:rPr>
                <w:rFonts w:ascii="Times New Roman"/>
                <w:sz w:val="18"/>
              </w:rPr>
              <w:t>3,724,000.00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 w:right="0"/>
              <w:jc w:val="left"/>
              <w:rPr>
                <w:rFonts w:ascii="Times New Roman" w:hAnsi="Times New Roman" w:cs="Times New Roman" w:eastAsia="Times New Roman" w:hint="default"/>
                <w:sz w:val="18"/>
                <w:szCs w:val="18"/>
              </w:rPr>
            </w:pPr>
            <w:r>
              <w:rPr>
                <w:rFonts w:ascii="Times New Roman"/>
                <w:sz w:val="18"/>
              </w:rPr>
              <w:t>15,202,658.62</w:t>
            </w:r>
          </w:p>
        </w:tc>
        <w:tc>
          <w:tcPr>
            <w:tcW w:w="11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220" w:right="0"/>
        </w:sectPr>
      </w:pPr>
    </w:p>
    <w:p>
      <w:pPr>
        <w:spacing w:line="240" w:lineRule="auto" w:before="6"/>
        <w:rPr>
          <w:rFonts w:ascii="宋体" w:hAnsi="宋体" w:cs="宋体" w:eastAsia="宋体" w:hint="default"/>
          <w:sz w:val="28"/>
          <w:szCs w:val="28"/>
        </w:rPr>
      </w:pPr>
    </w:p>
    <w:tbl>
      <w:tblPr>
        <w:tblW w:w="0" w:type="auto"/>
        <w:jc w:val="left"/>
        <w:tblInd w:w="110" w:type="dxa"/>
        <w:tblLayout w:type="fixed"/>
        <w:tblCellMar>
          <w:top w:w="0" w:type="dxa"/>
          <w:left w:w="0" w:type="dxa"/>
          <w:bottom w:w="0" w:type="dxa"/>
          <w:right w:w="0" w:type="dxa"/>
        </w:tblCellMar>
        <w:tblLook w:val="01E0"/>
      </w:tblPr>
      <w:tblGrid>
        <w:gridCol w:w="566"/>
        <w:gridCol w:w="1190"/>
        <w:gridCol w:w="1134"/>
        <w:gridCol w:w="283"/>
        <w:gridCol w:w="1134"/>
        <w:gridCol w:w="993"/>
        <w:gridCol w:w="992"/>
        <w:gridCol w:w="425"/>
        <w:gridCol w:w="1109"/>
        <w:gridCol w:w="1134"/>
        <w:gridCol w:w="1134"/>
        <w:gridCol w:w="1134"/>
      </w:tblGrid>
      <w:tr>
        <w:trPr>
          <w:trHeight w:val="1923"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73"/>
              <w:jc w:val="left"/>
              <w:rPr>
                <w:rFonts w:ascii="宋体" w:hAnsi="宋体" w:cs="宋体" w:eastAsia="宋体" w:hint="default"/>
                <w:sz w:val="18"/>
                <w:szCs w:val="18"/>
              </w:rPr>
            </w:pPr>
            <w:r>
              <w:rPr>
                <w:rFonts w:ascii="宋体" w:hAnsi="宋体" w:cs="宋体" w:eastAsia="宋体" w:hint="default"/>
                <w:sz w:val="18"/>
                <w:szCs w:val="18"/>
              </w:rPr>
              <w:t>时代 科技</w:t>
            </w:r>
          </w:p>
          <w:p>
            <w:pPr>
              <w:pStyle w:val="TableParagraph"/>
              <w:spacing w:line="319" w:lineRule="auto" w:before="19"/>
              <w:ind w:left="22" w:right="20"/>
              <w:jc w:val="left"/>
              <w:rPr>
                <w:rFonts w:ascii="宋体" w:hAnsi="宋体" w:cs="宋体" w:eastAsia="宋体" w:hint="default"/>
                <w:sz w:val="18"/>
                <w:szCs w:val="18"/>
              </w:rPr>
            </w:pPr>
            <w:r>
              <w:rPr>
                <w:rFonts w:ascii="宋体" w:hAnsi="宋体" w:cs="宋体" w:eastAsia="宋体" w:hint="default"/>
                <w:sz w:val="18"/>
                <w:szCs w:val="18"/>
              </w:rPr>
              <w:t>（北 </w:t>
            </w:r>
            <w:r>
              <w:rPr>
                <w:rFonts w:ascii="宋体" w:hAnsi="宋体" w:cs="宋体" w:eastAsia="宋体" w:hint="default"/>
                <w:spacing w:val="-10"/>
                <w:sz w:val="18"/>
                <w:szCs w:val="18"/>
              </w:rPr>
              <w:t>京）有</w:t>
            </w:r>
            <w:r>
              <w:rPr>
                <w:rFonts w:ascii="宋体" w:hAnsi="宋体" w:cs="宋体" w:eastAsia="宋体" w:hint="default"/>
                <w:sz w:val="18"/>
                <w:szCs w:val="18"/>
              </w:rPr>
              <w:t> 限公 司</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both"/>
              <w:rPr>
                <w:rFonts w:ascii="宋体" w:hAnsi="宋体" w:cs="宋体" w:eastAsia="宋体" w:hint="default"/>
                <w:sz w:val="18"/>
                <w:szCs w:val="18"/>
              </w:rPr>
            </w:pPr>
            <w:r>
              <w:rPr>
                <w:rFonts w:ascii="宋体" w:hAnsi="宋体" w:cs="宋体" w:eastAsia="宋体" w:hint="default"/>
                <w:sz w:val="18"/>
                <w:szCs w:val="18"/>
              </w:rPr>
              <w:t>厦门 炫游 网络 科技 有限 公司</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369,863.00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2,630,137.00</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1962"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both"/>
              <w:rPr>
                <w:rFonts w:ascii="宋体" w:hAnsi="宋体" w:cs="宋体" w:eastAsia="宋体" w:hint="default"/>
                <w:sz w:val="18"/>
                <w:szCs w:val="18"/>
              </w:rPr>
            </w:pPr>
            <w:r>
              <w:rPr>
                <w:rFonts w:ascii="宋体" w:hAnsi="宋体" w:cs="宋体" w:eastAsia="宋体" w:hint="default"/>
                <w:sz w:val="18"/>
                <w:szCs w:val="18"/>
              </w:rPr>
              <w:t>深圳 咔嚓 移动 科技 有限 公司</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-266,745.04</w:t>
            </w:r>
            <w:r>
              <w:rPr>
                <w:rFonts w:ascii="Times New Roman"/>
                <w:sz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2,533,254.96</w:t>
            </w: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both"/>
              <w:rPr>
                <w:rFonts w:ascii="宋体" w:hAnsi="宋体" w:cs="宋体" w:eastAsia="宋体" w:hint="default"/>
                <w:sz w:val="18"/>
                <w:szCs w:val="18"/>
              </w:rPr>
            </w:pPr>
            <w:r>
              <w:rPr>
                <w:rFonts w:ascii="宋体" w:hAnsi="宋体" w:cs="宋体" w:eastAsia="宋体" w:hint="default"/>
                <w:sz w:val="18"/>
                <w:szCs w:val="18"/>
              </w:rPr>
              <w:t>厦门 美趣 信息 科技 有限 公司</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-254,494.89</w:t>
            </w:r>
            <w:r>
              <w:rPr>
                <w:rFonts w:ascii="Times New Roman"/>
                <w:sz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415,200.00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8,160,705.11</w:t>
            </w: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15,080,036.90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13,430,137.00</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-2,870,329.21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-882,426.00</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415,200.00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3,724,000.00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28,896,618.69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15,080,036.90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13,430,137.00</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-2,870,329.21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-882,426.00</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415,200.00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3,724,000.00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28,896,618.69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r>
    </w:tbl>
    <w:p>
      <w:pPr>
        <w:spacing w:line="240" w:lineRule="auto" w:before="6"/>
        <w:rPr>
          <w:rFonts w:ascii="宋体" w:hAnsi="宋体" w:cs="宋体" w:eastAsia="宋体" w:hint="default"/>
          <w:sz w:val="27"/>
          <w:szCs w:val="27"/>
        </w:rPr>
      </w:pPr>
    </w:p>
    <w:p>
      <w:pPr>
        <w:pStyle w:val="BodyText"/>
        <w:spacing w:line="240" w:lineRule="auto"/>
        <w:ind w:left="913" w:right="1127"/>
        <w:jc w:val="left"/>
      </w:pPr>
      <w:r>
        <w:rPr/>
        <w:t>其他说明</w:t>
      </w:r>
    </w:p>
    <w:p>
      <w:pPr>
        <w:pStyle w:val="BodyText"/>
        <w:spacing w:line="300" w:lineRule="auto" w:before="115"/>
        <w:ind w:left="913" w:right="1127" w:firstLine="360"/>
        <w:jc w:val="left"/>
      </w:pPr>
      <w:r>
        <w:rPr/>
        <w:t>截止</w:t>
      </w:r>
      <w:r>
        <w:rPr>
          <w:spacing w:val="-4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7"/>
        </w:rPr>
        <w:t>日，公司孙公司上海二三四五科技投资有限公司持有酷吧时代科技（北京）有限公司</w:t>
      </w:r>
      <w:r>
        <w:rPr>
          <w:spacing w:val="-42"/>
        </w:rPr>
        <w:t> </w:t>
      </w:r>
      <w:r>
        <w:rPr>
          <w:rFonts w:ascii="Times New Roman" w:hAnsi="Times New Roman" w:cs="Times New Roman" w:eastAsia="Times New Roman" w:hint="default"/>
        </w:rPr>
        <w:t>18.62%</w:t>
      </w:r>
      <w:r>
        <w:rPr/>
        <w:t>股权， 持有厦门炫游网络科技有限公司</w:t>
      </w:r>
      <w:r>
        <w:rPr>
          <w:spacing w:val="-46"/>
        </w:rPr>
        <w:t> </w:t>
      </w:r>
      <w:r>
        <w:rPr>
          <w:rFonts w:ascii="Times New Roman" w:hAnsi="Times New Roman" w:cs="Times New Roman" w:eastAsia="Times New Roman" w:hint="default"/>
        </w:rPr>
        <w:t>27%</w:t>
      </w:r>
      <w:r>
        <w:rPr/>
        <w:t>股权，持有深圳咔嚓移动科技有限公司</w:t>
      </w:r>
      <w:r>
        <w:rPr>
          <w:spacing w:val="-46"/>
        </w:rPr>
        <w:t> </w:t>
      </w:r>
      <w:r>
        <w:rPr>
          <w:rFonts w:ascii="Times New Roman" w:hAnsi="Times New Roman" w:cs="Times New Roman" w:eastAsia="Times New Roman" w:hint="default"/>
        </w:rPr>
        <w:t>20%</w:t>
      </w:r>
      <w:r>
        <w:rPr/>
        <w:t>的股权，持有厦门美趣信息科技有限公司 </w:t>
      </w:r>
      <w:r>
        <w:rPr>
          <w:rFonts w:ascii="Times New Roman" w:hAnsi="Times New Roman" w:cs="Times New Roman" w:eastAsia="Times New Roman" w:hint="default"/>
        </w:rPr>
        <w:t>14%</w:t>
      </w:r>
      <w:r>
        <w:rPr/>
        <w:t>股权，并在上述公司中派有董事，对其具有重大影响。公司将对上述公司的投资作为长期股权投资核算。</w:t>
      </w:r>
    </w:p>
    <w:p>
      <w:pPr>
        <w:spacing w:line="240" w:lineRule="auto" w:before="12"/>
        <w:rPr>
          <w:rFonts w:ascii="宋体" w:hAnsi="宋体" w:cs="宋体" w:eastAsia="宋体" w:hint="default"/>
          <w:sz w:val="21"/>
          <w:szCs w:val="21"/>
        </w:rPr>
      </w:pPr>
    </w:p>
    <w:p>
      <w:pPr>
        <w:pStyle w:val="Heading6"/>
        <w:spacing w:line="240" w:lineRule="auto"/>
        <w:ind w:left="913" w:right="1127"/>
        <w:jc w:val="left"/>
        <w:rPr>
          <w:b w:val="0"/>
          <w:bCs w:val="0"/>
        </w:rPr>
      </w:pPr>
      <w:bookmarkStart w:name="18、投资性房地产" w:id="280"/>
      <w:bookmarkEnd w:id="280"/>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914" w:right="1127"/>
        <w:jc w:val="left"/>
        <w:rPr>
          <w:b w:val="0"/>
          <w:bCs w:val="0"/>
        </w:rPr>
      </w:pPr>
      <w:bookmarkStart w:name="（1）采用成本计量模式的投资性房地产" w:id="281"/>
      <w:bookmarkEnd w:id="281"/>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914"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left="913" w:right="1127"/>
        <w:jc w:val="left"/>
        <w:rPr>
          <w:b w:val="0"/>
          <w:bCs w:val="0"/>
        </w:rPr>
      </w:pPr>
      <w:bookmarkStart w:name="（2）采用公允价值计量模式的投资性房地产" w:id="282"/>
      <w:bookmarkEnd w:id="282"/>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914"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22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3）未办妥产权证书的投资性房地产情况" w:id="283"/>
      <w:bookmarkEnd w:id="283"/>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19、固定资产" w:id="284"/>
      <w:bookmarkEnd w:id="284"/>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固定资产情况" w:id="285"/>
      <w:bookmarkEnd w:id="285"/>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177,973,796.02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12,054,906.74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26,840,240.10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216,868,942.86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4,207,800.00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1,867,859.80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10,601,084.97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16,676,744.77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4,207,800.00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1,637,306.80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9,279,391.76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15,124,498.56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2"/>
                <w:w w:val="95"/>
                <w:sz w:val="18"/>
                <w:szCs w:val="18"/>
              </w:rPr>
              <w:t>（</w:t>
            </w:r>
            <w:r>
              <w:rPr>
                <w:rFonts w:ascii="Times New Roman" w:hAnsi="Times New Roman" w:cs="Times New Roman" w:eastAsia="Times New Roman" w:hint="default"/>
                <w:spacing w:val="-2"/>
                <w:w w:val="95"/>
                <w:sz w:val="18"/>
                <w:szCs w:val="18"/>
              </w:rPr>
              <w:t>2</w:t>
            </w:r>
            <w:r>
              <w:rPr>
                <w:rFonts w:ascii="宋体" w:hAnsi="宋体" w:cs="宋体" w:eastAsia="宋体" w:hint="default"/>
                <w:spacing w:val="-2"/>
                <w:w w:val="95"/>
                <w:sz w:val="18"/>
                <w:szCs w:val="18"/>
              </w:rPr>
              <w:t>）在建工程转入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2"/>
                <w:w w:val="95"/>
                <w:sz w:val="18"/>
                <w:szCs w:val="18"/>
              </w:rPr>
              <w:t>（</w:t>
            </w:r>
            <w:r>
              <w:rPr>
                <w:rFonts w:ascii="Times New Roman" w:hAnsi="Times New Roman" w:cs="Times New Roman" w:eastAsia="Times New Roman" w:hint="default"/>
                <w:spacing w:val="-2"/>
                <w:w w:val="95"/>
                <w:sz w:val="18"/>
                <w:szCs w:val="18"/>
              </w:rPr>
              <w:t>3</w:t>
            </w:r>
            <w:r>
              <w:rPr>
                <w:rFonts w:ascii="宋体" w:hAnsi="宋体" w:cs="宋体" w:eastAsia="宋体" w:hint="default"/>
                <w:spacing w:val="-2"/>
                <w:w w:val="95"/>
                <w:sz w:val="18"/>
                <w:szCs w:val="18"/>
              </w:rPr>
              <w:t>）企业合并增加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230,553.00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1,321,693.21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1,552,246.21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5,262,297.51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510,308.00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11,256,240.49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17,028,846.00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5,262,297.51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510,308.00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11,256,240.49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17,028,846.00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176,919,298.51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13,412,458.54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26,185,084.58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216,516,841.63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14,216,093.16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7,596,075.09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14,487,512.29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36,299,680.54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5,117,901.00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1,789,784.03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7,309,593.69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14,217,278.72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5,117,901.00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1,713,125.15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6,759,541.13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13,590,567.28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76,658.88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550,052.56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626,711.44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1,354,106.53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477,621.96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7,699,734.05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9,531,462.54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1,354,106.53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477,621.96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7,699,734.05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9,531,462.54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17,979,887.63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8,908,237.16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14,097,371.93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40,985,496.72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158,939,410.88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4,504,221.38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12,087,712.65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175,531,344.91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163,757,702.86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4,458,831.65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12,352,727.81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180,569,262.32</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暂时闲置的固定资产情况" w:id="286"/>
      <w:bookmarkEnd w:id="286"/>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3）通过融资租赁租入的固定资产情况" w:id="287"/>
      <w:bookmarkEnd w:id="287"/>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6"/>
        <w:spacing w:line="240" w:lineRule="auto" w:before="35"/>
        <w:ind w:left="154" w:right="0"/>
        <w:jc w:val="left"/>
        <w:rPr>
          <w:b w:val="0"/>
          <w:bCs w:val="0"/>
        </w:rPr>
      </w:pPr>
      <w:bookmarkStart w:name="（4）通过经营租赁租出的固定资产" w:id="288"/>
      <w:bookmarkEnd w:id="288"/>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6"/>
        <w:spacing w:line="240" w:lineRule="auto" w:before="35"/>
        <w:ind w:left="154" w:right="0"/>
        <w:jc w:val="left"/>
        <w:rPr>
          <w:b w:val="0"/>
          <w:bCs w:val="0"/>
        </w:rPr>
      </w:pPr>
      <w:bookmarkStart w:name="（5）未办妥产权证书的固定资产情况" w:id="289"/>
      <w:bookmarkEnd w:id="289"/>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0、在建工程" w:id="290"/>
      <w:bookmarkEnd w:id="290"/>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在建工程情况" w:id="291"/>
      <w:bookmarkEnd w:id="291"/>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2）重要在建工程项目本期变动情况" w:id="292"/>
      <w:bookmarkEnd w:id="292"/>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3"/>
        <w:rPr>
          <w:rFonts w:ascii="宋体" w:hAnsi="宋体" w:cs="宋体" w:eastAsia="宋体" w:hint="default"/>
          <w:sz w:val="19"/>
          <w:szCs w:val="19"/>
        </w:rPr>
      </w:pPr>
    </w:p>
    <w:p>
      <w:pPr>
        <w:pStyle w:val="Heading6"/>
        <w:spacing w:line="240" w:lineRule="auto" w:before="35"/>
        <w:ind w:left="154" w:right="0"/>
        <w:jc w:val="left"/>
        <w:rPr>
          <w:b w:val="0"/>
          <w:bCs w:val="0"/>
        </w:rPr>
      </w:pPr>
      <w:bookmarkStart w:name="（3）本期计提在建工程减值准备情况" w:id="293"/>
      <w:bookmarkEnd w:id="293"/>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1、工程物资" w:id="294"/>
      <w:bookmarkEnd w:id="294"/>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22、固定资产清理" w:id="295"/>
      <w:bookmarkEnd w:id="295"/>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23、生产性生物资产" w:id="296"/>
      <w:bookmarkEnd w:id="296"/>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采用成本计量模式的生产性生物资产" w:id="297"/>
      <w:bookmarkEnd w:id="297"/>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2）采用公允价值计量模式的生产性生物资产" w:id="298"/>
      <w:bookmarkEnd w:id="298"/>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bookmarkStart w:name="24、油气资产" w:id="299"/>
      <w:bookmarkEnd w:id="299"/>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25、无形资产" w:id="300"/>
      <w:bookmarkEnd w:id="300"/>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无形资产情况" w:id="301"/>
      <w:bookmarkEnd w:id="301"/>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5"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软件使用权</w:t>
            </w:r>
          </w:p>
        </w:tc>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高尔夫权证</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域名</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9"/>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28,899,207.75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2,827,004.90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1,699,621.12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847,902.93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34,273,736.70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4,336,388.42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4,336,388.42</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4,336,388.42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4,336,388.42</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35"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5"/>
                <w:sz w:val="18"/>
                <w:szCs w:val="18"/>
              </w:rPr>
              <w:t> </w:t>
            </w:r>
            <w:r>
              <w:rPr>
                <w:rFonts w:ascii="宋体" w:hAnsi="宋体" w:cs="宋体" w:eastAsia="宋体" w:hint="default"/>
                <w:sz w:val="18"/>
                <w:szCs w:val="18"/>
              </w:rPr>
              <w:t>部研发</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35"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116,001.71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116,001.71</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116,001.71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116,001.71</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28,899,207.75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7,047,391.61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1,699,621.12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847,902.93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38,494,123.41</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9"/>
              <w:jc w:val="center"/>
              <w:rPr>
                <w:rFonts w:ascii="宋体" w:hAnsi="宋体" w:cs="宋体" w:eastAsia="宋体" w:hint="default"/>
                <w:sz w:val="18"/>
                <w:szCs w:val="18"/>
              </w:rPr>
            </w:pPr>
            <w:r>
              <w:rPr>
                <w:rFonts w:ascii="宋体" w:hAnsi="宋体" w:cs="宋体" w:eastAsia="宋体" w:hint="default"/>
                <w:sz w:val="18"/>
                <w:szCs w:val="18"/>
              </w:rPr>
              <w:t>二、累计摊销</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13,617,685.47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1,339,167.24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428,196.69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15,385,049.40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4,751,034.41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1,278,712.26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169,580.64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6,199,327.31</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4,751,034.41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1,278,712.26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169,580.64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6,199,327.31</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116,001.71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116,001.71</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116,001.71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116,001.71</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18,368,719.88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2,501,877.79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597,777.33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21,468,375.00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2"/>
              <w:jc w:val="righ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2"/>
              <w:jc w:val="righ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10,530,487.87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4,545,513.82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1,699,621.12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250,125.60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17,025,748.41</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15,281,522.28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1,487,837.66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1,699,621.12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419,706.24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18,888,687.30</w:t>
            </w:r>
          </w:p>
        </w:tc>
      </w:tr>
    </w:tbl>
    <w:p>
      <w:pPr>
        <w:pStyle w:val="BodyText"/>
        <w:spacing w:line="240" w:lineRule="auto" w:before="51"/>
        <w:ind w:right="0"/>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未办妥产权证书的土地使用权情况" w:id="302"/>
      <w:bookmarkEnd w:id="302"/>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6、开发支出" w:id="303"/>
      <w:bookmarkEnd w:id="303"/>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3189"/>
        <w:gridCol w:w="3190"/>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7、商誉" w:id="304"/>
      <w:bookmarkEnd w:id="304"/>
      <w:r>
        <w:rPr>
          <w:b w:val="0"/>
          <w:bCs w:val="0"/>
        </w:rPr>
      </w: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商誉账面原值" w:id="305"/>
      <w:bookmarkEnd w:id="305"/>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650"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发行股份通过直 接和间接方式收 购上海二三四五 网络科技有限公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2,400,347,559.04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2,400,347,559.04</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上海华钟计算机 软件开发有限公 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146,337.55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146,337.55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日本海隆株式会 社</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1,655,442.06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1,655,442.06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2,402,149,338.65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2,402,149,338.65</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商誉减值准备" w:id="306"/>
      <w:bookmarkEnd w:id="306"/>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日本海隆株式会 社</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1,655,442.06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1,655,442.06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1,655,442.06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1,655,442.06</w:t>
            </w:r>
          </w:p>
        </w:tc>
      </w:tr>
    </w:tbl>
    <w:p>
      <w:pPr>
        <w:pStyle w:val="BodyText"/>
        <w:spacing w:line="240" w:lineRule="auto" w:before="51"/>
        <w:ind w:right="0"/>
        <w:jc w:val="left"/>
      </w:pPr>
      <w:r>
        <w:rPr/>
        <w:t>说明商誉减值测试过程、参数及商誉减值损失的确认方法：</w:t>
      </w:r>
    </w:p>
    <w:p>
      <w:pPr>
        <w:pStyle w:val="BodyText"/>
        <w:spacing w:line="240" w:lineRule="auto" w:before="116"/>
        <w:ind w:left="0" w:right="1132"/>
        <w:jc w:val="right"/>
      </w:pPr>
      <w:r>
        <w:rPr/>
        <w:t>截止</w:t>
      </w:r>
      <w:r>
        <w:rPr>
          <w:spacing w:val="-5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日，上海二三四五网络科技有限公司合并财务报表可辨认净资产为</w:t>
      </w:r>
      <w:r>
        <w:rPr>
          <w:spacing w:val="-50"/>
        </w:rPr>
        <w:t> </w:t>
      </w:r>
      <w:r>
        <w:rPr>
          <w:rFonts w:ascii="Times New Roman" w:hAnsi="Times New Roman" w:cs="Times New Roman" w:eastAsia="Times New Roman" w:hint="default"/>
        </w:rPr>
        <w:t>1,556,276,750.04</w:t>
      </w:r>
      <w:r>
        <w:rPr>
          <w:rFonts w:ascii="Times New Roman" w:hAnsi="Times New Roman" w:cs="Times New Roman" w:eastAsia="Times New Roman" w:hint="default"/>
          <w:spacing w:val="-5"/>
        </w:rPr>
        <w:t> </w:t>
      </w:r>
      <w:r>
        <w:rPr>
          <w:spacing w:val="-7"/>
        </w:rPr>
        <w:t>元，包含商誉</w:t>
      </w:r>
    </w:p>
    <w:p>
      <w:pPr>
        <w:pStyle w:val="BodyText"/>
        <w:spacing w:line="240" w:lineRule="auto" w:before="63"/>
        <w:ind w:left="153" w:right="0"/>
        <w:jc w:val="left"/>
      </w:pPr>
      <w:r>
        <w:rPr/>
        <w:t>的资产组金额为</w:t>
      </w:r>
      <w:r>
        <w:rPr>
          <w:spacing w:val="-47"/>
        </w:rPr>
        <w:t> </w:t>
      </w:r>
      <w:r>
        <w:rPr>
          <w:rFonts w:ascii="Times New Roman" w:hAnsi="Times New Roman" w:cs="Times New Roman" w:eastAsia="Times New Roman" w:hint="default"/>
        </w:rPr>
        <w:t>3,956,624,309.08</w:t>
      </w:r>
      <w:r>
        <w:rPr>
          <w:rFonts w:ascii="Times New Roman" w:hAnsi="Times New Roman" w:cs="Times New Roman" w:eastAsia="Times New Roman" w:hint="default"/>
          <w:spacing w:val="-1"/>
        </w:rPr>
        <w:t> </w:t>
      </w:r>
      <w:r>
        <w:rPr/>
        <w:t>元。我们对包含商誉的资产组进行减值测试，方法为：利用上海申威资产评估有限公司对</w:t>
      </w:r>
    </w:p>
    <w:p>
      <w:pPr>
        <w:pStyle w:val="BodyText"/>
        <w:spacing w:line="240" w:lineRule="auto" w:before="63"/>
        <w:ind w:left="153" w:right="0"/>
        <w:jc w:val="left"/>
      </w:pPr>
      <w:r>
        <w:rPr/>
        <w:t>上海二三四五网络科技有限公司在基准日</w:t>
      </w:r>
      <w:r>
        <w:rPr>
          <w:spacing w:val="-45"/>
        </w:rPr>
        <w:t> </w:t>
      </w:r>
      <w:r>
        <w:rPr>
          <w:rFonts w:ascii="Times New Roman" w:hAnsi="Times New Roman" w:cs="Times New Roman" w:eastAsia="Times New Roman" w:hint="default"/>
        </w:rPr>
        <w:t>2015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4"/>
        </w:rPr>
        <w:t>日的股东全部价值出具的沪申威评报字（</w:t>
      </w:r>
      <w:r>
        <w:rPr>
          <w:rFonts w:ascii="Times New Roman" w:hAnsi="Times New Roman" w:cs="Times New Roman" w:eastAsia="Times New Roman" w:hint="default"/>
          <w:spacing w:val="-4"/>
        </w:rPr>
        <w:t>2016</w:t>
      </w:r>
      <w:r>
        <w:rPr>
          <w:spacing w:val="-4"/>
        </w:rPr>
        <w:t>）第</w:t>
      </w:r>
      <w:r>
        <w:rPr>
          <w:spacing w:val="-45"/>
        </w:rPr>
        <w:t> </w:t>
      </w:r>
      <w:r>
        <w:rPr>
          <w:rFonts w:ascii="Times New Roman" w:hAnsi="Times New Roman" w:cs="Times New Roman" w:eastAsia="Times New Roman" w:hint="default"/>
        </w:rPr>
        <w:t>0011 </w:t>
      </w:r>
      <w:r>
        <w:rPr/>
        <w:t>号评估报</w:t>
      </w:r>
    </w:p>
    <w:p>
      <w:pPr>
        <w:pStyle w:val="BodyText"/>
        <w:spacing w:line="302" w:lineRule="auto" w:before="63"/>
        <w:ind w:right="1170"/>
        <w:jc w:val="left"/>
      </w:pPr>
      <w:r>
        <w:rPr/>
        <w:t>告，评估价值为</w:t>
      </w:r>
      <w:r>
        <w:rPr>
          <w:spacing w:val="-47"/>
        </w:rPr>
        <w:t> </w:t>
      </w:r>
      <w:r>
        <w:rPr>
          <w:rFonts w:ascii="Times New Roman" w:hAnsi="Times New Roman" w:cs="Times New Roman" w:eastAsia="Times New Roman" w:hint="default"/>
        </w:rPr>
        <w:t>5,912,400,000</w:t>
      </w:r>
      <w:r>
        <w:rPr>
          <w:rFonts w:ascii="Times New Roman" w:hAnsi="Times New Roman" w:cs="Times New Roman" w:eastAsia="Times New Roman" w:hint="default"/>
          <w:spacing w:val="-1"/>
        </w:rPr>
        <w:t> </w:t>
      </w:r>
      <w:r>
        <w:rPr/>
        <w:t>元，评估值大于包含商誉的资产组金额，商誉不存在减值迹象，本报告期不对商誉计提减值 准备。</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pStyle w:val="BodyText"/>
        <w:spacing w:line="240" w:lineRule="auto" w:before="0"/>
        <w:ind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8、长期待摊费用" w:id="307"/>
      <w:bookmarkEnd w:id="307"/>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经营性租赁改良支 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1,000,912.56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956,187.06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44,725.50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55,244.85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34,073.96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21,170.89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24" w:right="0"/>
              <w:jc w:val="left"/>
              <w:rPr>
                <w:rFonts w:ascii="Times New Roman" w:hAnsi="Times New Roman" w:cs="Times New Roman" w:eastAsia="Times New Roman" w:hint="default"/>
                <w:sz w:val="18"/>
                <w:szCs w:val="18"/>
              </w:rPr>
            </w:pPr>
            <w:r>
              <w:rPr>
                <w:rFonts w:ascii="Times New Roman"/>
                <w:sz w:val="18"/>
              </w:rPr>
              <w:t>1,056,157.41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990,261.02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2" w:right="0"/>
              <w:jc w:val="left"/>
              <w:rPr>
                <w:rFonts w:ascii="Times New Roman" w:hAnsi="Times New Roman" w:cs="Times New Roman" w:eastAsia="Times New Roman" w:hint="default"/>
                <w:sz w:val="18"/>
                <w:szCs w:val="18"/>
              </w:rPr>
            </w:pPr>
            <w:r>
              <w:rPr>
                <w:rFonts w:ascii="Times New Roman"/>
                <w:sz w:val="18"/>
              </w:rPr>
              <w:t>65,896.39</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9、递延所得税资产/递延所得税负债" w:id="308"/>
      <w:bookmarkEnd w:id="308"/>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未经抵销的递延所得税资产" w:id="309"/>
      <w:bookmarkEnd w:id="309"/>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2,816,241.42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60,073.70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612,863.70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88,919.21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828,166.66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103,520.83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436,333.33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54,541.67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2,108,450.00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527,112.50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264,000.00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尚未取得发票的暂估成 本与费用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81,451,454.15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10,181,431.77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84,783,906.40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10,597,988.30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尚未支付的职工薪酬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38,726,207.94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4,840,775.99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18,129,231.45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2,266,153.93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未实现内部损益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29,630,270.93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4,444,540.64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155,560,791.10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20,157,455.43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105,722,334.88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13,271,603.11</w:t>
            </w:r>
          </w:p>
        </w:tc>
      </w:tr>
    </w:tbl>
    <w:p>
      <w:pPr>
        <w:spacing w:line="240" w:lineRule="auto" w:before="3"/>
        <w:rPr>
          <w:rFonts w:ascii="宋体" w:hAnsi="宋体" w:cs="宋体" w:eastAsia="宋体" w:hint="default"/>
          <w:sz w:val="19"/>
          <w:szCs w:val="19"/>
        </w:rPr>
      </w:pPr>
    </w:p>
    <w:p>
      <w:pPr>
        <w:pStyle w:val="Heading6"/>
        <w:spacing w:line="240" w:lineRule="auto" w:before="35"/>
        <w:ind w:left="154" w:right="0"/>
        <w:jc w:val="left"/>
        <w:rPr>
          <w:b w:val="0"/>
          <w:bCs w:val="0"/>
        </w:rPr>
      </w:pPr>
      <w:bookmarkStart w:name="（2）未经抵销的递延所得税负债" w:id="310"/>
      <w:bookmarkEnd w:id="310"/>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3）以抵销后净额列示的递延所得税资产或负债" w:id="311"/>
      <w:bookmarkEnd w:id="311"/>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24"/>
        <w:gridCol w:w="1905"/>
        <w:gridCol w:w="1914"/>
        <w:gridCol w:w="1914"/>
        <w:gridCol w:w="1903"/>
      </w:tblGrid>
      <w:tr>
        <w:trPr>
          <w:trHeight w:val="161" w:hRule="exact"/>
        </w:trPr>
        <w:tc>
          <w:tcPr>
            <w:tcW w:w="19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20,157,455.43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1" w:right="0"/>
              <w:jc w:val="left"/>
              <w:rPr>
                <w:rFonts w:ascii="Times New Roman" w:hAnsi="Times New Roman" w:cs="Times New Roman" w:eastAsia="Times New Roman" w:hint="default"/>
                <w:sz w:val="18"/>
                <w:szCs w:val="18"/>
              </w:rPr>
            </w:pPr>
            <w:r>
              <w:rPr>
                <w:rFonts w:ascii="Times New Roman"/>
                <w:sz w:val="18"/>
              </w:rPr>
              <w:t>13,271,603.11</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4）未确认递延所得税资产明细" w:id="312"/>
      <w:bookmarkEnd w:id="312"/>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3,963,622.54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2,872,630.31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3,963,622.54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2,872,630.31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5）未确认递延所得税资产的可抵扣亏损将于以下年度到期" w:id="313"/>
      <w:bookmarkEnd w:id="313"/>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2016</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4,882,038.31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429,982.33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2017</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2,762,322.63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4,882,038.31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2018</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5,272,526.53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2,762,322.63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11,772,073.93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5,272,526.53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24,688,961.40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13,346,869.80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pStyle w:val="BodyText"/>
        <w:spacing w:line="240" w:lineRule="auto" w:before="116"/>
        <w:ind w:left="153"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年度所得税尚未汇算清缴，未统计将于</w:t>
      </w:r>
      <w:r>
        <w:rPr>
          <w:spacing w:val="-4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年到期的可抵扣亏损。</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Heading6"/>
        <w:spacing w:line="240" w:lineRule="auto"/>
        <w:ind w:left="154" w:right="0"/>
        <w:jc w:val="left"/>
        <w:rPr>
          <w:b w:val="0"/>
          <w:bCs w:val="0"/>
        </w:rPr>
      </w:pPr>
      <w:bookmarkStart w:name="30、其他非流动资产" w:id="314"/>
      <w:bookmarkEnd w:id="314"/>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31、短期借款" w:id="315"/>
      <w:bookmarkEnd w:id="315"/>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短期借款分类" w:id="316"/>
      <w:bookmarkEnd w:id="316"/>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3,243,275.00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719,194.00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3,243,275.00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7,719,194.00</w:t>
            </w:r>
          </w:p>
        </w:tc>
      </w:tr>
    </w:tbl>
    <w:p>
      <w:pPr>
        <w:pStyle w:val="BodyText"/>
        <w:spacing w:line="240" w:lineRule="auto" w:before="51"/>
        <w:ind w:right="0"/>
        <w:jc w:val="left"/>
      </w:pPr>
      <w:r>
        <w:rPr/>
        <w:t>短期借款分类的说明：</w:t>
      </w:r>
    </w:p>
    <w:p>
      <w:pPr>
        <w:spacing w:line="240" w:lineRule="auto" w:before="10"/>
        <w:rPr>
          <w:rFonts w:ascii="宋体" w:hAnsi="宋体" w:cs="宋体" w:eastAsia="宋体" w:hint="default"/>
          <w:sz w:val="26"/>
          <w:szCs w:val="26"/>
        </w:rPr>
      </w:pPr>
    </w:p>
    <w:p>
      <w:pPr>
        <w:pStyle w:val="Heading6"/>
        <w:spacing w:line="240" w:lineRule="auto"/>
        <w:ind w:left="154" w:right="0"/>
        <w:jc w:val="left"/>
        <w:rPr>
          <w:b w:val="0"/>
          <w:bCs w:val="0"/>
        </w:rPr>
      </w:pPr>
      <w:bookmarkStart w:name="（2）已逾期未偿还的短期借款情况" w:id="317"/>
      <w:bookmarkEnd w:id="317"/>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t>本期末已逾期未偿还的短期借款总额为元，其中重要的已逾期未偿还的短期借款情况如下：</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32、以公允价值计量且其变动计入当期损益的金融负债" w:id="318"/>
      <w:bookmarkEnd w:id="318"/>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外汇远期结售汇合同</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2,108,450.00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2,108,450.00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1,760,000.00</w:t>
            </w:r>
          </w:p>
        </w:tc>
      </w:tr>
    </w:tbl>
    <w:p>
      <w:pPr>
        <w:pStyle w:val="BodyText"/>
        <w:spacing w:line="240" w:lineRule="auto" w:before="51"/>
        <w:ind w:right="0"/>
        <w:jc w:val="both"/>
      </w:pPr>
      <w:r>
        <w:rPr/>
        <w:t>其他说明：</w:t>
      </w:r>
    </w:p>
    <w:p>
      <w:pPr>
        <w:pStyle w:val="BodyText"/>
        <w:spacing w:line="240" w:lineRule="auto" w:before="116"/>
        <w:ind w:left="514" w:right="0"/>
        <w:jc w:val="left"/>
        <w:rPr>
          <w:rFonts w:ascii="Times New Roman" w:hAnsi="Times New Roman" w:cs="Times New Roman" w:eastAsia="Times New Roman" w:hint="default"/>
        </w:rPr>
      </w:pPr>
      <w:r>
        <w:rPr/>
        <w:t>公司于</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月与中信银行上海分行签订了</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笔远期结售汇合同，约定自</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月起连续</w:t>
      </w:r>
      <w:r>
        <w:rPr>
          <w:spacing w:val="-46"/>
        </w:rPr>
        <w:t> </w:t>
      </w:r>
      <w:r>
        <w:rPr>
          <w:rFonts w:ascii="Times New Roman" w:hAnsi="Times New Roman" w:cs="Times New Roman" w:eastAsia="Times New Roman" w:hint="default"/>
        </w:rPr>
        <w:t>12 </w:t>
      </w:r>
      <w:r>
        <w:rPr/>
        <w:t>个月，每月</w:t>
      </w:r>
      <w:r>
        <w:rPr>
          <w:spacing w:val="-46"/>
        </w:rPr>
        <w:t> </w:t>
      </w:r>
      <w:r>
        <w:rPr>
          <w:rFonts w:ascii="Times New Roman" w:hAnsi="Times New Roman" w:cs="Times New Roman" w:eastAsia="Times New Roman" w:hint="default"/>
        </w:rPr>
        <w:t>15</w:t>
      </w:r>
    </w:p>
    <w:p>
      <w:pPr>
        <w:pStyle w:val="BodyText"/>
        <w:spacing w:line="300" w:lineRule="auto" w:before="63"/>
        <w:ind w:right="1172"/>
        <w:jc w:val="both"/>
      </w:pPr>
      <w:r>
        <w:rPr/>
        <w:t>日或之后第一个交易日，以固定汇率（日元</w:t>
      </w:r>
      <w:r>
        <w:rPr>
          <w:spacing w:val="-46"/>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元折合人民币</w:t>
      </w:r>
      <w:r>
        <w:rPr>
          <w:spacing w:val="-46"/>
        </w:rPr>
        <w:t> </w:t>
      </w:r>
      <w:r>
        <w:rPr>
          <w:rFonts w:ascii="Times New Roman" w:hAnsi="Times New Roman" w:cs="Times New Roman" w:eastAsia="Times New Roman" w:hint="default"/>
        </w:rPr>
        <w:t>5.2170</w:t>
      </w:r>
      <w:r>
        <w:rPr>
          <w:rFonts w:ascii="Times New Roman" w:hAnsi="Times New Roman" w:cs="Times New Roman" w:eastAsia="Times New Roman" w:hint="default"/>
          <w:spacing w:val="-1"/>
        </w:rPr>
        <w:t> </w:t>
      </w:r>
      <w:r>
        <w:rPr/>
        <w:t>元）结汇</w:t>
      </w:r>
      <w:r>
        <w:rPr>
          <w:spacing w:val="-46"/>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亿日元。</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年确认了公允价值变动损 益人民币</w:t>
      </w:r>
      <w:r>
        <w:rPr>
          <w:rFonts w:ascii="Times New Roman" w:hAnsi="Times New Roman" w:cs="Times New Roman" w:eastAsia="Times New Roman" w:hint="default"/>
        </w:rPr>
        <w:t>-1,760,000.00</w:t>
      </w:r>
      <w:r>
        <w:rPr>
          <w:rFonts w:ascii="Times New Roman" w:hAnsi="Times New Roman" w:cs="Times New Roman" w:eastAsia="Times New Roman" w:hint="default"/>
          <w:spacing w:val="-2"/>
        </w:rPr>
        <w:t> </w:t>
      </w:r>
      <w:r>
        <w:rPr/>
        <w:t>元。该笔合同已在</w:t>
      </w:r>
      <w:r>
        <w:rPr>
          <w:spacing w:val="-4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年度履行完毕，转回原确认的以公允价值计量且其变动计入当期损益的金融 负债人民币</w:t>
      </w:r>
      <w:r>
        <w:rPr>
          <w:spacing w:val="-47"/>
        </w:rPr>
        <w:t> </w:t>
      </w:r>
      <w:r>
        <w:rPr>
          <w:rFonts w:ascii="Times New Roman" w:hAnsi="Times New Roman" w:cs="Times New Roman" w:eastAsia="Times New Roman" w:hint="default"/>
        </w:rPr>
        <w:t>1,760,000.00</w:t>
      </w:r>
      <w:r>
        <w:rPr>
          <w:rFonts w:ascii="Times New Roman" w:hAnsi="Times New Roman" w:cs="Times New Roman" w:eastAsia="Times New Roman" w:hint="default"/>
          <w:spacing w:val="-1"/>
        </w:rPr>
        <w:t> </w:t>
      </w:r>
      <w:r>
        <w:rPr/>
        <w:t>元，同时确认公允价值变动损益人民币</w:t>
      </w:r>
      <w:r>
        <w:rPr>
          <w:spacing w:val="-47"/>
        </w:rPr>
        <w:t> </w:t>
      </w:r>
      <w:r>
        <w:rPr>
          <w:rFonts w:ascii="Times New Roman" w:hAnsi="Times New Roman" w:cs="Times New Roman" w:eastAsia="Times New Roman" w:hint="default"/>
        </w:rPr>
        <w:t>1,760,000.00</w:t>
      </w:r>
      <w:r>
        <w:rPr>
          <w:rFonts w:ascii="Times New Roman" w:hAnsi="Times New Roman" w:cs="Times New Roman" w:eastAsia="Times New Roman" w:hint="default"/>
          <w:spacing w:val="-1"/>
        </w:rPr>
        <w:t> </w:t>
      </w:r>
      <w:r>
        <w:rPr/>
        <w:t>元。</w:t>
      </w:r>
    </w:p>
    <w:p>
      <w:pPr>
        <w:pStyle w:val="BodyText"/>
        <w:spacing w:line="240" w:lineRule="auto" w:before="13"/>
        <w:ind w:left="513" w:right="0"/>
        <w:jc w:val="left"/>
        <w:rPr>
          <w:rFonts w:ascii="Times New Roman" w:hAnsi="Times New Roman" w:cs="Times New Roman" w:eastAsia="Times New Roman" w:hint="default"/>
        </w:rPr>
      </w:pPr>
      <w:r>
        <w:rPr/>
        <w:t>公司子公司上海海隆软件有限公司于</w:t>
      </w:r>
      <w:r>
        <w:rPr>
          <w:spacing w:val="-4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spacing w:val="-2"/>
        </w:rPr>
        <w:t>日</w:t>
      </w:r>
      <w:r>
        <w:rPr/>
        <w:t>与中信银行上海分行签订了</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笔远期结售汇合同</w:t>
      </w:r>
      <w:r>
        <w:rPr>
          <w:spacing w:val="-90"/>
        </w:rPr>
        <w:t>，</w:t>
      </w:r>
      <w:r>
        <w:rPr/>
        <w:t>约定自</w:t>
      </w:r>
      <w:r>
        <w:rPr>
          <w:spacing w:val="-48"/>
        </w:rPr>
        <w:t> </w:t>
      </w:r>
      <w:r>
        <w:rPr>
          <w:rFonts w:ascii="Times New Roman" w:hAnsi="Times New Roman" w:cs="Times New Roman" w:eastAsia="Times New Roman" w:hint="default"/>
        </w:rPr>
        <w:t>2015</w:t>
      </w:r>
    </w:p>
    <w:p>
      <w:pPr>
        <w:pStyle w:val="BodyText"/>
        <w:spacing w:line="240" w:lineRule="auto" w:before="63"/>
        <w:ind w:right="0"/>
        <w:jc w:val="both"/>
      </w:pPr>
      <w:r>
        <w:rPr/>
        <w:t>年</w:t>
      </w:r>
      <w:r>
        <w:rPr>
          <w:spacing w:val="-4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月起连续</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个月，每月</w:t>
      </w:r>
      <w:r>
        <w:rPr>
          <w:spacing w:val="-41"/>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日或之后第一个交易日，以固定汇率（日元</w:t>
      </w:r>
      <w:r>
        <w:rPr>
          <w:spacing w:val="-41"/>
        </w:rPr>
        <w:t> </w:t>
      </w:r>
      <w:r>
        <w:rPr>
          <w:rFonts w:ascii="Times New Roman" w:hAnsi="Times New Roman" w:cs="Times New Roman" w:eastAsia="Times New Roman" w:hint="default"/>
        </w:rPr>
        <w:t>100</w:t>
      </w:r>
      <w:r>
        <w:rPr>
          <w:rFonts w:ascii="Times New Roman" w:hAnsi="Times New Roman" w:cs="Times New Roman" w:eastAsia="Times New Roman" w:hint="default"/>
          <w:spacing w:val="3"/>
        </w:rPr>
        <w:t> </w:t>
      </w:r>
      <w:r>
        <w:rPr/>
        <w:t>元折合人民币</w:t>
      </w:r>
      <w:r>
        <w:rPr>
          <w:spacing w:val="-41"/>
        </w:rPr>
        <w:t> </w:t>
      </w:r>
      <w:r>
        <w:rPr>
          <w:rFonts w:ascii="Times New Roman" w:hAnsi="Times New Roman" w:cs="Times New Roman" w:eastAsia="Times New Roman" w:hint="default"/>
        </w:rPr>
        <w:t>5.3750</w:t>
      </w:r>
      <w:r>
        <w:rPr>
          <w:rFonts w:ascii="Times New Roman" w:hAnsi="Times New Roman" w:cs="Times New Roman" w:eastAsia="Times New Roman" w:hint="default"/>
          <w:spacing w:val="4"/>
        </w:rPr>
        <w:t> </w:t>
      </w:r>
      <w:r>
        <w:rPr/>
        <w:t>元）结汇</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亿日元。</w:t>
      </w:r>
    </w:p>
    <w:p>
      <w:pPr>
        <w:pStyle w:val="BodyText"/>
        <w:spacing w:line="240" w:lineRule="auto" w:before="63"/>
        <w:ind w:left="153" w:right="0"/>
        <w:jc w:val="both"/>
      </w:pPr>
      <w:r>
        <w:rPr/>
        <w:t>截至</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日，尚有</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笔远期结售汇合同未履行完毕，合计尚未履行金额</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亿日元。</w:t>
      </w:r>
    </w:p>
    <w:p>
      <w:pPr>
        <w:pStyle w:val="BodyText"/>
        <w:spacing w:line="240" w:lineRule="auto" w:before="63"/>
        <w:ind w:left="513" w:right="0"/>
        <w:jc w:val="left"/>
        <w:rPr>
          <w:rFonts w:ascii="Times New Roman" w:hAnsi="Times New Roman" w:cs="Times New Roman" w:eastAsia="Times New Roman" w:hint="default"/>
        </w:rPr>
      </w:pPr>
      <w:r>
        <w:rPr/>
        <w:t>公司子公司上海海隆软件有限公司于</w:t>
      </w:r>
      <w:r>
        <w:rPr>
          <w:spacing w:val="-4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日与中信银行上海分行签订了</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笔远期结售汇合同</w:t>
      </w:r>
      <w:r>
        <w:rPr>
          <w:spacing w:val="-90"/>
        </w:rPr>
        <w:t>，</w:t>
      </w:r>
      <w:r>
        <w:rPr/>
        <w:t>约定自</w:t>
      </w:r>
      <w:r>
        <w:rPr>
          <w:spacing w:val="-50"/>
        </w:rPr>
        <w:t> </w:t>
      </w:r>
      <w:r>
        <w:rPr>
          <w:rFonts w:ascii="Times New Roman" w:hAnsi="Times New Roman" w:cs="Times New Roman" w:eastAsia="Times New Roman" w:hint="default"/>
        </w:rPr>
        <w:t>2016</w:t>
      </w:r>
    </w:p>
    <w:p>
      <w:pPr>
        <w:pStyle w:val="BodyText"/>
        <w:spacing w:line="240" w:lineRule="auto" w:before="63"/>
        <w:ind w:left="153" w:right="0"/>
        <w:jc w:val="both"/>
      </w:pPr>
      <w:r>
        <w:rPr/>
        <w:t>年</w:t>
      </w:r>
      <w:r>
        <w:rPr>
          <w:spacing w:val="-45"/>
        </w:rPr>
        <w:t> </w:t>
      </w:r>
      <w:r>
        <w:rPr>
          <w:rFonts w:ascii="Times New Roman" w:hAnsi="Times New Roman" w:cs="Times New Roman" w:eastAsia="Times New Roman" w:hint="default"/>
        </w:rPr>
        <w:t>1 </w:t>
      </w:r>
      <w:r>
        <w:rPr/>
        <w:t>月起连续</w:t>
      </w:r>
      <w:r>
        <w:rPr>
          <w:spacing w:val="-45"/>
        </w:rPr>
        <w:t> </w:t>
      </w:r>
      <w:r>
        <w:rPr>
          <w:rFonts w:ascii="Times New Roman" w:hAnsi="Times New Roman" w:cs="Times New Roman" w:eastAsia="Times New Roman" w:hint="default"/>
        </w:rPr>
        <w:t>12 </w:t>
      </w:r>
      <w:r>
        <w:rPr>
          <w:spacing w:val="-7"/>
        </w:rPr>
        <w:t>个月，每月</w:t>
      </w:r>
      <w:r>
        <w:rPr>
          <w:spacing w:val="-45"/>
        </w:rPr>
        <w:t> </w:t>
      </w:r>
      <w:r>
        <w:rPr>
          <w:rFonts w:ascii="Times New Roman" w:hAnsi="Times New Roman" w:cs="Times New Roman" w:eastAsia="Times New Roman" w:hint="default"/>
        </w:rPr>
        <w:t>15 </w:t>
      </w:r>
      <w:r>
        <w:rPr>
          <w:spacing w:val="-4"/>
        </w:rPr>
        <w:t>日或之后第一个交易日，以固定汇率（日元</w:t>
      </w:r>
      <w:r>
        <w:rPr>
          <w:spacing w:val="-45"/>
        </w:rPr>
        <w:t> </w:t>
      </w:r>
      <w:r>
        <w:rPr>
          <w:rFonts w:ascii="Times New Roman" w:hAnsi="Times New Roman" w:cs="Times New Roman" w:eastAsia="Times New Roman" w:hint="default"/>
        </w:rPr>
        <w:t>100 </w:t>
      </w:r>
      <w:r>
        <w:rPr/>
        <w:t>元折合人民币</w:t>
      </w:r>
      <w:r>
        <w:rPr>
          <w:spacing w:val="-45"/>
        </w:rPr>
        <w:t> </w:t>
      </w:r>
      <w:r>
        <w:rPr>
          <w:rFonts w:ascii="Times New Roman" w:hAnsi="Times New Roman" w:cs="Times New Roman" w:eastAsia="Times New Roman" w:hint="default"/>
        </w:rPr>
        <w:t>5.3300 </w:t>
      </w:r>
      <w:r>
        <w:rPr>
          <w:spacing w:val="-8"/>
        </w:rPr>
        <w:t>元）结汇</w:t>
      </w:r>
      <w:r>
        <w:rPr>
          <w:spacing w:val="-45"/>
        </w:rPr>
        <w:t> </w:t>
      </w:r>
      <w:r>
        <w:rPr>
          <w:rFonts w:ascii="Times New Roman" w:hAnsi="Times New Roman" w:cs="Times New Roman" w:eastAsia="Times New Roman" w:hint="default"/>
        </w:rPr>
        <w:t>5 </w:t>
      </w:r>
      <w:r>
        <w:rPr/>
        <w:t>千万日元。</w:t>
      </w:r>
    </w:p>
    <w:p>
      <w:pPr>
        <w:pStyle w:val="BodyText"/>
        <w:spacing w:line="300" w:lineRule="auto" w:before="63"/>
        <w:ind w:left="513" w:right="1163" w:hanging="360"/>
        <w:jc w:val="left"/>
      </w:pPr>
      <w:r>
        <w:rPr/>
        <w:t>截至</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日，该</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笔远期结售汇合同尚未履行，合计尚未履行金额</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亿日元。</w:t>
      </w:r>
      <w:r>
        <w:rPr>
          <w:spacing w:val="-88"/>
        </w:rPr>
        <w:t> </w:t>
      </w:r>
      <w:r>
        <w:rPr>
          <w:spacing w:val="-88"/>
        </w:rPr>
      </w:r>
      <w:r>
        <w:rPr/>
        <w:t>根据公司交易对手中信银行提供的《上海海隆软件有限公司远期结售汇</w:t>
      </w:r>
      <w:r>
        <w:rPr>
          <w:rFonts w:ascii="Times New Roman" w:hAnsi="Times New Roman" w:cs="Times New Roman" w:eastAsia="Times New Roman" w:hint="default"/>
        </w:rPr>
        <w:t>/</w:t>
      </w:r>
      <w:r>
        <w:rPr/>
        <w:t>掉期市值评估报告》确定前述尚未履行</w:t>
      </w:r>
      <w:r>
        <w:rPr>
          <w:rFonts w:ascii="Times New Roman" w:hAnsi="Times New Roman" w:cs="Times New Roman" w:eastAsia="Times New Roman" w:hint="default"/>
        </w:rPr>
        <w:t>22</w:t>
      </w:r>
      <w:r>
        <w:rPr/>
        <w:t>笔远</w:t>
      </w:r>
    </w:p>
    <w:p>
      <w:pPr>
        <w:pStyle w:val="BodyText"/>
        <w:spacing w:line="300" w:lineRule="auto" w:before="13"/>
        <w:ind w:right="1131"/>
        <w:jc w:val="left"/>
      </w:pPr>
      <w:r>
        <w:rPr>
          <w:spacing w:val="-1"/>
        </w:rPr>
        <w:t>期结售汇合同的公允价值为人民币</w:t>
      </w:r>
      <w:r>
        <w:rPr>
          <w:rFonts w:ascii="Times New Roman" w:hAnsi="Times New Roman" w:cs="Times New Roman" w:eastAsia="Times New Roman" w:hint="default"/>
          <w:spacing w:val="-1"/>
        </w:rPr>
        <w:t>-2,108,450.00</w:t>
      </w:r>
      <w:r>
        <w:rPr>
          <w:spacing w:val="-1"/>
        </w:rPr>
        <w:t>元，确认为以公允价值计量且其变动计入当期损益的金融负债，同时确认公</w:t>
      </w:r>
      <w:r>
        <w:rPr>
          <w:spacing w:val="-39"/>
        </w:rPr>
        <w:t> </w:t>
      </w:r>
      <w:r>
        <w:rPr>
          <w:spacing w:val="-39"/>
        </w:rPr>
      </w:r>
      <w:r>
        <w:rPr/>
        <w:t>允价值变动损益人民币</w:t>
      </w:r>
      <w:r>
        <w:rPr>
          <w:rFonts w:ascii="Times New Roman" w:hAnsi="Times New Roman" w:cs="Times New Roman" w:eastAsia="Times New Roman" w:hint="default"/>
        </w:rPr>
        <w:t>-2,108,450.00</w:t>
      </w:r>
      <w:r>
        <w:rPr/>
        <w:t>元。</w:t>
      </w:r>
    </w:p>
    <w:p>
      <w:pPr>
        <w:spacing w:line="240" w:lineRule="auto" w:before="1"/>
        <w:rPr>
          <w:rFonts w:ascii="宋体" w:hAnsi="宋体" w:cs="宋体" w:eastAsia="宋体" w:hint="default"/>
          <w:sz w:val="22"/>
          <w:szCs w:val="22"/>
        </w:rPr>
      </w:pPr>
    </w:p>
    <w:p>
      <w:pPr>
        <w:pStyle w:val="Heading6"/>
        <w:spacing w:line="240" w:lineRule="auto"/>
        <w:ind w:left="154" w:right="0"/>
        <w:jc w:val="both"/>
        <w:rPr>
          <w:b w:val="0"/>
          <w:bCs w:val="0"/>
        </w:rPr>
      </w:pPr>
      <w:bookmarkStart w:name="33、衍生金融负债" w:id="319"/>
      <w:bookmarkEnd w:id="319"/>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0"/>
        <w:jc w:val="both"/>
        <w:rPr>
          <w:b w:val="0"/>
          <w:bCs w:val="0"/>
        </w:rPr>
      </w:pPr>
      <w:bookmarkStart w:name="34、应付票据" w:id="320"/>
      <w:bookmarkEnd w:id="320"/>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6"/>
        <w:spacing w:line="240" w:lineRule="auto"/>
        <w:ind w:left="154" w:right="0"/>
        <w:jc w:val="left"/>
        <w:rPr>
          <w:b w:val="0"/>
          <w:bCs w:val="0"/>
        </w:rPr>
      </w:pPr>
      <w:bookmarkStart w:name="35、应付账款" w:id="321"/>
      <w:bookmarkEnd w:id="321"/>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应付账款列示" w:id="322"/>
      <w:bookmarkEnd w:id="322"/>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103,964,669.85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106,211,224.48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104,004,669.85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106,211,224.48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2）账龄超过1年的重要应付账款" w:id="323"/>
      <w:bookmarkEnd w:id="323"/>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36、预收款项" w:id="324"/>
      <w:bookmarkEnd w:id="324"/>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预收款项列示" w:id="325"/>
      <w:bookmarkEnd w:id="325"/>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40,869,642.50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36,566,832.55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40,869,642.50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36,566,832.55</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账龄超过1年的重要预收款项" w:id="326"/>
      <w:bookmarkEnd w:id="32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6"/>
        <w:spacing w:line="240" w:lineRule="auto" w:before="35"/>
        <w:ind w:left="154" w:right="0"/>
        <w:jc w:val="left"/>
        <w:rPr>
          <w:b w:val="0"/>
          <w:bCs w:val="0"/>
        </w:rPr>
      </w:pPr>
      <w:bookmarkStart w:name="（3）期末建造合同形成的已结算未完工项目情况" w:id="327"/>
      <w:bookmarkEnd w:id="327"/>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37、应付职工薪酬" w:id="328"/>
      <w:bookmarkEnd w:id="328"/>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7" w:footer="979" w:top="1060" w:bottom="1160" w:left="980" w:right="0"/>
        </w:sectPr>
      </w:pPr>
    </w:p>
    <w:p>
      <w:pPr>
        <w:pStyle w:val="Heading6"/>
        <w:spacing w:line="240" w:lineRule="auto" w:before="35"/>
        <w:ind w:left="154" w:right="0"/>
        <w:jc w:val="left"/>
        <w:rPr>
          <w:b w:val="0"/>
          <w:bCs w:val="0"/>
        </w:rPr>
      </w:pPr>
      <w:r>
        <w:rPr>
          <w:w w:val="95"/>
        </w:rPr>
        <w:t>（</w:t>
      </w:r>
      <w:r>
        <w:rPr>
          <w:rFonts w:ascii="Times New Roman" w:hAnsi="Times New Roman" w:cs="Times New Roman" w:eastAsia="Times New Roman" w:hint="default"/>
          <w:w w:val="95"/>
        </w:rPr>
        <w:t>1</w:t>
      </w:r>
      <w:r>
        <w:rPr>
          <w:w w:val="95"/>
        </w:rPr>
        <w:t>）应付职工薪酬列示</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7"/>
        <w:rPr>
          <w:rFonts w:ascii="宋体" w:hAnsi="宋体" w:cs="宋体" w:eastAsia="宋体" w:hint="default"/>
          <w:b/>
          <w:bCs/>
          <w:sz w:val="13"/>
          <w:szCs w:val="13"/>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2367" w:space="6463"/>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23,400,513.30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372,533,054.74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334,662,719.28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61,270,848.76</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2,460,877.27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35,710,908.36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35,190,544.87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2,981,240.76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44,322.00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44,322.00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66"/>
              <w:jc w:val="left"/>
              <w:rPr>
                <w:rFonts w:ascii="宋体" w:hAnsi="宋体" w:cs="宋体" w:eastAsia="宋体" w:hint="default"/>
                <w:sz w:val="18"/>
                <w:szCs w:val="18"/>
              </w:rPr>
            </w:pPr>
            <w:r>
              <w:rPr>
                <w:rFonts w:ascii="宋体" w:hAnsi="宋体" w:cs="宋体" w:eastAsia="宋体" w:hint="default"/>
                <w:sz w:val="18"/>
                <w:szCs w:val="18"/>
              </w:rPr>
              <w:t>四、一年内到期的其他 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C6ECC9"/>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25,861,390.57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408,288,285.10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369,897,586.15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64,252,089.52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2）短期薪酬列示" w:id="329"/>
      <w:bookmarkEnd w:id="329"/>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21,242,272.88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322,956,042.01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285,467,959.42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58,730,355.47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15,029,683.92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15,029,683.92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1,375,544.42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18,872,767.16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18,564,939.29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1,683,372.29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1,226,194.64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16,640,600.87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16,365,020.62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1,501,774.89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52,105.47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852,607.03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843,438.42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61,274.08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97,244.31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1,379,559.26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1,356,480.25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120,323.32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9"/>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782,696.00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11,864,262.00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11,789,837.00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857,121.00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3,810,299.65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3,810,299.65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、短期利润分享计划</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9"/>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23,400,513.30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372,533,054.74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334,662,719.28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61,270,848.76</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3）设定提存计划列示" w:id="330"/>
      <w:bookmarkEnd w:id="330"/>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2,311,218.38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33,615,059.00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33,111,593.00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2,814,684.38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149,658.89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2,095,849.36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2,078,951.87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166,556.38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C6ECC9"/>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2,460,877.27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35,710,908.36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35,190,544.87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2,981,240.76</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38、应交税费" w:id="331"/>
      <w:bookmarkEnd w:id="331"/>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24,362,510.68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216,449.38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6,230,566.55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6,401,842.20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72,060.16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49,123,916.69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24,311,081.16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1,257,903.90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1,105,983.68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274,955.45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3,152.52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515,280.60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515,280.60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1,218,119.73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14,489.70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243,574.15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2,855.54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文化事业费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185,467.27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579,878.23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83,412,295.02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33,223,073.17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39、应付利息" w:id="332"/>
      <w:bookmarkEnd w:id="332"/>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重要的已逾期未支付的利息情况：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40、应付股利" w:id="333"/>
      <w:bookmarkEnd w:id="333"/>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41、其他应付款" w:id="334"/>
      <w:bookmarkEnd w:id="334"/>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按款项性质列示其他应付款" w:id="335"/>
      <w:bookmarkEnd w:id="335"/>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10,718,716.51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4,032,057.52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688,886.65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623,362.32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11,407,603.16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4,655,419.84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2）账龄超过1年的重要其他应付款" w:id="336"/>
      <w:bookmarkEnd w:id="33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42、划分为持有待售的负债" w:id="337"/>
      <w:bookmarkEnd w:id="337"/>
      <w:r>
        <w:rPr>
          <w:b w:val="0"/>
          <w:bCs w:val="0"/>
        </w:rPr>
      </w:r>
      <w:r>
        <w:rPr>
          <w:rFonts w:ascii="Times New Roman" w:hAnsi="Times New Roman" w:cs="Times New Roman" w:eastAsia="Times New Roman" w:hint="default"/>
        </w:rPr>
        <w:t>42</w:t>
      </w:r>
      <w:r>
        <w:rPr/>
        <w:t>、划分为持有待售的负债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43、一年内到期的非流动负债" w:id="338"/>
      <w:bookmarkEnd w:id="338"/>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44、其他流动负债" w:id="339"/>
      <w:bookmarkEnd w:id="339"/>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短期应付债券的增减变动：</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45、长期借款" w:id="340"/>
      <w:bookmarkEnd w:id="340"/>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长期借款分类" w:id="341"/>
      <w:bookmarkEnd w:id="341"/>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51"/>
        <w:ind w:right="8592"/>
        <w:jc w:val="left"/>
      </w:pPr>
      <w:r>
        <w:rPr/>
        <w:t>长期借款分类的说明： 其他说明，包括利率区间：</w:t>
      </w:r>
    </w:p>
    <w:p>
      <w:pPr>
        <w:spacing w:after="0" w:line="36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46、应付债券" w:id="342"/>
      <w:bookmarkEnd w:id="342"/>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应付债券" w:id="343"/>
      <w:bookmarkEnd w:id="343"/>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6"/>
        <w:spacing w:line="240" w:lineRule="auto" w:before="35"/>
        <w:ind w:left="154" w:right="0"/>
        <w:jc w:val="left"/>
        <w:rPr>
          <w:b w:val="0"/>
          <w:bCs w:val="0"/>
        </w:rPr>
      </w:pPr>
      <w:bookmarkStart w:name="（2）应付债券的增减变动（不包括划分为金融负债的优先股、永续债等其他金融工具）" w:id="344"/>
      <w:bookmarkEnd w:id="344"/>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24"/>
          <w:szCs w:val="24"/>
        </w:rPr>
      </w:pPr>
    </w:p>
    <w:p>
      <w:pPr>
        <w:pStyle w:val="Heading6"/>
        <w:spacing w:line="240" w:lineRule="auto" w:before="35"/>
        <w:ind w:right="0"/>
        <w:jc w:val="left"/>
        <w:rPr>
          <w:b w:val="0"/>
          <w:bCs w:val="0"/>
        </w:rPr>
      </w:pPr>
      <w:bookmarkStart w:name="（3）可转换公司债券的转股条件、转股时间说明" w:id="345"/>
      <w:bookmarkEnd w:id="345"/>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4）划分为金融负债的其他金融工具说明" w:id="346"/>
      <w:bookmarkEnd w:id="346"/>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7" w:lineRule="auto"/>
        <w:ind w:left="153" w:right="-19"/>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655" w:space="417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7512"/>
        <w:jc w:val="left"/>
      </w:pPr>
      <w:r>
        <w:rPr/>
        <w:t>其他金融工具划分为金融负债的依据说明 其他说明</w:t>
      </w:r>
    </w:p>
    <w:p>
      <w:pPr>
        <w:spacing w:line="240" w:lineRule="auto" w:before="11"/>
        <w:rPr>
          <w:rFonts w:ascii="宋体" w:hAnsi="宋体" w:cs="宋体" w:eastAsia="宋体" w:hint="default"/>
          <w:sz w:val="19"/>
          <w:szCs w:val="19"/>
        </w:rPr>
      </w:pPr>
    </w:p>
    <w:p>
      <w:pPr>
        <w:pStyle w:val="Heading6"/>
        <w:spacing w:line="240" w:lineRule="auto"/>
        <w:ind w:left="154" w:right="0"/>
        <w:jc w:val="left"/>
        <w:rPr>
          <w:b w:val="0"/>
          <w:bCs w:val="0"/>
        </w:rPr>
      </w:pPr>
      <w:bookmarkStart w:name="47、长期应付款" w:id="347"/>
      <w:bookmarkEnd w:id="347"/>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按款项性质列示长期应付款" w:id="348"/>
      <w:bookmarkEnd w:id="348"/>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48、长期应付职工薪酬" w:id="349"/>
      <w:bookmarkEnd w:id="349"/>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长期应付职工薪酬表" w:id="350"/>
      <w:bookmarkEnd w:id="350"/>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6"/>
        <w:spacing w:line="240" w:lineRule="auto" w:before="35"/>
        <w:ind w:left="154" w:right="0"/>
        <w:jc w:val="left"/>
        <w:rPr>
          <w:b w:val="0"/>
          <w:bCs w:val="0"/>
        </w:rPr>
      </w:pPr>
      <w:bookmarkStart w:name="（2）设定受益计划变动情况" w:id="351"/>
      <w:bookmarkEnd w:id="351"/>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设定受益计划义务现值：</w:t>
      </w:r>
    </w:p>
    <w:p>
      <w:pPr>
        <w:pStyle w:val="BodyText"/>
        <w:spacing w:line="240" w:lineRule="auto" w:before="116"/>
        <w:ind w:left="0"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计划资产：</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0"/>
        <w:jc w:val="left"/>
      </w:pPr>
      <w:r>
        <w:rPr/>
        <w:t>设定受益计划净负债（净资产）</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51"/>
        <w:ind w:left="153" w:right="3553"/>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6"/>
        <w:ind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left="154" w:right="0"/>
        <w:jc w:val="left"/>
        <w:rPr>
          <w:b w:val="0"/>
          <w:bCs w:val="0"/>
        </w:rPr>
      </w:pPr>
      <w:bookmarkStart w:name="49、专项应付款" w:id="352"/>
      <w:bookmarkEnd w:id="352"/>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50、预计负债" w:id="353"/>
      <w:bookmarkEnd w:id="353"/>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5,217,038.60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其中：信用金风险资产减值</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5,217,038.60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5,217,038.60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514" w:right="0" w:hanging="360"/>
        <w:jc w:val="left"/>
      </w:pPr>
      <w:r>
        <w:rPr/>
        <w:t>其他说明，包括重要预计负债的相关重要假设、估计说明： </w:t>
      </w:r>
      <w:r>
        <w:rPr>
          <w:spacing w:val="-2"/>
        </w:rPr>
        <w:t>公司与中银消费金融有限公司合作开发信用金业务，根据双签订的合作协议，双方约定各自按比例承担中银消费金融有</w:t>
      </w:r>
    </w:p>
    <w:p>
      <w:pPr>
        <w:pStyle w:val="BodyText"/>
        <w:spacing w:line="224" w:lineRule="exact" w:before="0"/>
        <w:ind w:right="0"/>
        <w:jc w:val="left"/>
      </w:pPr>
      <w:r>
        <w:rPr/>
        <w:t>限公司因信用金业务产生的风险资产。期末，本公司对中银消费金融有限公司因信用金产生的风险资产中由公司承担部分，</w:t>
      </w:r>
    </w:p>
    <w:p>
      <w:pPr>
        <w:pStyle w:val="BodyText"/>
        <w:spacing w:line="240" w:lineRule="auto" w:before="77"/>
        <w:ind w:right="0"/>
        <w:jc w:val="left"/>
      </w:pPr>
      <w:r>
        <w:rPr/>
        <w:t>按照个别认定法进行了减值测试，并按减值金额计提了预计负债。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6"/>
        <w:spacing w:line="240" w:lineRule="auto"/>
        <w:ind w:right="0"/>
        <w:jc w:val="left"/>
        <w:rPr>
          <w:b w:val="0"/>
          <w:bCs w:val="0"/>
        </w:rPr>
      </w:pPr>
      <w:bookmarkStart w:name="51、递延收益" w:id="354"/>
      <w:bookmarkEnd w:id="354"/>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709,333.33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1,101,166.67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828,166.66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709,333.33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1,101,166.67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828,166.66</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6"/>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人才培育补助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服务外包专项补 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大数据分析平台 补助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436,333.33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218,166.67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218,166.66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2345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跨终端影视 运营服务平台项 目补助</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9"/>
              <w:jc w:val="both"/>
              <w:rPr>
                <w:rFonts w:ascii="宋体" w:hAnsi="宋体" w:cs="宋体" w:eastAsia="宋体" w:hint="default"/>
                <w:sz w:val="18"/>
                <w:szCs w:val="18"/>
              </w:rPr>
            </w:pPr>
            <w:r>
              <w:rPr>
                <w:rFonts w:ascii="宋体" w:hAnsi="宋体" w:cs="宋体" w:eastAsia="宋体" w:hint="default"/>
                <w:sz w:val="18"/>
                <w:szCs w:val="18"/>
              </w:rPr>
              <w:t>面向移动互联网 入口服务的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2345 </w:t>
            </w:r>
            <w:r>
              <w:rPr>
                <w:rFonts w:ascii="宋体" w:hAnsi="宋体" w:cs="宋体" w:eastAsia="宋体" w:hint="default"/>
                <w:sz w:val="18"/>
                <w:szCs w:val="18"/>
              </w:rPr>
              <w:t>手机浏览器综合 应用平台项目补 助</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网址导航项目补 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709,333.33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1,101,166.67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828,166.66</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52、其他非流动负债" w:id="355"/>
      <w:bookmarkEnd w:id="355"/>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53、股本" w:id="356"/>
      <w:bookmarkEnd w:id="356"/>
      <w:r>
        <w:rPr>
          <w:b w:val="0"/>
          <w:bCs w:val="0"/>
        </w:rPr>
      </w: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348,693,088.00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523,039,632.00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523,039,632.00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871,732,720.00</w:t>
            </w:r>
          </w:p>
        </w:tc>
      </w:tr>
    </w:tbl>
    <w:p>
      <w:pPr>
        <w:pStyle w:val="BodyText"/>
        <w:spacing w:line="240" w:lineRule="auto" w:before="51"/>
        <w:ind w:right="0"/>
        <w:jc w:val="left"/>
      </w:pPr>
      <w:r>
        <w:rPr/>
        <w:t>其他说明：</w:t>
      </w:r>
    </w:p>
    <w:p>
      <w:pPr>
        <w:pStyle w:val="BodyText"/>
        <w:spacing w:line="240" w:lineRule="auto" w:before="116"/>
        <w:ind w:left="514"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月，公司股东大会审议通过</w:t>
      </w:r>
      <w:r>
        <w:rPr>
          <w:spacing w:val="-5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年度利润分配方案：以</w:t>
      </w:r>
      <w:r>
        <w:rPr>
          <w:spacing w:val="-5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年末总股本</w:t>
      </w:r>
      <w:r>
        <w:rPr>
          <w:spacing w:val="-51"/>
        </w:rPr>
        <w:t> </w:t>
      </w:r>
      <w:r>
        <w:rPr>
          <w:rFonts w:ascii="Times New Roman" w:hAnsi="Times New Roman" w:cs="Times New Roman" w:eastAsia="Times New Roman" w:hint="default"/>
        </w:rPr>
        <w:t>348,693,088</w:t>
      </w:r>
      <w:r>
        <w:rPr>
          <w:rFonts w:ascii="Times New Roman" w:hAnsi="Times New Roman" w:cs="Times New Roman" w:eastAsia="Times New Roman" w:hint="default"/>
          <w:spacing w:val="-5"/>
        </w:rPr>
        <w:t> </w:t>
      </w:r>
      <w:r>
        <w:rPr/>
        <w:t>股为基数，向全体股东</w:t>
      </w:r>
    </w:p>
    <w:p>
      <w:pPr>
        <w:pStyle w:val="BodyText"/>
        <w:spacing w:line="240" w:lineRule="auto" w:before="63"/>
        <w:ind w:right="0"/>
        <w:jc w:val="left"/>
      </w:pPr>
      <w:r>
        <w:rPr/>
        <w:t>派发现金股利</w:t>
      </w:r>
      <w:r>
        <w:rPr>
          <w:spacing w:val="-14"/>
        </w:rPr>
        <w:t>，</w:t>
      </w:r>
      <w:r>
        <w:rPr/>
        <w:t>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w:t>
      </w:r>
      <w:r>
        <w:rPr>
          <w:spacing w:val="-45"/>
        </w:rPr>
        <w:t> </w:t>
      </w:r>
      <w:r>
        <w:rPr>
          <w:rFonts w:ascii="Times New Roman" w:hAnsi="Times New Roman" w:cs="Times New Roman" w:eastAsia="Times New Roman" w:hint="default"/>
        </w:rPr>
        <w:t>1 </w:t>
      </w:r>
      <w:r>
        <w:rPr>
          <w:spacing w:val="-14"/>
        </w:rPr>
        <w:t>元</w:t>
      </w:r>
      <w:r>
        <w:rPr/>
        <w:t>（含税</w:t>
      </w:r>
      <w:r>
        <w:rPr>
          <w:spacing w:val="-90"/>
        </w:rPr>
        <w:t>）</w:t>
      </w:r>
      <w:r>
        <w:rPr>
          <w:spacing w:val="-14"/>
        </w:rPr>
        <w:t>，</w:t>
      </w:r>
      <w:r>
        <w:rPr>
          <w:spacing w:val="-2"/>
        </w:rPr>
        <w:t>同</w:t>
      </w:r>
      <w:r>
        <w:rPr/>
        <w:t>时以资本公积转增股本</w:t>
      </w:r>
      <w:r>
        <w:rPr>
          <w:spacing w:val="-14"/>
        </w:rPr>
        <w:t>，</w:t>
      </w:r>
      <w:r>
        <w:rPr/>
        <w:t>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spacing w:val="1"/>
        </w:rPr>
        <w:t>股</w:t>
      </w:r>
      <w:r>
        <w:rPr>
          <w:spacing w:val="-14"/>
        </w:rPr>
        <w:t>。</w:t>
      </w:r>
      <w:r>
        <w:rPr/>
        <w:t>截止</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w:t>
      </w:r>
      <w:r>
        <w:rPr>
          <w:spacing w:val="-14"/>
        </w:rPr>
        <w:t>，</w:t>
      </w:r>
      <w:r>
        <w:rPr>
          <w:spacing w:val="1"/>
        </w:rPr>
        <w:t>公</w:t>
      </w:r>
      <w:r>
        <w:rPr/>
        <w:t>司完成</w:t>
      </w:r>
    </w:p>
    <w:p>
      <w:pPr>
        <w:pStyle w:val="BodyText"/>
        <w:spacing w:line="240" w:lineRule="auto" w:before="63"/>
        <w:ind w:right="0"/>
        <w:jc w:val="left"/>
      </w:pPr>
      <w:r>
        <w:rPr/>
        <w:t>资本公积转增股本相关手续，股本总额变更为</w:t>
      </w:r>
      <w:r>
        <w:rPr>
          <w:spacing w:val="-47"/>
        </w:rPr>
        <w:t> </w:t>
      </w:r>
      <w:r>
        <w:rPr>
          <w:rFonts w:ascii="Times New Roman" w:hAnsi="Times New Roman" w:cs="Times New Roman" w:eastAsia="Times New Roman" w:hint="default"/>
        </w:rPr>
        <w:t>871,732,720</w:t>
      </w:r>
      <w:r>
        <w:rPr>
          <w:rFonts w:ascii="Times New Roman" w:hAnsi="Times New Roman" w:cs="Times New Roman" w:eastAsia="Times New Roman" w:hint="default"/>
          <w:spacing w:val="-1"/>
        </w:rPr>
        <w:t> </w:t>
      </w:r>
      <w:r>
        <w:rPr/>
        <w:t>元。上述股本增加已经立信会计师事务所（特殊普通合伙）出具</w:t>
      </w:r>
    </w:p>
    <w:p>
      <w:pPr>
        <w:pStyle w:val="BodyText"/>
        <w:spacing w:line="240" w:lineRule="auto" w:before="64"/>
        <w:ind w:right="0"/>
        <w:jc w:val="left"/>
      </w:pPr>
      <w:r>
        <w:rPr/>
        <w:t>信会师报字</w:t>
      </w:r>
      <w:r>
        <w:rPr>
          <w:rFonts w:ascii="Times New Roman" w:hAnsi="Times New Roman" w:cs="Times New Roman" w:eastAsia="Times New Roman" w:hint="default"/>
        </w:rPr>
        <w:t>[2015]</w:t>
      </w:r>
      <w:r>
        <w:rPr/>
        <w:t>第</w:t>
      </w:r>
      <w:r>
        <w:rPr>
          <w:spacing w:val="-50"/>
        </w:rPr>
        <w:t> </w:t>
      </w:r>
      <w:r>
        <w:rPr>
          <w:rFonts w:ascii="Times New Roman" w:hAnsi="Times New Roman" w:cs="Times New Roman" w:eastAsia="Times New Roman" w:hint="default"/>
        </w:rPr>
        <w:t>115847</w:t>
      </w:r>
      <w:r>
        <w:rPr>
          <w:rFonts w:ascii="Times New Roman" w:hAnsi="Times New Roman" w:cs="Times New Roman" w:eastAsia="Times New Roman" w:hint="default"/>
          <w:spacing w:val="-6"/>
        </w:rPr>
        <w:t> </w:t>
      </w:r>
      <w:r>
        <w:rPr/>
        <w:t>号验资报告验证。</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54、其他权益工具" w:id="357"/>
      <w:bookmarkEnd w:id="357"/>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期末发行在外的优先股、永续债等其他金融工具基本情况" w:id="358"/>
      <w:bookmarkEnd w:id="358"/>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54" w:right="0"/>
        <w:jc w:val="left"/>
        <w:rPr>
          <w:b w:val="0"/>
          <w:bCs w:val="0"/>
        </w:rPr>
      </w:pPr>
      <w:bookmarkStart w:name="（2）期末发行在外的优先股、永续债等金融工具变动情况表" w:id="359"/>
      <w:bookmarkEnd w:id="359"/>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left="153" w:right="4633"/>
        <w:jc w:val="left"/>
      </w:pPr>
      <w:r>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6"/>
        <w:spacing w:line="240" w:lineRule="auto"/>
        <w:ind w:right="0"/>
        <w:jc w:val="left"/>
        <w:rPr>
          <w:b w:val="0"/>
          <w:bCs w:val="0"/>
        </w:rPr>
      </w:pPr>
      <w:bookmarkStart w:name="55、资本公积" w:id="360"/>
      <w:bookmarkEnd w:id="360"/>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3,341,781,760.53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523,891,872.43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2,817,889,888.10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3,927,108.26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415,200.00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4,342,308.26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3,345,708,868.79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415,200.00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523,891,872.43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2,822,232,196.36</w:t>
            </w:r>
          </w:p>
        </w:tc>
      </w:tr>
    </w:tbl>
    <w:p>
      <w:pPr>
        <w:pStyle w:val="BodyText"/>
        <w:spacing w:line="240" w:lineRule="auto" w:before="51"/>
        <w:ind w:right="0"/>
        <w:jc w:val="left"/>
      </w:pPr>
      <w:r>
        <w:rPr/>
        <w:t>其他说明，包括本期增减变动情况、变动原因说明：</w:t>
      </w:r>
    </w:p>
    <w:p>
      <w:pPr>
        <w:pStyle w:val="BodyText"/>
        <w:spacing w:line="300" w:lineRule="auto" w:before="116"/>
        <w:ind w:left="153" w:right="1140" w:firstLine="360"/>
        <w:jc w:val="left"/>
      </w:pPr>
      <w:r>
        <w:rPr/>
        <w:t>（</w:t>
      </w:r>
      <w:r>
        <w:rPr>
          <w:rFonts w:ascii="Times New Roman" w:hAnsi="Times New Roman" w:cs="Times New Roman" w:eastAsia="Times New Roman" w:hint="default"/>
        </w:rPr>
        <w:t>1</w:t>
      </w:r>
      <w:r>
        <w:rPr/>
        <w:t>）本期资本公积（股本溢价）减少</w:t>
      </w:r>
      <w:r>
        <w:rPr>
          <w:spacing w:val="-53"/>
        </w:rPr>
        <w:t> </w:t>
      </w:r>
      <w:r>
        <w:rPr>
          <w:rFonts w:ascii="Times New Roman" w:hAnsi="Times New Roman" w:cs="Times New Roman" w:eastAsia="Times New Roman" w:hint="default"/>
        </w:rPr>
        <w:t>523,891,872.43</w:t>
      </w:r>
      <w:r>
        <w:rPr>
          <w:rFonts w:ascii="Times New Roman" w:hAnsi="Times New Roman" w:cs="Times New Roman" w:eastAsia="Times New Roman" w:hint="default"/>
          <w:spacing w:val="-7"/>
        </w:rPr>
        <w:t> </w:t>
      </w:r>
      <w:r>
        <w:rPr>
          <w:spacing w:val="-3"/>
        </w:rPr>
        <w:t>元。其中</w:t>
      </w:r>
      <w:r>
        <w:rPr>
          <w:spacing w:val="-53"/>
        </w:rPr>
        <w:t> </w:t>
      </w:r>
      <w:r>
        <w:rPr>
          <w:rFonts w:ascii="Times New Roman" w:hAnsi="Times New Roman" w:cs="Times New Roman" w:eastAsia="Times New Roman" w:hint="default"/>
        </w:rPr>
        <w:t>523,039,632.00</w:t>
      </w:r>
      <w:r>
        <w:rPr>
          <w:rFonts w:ascii="Times New Roman" w:hAnsi="Times New Roman" w:cs="Times New Roman" w:eastAsia="Times New Roman" w:hint="default"/>
          <w:spacing w:val="-7"/>
        </w:rPr>
        <w:t> </w:t>
      </w:r>
      <w:r>
        <w:rPr>
          <w:spacing w:val="-3"/>
        </w:rPr>
        <w:t>元原因见附注“</w:t>
      </w:r>
      <w:r>
        <w:rPr>
          <w:rFonts w:ascii="Times New Roman" w:hAnsi="Times New Roman" w:cs="Times New Roman" w:eastAsia="Times New Roman" w:hint="default"/>
          <w:spacing w:val="-3"/>
        </w:rPr>
        <w:t>53</w:t>
      </w:r>
      <w:r>
        <w:rPr>
          <w:spacing w:val="-3"/>
        </w:rPr>
        <w:t>、股本”变动说明；其</w:t>
      </w:r>
      <w:r>
        <w:rPr>
          <w:spacing w:val="-10"/>
        </w:rPr>
        <w:t> </w:t>
      </w:r>
      <w:r>
        <w:rPr/>
        <w:t>中</w:t>
      </w:r>
      <w:r>
        <w:rPr>
          <w:spacing w:val="-46"/>
        </w:rPr>
        <w:t> </w:t>
      </w:r>
      <w:r>
        <w:rPr>
          <w:rFonts w:ascii="Times New Roman" w:hAnsi="Times New Roman" w:cs="Times New Roman" w:eastAsia="Times New Roman" w:hint="default"/>
        </w:rPr>
        <w:t>852,240.43 </w:t>
      </w:r>
      <w:r>
        <w:rPr/>
        <w:t>元原因公司购买株式会社电通国际信息服务持有控股子公司上海华钟计算机软件开发有限公司</w:t>
      </w:r>
      <w:r>
        <w:rPr>
          <w:spacing w:val="-45"/>
        </w:rPr>
        <w:t> </w:t>
      </w:r>
      <w:r>
        <w:rPr>
          <w:rFonts w:ascii="Times New Roman" w:hAnsi="Times New Roman" w:cs="Times New Roman" w:eastAsia="Times New Roman" w:hint="default"/>
        </w:rPr>
        <w:t>39%</w:t>
      </w:r>
      <w:r>
        <w:rPr/>
        <w:t>的少数股 权，支付购买款</w:t>
      </w:r>
      <w:r>
        <w:rPr>
          <w:spacing w:val="-47"/>
        </w:rPr>
        <w:t> </w:t>
      </w:r>
      <w:r>
        <w:rPr>
          <w:rFonts w:ascii="Times New Roman" w:hAnsi="Times New Roman" w:cs="Times New Roman" w:eastAsia="Times New Roman" w:hint="default"/>
        </w:rPr>
        <w:t>9,860,261.34</w:t>
      </w:r>
      <w:r>
        <w:rPr>
          <w:rFonts w:ascii="Times New Roman" w:hAnsi="Times New Roman" w:cs="Times New Roman" w:eastAsia="Times New Roman" w:hint="default"/>
          <w:spacing w:val="-3"/>
        </w:rPr>
        <w:t> </w:t>
      </w:r>
      <w:r>
        <w:rPr/>
        <w:t>元，购买日该部分少数股权对应净资产公允价值为</w:t>
      </w:r>
      <w:r>
        <w:rPr>
          <w:spacing w:val="-47"/>
        </w:rPr>
        <w:t> </w:t>
      </w:r>
      <w:r>
        <w:rPr>
          <w:rFonts w:ascii="Times New Roman" w:hAnsi="Times New Roman" w:cs="Times New Roman" w:eastAsia="Times New Roman" w:hint="default"/>
        </w:rPr>
        <w:t>9,008,020.91</w:t>
      </w:r>
      <w:r>
        <w:rPr>
          <w:rFonts w:ascii="Times New Roman" w:hAnsi="Times New Roman" w:cs="Times New Roman" w:eastAsia="Times New Roman" w:hint="default"/>
          <w:spacing w:val="-1"/>
        </w:rPr>
        <w:t> </w:t>
      </w:r>
      <w:r>
        <w:rPr/>
        <w:t>元，购买价款与购买日净资产 公允价值的差额</w:t>
      </w:r>
      <w:r>
        <w:rPr>
          <w:rFonts w:ascii="Times New Roman" w:hAnsi="Times New Roman" w:cs="Times New Roman" w:eastAsia="Times New Roman" w:hint="default"/>
        </w:rPr>
        <w:t>-852,240.43</w:t>
      </w:r>
      <w:r>
        <w:rPr>
          <w:rFonts w:ascii="Times New Roman" w:hAnsi="Times New Roman" w:cs="Times New Roman" w:eastAsia="Times New Roman" w:hint="default"/>
          <w:spacing w:val="8"/>
        </w:rPr>
        <w:t> </w:t>
      </w:r>
      <w:r>
        <w:rPr>
          <w:spacing w:val="-5"/>
        </w:rPr>
        <w:t>元调整合并财务报表资本公积（股本溢价）。</w:t>
      </w:r>
    </w:p>
    <w:p>
      <w:pPr>
        <w:pStyle w:val="BodyText"/>
        <w:spacing w:line="340" w:lineRule="auto" w:before="52"/>
        <w:ind w:left="514" w:right="2295"/>
        <w:jc w:val="left"/>
      </w:pPr>
      <w:r>
        <w:rPr/>
        <w:t>（</w:t>
      </w:r>
      <w:r>
        <w:rPr>
          <w:rFonts w:ascii="Times New Roman" w:hAnsi="Times New Roman" w:cs="Times New Roman" w:eastAsia="Times New Roman" w:hint="default"/>
        </w:rPr>
        <w:t>2</w:t>
      </w:r>
      <w:r>
        <w:rPr/>
        <w:t>）本期资本公积（其他资本公积）变动原因： 公司孙公司上海二三四五科技投资有限公司权益法核算长期股权投资确认其他权益变动</w:t>
      </w:r>
      <w:r>
        <w:rPr>
          <w:spacing w:val="-46"/>
        </w:rPr>
        <w:t> </w:t>
      </w:r>
      <w:r>
        <w:rPr>
          <w:rFonts w:ascii="Times New Roman" w:hAnsi="Times New Roman" w:cs="Times New Roman" w:eastAsia="Times New Roman" w:hint="default"/>
        </w:rPr>
        <w:t>415,200.00</w:t>
      </w:r>
      <w:r>
        <w:rPr>
          <w:rFonts w:ascii="Times New Roman" w:hAnsi="Times New Roman" w:cs="Times New Roman" w:eastAsia="Times New Roman" w:hint="default"/>
          <w:spacing w:val="-2"/>
        </w:rPr>
        <w:t> </w:t>
      </w:r>
      <w:r>
        <w:rPr/>
        <w:t>元。</w:t>
      </w:r>
    </w:p>
    <w:p>
      <w:pPr>
        <w:spacing w:line="240" w:lineRule="auto" w:before="4"/>
        <w:rPr>
          <w:rFonts w:ascii="宋体" w:hAnsi="宋体" w:cs="宋体" w:eastAsia="宋体" w:hint="default"/>
          <w:sz w:val="19"/>
          <w:szCs w:val="19"/>
        </w:rPr>
      </w:pPr>
    </w:p>
    <w:p>
      <w:pPr>
        <w:pStyle w:val="Heading6"/>
        <w:spacing w:line="240" w:lineRule="auto"/>
        <w:ind w:right="0"/>
        <w:jc w:val="left"/>
        <w:rPr>
          <w:b w:val="0"/>
          <w:bCs w:val="0"/>
        </w:rPr>
      </w:pPr>
      <w:bookmarkStart w:name="56、库存股" w:id="361"/>
      <w:bookmarkEnd w:id="361"/>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6"/>
        <w:spacing w:line="240" w:lineRule="auto"/>
        <w:ind w:left="154" w:right="0"/>
        <w:jc w:val="left"/>
        <w:rPr>
          <w:b w:val="0"/>
          <w:bCs w:val="0"/>
        </w:rPr>
      </w:pPr>
      <w:bookmarkStart w:name="57、其他综合收益" w:id="362"/>
      <w:bookmarkEnd w:id="362"/>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1151"/>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1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115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1151"/>
      </w:tblGrid>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-2,317,772.07</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371,123.55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371,123.55</w:t>
            </w:r>
          </w:p>
        </w:tc>
        <w:tc>
          <w:tcPr>
            <w:tcW w:w="935"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-1,946,648.52</w:t>
            </w:r>
          </w:p>
        </w:tc>
      </w:tr>
      <w:tr>
        <w:trPr>
          <w:trHeight w:val="402"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-2,338,466.87</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371,123.55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371,123.55</w:t>
            </w:r>
          </w:p>
        </w:tc>
        <w:tc>
          <w:tcPr>
            <w:tcW w:w="935"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-1,967,343.32</w:t>
            </w:r>
          </w:p>
        </w:tc>
      </w:tr>
      <w:tr>
        <w:trPr>
          <w:trHeight w:val="402"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20,694.80</w:t>
            </w: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20,694.80</w:t>
            </w:r>
          </w:p>
        </w:tc>
      </w:tr>
      <w:tr>
        <w:trPr>
          <w:trHeight w:val="402"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-2,317,772.07</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371,123.55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371,123.55</w:t>
            </w:r>
          </w:p>
        </w:tc>
        <w:tc>
          <w:tcPr>
            <w:tcW w:w="935"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-1,946,648.52</w:t>
            </w:r>
          </w:p>
        </w:tc>
      </w:tr>
    </w:tbl>
    <w:p>
      <w:pPr>
        <w:pStyle w:val="BodyText"/>
        <w:spacing w:line="240" w:lineRule="auto" w:before="51"/>
        <w:ind w:right="0"/>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58、专项储备" w:id="363"/>
      <w:bookmarkEnd w:id="363"/>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6"/>
        <w:spacing w:line="240" w:lineRule="auto"/>
        <w:ind w:left="154" w:right="0"/>
        <w:jc w:val="left"/>
        <w:rPr>
          <w:b w:val="0"/>
          <w:bCs w:val="0"/>
        </w:rPr>
      </w:pPr>
      <w:bookmarkStart w:name="59、盈余公积" w:id="364"/>
      <w:bookmarkEnd w:id="364"/>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35,754,270.68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8,927,808.73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44,682,079.41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35,754,270.68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8,927,808.73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44,682,079.41</w:t>
            </w:r>
          </w:p>
        </w:tc>
      </w:tr>
    </w:tbl>
    <w:p>
      <w:pPr>
        <w:pStyle w:val="BodyText"/>
        <w:spacing w:line="240" w:lineRule="auto" w:before="51"/>
        <w:ind w:right="0"/>
        <w:jc w:val="left"/>
      </w:pPr>
      <w:r>
        <w:rPr/>
        <w:t>盈余公积说明，包括本期增减变动情况、变动原因说明：</w:t>
      </w:r>
    </w:p>
    <w:p>
      <w:pPr>
        <w:spacing w:line="240" w:lineRule="auto" w:before="11"/>
        <w:rPr>
          <w:rFonts w:ascii="宋体" w:hAnsi="宋体" w:cs="宋体" w:eastAsia="宋体" w:hint="default"/>
          <w:sz w:val="26"/>
          <w:szCs w:val="26"/>
        </w:rPr>
      </w:pPr>
    </w:p>
    <w:p>
      <w:pPr>
        <w:pStyle w:val="Heading6"/>
        <w:spacing w:line="240" w:lineRule="auto"/>
        <w:ind w:left="154" w:right="0"/>
        <w:jc w:val="left"/>
        <w:rPr>
          <w:b w:val="0"/>
          <w:bCs w:val="0"/>
        </w:rPr>
      </w:pPr>
      <w:bookmarkStart w:name="60、未分配利润" w:id="365"/>
      <w:bookmarkEnd w:id="365"/>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332,976,217.15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229,246,096.37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332,976,217.15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229,246,096.37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417,183,377.13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118,389,761.41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8,927,808.73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3,406,640.63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34,869,308.80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11,253,000.00</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706,362,476.75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332,976,217.15</w:t>
            </w:r>
          </w:p>
        </w:tc>
      </w:tr>
    </w:tbl>
    <w:p>
      <w:pPr>
        <w:pStyle w:val="BodyText"/>
        <w:spacing w:line="240" w:lineRule="auto" w:before="51"/>
        <w:ind w:right="0"/>
        <w:jc w:val="left"/>
      </w:pPr>
      <w:r>
        <w:rPr/>
        <w:t>调整期初未分配利润明细：</w:t>
      </w:r>
    </w:p>
    <w:p>
      <w:pPr>
        <w:pStyle w:val="BodyText"/>
        <w:spacing w:line="240" w:lineRule="auto" w:before="116"/>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left="153"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153"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153"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left="153"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61、营业收入和营业成本" w:id="366"/>
      <w:bookmarkEnd w:id="366"/>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7"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1,468,695,469.96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452,730,566.19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652,787,162.43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317,430,851.50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1,219,337.28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846,020.47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1,297,146.80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777,038.26</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1,469,914,807.24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453,576,586.66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654,084,309.23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318,207,889.76</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62、营业税金及附加" w:id="367"/>
      <w:bookmarkEnd w:id="367"/>
      <w:r>
        <w:rPr>
          <w:b w:val="0"/>
          <w:bCs w:val="0"/>
        </w:rPr>
      </w:r>
      <w:r>
        <w:rPr>
          <w:rFonts w:ascii="Times New Roman" w:hAnsi="Times New Roman" w:cs="Times New Roman" w:eastAsia="Times New Roman" w:hint="default"/>
        </w:rPr>
        <w:t>62</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37,325.32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63,282.35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519,740.50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169,596.41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1,968,985.82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353,610.47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2,526,051.64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586,489.23</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63、销售费用" w:id="368"/>
      <w:bookmarkEnd w:id="368"/>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销售费用</w:t>
            </w:r>
            <w:r>
              <w:rPr>
                <w:rFonts w:ascii="Times New Roman" w:hAnsi="Times New Roman" w:cs="Times New Roman" w:eastAsia="Times New Roman" w:hint="default"/>
                <w:sz w:val="18"/>
                <w:szCs w:val="18"/>
              </w:rPr>
              <w:t>-</w:t>
            </w:r>
            <w:r>
              <w:rPr>
                <w:rFonts w:ascii="宋体" w:hAnsi="宋体" w:cs="宋体" w:eastAsia="宋体" w:hint="default"/>
                <w:sz w:val="18"/>
                <w:szCs w:val="18"/>
              </w:rPr>
              <w:t>其中较大金额项目有：</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29,199,167.99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15,495,147.64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746,480.24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284,771.38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2,827,501.02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2,032,502.62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3,599,211.65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1,526,077.39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公积金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203,601.00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214,674.00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79,788.89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56,069.67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347,202,212.85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63,411,147.42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媒体宣传费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3,420,727.30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1,146,166.50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572,346.43</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388,424,857.44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83,592,736.55</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64、管理费用" w:id="369"/>
      <w:bookmarkEnd w:id="369"/>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85,187,259.18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62,860,659.34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11,800,272.15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5,491,124.67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1,756,078.05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1,100,891.52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1,420,241.00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3,749,336.74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140,568,315.99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45,014,873.99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4,470,923.65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4,179,441.35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3,890,320.30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2,206,154.83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2,585,801.33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2,321,845.48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4,802,772.38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3,408,056.20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9,440,400.41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6,776,012.31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265,922,384.44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137,108,396.43</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65、财务费用" w:id="370"/>
      <w:bookmarkEnd w:id="370"/>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2,527,785.25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262,832.61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14,314,361.56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8,082,388.98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-3,340,020.96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13,712,728.90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331,338.81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244,359.33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-14,795,258.46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6,137,531.86</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66、资产减值损失" w:id="371"/>
      <w:bookmarkEnd w:id="371"/>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-83,816.12</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269,552.54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5,217,038.60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7,133,222.48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269,552.54</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67、公允价值变动收益" w:id="372"/>
      <w:bookmarkEnd w:id="372"/>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益的金融负债</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-348,450.00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-348,450.00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-1,760,000.00</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68、投资收益" w:id="373"/>
      <w:bookmarkEnd w:id="373"/>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-28,755.21</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-289,826.10</w:t>
            </w:r>
            <w:r>
              <w:rPr>
                <w:rFonts w:ascii="Times New Roman"/>
                <w:sz w:val="18"/>
              </w:rPr>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62,120,807.35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2,841,596.43</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远期结汇投资收益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1,892,900.00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63,984,952.14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2,551,770.33</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69、营业外收入" w:id="374"/>
      <w:bookmarkEnd w:id="374"/>
      <w:r>
        <w:rPr>
          <w:b w:val="0"/>
          <w:bCs w:val="0"/>
        </w:rPr>
      </w:r>
      <w:r>
        <w:rPr>
          <w:rFonts w:ascii="Times New Roman" w:hAnsi="Times New Roman" w:cs="Times New Roman" w:eastAsia="Times New Roman" w:hint="default"/>
        </w:rPr>
        <w:t>69</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2,975,553.23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57,657.20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2,975,553.23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2,975,553.23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57,657.20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2,975,553.23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31,173,406.44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5,496,547.86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31,173,406.44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违约金、罚款及其他收入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1,043,352.26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1,356,665.10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1,043,352.26</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both"/>
              <w:rPr>
                <w:rFonts w:ascii="宋体" w:hAnsi="宋体" w:cs="宋体" w:eastAsia="宋体" w:hint="default"/>
                <w:sz w:val="18"/>
                <w:szCs w:val="18"/>
              </w:rPr>
            </w:pPr>
            <w:r>
              <w:rPr>
                <w:rFonts w:ascii="宋体" w:hAnsi="宋体" w:cs="宋体" w:eastAsia="宋体" w:hint="default"/>
                <w:sz w:val="18"/>
                <w:szCs w:val="18"/>
              </w:rPr>
              <w:t>非同一控制下企业合并初始 投资成本小于被购买方合并 日可辨认净资产公允价值</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341,539.68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969,134.50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341,539.68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35,533,851.61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7,880,004.66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35,533,851.61</w:t>
            </w:r>
          </w:p>
        </w:tc>
      </w:tr>
    </w:tbl>
    <w:p>
      <w:pPr>
        <w:pStyle w:val="BodyText"/>
        <w:spacing w:line="240" w:lineRule="auto" w:before="51"/>
        <w:ind w:right="0"/>
        <w:jc w:val="left"/>
      </w:pPr>
      <w:r>
        <w:rPr/>
        <w:t>计入当期损益的政府补助：</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566"/>
        <w:gridCol w:w="1842"/>
        <w:gridCol w:w="1063"/>
        <w:gridCol w:w="637"/>
        <w:gridCol w:w="1276"/>
        <w:gridCol w:w="1063"/>
        <w:gridCol w:w="1063"/>
      </w:tblGrid>
      <w:tr>
        <w:trPr>
          <w:trHeight w:val="714" w:hRule="exact"/>
        </w:trPr>
        <w:tc>
          <w:tcPr>
            <w:tcW w:w="1066" w:type="dxa"/>
            <w:tcBorders>
              <w:top w:val="single" w:sz="4" w:space="0" w:color="000000"/>
              <w:left w:val="single" w:sz="4" w:space="0" w:color="000000"/>
              <w:bottom w:val="single" w:sz="12" w:space="0" w:color="C6ECC9"/>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12" w:space="0" w:color="C6ECC9"/>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 w:right="42"/>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5"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316" w:lineRule="auto" w:before="71"/>
              <w:ind w:left="22" w:right="131"/>
              <w:jc w:val="left"/>
              <w:rPr>
                <w:rFonts w:ascii="宋体" w:hAnsi="宋体" w:cs="宋体" w:eastAsia="宋体" w:hint="default"/>
                <w:sz w:val="18"/>
                <w:szCs w:val="18"/>
              </w:rPr>
            </w:pPr>
            <w:r>
              <w:rPr>
                <w:rFonts w:ascii="宋体" w:hAnsi="宋体" w:cs="宋体" w:eastAsia="宋体" w:hint="default"/>
                <w:sz w:val="18"/>
                <w:szCs w:val="18"/>
              </w:rPr>
              <w:t>徐汇区高新 技术产业化</w:t>
            </w:r>
          </w:p>
        </w:tc>
        <w:tc>
          <w:tcPr>
            <w:tcW w:w="1062"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316" w:lineRule="auto" w:before="71"/>
              <w:ind w:left="22" w:right="127"/>
              <w:jc w:val="left"/>
              <w:rPr>
                <w:rFonts w:ascii="宋体" w:hAnsi="宋体" w:cs="宋体" w:eastAsia="宋体" w:hint="default"/>
                <w:sz w:val="18"/>
                <w:szCs w:val="18"/>
              </w:rPr>
            </w:pPr>
            <w:r>
              <w:rPr>
                <w:rFonts w:ascii="宋体" w:hAnsi="宋体" w:cs="宋体" w:eastAsia="宋体" w:hint="default"/>
                <w:sz w:val="18"/>
                <w:szCs w:val="18"/>
              </w:rPr>
              <w:t>上海市徐汇 区科学技术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因研究开发、技术更新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及改造等获得的补助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63.339996pt;margin-top:492.039978pt;width:27.85pt;height:31.2pt;mso-position-horizontal-relative:page;mso-position-vertical-relative:page;z-index:-922480" coordorigin="3267,9841" coordsize="557,624">
            <v:shape style="position:absolute;left:3267;top:9841;width:557;height:624" coordorigin="3267,9841" coordsize="557,624" path="m3267,10465l3824,10465,3824,9841,3267,9841,3267,1046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566"/>
        <w:gridCol w:w="1842"/>
        <w:gridCol w:w="1063"/>
        <w:gridCol w:w="637"/>
        <w:gridCol w:w="1276"/>
        <w:gridCol w:w="1063"/>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319" w:lineRule="auto" w:before="10"/>
              <w:ind w:left="22" w:right="131"/>
              <w:jc w:val="left"/>
              <w:rPr>
                <w:rFonts w:ascii="宋体" w:hAnsi="宋体" w:cs="宋体" w:eastAsia="宋体" w:hint="default"/>
                <w:sz w:val="18"/>
                <w:szCs w:val="18"/>
              </w:rPr>
            </w:pPr>
            <w:r>
              <w:rPr>
                <w:rFonts w:ascii="宋体" w:hAnsi="宋体" w:cs="宋体" w:eastAsia="宋体" w:hint="default"/>
                <w:sz w:val="18"/>
                <w:szCs w:val="18"/>
              </w:rPr>
              <w:t>重大项目专 项资金资助</w:t>
            </w:r>
          </w:p>
        </w:tc>
        <w:tc>
          <w:tcPr>
            <w:tcW w:w="1062"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委员会</w:t>
            </w:r>
          </w:p>
        </w:tc>
        <w:tc>
          <w:tcPr>
            <w:tcW w:w="56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徐汇区高新 技术产业化 市级重大项 目配套资助</w:t>
            </w:r>
          </w:p>
        </w:tc>
        <w:tc>
          <w:tcPr>
            <w:tcW w:w="1062"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上海市徐汇 区科学技术 委员会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22"/>
              <w:jc w:val="left"/>
              <w:rPr>
                <w:rFonts w:ascii="宋体" w:hAnsi="宋体" w:cs="宋体" w:eastAsia="宋体" w:hint="default"/>
                <w:sz w:val="18"/>
                <w:szCs w:val="18"/>
              </w:rPr>
            </w:pPr>
            <w:r>
              <w:rPr>
                <w:rFonts w:ascii="宋体" w:hAnsi="宋体" w:cs="宋体" w:eastAsia="宋体" w:hint="default"/>
                <w:spacing w:val="-2"/>
                <w:sz w:val="18"/>
                <w:szCs w:val="18"/>
              </w:rPr>
              <w:t>因研究开发、技术更新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及改造等获得的补助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导向性科技 产业认定退 税补助</w:t>
            </w:r>
          </w:p>
        </w:tc>
        <w:tc>
          <w:tcPr>
            <w:tcW w:w="1062"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上海市商务 委员会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2"/>
                <w:sz w:val="18"/>
                <w:szCs w:val="18"/>
              </w:rPr>
              <w:t>持特定行业、产业而获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得的补助（按国家级政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策规定依法取得）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面对云环境 的智能浏览 器的大数据 分析平台</w:t>
            </w:r>
          </w:p>
        </w:tc>
        <w:tc>
          <w:tcPr>
            <w:tcW w:w="1062"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上海市浦东 新区经济和 信息化委员 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2"/>
                <w:sz w:val="18"/>
                <w:szCs w:val="18"/>
              </w:rPr>
              <w:t>持特定行业、产业而获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得的补助（按国家级政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策规定依法取得）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218,166.67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213,166.67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5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大学生实习 基地优秀单 位</w:t>
            </w:r>
            <w:r>
              <w:rPr>
                <w:rFonts w:ascii="Times New Roman" w:hAnsi="Times New Roman" w:cs="Times New Roman" w:eastAsia="Times New Roman" w:hint="default"/>
                <w:sz w:val="18"/>
                <w:szCs w:val="18"/>
              </w:rPr>
              <w:t>"</w:t>
            </w:r>
            <w:r>
              <w:rPr>
                <w:rFonts w:ascii="宋体" w:hAnsi="宋体" w:cs="宋体" w:eastAsia="宋体" w:hint="default"/>
                <w:sz w:val="18"/>
                <w:szCs w:val="18"/>
              </w:rPr>
              <w:t>奖励</w:t>
            </w:r>
          </w:p>
        </w:tc>
        <w:tc>
          <w:tcPr>
            <w:tcW w:w="1062"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上海市人力 资源社会保 障局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2"/>
                <w:sz w:val="18"/>
                <w:szCs w:val="18"/>
              </w:rPr>
              <w:t>持特定行业、产业而获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得的补助（按国家级政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策规定依法取得）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软件产品增 值税即征即 退</w:t>
            </w:r>
          </w:p>
        </w:tc>
        <w:tc>
          <w:tcPr>
            <w:tcW w:w="1062"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国家金库南 京市中心支 库</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2"/>
                <w:sz w:val="18"/>
                <w:szCs w:val="18"/>
              </w:rPr>
              <w:t>持特定行业、产业而获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得的补助（按国家级政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策规定依法取得）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11,965.81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6,581.19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房租补贴</w:t>
            </w:r>
          </w:p>
        </w:tc>
        <w:tc>
          <w:tcPr>
            <w:tcW w:w="1062"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昆山市财政 局花桥分局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9"/>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昆山国际会 展中心特装 补贴</w:t>
            </w:r>
          </w:p>
        </w:tc>
        <w:tc>
          <w:tcPr>
            <w:tcW w:w="1062"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中国（昆山 品牌产品进 口交易会筹 备工作领导 小组办公室</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89"/>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浦东新区区 域性总部财 政扶持拨款</w:t>
            </w:r>
          </w:p>
        </w:tc>
        <w:tc>
          <w:tcPr>
            <w:tcW w:w="1062"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上海浦东新 区财政局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2"/>
                <w:sz w:val="18"/>
                <w:szCs w:val="18"/>
              </w:rPr>
              <w:t>持特定行业、产业而获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得的补助（按国家级政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策规定依法取得）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19,234,000.00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浦东新区镇 级财政拨款</w:t>
            </w:r>
          </w:p>
        </w:tc>
        <w:tc>
          <w:tcPr>
            <w:tcW w:w="1062"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上海浦东新 区财政局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2"/>
                <w:sz w:val="18"/>
                <w:szCs w:val="18"/>
              </w:rPr>
              <w:t>持特定行业、产业而获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得的补助（按国家级政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策规定依法取得）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530,000.00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专利资助费</w:t>
            </w:r>
          </w:p>
        </w:tc>
        <w:tc>
          <w:tcPr>
            <w:tcW w:w="1062"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上海市知识 产权局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2"/>
                <w:sz w:val="18"/>
                <w:szCs w:val="18"/>
              </w:rPr>
              <w:t>持特定行业、产业而获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得的补助（按国家级政</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4,040.00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566"/>
        <w:gridCol w:w="1842"/>
        <w:gridCol w:w="1063"/>
        <w:gridCol w:w="637"/>
        <w:gridCol w:w="1276"/>
        <w:gridCol w:w="1063"/>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9"/>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C6ECC9"/>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策规定依法取得）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免申报展会 扶持项目补 贴</w:t>
            </w:r>
          </w:p>
        </w:tc>
        <w:tc>
          <w:tcPr>
            <w:tcW w:w="1062"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南京市鼓楼 区商务局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2"/>
                <w:sz w:val="18"/>
                <w:szCs w:val="18"/>
              </w:rPr>
              <w:t>持特定行业、产业而获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得的补助（按国家级政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策规定依法取得）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41,300.00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重点服务外 包业务企业 奖励收入</w:t>
            </w:r>
          </w:p>
        </w:tc>
        <w:tc>
          <w:tcPr>
            <w:tcW w:w="1062"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南京市鼓楼 区商务局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2"/>
                <w:sz w:val="18"/>
                <w:szCs w:val="18"/>
              </w:rPr>
              <w:t>持特定行业、产业而获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得的补助（按国家级政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策规定依法取得）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昆山市服务 外包产业发 展专项资金</w:t>
            </w:r>
          </w:p>
        </w:tc>
        <w:tc>
          <w:tcPr>
            <w:tcW w:w="1062"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昆山市财政 局花桥分局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2"/>
                <w:sz w:val="18"/>
                <w:szCs w:val="18"/>
              </w:rPr>
              <w:t>持特定行业、产业而获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得的补助（按国家级政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策规定依法取得）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521,700.00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江苏省级服 务外包项目 资金</w:t>
            </w:r>
          </w:p>
        </w:tc>
        <w:tc>
          <w:tcPr>
            <w:tcW w:w="1062"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南京市商务 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2"/>
                <w:sz w:val="18"/>
                <w:szCs w:val="18"/>
              </w:rPr>
              <w:t>持特定行业、产业而获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得的补助（按国家级政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策规定依法取得）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国家服务外 包专项资金</w:t>
            </w:r>
          </w:p>
        </w:tc>
        <w:tc>
          <w:tcPr>
            <w:tcW w:w="1062"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上海市商务 委员会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2"/>
                <w:sz w:val="18"/>
                <w:szCs w:val="18"/>
              </w:rPr>
              <w:t>持特定行业、产业而获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得的补助（按国家级政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策规定依法取得）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1,269,220.00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上海服务外 包专项资金</w:t>
            </w:r>
          </w:p>
        </w:tc>
        <w:tc>
          <w:tcPr>
            <w:tcW w:w="1062"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上海市商务 委员会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2"/>
                <w:sz w:val="18"/>
                <w:szCs w:val="18"/>
              </w:rPr>
              <w:t>持特定行业、产业而获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得的补助（按国家级政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策规定依法取得）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552,500.00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255,000.00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上海市服务 贸易发展专 项资金</w:t>
            </w:r>
          </w:p>
        </w:tc>
        <w:tc>
          <w:tcPr>
            <w:tcW w:w="1062"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上海市商务 委员会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2"/>
                <w:sz w:val="18"/>
                <w:szCs w:val="18"/>
              </w:rPr>
              <w:t>持特定行业、产业而获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得的补助（按国家级政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策规定依法取得）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1,027,400.00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821,000.00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服务外包和 技术出口资 金</w:t>
            </w:r>
          </w:p>
        </w:tc>
        <w:tc>
          <w:tcPr>
            <w:tcW w:w="1062"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上海市商务 委员会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2"/>
                <w:sz w:val="18"/>
                <w:szCs w:val="18"/>
              </w:rPr>
              <w:t>持特定行业、产业而获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得的补助（按国家级政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策规定依法取得）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144,000.00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551,000.00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服务外包资 金</w:t>
            </w:r>
          </w:p>
        </w:tc>
        <w:tc>
          <w:tcPr>
            <w:tcW w:w="1062"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上海市商务 委员会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2"/>
                <w:sz w:val="18"/>
                <w:szCs w:val="18"/>
              </w:rPr>
              <w:t>持特定行业、产业而获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得的补助（按国家级政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策规定依法取得）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100,980.00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国家服务外 包人才培训 资金实际配 套资金</w:t>
            </w:r>
          </w:p>
        </w:tc>
        <w:tc>
          <w:tcPr>
            <w:tcW w:w="1062"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上海市商务 委员会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2"/>
                <w:sz w:val="18"/>
                <w:szCs w:val="18"/>
              </w:rPr>
              <w:t>持特定行业、产业而获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得的补助（按国家级政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策规定依法取得）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64,000.00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566"/>
        <w:gridCol w:w="1842"/>
        <w:gridCol w:w="1063"/>
        <w:gridCol w:w="637"/>
        <w:gridCol w:w="1276"/>
        <w:gridCol w:w="1063"/>
        <w:gridCol w:w="1063"/>
      </w:tblGrid>
      <w:tr>
        <w:trPr>
          <w:trHeight w:val="1338"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跨境电子商 务服务外包 平台建设项 目补助</w:t>
            </w:r>
          </w:p>
        </w:tc>
        <w:tc>
          <w:tcPr>
            <w:tcW w:w="1062"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昆山市财政 局花桥分局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2"/>
                <w:sz w:val="18"/>
                <w:szCs w:val="18"/>
              </w:rPr>
              <w:t>持特定行业、产业而获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得的补助（按国家级政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策规定依法取得）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240,000.00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南京市国际 </w:t>
            </w:r>
            <w:r>
              <w:rPr>
                <w:rFonts w:ascii="宋体" w:hAnsi="宋体" w:cs="宋体" w:eastAsia="宋体" w:hint="default"/>
                <w:spacing w:val="-12"/>
                <w:sz w:val="18"/>
                <w:szCs w:val="18"/>
              </w:rPr>
              <w:t>服务贸易（服</w:t>
            </w:r>
            <w:r>
              <w:rPr>
                <w:rFonts w:ascii="宋体" w:hAnsi="宋体" w:cs="宋体" w:eastAsia="宋体" w:hint="default"/>
                <w:sz w:val="18"/>
                <w:szCs w:val="18"/>
              </w:rPr>
              <w:t> </w:t>
            </w:r>
            <w:r>
              <w:rPr>
                <w:rFonts w:ascii="宋体" w:hAnsi="宋体" w:cs="宋体" w:eastAsia="宋体" w:hint="default"/>
                <w:spacing w:val="-12"/>
                <w:sz w:val="18"/>
                <w:szCs w:val="18"/>
              </w:rPr>
              <w:t>务外包）专项</w:t>
            </w:r>
            <w:r>
              <w:rPr>
                <w:rFonts w:ascii="宋体" w:hAnsi="宋体" w:cs="宋体" w:eastAsia="宋体" w:hint="default"/>
                <w:sz w:val="18"/>
                <w:szCs w:val="18"/>
              </w:rPr>
              <w:t> 资金</w:t>
            </w:r>
          </w:p>
        </w:tc>
        <w:tc>
          <w:tcPr>
            <w:tcW w:w="1062"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南京市商务 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2"/>
                <w:sz w:val="18"/>
                <w:szCs w:val="18"/>
              </w:rPr>
              <w:t>持特定行业、产业而获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得的补助（按国家级政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策规定依法取得）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328,500.00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2345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跨终端 影视运营服 务平台项目</w:t>
            </w:r>
          </w:p>
        </w:tc>
        <w:tc>
          <w:tcPr>
            <w:tcW w:w="1062"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上海市经济 和信息化发 展研究中心</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2"/>
                <w:sz w:val="18"/>
                <w:szCs w:val="18"/>
              </w:rPr>
              <w:t>持特定行业、产业而获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得的补助（按国家级政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策规定依法取得）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314" w:lineRule="auto" w:before="51"/>
              <w:ind w:left="22" w:right="97"/>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hadoop </w:t>
            </w:r>
            <w:r>
              <w:rPr>
                <w:rFonts w:ascii="宋体" w:hAnsi="宋体" w:cs="宋体" w:eastAsia="宋体" w:hint="default"/>
                <w:sz w:val="18"/>
                <w:szCs w:val="18"/>
              </w:rPr>
              <w:t>技术的互联 网用户行为 大数据分析 平台项目</w:t>
            </w:r>
          </w:p>
        </w:tc>
        <w:tc>
          <w:tcPr>
            <w:tcW w:w="1062"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上海市发展 改革委员会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2"/>
                <w:sz w:val="18"/>
                <w:szCs w:val="18"/>
              </w:rPr>
              <w:t>持特定行业、产业而获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得的补助（按国家级政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策规定依法取得）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314"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面向移动互 联网入口服 务的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手 机浏览器综 合应用平台 项目</w:t>
            </w:r>
          </w:p>
        </w:tc>
        <w:tc>
          <w:tcPr>
            <w:tcW w:w="1062"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7"/>
              <w:jc w:val="both"/>
              <w:rPr>
                <w:rFonts w:ascii="宋体" w:hAnsi="宋体" w:cs="宋体" w:eastAsia="宋体" w:hint="default"/>
                <w:sz w:val="18"/>
                <w:szCs w:val="18"/>
              </w:rPr>
            </w:pPr>
            <w:r>
              <w:rPr>
                <w:rFonts w:ascii="宋体" w:hAnsi="宋体" w:cs="宋体" w:eastAsia="宋体" w:hint="default"/>
                <w:sz w:val="18"/>
                <w:szCs w:val="18"/>
              </w:rPr>
              <w:t>上海市经济 和信息化委 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2"/>
                <w:sz w:val="18"/>
                <w:szCs w:val="18"/>
              </w:rPr>
              <w:t>持特定行业、产业而获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得的补助（按国家级政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策规定依法取得）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云传送移动 网址导航项 目</w:t>
            </w:r>
          </w:p>
        </w:tc>
        <w:tc>
          <w:tcPr>
            <w:tcW w:w="1062"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上海市浦东 新区科学技 术委员</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2"/>
                <w:sz w:val="18"/>
                <w:szCs w:val="18"/>
              </w:rPr>
              <w:t>持特定行业、产业而获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得的补助（按国家级政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策规定依法取得）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65,000.00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31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外经贸发展 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技 术出口贴息 资金</w:t>
            </w:r>
          </w:p>
        </w:tc>
        <w:tc>
          <w:tcPr>
            <w:tcW w:w="1062"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上海市商务 委员会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2"/>
                <w:sz w:val="18"/>
                <w:szCs w:val="18"/>
              </w:rPr>
              <w:t>持特定行业、产业而获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得的补助（按国家级政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策规定依法取得）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1,640,000.00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31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外经贸发展 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技 术出口贴息 资金</w:t>
            </w:r>
          </w:p>
        </w:tc>
        <w:tc>
          <w:tcPr>
            <w:tcW w:w="1062"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南京市商务 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2"/>
                <w:sz w:val="18"/>
                <w:szCs w:val="18"/>
              </w:rPr>
              <w:t>持特定行业、产业而获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得的补助（按国家级政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策规定依法取得）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31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外经贸发展 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技 术出口贴息 资金</w:t>
            </w:r>
          </w:p>
        </w:tc>
        <w:tc>
          <w:tcPr>
            <w:tcW w:w="1062"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上海市商务 委员会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2"/>
                <w:sz w:val="18"/>
                <w:szCs w:val="18"/>
              </w:rPr>
              <w:t>持特定行业、产业而获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得的补助（按国家级政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策规定依法取得）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120,000.00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316" w:lineRule="auto" w:before="71"/>
              <w:ind w:left="22" w:right="131"/>
              <w:jc w:val="left"/>
              <w:rPr>
                <w:rFonts w:ascii="宋体" w:hAnsi="宋体" w:cs="宋体" w:eastAsia="宋体" w:hint="default"/>
                <w:sz w:val="18"/>
                <w:szCs w:val="18"/>
              </w:rPr>
            </w:pPr>
            <w:r>
              <w:rPr>
                <w:rFonts w:ascii="宋体" w:hAnsi="宋体" w:cs="宋体" w:eastAsia="宋体" w:hint="default"/>
                <w:sz w:val="18"/>
                <w:szCs w:val="18"/>
              </w:rPr>
              <w:t>上海市软件 和集成电路</w:t>
            </w:r>
          </w:p>
        </w:tc>
        <w:tc>
          <w:tcPr>
            <w:tcW w:w="1062"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316" w:lineRule="auto" w:before="71"/>
              <w:ind w:left="22" w:right="127"/>
              <w:jc w:val="left"/>
              <w:rPr>
                <w:rFonts w:ascii="宋体" w:hAnsi="宋体" w:cs="宋体" w:eastAsia="宋体" w:hint="default"/>
                <w:sz w:val="18"/>
                <w:szCs w:val="18"/>
              </w:rPr>
            </w:pPr>
            <w:r>
              <w:rPr>
                <w:rFonts w:ascii="宋体" w:hAnsi="宋体" w:cs="宋体" w:eastAsia="宋体" w:hint="default"/>
                <w:sz w:val="18"/>
                <w:szCs w:val="18"/>
              </w:rPr>
              <w:t>上海市经济 和信息化委</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因研究开发、技术更新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及改造等获得的补助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566"/>
        <w:gridCol w:w="1842"/>
        <w:gridCol w:w="1063"/>
        <w:gridCol w:w="637"/>
        <w:gridCol w:w="1276"/>
        <w:gridCol w:w="1063"/>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319" w:lineRule="auto" w:before="10"/>
              <w:ind w:left="22" w:right="131"/>
              <w:jc w:val="left"/>
              <w:rPr>
                <w:rFonts w:ascii="宋体" w:hAnsi="宋体" w:cs="宋体" w:eastAsia="宋体" w:hint="default"/>
                <w:sz w:val="18"/>
                <w:szCs w:val="18"/>
              </w:rPr>
            </w:pPr>
            <w:r>
              <w:rPr>
                <w:rFonts w:ascii="宋体" w:hAnsi="宋体" w:cs="宋体" w:eastAsia="宋体" w:hint="default"/>
                <w:sz w:val="18"/>
                <w:szCs w:val="18"/>
              </w:rPr>
              <w:t>产业发展专 项资金</w:t>
            </w:r>
          </w:p>
        </w:tc>
        <w:tc>
          <w:tcPr>
            <w:tcW w:w="1062"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员会</w:t>
            </w:r>
          </w:p>
        </w:tc>
        <w:tc>
          <w:tcPr>
            <w:tcW w:w="56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上海科技产 业发展专项 资金</w:t>
            </w:r>
          </w:p>
        </w:tc>
        <w:tc>
          <w:tcPr>
            <w:tcW w:w="1062"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上海市徐汇 区科学技术 委员会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0"/>
              <w:jc w:val="right"/>
              <w:rPr>
                <w:rFonts w:ascii="宋体" w:hAnsi="宋体" w:cs="宋体" w:eastAsia="宋体" w:hint="default"/>
                <w:sz w:val="18"/>
                <w:szCs w:val="18"/>
              </w:rPr>
            </w:pPr>
            <w:r>
              <w:rPr>
                <w:rFonts w:ascii="宋体" w:hAnsi="宋体" w:cs="宋体" w:eastAsia="宋体" w:hint="default"/>
                <w:sz w:val="18"/>
                <w:szCs w:val="18"/>
              </w:rPr>
              <w:t>补助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2"/>
                <w:sz w:val="18"/>
                <w:szCs w:val="18"/>
              </w:rPr>
              <w:t>因研究开发、技术更新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及改造等获得的补助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面向液晶面 板设计的指 定区域等电 阻自动布线 软件补助</w:t>
            </w:r>
          </w:p>
        </w:tc>
        <w:tc>
          <w:tcPr>
            <w:tcW w:w="1062"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北京市西城 区科学技术 委员会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补助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2"/>
                <w:sz w:val="18"/>
                <w:szCs w:val="18"/>
              </w:rPr>
              <w:t>持特定行业、产业而获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得的补助（按国家级政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策规定依法取得）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项目支持资 金</w:t>
            </w:r>
          </w:p>
        </w:tc>
        <w:tc>
          <w:tcPr>
            <w:tcW w:w="1062"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北京普天德 胜科技孵化 器有限公司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0"/>
              <w:jc w:val="right"/>
              <w:rPr>
                <w:rFonts w:ascii="宋体" w:hAnsi="宋体" w:cs="宋体" w:eastAsia="宋体" w:hint="default"/>
                <w:sz w:val="18"/>
                <w:szCs w:val="18"/>
              </w:rPr>
            </w:pPr>
            <w:r>
              <w:rPr>
                <w:rFonts w:ascii="宋体" w:hAnsi="宋体" w:cs="宋体" w:eastAsia="宋体" w:hint="default"/>
                <w:sz w:val="18"/>
                <w:szCs w:val="18"/>
              </w:rPr>
              <w:t>奖励</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9"/>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9,433.96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29"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314"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徐汇区高新 技术产业化 重大项目专 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基于 移动互联网 的企业信息 发布平台</w:t>
            </w:r>
          </w:p>
        </w:tc>
        <w:tc>
          <w:tcPr>
            <w:tcW w:w="1062"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上海市徐汇 区科学技术 委员会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70"/>
              <w:jc w:val="right"/>
              <w:rPr>
                <w:rFonts w:ascii="宋体" w:hAnsi="宋体" w:cs="宋体" w:eastAsia="宋体" w:hint="default"/>
                <w:sz w:val="18"/>
                <w:szCs w:val="18"/>
              </w:rPr>
            </w:pPr>
            <w:r>
              <w:rPr>
                <w:rFonts w:ascii="宋体" w:hAnsi="宋体" w:cs="宋体" w:eastAsia="宋体" w:hint="default"/>
                <w:sz w:val="18"/>
                <w:szCs w:val="18"/>
              </w:rPr>
              <w:t>补助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2"/>
                <w:sz w:val="18"/>
                <w:szCs w:val="18"/>
              </w:rPr>
              <w:t>因研究开发、技术更新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及改造等获得的补助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徐汇区现代 服务业专项 资金</w:t>
            </w:r>
          </w:p>
        </w:tc>
        <w:tc>
          <w:tcPr>
            <w:tcW w:w="1062"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上海市徐汇 区商务委员 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0"/>
              <w:jc w:val="right"/>
              <w:rPr>
                <w:rFonts w:ascii="宋体" w:hAnsi="宋体" w:cs="宋体" w:eastAsia="宋体" w:hint="default"/>
                <w:sz w:val="18"/>
                <w:szCs w:val="18"/>
              </w:rPr>
            </w:pPr>
            <w:r>
              <w:rPr>
                <w:rFonts w:ascii="宋体" w:hAnsi="宋体" w:cs="宋体" w:eastAsia="宋体" w:hint="default"/>
                <w:sz w:val="18"/>
                <w:szCs w:val="18"/>
              </w:rPr>
              <w:t>补助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2"/>
                <w:sz w:val="18"/>
                <w:szCs w:val="18"/>
              </w:rPr>
              <w:t>因研究开发、技术更新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及改造等获得的补助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252,000.00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昆山市转型 升级创新发 展专项资金</w:t>
            </w:r>
          </w:p>
          <w:p>
            <w:pPr>
              <w:pStyle w:val="TableParagraph"/>
              <w:spacing w:line="319" w:lineRule="auto" w:before="19"/>
              <w:ind w:left="22" w:right="131"/>
              <w:jc w:val="both"/>
              <w:rPr>
                <w:rFonts w:ascii="宋体" w:hAnsi="宋体" w:cs="宋体" w:eastAsia="宋体" w:hint="default"/>
                <w:sz w:val="18"/>
                <w:szCs w:val="18"/>
              </w:rPr>
            </w:pPr>
            <w:r>
              <w:rPr>
                <w:rFonts w:ascii="宋体" w:hAnsi="宋体" w:cs="宋体" w:eastAsia="宋体" w:hint="default"/>
                <w:sz w:val="18"/>
                <w:szCs w:val="18"/>
              </w:rPr>
              <w:t>（软件企业 认定项目）</w:t>
            </w:r>
          </w:p>
        </w:tc>
        <w:tc>
          <w:tcPr>
            <w:tcW w:w="1062" w:type="dxa"/>
            <w:tcBorders>
              <w:top w:val="single" w:sz="4" w:space="0" w:color="000000"/>
              <w:left w:val="single" w:sz="4" w:space="0" w:color="000000"/>
              <w:bottom w:val="single" w:sz="4" w:space="0" w:color="000000"/>
              <w:right w:val="single" w:sz="4" w:space="0" w:color="000000"/>
            </w:tcBorders>
            <w:shd w:val="clear" w:color="auto" w:fill="C6ECC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昆山市经济 和信息化委 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补助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2"/>
                <w:sz w:val="18"/>
                <w:szCs w:val="18"/>
              </w:rPr>
              <w:t>持特定行业、产业而获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得的补助（按国家级政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策规定依法取得）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31,173,406.44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5,496,547.86</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70、营业外支出" w:id="375"/>
      <w:bookmarkEnd w:id="375"/>
      <w:r>
        <w:rPr>
          <w:b w:val="0"/>
          <w:bCs w:val="0"/>
        </w:rPr>
      </w:r>
      <w:r>
        <w:rPr>
          <w:rFonts w:ascii="Times New Roman" w:hAnsi="Times New Roman" w:cs="Times New Roman" w:eastAsia="Times New Roman" w:hint="default"/>
        </w:rPr>
        <w:t>70</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32,410.00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13,425.42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32,410.00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32,410.00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13,425.42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32,410.00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23,222.61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6,412.37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23,222.61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2" w:right="0"/>
              <w:jc w:val="left"/>
              <w:rPr>
                <w:rFonts w:ascii="Times New Roman" w:hAnsi="Times New Roman" w:cs="Times New Roman" w:eastAsia="Times New Roman" w:hint="default"/>
                <w:sz w:val="18"/>
                <w:szCs w:val="18"/>
              </w:rPr>
            </w:pPr>
            <w:r>
              <w:rPr>
                <w:rFonts w:ascii="Times New Roman"/>
                <w:sz w:val="18"/>
              </w:rPr>
              <w:t>195,632.61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55,837.79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195,632.61</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71、所得税费用" w:id="376"/>
      <w:bookmarkEnd w:id="376"/>
      <w:r>
        <w:rPr>
          <w:b w:val="0"/>
          <w:bCs w:val="0"/>
        </w:rPr>
      </w:r>
      <w:r>
        <w:rPr>
          <w:rFonts w:ascii="Times New Roman" w:hAnsi="Times New Roman" w:cs="Times New Roman" w:eastAsia="Times New Roman" w:hint="default"/>
        </w:rPr>
        <w:t>71</w:t>
      </w:r>
      <w:r>
        <w:rPr/>
        <w:t>、所得税费用</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所得税费用表" w:id="377"/>
      <w:bookmarkEnd w:id="377"/>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55,313,443.83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16,519,989.80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-6,885,852.32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-13,271,603.11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48,427,591.51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3,248,386.69</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会计利润与所得税费用调整过程" w:id="378"/>
      <w:bookmarkEnd w:id="378"/>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466,101,684.18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62,991,034.12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-4,468,711.95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-392,241.42</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本期已确认递延所得税资产的可抵扣暂时性差异的影响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-4,058,020.95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研究开发费加成扣除的纳税影响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-1,144,468.29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48,427,591.51</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72、其他综合收益" w:id="379"/>
      <w:bookmarkEnd w:id="379"/>
      <w:r>
        <w:rPr>
          <w:b w:val="0"/>
          <w:bCs w:val="0"/>
        </w:rPr>
      </w:r>
      <w:r>
        <w:rPr>
          <w:rFonts w:ascii="Times New Roman" w:hAnsi="Times New Roman" w:cs="Times New Roman" w:eastAsia="Times New Roman" w:hint="default"/>
        </w:rPr>
        <w:t>72</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详见附注七之“</w:t>
      </w:r>
      <w:r>
        <w:rPr>
          <w:rFonts w:ascii="Times New Roman" w:hAnsi="Times New Roman" w:cs="Times New Roman" w:eastAsia="Times New Roman" w:hint="default"/>
        </w:rPr>
        <w:t>57</w:t>
      </w:r>
      <w:r>
        <w:rPr/>
        <w:t>、其他综合收益</w:t>
      </w:r>
      <w:r>
        <w:rPr>
          <w:spacing w:val="-90"/>
        </w:rPr>
        <w:t>”</w:t>
      </w:r>
      <w:r>
        <w:rPr/>
        <w:t>。</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73、现金流量表项目" w:id="380"/>
      <w:bookmarkEnd w:id="380"/>
      <w:r>
        <w:rPr>
          <w:b w:val="0"/>
          <w:bCs w:val="0"/>
        </w:rPr>
      </w:r>
      <w:r>
        <w:rPr>
          <w:rFonts w:ascii="Times New Roman" w:hAnsi="Times New Roman" w:cs="Times New Roman" w:eastAsia="Times New Roman" w:hint="default"/>
        </w:rPr>
        <w:t>73</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收到的其他与经营活动有关的现金" w:id="381"/>
      <w:bookmarkEnd w:id="381"/>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735,007.10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972,246.80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9,541,575.81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8,082,388.98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945,160.03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1,356,665.10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31,292,239.77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6,205,881.19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2,577,835.58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2,139,060.08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45,091,818.29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18,756,242.15</w:t>
            </w:r>
          </w:p>
        </w:tc>
      </w:tr>
    </w:tbl>
    <w:p>
      <w:pPr>
        <w:pStyle w:val="BodyText"/>
        <w:spacing w:line="240" w:lineRule="auto" w:before="51"/>
        <w:ind w:right="0"/>
        <w:jc w:val="left"/>
      </w:pPr>
      <w:r>
        <w:rPr/>
        <w:t>收到的其他与经营活动有关的现金说明：</w:t>
      </w:r>
    </w:p>
    <w:p>
      <w:pPr>
        <w:spacing w:line="240" w:lineRule="auto" w:before="10"/>
        <w:rPr>
          <w:rFonts w:ascii="宋体" w:hAnsi="宋体" w:cs="宋体" w:eastAsia="宋体" w:hint="default"/>
          <w:sz w:val="26"/>
          <w:szCs w:val="26"/>
        </w:rPr>
      </w:pPr>
    </w:p>
    <w:p>
      <w:pPr>
        <w:pStyle w:val="Heading6"/>
        <w:spacing w:line="240" w:lineRule="auto"/>
        <w:ind w:left="154" w:right="0"/>
        <w:jc w:val="left"/>
        <w:rPr>
          <w:b w:val="0"/>
          <w:bCs w:val="0"/>
        </w:rPr>
      </w:pPr>
      <w:bookmarkStart w:name="（2）支付的其他与经营活动有关的现金" w:id="382"/>
      <w:bookmarkEnd w:id="382"/>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17,739,803.62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11,566,929.06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59,370,492.21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46,362,762.58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331,338.81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244,359.33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23,222.61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6,412.37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1,380,839.98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83,604,857.25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59,597,303.32</w:t>
            </w:r>
          </w:p>
        </w:tc>
      </w:tr>
    </w:tbl>
    <w:p>
      <w:pPr>
        <w:pStyle w:val="BodyText"/>
        <w:spacing w:line="240" w:lineRule="auto" w:before="51"/>
        <w:ind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6"/>
        <w:spacing w:line="240" w:lineRule="auto"/>
        <w:ind w:left="154" w:right="0"/>
        <w:jc w:val="left"/>
        <w:rPr>
          <w:b w:val="0"/>
          <w:bCs w:val="0"/>
        </w:rPr>
      </w:pPr>
      <w:bookmarkStart w:name="（3）收到的其他与投资活动有关的现金" w:id="383"/>
      <w:bookmarkEnd w:id="383"/>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远期结售汇合同收益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1,892,900.00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理财产品及理财收益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336,358,722.64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2,426,071.82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远期结汇保证金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346,251,622.64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2,426,071.82</w:t>
            </w:r>
          </w:p>
        </w:tc>
      </w:tr>
    </w:tbl>
    <w:p>
      <w:pPr>
        <w:pStyle w:val="BodyText"/>
        <w:spacing w:line="240" w:lineRule="auto" w:before="51"/>
        <w:ind w:right="0"/>
        <w:jc w:val="left"/>
      </w:pPr>
      <w:r>
        <w:rPr/>
        <w:t>收到的其他与投资活动有关的现金说明：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4）支付的其他与投资活动有关的现金" w:id="384"/>
      <w:bookmarkEnd w:id="384"/>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支付的远期结汇保证金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893,251,300.00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购买可供出售金融资产</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901,251,300.00</w:t>
            </w:r>
          </w:p>
        </w:tc>
      </w:tr>
    </w:tbl>
    <w:p>
      <w:pPr>
        <w:pStyle w:val="BodyText"/>
        <w:spacing w:line="240" w:lineRule="auto" w:before="51"/>
        <w:ind w:right="0"/>
        <w:jc w:val="left"/>
      </w:pPr>
      <w:r>
        <w:rPr/>
        <w:t>支付的其他与投资活动有关的现金说明：</w:t>
      </w:r>
    </w:p>
    <w:p>
      <w:pPr>
        <w:spacing w:line="240" w:lineRule="auto" w:before="10"/>
        <w:rPr>
          <w:rFonts w:ascii="宋体" w:hAnsi="宋体" w:cs="宋体" w:eastAsia="宋体" w:hint="default"/>
          <w:sz w:val="26"/>
          <w:szCs w:val="26"/>
        </w:rPr>
      </w:pPr>
    </w:p>
    <w:p>
      <w:pPr>
        <w:pStyle w:val="Heading6"/>
        <w:spacing w:line="240" w:lineRule="auto"/>
        <w:ind w:left="154" w:right="0"/>
        <w:jc w:val="left"/>
        <w:rPr>
          <w:b w:val="0"/>
          <w:bCs w:val="0"/>
        </w:rPr>
      </w:pPr>
      <w:bookmarkStart w:name="（5）收到的其他与筹资活动有关的现金" w:id="385"/>
      <w:bookmarkEnd w:id="385"/>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0"/>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6"/>
        <w:spacing w:line="240" w:lineRule="auto"/>
        <w:ind w:left="154" w:right="0"/>
        <w:jc w:val="left"/>
        <w:rPr>
          <w:b w:val="0"/>
          <w:bCs w:val="0"/>
        </w:rPr>
      </w:pPr>
      <w:bookmarkStart w:name="（6）支付的其他与筹资活动有关的现金" w:id="386"/>
      <w:bookmarkEnd w:id="386"/>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发生筹资费用所支付的现金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22,334,241.89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回购限制性股票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29,494,241.89</w:t>
            </w:r>
          </w:p>
        </w:tc>
      </w:tr>
    </w:tbl>
    <w:p>
      <w:pPr>
        <w:pStyle w:val="BodyText"/>
        <w:spacing w:line="240" w:lineRule="auto" w:before="51"/>
        <w:ind w:right="0"/>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6"/>
        <w:spacing w:line="240" w:lineRule="auto"/>
        <w:ind w:left="154" w:right="0"/>
        <w:jc w:val="left"/>
        <w:rPr>
          <w:b w:val="0"/>
          <w:bCs w:val="0"/>
        </w:rPr>
      </w:pPr>
      <w:bookmarkStart w:name="74、现金流量表补充资料" w:id="387"/>
      <w:bookmarkEnd w:id="387"/>
      <w:r>
        <w:rPr>
          <w:b w:val="0"/>
          <w:bCs w:val="0"/>
        </w:rPr>
      </w:r>
      <w:r>
        <w:rPr>
          <w:rFonts w:ascii="Times New Roman" w:hAnsi="Times New Roman" w:cs="Times New Roman" w:eastAsia="Times New Roman" w:hint="default"/>
        </w:rPr>
        <w:t>74</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现金流量表补充资料" w:id="388"/>
      <w:bookmarkEnd w:id="388"/>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417,674,092.67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113,549,263.37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7,133,222.48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269,552.54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13,590,567.28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7,997,435.70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6,199,327.31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4,763,860.24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990,261.02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681,017.16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167.929977pt;width:151.25pt;height:20.8pt;mso-position-horizontal-relative:page;mso-position-vertical-relative:page;z-index:-922456" coordorigin="4467,3359" coordsize="3025,416">
            <v:group style="position:absolute;left:4478;top:3370;width:2;height:393" coordorigin="4478,3370" coordsize="2,393">
              <v:shape style="position:absolute;left:4478;top:3370;width:2;height:393" coordorigin="4478,3370" coordsize="0,393" path="m4478,3370l4478,3762e" filled="false" stroked="true" strokeweight="1.140pt" strokecolor="#ffffff">
                <v:path arrowok="t"/>
              </v:shape>
            </v:group>
            <v:group style="position:absolute;left:4490;top:3370;width:3002;height:393" coordorigin="4490,3370" coordsize="3002,393">
              <v:shape style="position:absolute;left:4490;top:3370;width:3002;height:393" coordorigin="4490,3370" coordsize="3002,393" path="m4490,3762l7491,3762,7491,3370,4490,3370,4490,3762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9" w:right="0"/>
              <w:jc w:val="left"/>
              <w:rPr>
                <w:rFonts w:ascii="Times New Roman" w:hAnsi="Times New Roman" w:cs="Times New Roman" w:eastAsia="Times New Roman" w:hint="default"/>
                <w:sz w:val="18"/>
                <w:szCs w:val="18"/>
              </w:rPr>
            </w:pPr>
            <w:r>
              <w:rPr>
                <w:rFonts w:ascii="Times New Roman"/>
                <w:sz w:val="18"/>
              </w:rPr>
              <w:t>-2,943,143.23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-44,231.78</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348,450.00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1,760,000.00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-812,235.71</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13,975,561.50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-63,984,952.14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-2,551,770.33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81" w:right="0"/>
              <w:jc w:val="left"/>
              <w:rPr>
                <w:rFonts w:ascii="Times New Roman" w:hAnsi="Times New Roman" w:cs="Times New Roman" w:eastAsia="Times New Roman" w:hint="default"/>
                <w:sz w:val="18"/>
                <w:szCs w:val="18"/>
              </w:rPr>
            </w:pPr>
            <w:r>
              <w:rPr>
                <w:rFonts w:ascii="Times New Roman"/>
                <w:sz w:val="18"/>
              </w:rPr>
              <w:t>-6,885,852.32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-13,271,603.11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1,549,622.72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-2,558,094.20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-150,520,552.70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-2,857,788.34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261,354,175.75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-3,352,751.80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-969,134.50</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483,692,983.13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117,391,316.45</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1,073,809,328.73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370,176,824.27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370,176,824.27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290,316,308.30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703,632,504.46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79,860,515.97</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本期支付的取得子公司的现金净额" w:id="389"/>
      <w:bookmarkEnd w:id="389"/>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2,832,460.87</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海隆软件（昆山）有限公司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2,832,460.87</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182,986.73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海隆软件（昆山）有限公司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182,986.73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2,649,474.14</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3）本期收到的处置子公司的现金净额" w:id="390"/>
      <w:bookmarkEnd w:id="390"/>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4）现金和现金等价物的构成" w:id="391"/>
      <w:bookmarkEnd w:id="391"/>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1,073,809,328.73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370,176,824.27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170,055.73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85,973.88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1,071,157,994.66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370,064,430.38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2,481,278.34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26,420.01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1,073,809,328.73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370,176,824.27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spacing w:line="547" w:lineRule="auto" w:before="0"/>
        <w:ind w:left="153" w:right="5373" w:firstLine="0"/>
        <w:jc w:val="left"/>
        <w:rPr>
          <w:rFonts w:ascii="宋体" w:hAnsi="宋体" w:cs="宋体" w:eastAsia="宋体" w:hint="default"/>
          <w:sz w:val="21"/>
          <w:szCs w:val="21"/>
        </w:rPr>
      </w:pPr>
      <w:bookmarkStart w:name="75、所有者权益变动表项目注释" w:id="392"/>
      <w:bookmarkEnd w:id="392"/>
      <w:r>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6、所有权或使用权受到限制的资产" w:id="393"/>
      <w:bookmarkEnd w:id="393"/>
      <w:r>
        <w:rPr>
          <w:rFonts w:ascii="宋体" w:hAnsi="宋体" w:cs="宋体" w:eastAsia="宋体" w:hint="default"/>
          <w:sz w:val="18"/>
          <w:szCs w:val="18"/>
        </w:rPr>
      </w: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1"/>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10,850,000.00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银行承兑保证金、远期结汇保证金</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10,850,000.00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77、外币货币性项目" w:id="394"/>
      <w:bookmarkEnd w:id="394"/>
      <w:r>
        <w:rPr>
          <w:b w:val="0"/>
          <w:bCs w:val="0"/>
        </w:rPr>
      </w:r>
      <w:r>
        <w:rPr>
          <w:rFonts w:ascii="Times New Roman" w:hAnsi="Times New Roman" w:cs="Times New Roman" w:eastAsia="Times New Roman" w:hint="default"/>
        </w:rPr>
        <w:t>77</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外币货币性项目" w:id="395"/>
      <w:bookmarkEnd w:id="395"/>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87,873,656.22</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115,406.94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749,406.50</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0"/>
              <w:jc w:val="righ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0"/>
              <w:jc w:val="right"/>
              <w:rPr>
                <w:rFonts w:ascii="宋体" w:hAnsi="宋体" w:cs="宋体" w:eastAsia="宋体" w:hint="default"/>
                <w:sz w:val="18"/>
                <w:szCs w:val="18"/>
              </w:rPr>
            </w:pPr>
            <w:r>
              <w:rPr>
                <w:rFonts w:ascii="宋体" w:hAnsi="宋体" w:cs="宋体" w:eastAsia="宋体" w:hint="default"/>
                <w:sz w:val="18"/>
                <w:szCs w:val="18"/>
              </w:rPr>
              <w:t>日元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1,617,155,447.00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0.053875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87,124,249.72</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72,745,420.32</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0"/>
              <w:jc w:val="righ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0"/>
              <w:jc w:val="righ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0"/>
              <w:jc w:val="right"/>
              <w:rPr>
                <w:rFonts w:ascii="宋体" w:hAnsi="宋体" w:cs="宋体" w:eastAsia="宋体" w:hint="default"/>
                <w:sz w:val="18"/>
                <w:szCs w:val="18"/>
              </w:rPr>
            </w:pPr>
            <w:r>
              <w:rPr>
                <w:rFonts w:ascii="宋体" w:hAnsi="宋体" w:cs="宋体" w:eastAsia="宋体" w:hint="default"/>
                <w:sz w:val="18"/>
                <w:szCs w:val="18"/>
              </w:rPr>
              <w:t>日元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1,350,263,022.00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0.053875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72,745,420.32</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0"/>
              <w:jc w:val="righ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0"/>
              <w:jc w:val="righ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其中：日元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14,351,955.00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0.053875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773,211.57</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其中：日元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9,061,793.00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0.053875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488,204.10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其中：日元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0.053875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3,243,275.00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其中：日元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741,155,250.00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0.053875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39,929,739.09</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其中：日元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6,359,769.00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0.053875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342,632.55</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6"/>
        <w:spacing w:line="259" w:lineRule="auto"/>
        <w:ind w:right="0"/>
        <w:jc w:val="left"/>
        <w:rPr>
          <w:b w:val="0"/>
          <w:bCs w:val="0"/>
        </w:rPr>
      </w:pPr>
      <w:bookmarkStart w:name="（2）境外经营实体说明，包括对于重要的境外经营实体，应披露其境外主要经营地、记账" w:id="396"/>
      <w:bookmarkEnd w:id="396"/>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78、套期" w:id="397"/>
      <w:bookmarkEnd w:id="397"/>
      <w:r>
        <w:rPr>
          <w:b w:val="0"/>
          <w:bCs w:val="0"/>
        </w:rPr>
      </w:r>
      <w:r>
        <w:rPr>
          <w:rFonts w:ascii="Times New Roman" w:hAnsi="Times New Roman" w:cs="Times New Roman" w:eastAsia="Times New Roman" w:hint="default"/>
        </w:rPr>
        <w:t>78</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按照套期类别披露套期项目及相关套期工具、被套期风险的定性和定量信息：</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487" w:lineRule="auto" w:before="35"/>
        <w:ind w:left="153" w:right="8329" w:firstLine="0"/>
        <w:jc w:val="left"/>
        <w:rPr>
          <w:rFonts w:ascii="宋体" w:hAnsi="宋体" w:cs="宋体" w:eastAsia="宋体" w:hint="default"/>
          <w:sz w:val="21"/>
          <w:szCs w:val="21"/>
        </w:rPr>
      </w:pPr>
      <w:bookmarkStart w:name="79、其他" w:id="398"/>
      <w:bookmarkEnd w:id="398"/>
      <w:r>
        <w:rPr/>
      </w: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99"/>
      <w:bookmarkEnd w:id="399"/>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00"/>
      <w:bookmarkEnd w:id="40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6"/>
        <w:spacing w:line="240" w:lineRule="auto" w:before="83"/>
        <w:ind w:right="0"/>
        <w:jc w:val="left"/>
        <w:rPr>
          <w:b w:val="0"/>
          <w:bCs w:val="0"/>
        </w:rPr>
      </w:pPr>
      <w:bookmarkStart w:name="（1）本期发生的非同一控制下企业合并" w:id="401"/>
      <w:bookmarkEnd w:id="401"/>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20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5" w:right="55"/>
              <w:jc w:val="center"/>
              <w:rPr>
                <w:rFonts w:ascii="宋体" w:hAnsi="宋体" w:cs="宋体" w:eastAsia="宋体" w:hint="default"/>
                <w:sz w:val="18"/>
                <w:szCs w:val="18"/>
              </w:rPr>
            </w:pPr>
            <w:r>
              <w:rPr>
                <w:rFonts w:ascii="宋体" w:hAnsi="宋体" w:cs="宋体" w:eastAsia="宋体" w:hint="default"/>
                <w:sz w:val="18"/>
                <w:szCs w:val="18"/>
              </w:rPr>
              <w:t>购买日至期末 被购买方的收 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海隆软</w:t>
            </w:r>
            <w:r>
              <w:rPr>
                <w:rFonts w:ascii="宋体" w:hAnsi="宋体" w:cs="宋体" w:eastAsia="宋体" w:hint="default"/>
                <w:spacing w:val="-74"/>
                <w:sz w:val="18"/>
                <w:szCs w:val="18"/>
              </w:rPr>
              <w:t>件</w:t>
            </w:r>
            <w:r>
              <w:rPr>
                <w:rFonts w:ascii="宋体" w:hAnsi="宋体" w:cs="宋体" w:eastAsia="宋体" w:hint="default"/>
                <w:sz w:val="18"/>
                <w:szCs w:val="18"/>
              </w:rPr>
              <w:t>（昆</w:t>
            </w:r>
            <w:r>
              <w:rPr>
                <w:rFonts w:ascii="宋体" w:hAnsi="宋体" w:cs="宋体" w:eastAsia="宋体" w:hint="default"/>
                <w:sz w:val="18"/>
                <w:szCs w:val="18"/>
              </w:rPr>
              <w:t> 山</w:t>
            </w:r>
            <w:r>
              <w:rPr>
                <w:rFonts w:ascii="宋体" w:hAnsi="宋体" w:cs="宋体" w:eastAsia="宋体" w:hint="default"/>
                <w:spacing w:val="-74"/>
                <w:sz w:val="18"/>
                <w:szCs w:val="18"/>
              </w:rPr>
              <w:t>）</w:t>
            </w:r>
            <w:r>
              <w:rPr>
                <w:rFonts w:ascii="宋体" w:hAnsi="宋体" w:cs="宋体" w:eastAsia="宋体" w:hint="default"/>
                <w:sz w:val="18"/>
                <w:szCs w:val="18"/>
              </w:rPr>
              <w:t>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2,832,460.87</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控制</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15,343,830.04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-2,694,473.93</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合并成本及商誉" w:id="402"/>
      <w:bookmarkEnd w:id="402"/>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307" w:right="0"/>
              <w:jc w:val="left"/>
              <w:rPr>
                <w:rFonts w:ascii="宋体" w:hAnsi="宋体" w:cs="宋体" w:eastAsia="宋体" w:hint="default"/>
                <w:sz w:val="18"/>
                <w:szCs w:val="18"/>
              </w:rPr>
            </w:pPr>
            <w:r>
              <w:rPr>
                <w:rFonts w:ascii="宋体" w:hAnsi="宋体" w:cs="宋体" w:eastAsia="宋体" w:hint="default"/>
                <w:sz w:val="18"/>
                <w:szCs w:val="18"/>
              </w:rPr>
              <w:t>海隆软件（昆山）有限公司</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2,832,460.87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3,174,000.55</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-341,539.68</w:t>
            </w:r>
            <w:r>
              <w:rPr>
                <w:rFonts w:ascii="Times New Roman"/>
                <w:sz w:val="18"/>
              </w:rPr>
            </w:r>
          </w:p>
        </w:tc>
      </w:tr>
    </w:tbl>
    <w:p>
      <w:pPr>
        <w:pStyle w:val="BodyText"/>
        <w:spacing w:line="360" w:lineRule="auto" w:before="51"/>
        <w:ind w:right="6072"/>
        <w:jc w:val="left"/>
      </w:pPr>
      <w:r>
        <w:rPr/>
        <w:t>合并成本公允价值的确定方法、或有对价及其变动的说明： 大额商誉形成的主要原因：</w:t>
      </w:r>
    </w:p>
    <w:p>
      <w:pPr>
        <w:pStyle w:val="BodyText"/>
        <w:spacing w:line="240" w:lineRule="auto" w:before="26"/>
        <w:ind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left="154" w:right="0"/>
        <w:jc w:val="left"/>
        <w:rPr>
          <w:b w:val="0"/>
          <w:bCs w:val="0"/>
        </w:rPr>
      </w:pPr>
      <w:bookmarkStart w:name="（3）被购买方于购买日可辨认资产、负债" w:id="403"/>
      <w:bookmarkEnd w:id="403"/>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22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3" w:type="dxa"/>
            <w:gridSpan w:val="2"/>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2"/>
              <w:ind w:left="2106" w:right="0"/>
              <w:jc w:val="left"/>
              <w:rPr>
                <w:rFonts w:ascii="宋体" w:hAnsi="宋体" w:cs="宋体" w:eastAsia="宋体" w:hint="default"/>
                <w:sz w:val="18"/>
                <w:szCs w:val="18"/>
              </w:rPr>
            </w:pPr>
            <w:r>
              <w:rPr>
                <w:rFonts w:ascii="宋体" w:hAnsi="宋体" w:cs="宋体" w:eastAsia="宋体" w:hint="default"/>
                <w:sz w:val="18"/>
                <w:szCs w:val="18"/>
              </w:rPr>
              <w:t>海隆软件（昆山）有限公司</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4,225,505.53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4,225,505.53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182,986.73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182,986.73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2,664,091.74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2,664,091.74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924,467.03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924,467.03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117,049.53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117,049.53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336,910.50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336,910.50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1,051,504.98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1,051,504.98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914,288.53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914,288.53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107,216.45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107,216.45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3,174,000.55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3,174,000.55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3,174,000.55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3,174,000.55</w:t>
            </w:r>
          </w:p>
        </w:tc>
      </w:tr>
    </w:tbl>
    <w:p>
      <w:pPr>
        <w:pStyle w:val="BodyText"/>
        <w:spacing w:line="360" w:lineRule="auto" w:before="51"/>
        <w:ind w:right="7530"/>
        <w:jc w:val="both"/>
      </w:pPr>
      <w:r>
        <w:rPr/>
        <w:t>可辨认资产、负债公允价值的确定方法： 企业合并中承担的被购买方的或有负债： 其他说明：</w:t>
      </w:r>
    </w:p>
    <w:p>
      <w:pPr>
        <w:spacing w:line="240" w:lineRule="auto" w:before="12"/>
        <w:rPr>
          <w:rFonts w:ascii="宋体" w:hAnsi="宋体" w:cs="宋体" w:eastAsia="宋体" w:hint="default"/>
          <w:sz w:val="19"/>
          <w:szCs w:val="19"/>
        </w:rPr>
      </w:pPr>
    </w:p>
    <w:p>
      <w:pPr>
        <w:pStyle w:val="Heading6"/>
        <w:spacing w:line="240" w:lineRule="auto"/>
        <w:ind w:left="154" w:right="0"/>
        <w:jc w:val="both"/>
        <w:rPr>
          <w:b w:val="0"/>
          <w:bCs w:val="0"/>
        </w:rPr>
      </w:pPr>
      <w:bookmarkStart w:name="（4）购买日之前持有的股权按照公允价值重新计量产生的利得或损失" w:id="404"/>
      <w:bookmarkEnd w:id="404"/>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both"/>
      </w:pPr>
      <w:r>
        <w:rPr/>
        <w:t>是否存在通过多次交易分步实现企业合并且在报告期内取得控制权的交易</w:t>
      </w:r>
    </w:p>
    <w:p>
      <w:pPr>
        <w:pStyle w:val="BodyText"/>
        <w:spacing w:line="240" w:lineRule="auto" w:before="117"/>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6"/>
        <w:spacing w:line="240" w:lineRule="auto"/>
        <w:ind w:right="0"/>
        <w:jc w:val="both"/>
        <w:rPr>
          <w:b w:val="0"/>
          <w:bCs w:val="0"/>
        </w:rPr>
      </w:pPr>
      <w:bookmarkStart w:name="（5）购买日或合并当期期末无法合理确定合并对价或被购买方可辨认资产、负债公允价值" w:id="405"/>
      <w:bookmarkEnd w:id="405"/>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both"/>
        <w:rPr>
          <w:b w:val="0"/>
          <w:bCs w:val="0"/>
        </w:rPr>
      </w:pPr>
      <w:bookmarkStart w:name="（6）其他说明" w:id="406"/>
      <w:bookmarkEnd w:id="406"/>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both"/>
        <w:rPr>
          <w:b w:val="0"/>
          <w:bCs w:val="0"/>
        </w:rPr>
      </w:pPr>
      <w:bookmarkStart w:name="2、同一控制下企业合并" w:id="407"/>
      <w:bookmarkEnd w:id="407"/>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both"/>
        <w:rPr>
          <w:b w:val="0"/>
          <w:bCs w:val="0"/>
        </w:rPr>
      </w:pPr>
      <w:bookmarkStart w:name="（1）本期发生的同一控制下企业合并" w:id="408"/>
      <w:bookmarkEnd w:id="408"/>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2）合并成本" w:id="409"/>
      <w:bookmarkEnd w:id="409"/>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8"/>
        <w:rPr>
          <w:rFonts w:ascii="宋体" w:hAnsi="宋体" w:cs="宋体" w:eastAsia="宋体" w:hint="default"/>
          <w:sz w:val="7"/>
          <w:szCs w:val="7"/>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773;top:16;width:2;height:392" coordorigin="4773,16" coordsize="2,392">
              <v:shape style="position:absolute;left:4773;top:16;width:2;height:392" coordorigin="4773,16" coordsize="0,392" path="m4773,16l4773,407e" filled="false" stroked="true" strokeweight="1.140pt" strokecolor="#d2d2d2">
                <v:path arrowok="t"/>
              </v:shape>
            </v:group>
            <v:group style="position:absolute;left:32;top:16;width:4729;height:392" coordorigin="32,16" coordsize="4729,392">
              <v:shape style="position:absolute;left:32;top:16;width:4729;height:392" coordorigin="32,16" coordsize="4729,392" path="m32,407l4761,407,4761,16,32,16,32,407xe" filled="true" fillcolor="#d2d2d2" stroked="false">
                <v:path arrowok="t"/>
                <v:fill type="solid"/>
              </v:shape>
            </v:group>
            <v:group style="position:absolute;left:4806;top:16;width:2;height:392" coordorigin="4806,16" coordsize="2,392">
              <v:shape style="position:absolute;left:4806;top:16;width:2;height:392" coordorigin="4806,16" coordsize="0,392" path="m4806,16l4806,407e" filled="false" stroked="true" strokeweight="1.140pt" strokecolor="#e0ffff">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e0ffff">
                <v:path arrowok="t"/>
              </v:shape>
            </v:group>
            <v:group style="position:absolute;left:4818;top:16;width:4729;height:392" coordorigin="4818,16" coordsize="4729,392">
              <v:shape style="position:absolute;left:4818;top:16;width:4729;height:392" coordorigin="4818,16" coordsize="4729,392" path="m4818,407l9546,407,9546,16,4818,16,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8pt" strokecolor="#000000">
                <v:path arrowok="t"/>
              </v:shape>
            </v:group>
            <v:group style="position:absolute;left:4790;top:5;width:2;height:413" coordorigin="4790,5" coordsize="2,413">
              <v:shape style="position:absolute;left:4790;top:5;width:2;height:413" coordorigin="4790,5" coordsize="0,413" path="m4790,5l4790,418e" filled="false" stroked="true" strokeweight=".4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5;top:10;width:4785;height:404" type="#_x0000_t202" filled="false" stroked="false">
                <v:textbox inset="0,0,0,0">
                  <w:txbxContent>
                    <w:p>
                      <w:pPr>
                        <w:spacing w:before="57"/>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ind w:left="153" w:right="8593"/>
        <w:jc w:val="left"/>
      </w:pPr>
      <w:r>
        <w:rPr/>
        <w:t>或有对价及其变动的说明： 其他说明：</w:t>
      </w:r>
    </w:p>
    <w:p>
      <w:pPr>
        <w:spacing w:line="240" w:lineRule="auto" w:before="1"/>
        <w:rPr>
          <w:rFonts w:ascii="宋体" w:hAnsi="宋体" w:cs="宋体" w:eastAsia="宋体" w:hint="default"/>
          <w:sz w:val="20"/>
          <w:szCs w:val="20"/>
        </w:rPr>
      </w:pPr>
    </w:p>
    <w:p>
      <w:pPr>
        <w:pStyle w:val="Heading6"/>
        <w:spacing w:line="240" w:lineRule="auto"/>
        <w:ind w:right="0"/>
        <w:jc w:val="left"/>
        <w:rPr>
          <w:b w:val="0"/>
          <w:bCs w:val="0"/>
        </w:rPr>
      </w:pPr>
      <w:bookmarkStart w:name="（3）合并日被合并方资产、负债的账面价值" w:id="410"/>
      <w:bookmarkEnd w:id="410"/>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9"/>
        <w:rPr>
          <w:rFonts w:ascii="宋体" w:hAnsi="宋体" w:cs="宋体" w:eastAsia="宋体" w:hint="default"/>
          <w:sz w:val="7"/>
          <w:szCs w:val="7"/>
        </w:rPr>
      </w:pPr>
    </w:p>
    <w:p>
      <w:pPr>
        <w:spacing w:line="823"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3179;top:14;width:2;height:393" coordorigin="3179,14" coordsize="2,393">
              <v:shape style="position:absolute;left:3179;top:14;width:2;height:393" coordorigin="3179,14" coordsize="0,393" path="m3179,14l3179,407e" filled="false" stroked="true" strokeweight="1.140pt" strokecolor="#d2d2d2">
                <v:path arrowok="t"/>
              </v:shape>
            </v:group>
            <v:group style="position:absolute;left:32;top:14;width:3135;height:393" coordorigin="32,14" coordsize="3135,393">
              <v:shape style="position:absolute;left:32;top:14;width:3135;height:393" coordorigin="32,14" coordsize="3135,393" path="m32,407l3167,407,3167,14,32,14,32,407xe" filled="true" fillcolor="#d2d2d2" stroked="false">
                <v:path arrowok="t"/>
                <v:fill type="solid"/>
              </v:shape>
            </v:group>
            <v:group style="position:absolute;left:3212;top:14;width:2;height:393" coordorigin="3212,14" coordsize="2,393">
              <v:shape style="position:absolute;left:3212;top:14;width:2;height:393" coordorigin="3212,14" coordsize="0,393" path="m3212,14l3212,407e" filled="false" stroked="true" strokeweight="1.2pt" strokecolor="#e0ffff">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e0ffff">
                <v:path arrowok="t"/>
              </v:shape>
            </v:group>
            <v:group style="position:absolute;left:3224;top:14;width:6325;height:393" coordorigin="3224,14" coordsize="6325,393">
              <v:shape style="position:absolute;left:3224;top:14;width:6325;height:393" coordorigin="3224,14" coordsize="6325,393" path="m3224,407l9548,407,9548,14,3224,14,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21;top:416;width:2;height:393" coordorigin="21,416" coordsize="2,393">
              <v:shape style="position:absolute;left:21;top:416;width:2;height:393" coordorigin="21,416" coordsize="0,393" path="m21,416l21,809e" filled="false" stroked="true" strokeweight="1.140pt" strokecolor="#d2d2d2">
                <v:path arrowok="t"/>
              </v:shape>
            </v:group>
            <v:group style="position:absolute;left:3179;top:416;width:2;height:393" coordorigin="3179,416" coordsize="2,393">
              <v:shape style="position:absolute;left:3179;top:416;width:2;height:393" coordorigin="3179,416" coordsize="0,393" path="m3179,416l3179,809e" filled="false" stroked="true" strokeweight="1.140pt" strokecolor="#d2d2d2">
                <v:path arrowok="t"/>
              </v:shape>
            </v:group>
            <v:group style="position:absolute;left:32;top:416;width:3135;height:393" coordorigin="32,416" coordsize="3135,393">
              <v:shape style="position:absolute;left:32;top:416;width:3135;height:393" coordorigin="32,416" coordsize="3135,393" path="m32,809l3167,809,3167,416,32,416,32,809xe" filled="true" fillcolor="#d2d2d2" stroked="false">
                <v:path arrowok="t"/>
                <v:fill type="solid"/>
              </v:shape>
            </v:group>
            <v:group style="position:absolute;left:3212;top:416;width:2;height:393" coordorigin="3212,416" coordsize="2,393">
              <v:shape style="position:absolute;left:3212;top:416;width:2;height:393" coordorigin="3212,416" coordsize="0,393" path="m3212,416l3212,809e" filled="false" stroked="true" strokeweight="1.2pt" strokecolor="#d2d2d2">
                <v:path arrowok="t"/>
              </v:shape>
            </v:group>
            <v:group style="position:absolute;left:6369;top:416;width:2;height:393" coordorigin="6369,416" coordsize="2,393">
              <v:shape style="position:absolute;left:6369;top:416;width:2;height:393" coordorigin="6369,416" coordsize="0,393" path="m6369,416l6369,809e" filled="false" stroked="true" strokeweight="1.140pt" strokecolor="#d2d2d2">
                <v:path arrowok="t"/>
              </v:shape>
            </v:group>
            <v:group style="position:absolute;left:3224;top:416;width:3134;height:393" coordorigin="3224,416" coordsize="3134,393">
              <v:shape style="position:absolute;left:3224;top:416;width:3134;height:393" coordorigin="3224,416" coordsize="3134,393" path="m3224,809l6357,809,6357,416,3224,416,3224,809xe" filled="true" fillcolor="#d2d2d2" stroked="false">
                <v:path arrowok="t"/>
                <v:fill type="solid"/>
              </v:shape>
            </v:group>
            <v:group style="position:absolute;left:6402;top:416;width:2;height:393" coordorigin="6402,416" coordsize="2,393">
              <v:shape style="position:absolute;left:6402;top:416;width:2;height:393" coordorigin="6402,416" coordsize="0,393" path="m6402,416l6402,809e" filled="false" stroked="true" strokeweight="1.140pt" strokecolor="#d2d2d2">
                <v:path arrowok="t"/>
              </v:shape>
            </v:group>
            <v:group style="position:absolute;left:9560;top:416;width:2;height:393" coordorigin="9560,416" coordsize="2,393">
              <v:shape style="position:absolute;left:9560;top:416;width:2;height:393" coordorigin="9560,416" coordsize="0,393" path="m9560,416l9560,809e" filled="false" stroked="true" strokeweight="1.140pt" strokecolor="#d2d2d2">
                <v:path arrowok="t"/>
              </v:shape>
            </v:group>
            <v:group style="position:absolute;left:6414;top:416;width:3135;height:393" coordorigin="6414,416" coordsize="3135,393">
              <v:shape style="position:absolute;left:6414;top:416;width:3135;height:393" coordorigin="6414,416" coordsize="3135,393" path="m6414,809l9548,809,9548,416,6414,416,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8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2;height:2" coordorigin="3200,814" coordsize="3182,2">
              <v:shape style="position:absolute;left:3200;top:814;width:3182;height:2" coordorigin="3200,814" coordsize="3182,0" path="m3200,814l6381,814e" filled="false" stroked="true" strokeweight=".48pt" strokecolor="#000000">
                <v:path arrowok="t"/>
              </v:shape>
            </v:group>
            <v:group style="position:absolute;left:6386;top:407;width:2;height:412" coordorigin="6386,407" coordsize="2,412">
              <v:shape style="position:absolute;left:6386;top:407;width:2;height:412" coordorigin="6386,407" coordsize="0,412" path="m6386,407l6386,818e" filled="false" stroked="true" strokeweight=".48pt" strokecolor="#000000">
                <v:path arrowok="t"/>
              </v:shape>
            </v:group>
            <v:group style="position:absolute;left:6391;top:814;width:3181;height:2" coordorigin="6391,814" coordsize="3181,2">
              <v:shape style="position:absolute;left:6391;top:814;width:3181;height:2" coordorigin="6391,814" coordsize="3181,0" path="m6391,814l9571,814e" filled="false" stroked="true" strokeweight=".48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pt" strokecolor="#000000">
                <v:path arrowok="t"/>
              </v:shape>
              <v:shape style="position:absolute;left:3183;top:412;width:3202;height:402"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2"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before="46"/>
        <w:ind w:right="7512"/>
        <w:jc w:val="left"/>
      </w:pPr>
      <w:r>
        <w:rPr/>
        <w:t>企业合并中承担的被合并方的或有负债： 其他说明：</w:t>
      </w:r>
    </w:p>
    <w:p>
      <w:pPr>
        <w:spacing w:line="240" w:lineRule="auto" w:before="11"/>
        <w:rPr>
          <w:rFonts w:ascii="宋体" w:hAnsi="宋体" w:cs="宋体" w:eastAsia="宋体" w:hint="default"/>
          <w:sz w:val="19"/>
          <w:szCs w:val="19"/>
        </w:rPr>
      </w:pPr>
    </w:p>
    <w:p>
      <w:pPr>
        <w:pStyle w:val="Heading6"/>
        <w:spacing w:line="240" w:lineRule="auto"/>
        <w:ind w:left="154" w:right="0"/>
        <w:jc w:val="left"/>
        <w:rPr>
          <w:b w:val="0"/>
          <w:bCs w:val="0"/>
        </w:rPr>
      </w:pPr>
      <w:bookmarkStart w:name="3、反向购买" w:id="411"/>
      <w:bookmarkEnd w:id="411"/>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before="0"/>
        <w:ind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3"/>
        <w:rPr>
          <w:rFonts w:ascii="宋体" w:hAnsi="宋体" w:cs="宋体" w:eastAsia="宋体" w:hint="default"/>
          <w:sz w:val="22"/>
          <w:szCs w:val="22"/>
        </w:rPr>
      </w:pPr>
    </w:p>
    <w:p>
      <w:pPr>
        <w:pStyle w:val="Heading6"/>
        <w:spacing w:line="240" w:lineRule="auto"/>
        <w:ind w:left="154" w:right="0"/>
        <w:jc w:val="left"/>
        <w:rPr>
          <w:b w:val="0"/>
          <w:bCs w:val="0"/>
        </w:rPr>
      </w:pPr>
      <w:bookmarkStart w:name="4、处置子公司" w:id="412"/>
      <w:bookmarkEnd w:id="412"/>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是否存在单次处置对子公司投资即丧失控制权的情形</w:t>
      </w:r>
    </w:p>
    <w:p>
      <w:pPr>
        <w:pStyle w:val="BodyText"/>
        <w:spacing w:line="340" w:lineRule="auto" w:before="116"/>
        <w:ind w:left="153"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1"/>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5、其他原因的合并范围变动" w:id="413"/>
      <w:bookmarkEnd w:id="413"/>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left="153" w:right="3913"/>
        <w:jc w:val="left"/>
      </w:pPr>
      <w:r>
        <w:rPr/>
        <w:pict>
          <v:shape style="position:absolute;margin-left:55.860001pt;margin-top:32.591724pt;width:484.05pt;height:132.550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0"/>
                    <w:gridCol w:w="1659"/>
                    <w:gridCol w:w="858"/>
                    <w:gridCol w:w="1553"/>
                    <w:gridCol w:w="1061"/>
                    <w:gridCol w:w="1658"/>
                  </w:tblGrid>
                  <w:tr>
                    <w:trPr>
                      <w:trHeight w:val="659"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61" w:right="0"/>
                          <w:jc w:val="left"/>
                          <w:rPr>
                            <w:rFonts w:ascii="宋体" w:hAnsi="宋体" w:cs="宋体" w:eastAsia="宋体" w:hint="default"/>
                            <w:sz w:val="18"/>
                            <w:szCs w:val="18"/>
                          </w:rPr>
                        </w:pPr>
                        <w:r>
                          <w:rPr>
                            <w:rFonts w:ascii="宋体" w:hAnsi="宋体" w:cs="宋体" w:eastAsia="宋体" w:hint="default"/>
                            <w:sz w:val="18"/>
                            <w:szCs w:val="18"/>
                          </w:rPr>
                          <w:t>设立日期</w:t>
                        </w:r>
                      </w:p>
                    </w:tc>
                    <w:tc>
                      <w:tcPr>
                        <w:tcW w:w="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6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551" w:right="11" w:hanging="540"/>
                          <w:jc w:val="left"/>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 出资额</w:t>
                        </w:r>
                      </w:p>
                    </w:tc>
                  </w:tr>
                  <w:tr>
                    <w:trPr>
                      <w:trHeight w:val="660"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50"/>
                          <w:jc w:val="left"/>
                          <w:rPr>
                            <w:rFonts w:ascii="宋体" w:hAnsi="宋体" w:cs="宋体" w:eastAsia="宋体" w:hint="default"/>
                            <w:sz w:val="18"/>
                            <w:szCs w:val="18"/>
                          </w:rPr>
                        </w:pPr>
                        <w:r>
                          <w:rPr>
                            <w:rFonts w:ascii="宋体" w:hAnsi="宋体" w:cs="宋体" w:eastAsia="宋体" w:hint="default"/>
                            <w:sz w:val="18"/>
                            <w:szCs w:val="18"/>
                          </w:rPr>
                          <w:t>上海二三四五海隆金融信息服务有 限公司</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8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0"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10,000.00</w:t>
                        </w:r>
                        <w:r>
                          <w:rPr>
                            <w:rFonts w:ascii="宋体" w:hAnsi="宋体" w:cs="宋体" w:eastAsia="宋体" w:hint="default"/>
                            <w:sz w:val="18"/>
                            <w:szCs w:val="18"/>
                          </w:rPr>
                          <w:t>万元</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00" w:right="0"/>
                          <w:jc w:val="left"/>
                          <w:rPr>
                            <w:rFonts w:ascii="Times New Roman" w:hAnsi="Times New Roman" w:cs="Times New Roman" w:eastAsia="Times New Roman" w:hint="default"/>
                            <w:sz w:val="18"/>
                            <w:szCs w:val="18"/>
                          </w:rPr>
                        </w:pPr>
                        <w:r>
                          <w:rPr>
                            <w:rFonts w:ascii="Times New Roman"/>
                            <w:sz w:val="18"/>
                          </w:rPr>
                          <w:t>100.00%</w:t>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10,000.00</w:t>
                        </w:r>
                        <w:r>
                          <w:rPr>
                            <w:rFonts w:ascii="宋体" w:hAnsi="宋体" w:cs="宋体" w:eastAsia="宋体" w:hint="default"/>
                            <w:sz w:val="18"/>
                            <w:szCs w:val="18"/>
                          </w:rPr>
                          <w:t>万元</w:t>
                        </w:r>
                      </w:p>
                    </w:tc>
                  </w:tr>
                  <w:tr>
                    <w:trPr>
                      <w:trHeight w:val="659"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50"/>
                          <w:jc w:val="left"/>
                          <w:rPr>
                            <w:rFonts w:ascii="宋体" w:hAnsi="宋体" w:cs="宋体" w:eastAsia="宋体" w:hint="default"/>
                            <w:sz w:val="18"/>
                            <w:szCs w:val="18"/>
                          </w:rPr>
                        </w:pPr>
                        <w:r>
                          <w:rPr>
                            <w:rFonts w:ascii="宋体" w:hAnsi="宋体" w:cs="宋体" w:eastAsia="宋体" w:hint="default"/>
                            <w:sz w:val="18"/>
                            <w:szCs w:val="18"/>
                          </w:rPr>
                          <w:t>上海薪想互联网金融信息服务有限 公司</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8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0"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2,000.00</w:t>
                        </w:r>
                        <w:r>
                          <w:rPr>
                            <w:rFonts w:ascii="宋体" w:hAnsi="宋体" w:cs="宋体" w:eastAsia="宋体" w:hint="default"/>
                            <w:sz w:val="18"/>
                            <w:szCs w:val="18"/>
                          </w:rPr>
                          <w:t>万元</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45" w:right="0"/>
                          <w:jc w:val="left"/>
                          <w:rPr>
                            <w:rFonts w:ascii="Times New Roman" w:hAnsi="Times New Roman" w:cs="Times New Roman" w:eastAsia="Times New Roman" w:hint="default"/>
                            <w:sz w:val="18"/>
                            <w:szCs w:val="18"/>
                          </w:rPr>
                        </w:pPr>
                        <w:r>
                          <w:rPr>
                            <w:rFonts w:ascii="Times New Roman"/>
                            <w:sz w:val="18"/>
                          </w:rPr>
                          <w:t>99.95%</w:t>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1600.00</w:t>
                        </w:r>
                        <w:r>
                          <w:rPr>
                            <w:rFonts w:ascii="宋体" w:hAnsi="宋体" w:cs="宋体" w:eastAsia="宋体" w:hint="default"/>
                            <w:sz w:val="18"/>
                            <w:szCs w:val="18"/>
                          </w:rPr>
                          <w:t>万元</w:t>
                        </w:r>
                      </w:p>
                    </w:tc>
                  </w:tr>
                  <w:tr>
                    <w:trPr>
                      <w:trHeight w:val="659"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2"/>
                            <w:sz w:val="18"/>
                            <w:szCs w:val="18"/>
                          </w:rPr>
                          <w:t>上海善拢泗海投资管理中心（有限合</w:t>
                        </w:r>
                        <w:r>
                          <w:rPr>
                            <w:rFonts w:ascii="宋体" w:hAnsi="宋体" w:cs="宋体" w:eastAsia="宋体" w:hint="default"/>
                            <w:sz w:val="18"/>
                            <w:szCs w:val="18"/>
                          </w:rPr>
                          <w:t> 伙）</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35"/>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0"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400.00</w:t>
                        </w:r>
                        <w:r>
                          <w:rPr>
                            <w:rFonts w:ascii="宋体" w:hAnsi="宋体" w:cs="宋体" w:eastAsia="宋体" w:hint="default"/>
                            <w:sz w:val="18"/>
                            <w:szCs w:val="18"/>
                          </w:rPr>
                          <w:t>万元</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45" w:right="0"/>
                          <w:jc w:val="left"/>
                          <w:rPr>
                            <w:rFonts w:ascii="Times New Roman" w:hAnsi="Times New Roman" w:cs="Times New Roman" w:eastAsia="Times New Roman" w:hint="default"/>
                            <w:sz w:val="18"/>
                            <w:szCs w:val="18"/>
                          </w:rPr>
                        </w:pPr>
                        <w:r>
                          <w:rPr>
                            <w:rFonts w:ascii="Times New Roman"/>
                            <w:sz w:val="18"/>
                          </w:rPr>
                          <w:t>99.75%</w:t>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399.00</w:t>
                        </w:r>
                        <w:r>
                          <w:rPr>
                            <w:rFonts w:ascii="宋体" w:hAnsi="宋体" w:cs="宋体" w:eastAsia="宋体" w:hint="default"/>
                            <w:sz w:val="18"/>
                            <w:szCs w:val="18"/>
                          </w:rPr>
                          <w:t>万元</w:t>
                        </w:r>
                      </w:p>
                    </w:tc>
                  </w:tr>
                </w:tbl>
                <w:p>
                  <w:pPr/>
                </w:p>
              </w:txbxContent>
            </v:textbox>
            <w10:wrap type="none"/>
          </v:shape>
        </w:pict>
      </w:r>
      <w:r>
        <w:rPr/>
        <w:t>说明其他原因导致的合并范围变动（如，新设子公司、清算子公司等）及其相关情况： 本期新设孙、子公司情况：（货币单位：人民币）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）公司于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日在上海设立全资子公司上海二三四五海隆金融信息服务有限公司，注册资本人民币</w:t>
      </w:r>
      <w:r>
        <w:rPr>
          <w:spacing w:val="-45"/>
        </w:rPr>
        <w:t> </w:t>
      </w:r>
      <w:r>
        <w:rPr>
          <w:rFonts w:ascii="Times New Roman" w:hAnsi="Times New Roman" w:cs="Times New Roman" w:eastAsia="Times New Roman" w:hint="default"/>
        </w:rPr>
        <w:t>10,000.00</w:t>
      </w:r>
    </w:p>
    <w:p>
      <w:pPr>
        <w:pStyle w:val="BodyText"/>
        <w:spacing w:line="240" w:lineRule="auto" w:before="64"/>
        <w:ind w:left="153" w:right="0"/>
        <w:jc w:val="left"/>
      </w:pPr>
      <w:r>
        <w:rPr/>
        <w:t>万元，截至</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日上海二三四五海隆金融信息服务有限公司实收资本人民币</w:t>
      </w:r>
      <w:r>
        <w:rPr>
          <w:spacing w:val="-46"/>
        </w:rPr>
        <w:t> </w:t>
      </w:r>
      <w:r>
        <w:rPr>
          <w:rFonts w:ascii="Times New Roman" w:hAnsi="Times New Roman" w:cs="Times New Roman" w:eastAsia="Times New Roman" w:hint="default"/>
        </w:rPr>
        <w:t>10,000.00 </w:t>
      </w:r>
      <w:r>
        <w:rPr/>
        <w:t>万元。</w:t>
      </w:r>
    </w:p>
    <w:p>
      <w:pPr>
        <w:pStyle w:val="BodyText"/>
        <w:spacing w:line="240" w:lineRule="auto" w:before="101"/>
        <w:ind w:left="153"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spacing w:val="-90"/>
        </w:rPr>
        <w:t>）</w:t>
      </w:r>
      <w:r>
        <w:rPr/>
        <w:t>公司子公司上海二三四五海隆金融信息服务有限公司于</w:t>
      </w:r>
      <w:r>
        <w:rPr>
          <w:spacing w:val="-5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w:t>
      </w:r>
      <w:r>
        <w:rPr>
          <w:spacing w:val="-51"/>
        </w:rPr>
        <w:t> </w:t>
      </w:r>
      <w:r>
        <w:rPr>
          <w:rFonts w:ascii="Times New Roman" w:hAnsi="Times New Roman" w:cs="Times New Roman" w:eastAsia="Times New Roman" w:hint="default"/>
        </w:rPr>
        <w:t>25</w:t>
      </w:r>
      <w:r>
        <w:rPr>
          <w:rFonts w:ascii="Times New Roman" w:hAnsi="Times New Roman" w:cs="Times New Roman" w:eastAsia="Times New Roman" w:hint="default"/>
          <w:spacing w:val="-6"/>
        </w:rPr>
        <w:t> </w:t>
      </w:r>
      <w:r>
        <w:rPr/>
        <w:t>日与上海千机投资有限公司分别出资人民币</w:t>
      </w:r>
      <w:r>
        <w:rPr>
          <w:spacing w:val="-50"/>
        </w:rPr>
        <w:t> </w:t>
      </w:r>
      <w:r>
        <w:rPr>
          <w:rFonts w:ascii="Times New Roman" w:hAnsi="Times New Roman" w:cs="Times New Roman" w:eastAsia="Times New Roman" w:hint="default"/>
        </w:rPr>
        <w:t>399</w:t>
      </w:r>
    </w:p>
    <w:p>
      <w:pPr>
        <w:pStyle w:val="BodyText"/>
        <w:spacing w:line="240" w:lineRule="auto" w:before="63"/>
        <w:ind w:right="0"/>
        <w:jc w:val="left"/>
      </w:pPr>
      <w:r>
        <w:rPr/>
        <w:t>万元、人民币</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万元设立有限合伙企业上海善拢泗海投资管理中心</w:t>
      </w:r>
      <w:r>
        <w:rPr>
          <w:rFonts w:ascii="Times New Roman" w:hAnsi="Times New Roman" w:cs="Times New Roman" w:eastAsia="Times New Roman" w:hint="default"/>
        </w:rPr>
        <w:t>(</w:t>
      </w:r>
      <w:r>
        <w:rPr/>
        <w:t>有限合伙</w:t>
      </w:r>
      <w:r>
        <w:rPr>
          <w:spacing w:val="-90"/>
        </w:rPr>
        <w:t>）</w:t>
      </w:r>
      <w:r>
        <w:rPr/>
        <w:t>，截至</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日上海善拢泗海投资</w:t>
      </w:r>
    </w:p>
    <w:p>
      <w:pPr>
        <w:pStyle w:val="BodyText"/>
        <w:spacing w:line="240" w:lineRule="auto" w:before="64"/>
        <w:ind w:right="0"/>
        <w:jc w:val="left"/>
      </w:pPr>
      <w:r>
        <w:rPr/>
        <w:t>管理中心（有限合伙）实收资本人民币</w:t>
      </w:r>
      <w:r>
        <w:rPr>
          <w:spacing w:val="-46"/>
        </w:rPr>
        <w:t> </w:t>
      </w:r>
      <w:r>
        <w:rPr>
          <w:rFonts w:ascii="Times New Roman" w:hAnsi="Times New Roman" w:cs="Times New Roman" w:eastAsia="Times New Roman" w:hint="default"/>
        </w:rPr>
        <w:t>400</w:t>
      </w:r>
      <w:r>
        <w:rPr>
          <w:rFonts w:ascii="Times New Roman" w:hAnsi="Times New Roman" w:cs="Times New Roman" w:eastAsia="Times New Roman" w:hint="default"/>
          <w:spacing w:val="-1"/>
        </w:rPr>
        <w:t> </w:t>
      </w:r>
      <w:r>
        <w:rPr/>
        <w:t>万元。</w:t>
      </w:r>
    </w:p>
    <w:p>
      <w:pPr>
        <w:pStyle w:val="BodyText"/>
        <w:spacing w:line="240" w:lineRule="auto" w:before="101"/>
        <w:ind w:right="0"/>
        <w:jc w:val="left"/>
      </w:pPr>
      <w:r>
        <w:rPr/>
        <w:t>（</w:t>
      </w:r>
      <w:r>
        <w:rPr>
          <w:rFonts w:ascii="Times New Roman" w:hAnsi="Times New Roman" w:cs="Times New Roman" w:eastAsia="Times New Roman" w:hint="default"/>
        </w:rPr>
        <w:t>3</w:t>
      </w:r>
      <w:r>
        <w:rPr/>
        <w:t>）公司子上海二三四五海隆金融信息服务有限公司于</w:t>
      </w:r>
      <w:r>
        <w:rPr>
          <w:spacing w:val="-4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spacing w:val="-3"/>
        </w:rPr>
        <w:t>日与上海善拢泗海投资管理中心（有限合伙）分别出</w:t>
      </w:r>
    </w:p>
    <w:p>
      <w:pPr>
        <w:pStyle w:val="BodyText"/>
        <w:spacing w:line="240" w:lineRule="auto" w:before="63"/>
        <w:ind w:left="153" w:right="0"/>
        <w:jc w:val="left"/>
      </w:pPr>
      <w:r>
        <w:rPr/>
        <w:t>资人民币</w:t>
      </w:r>
      <w:r>
        <w:rPr>
          <w:spacing w:val="-46"/>
        </w:rPr>
        <w:t> </w:t>
      </w:r>
      <w:r>
        <w:rPr>
          <w:rFonts w:ascii="Times New Roman" w:hAnsi="Times New Roman" w:cs="Times New Roman" w:eastAsia="Times New Roman" w:hint="default"/>
        </w:rPr>
        <w:t>1,600</w:t>
      </w:r>
      <w:r>
        <w:rPr>
          <w:rFonts w:ascii="Times New Roman" w:hAnsi="Times New Roman" w:cs="Times New Roman" w:eastAsia="Times New Roman" w:hint="default"/>
          <w:spacing w:val="-1"/>
        </w:rPr>
        <w:t> </w:t>
      </w:r>
      <w:r>
        <w:rPr/>
        <w:t>万元、人民币</w:t>
      </w:r>
      <w:r>
        <w:rPr>
          <w:spacing w:val="-46"/>
        </w:rPr>
        <w:t> </w:t>
      </w:r>
      <w:r>
        <w:rPr>
          <w:rFonts w:ascii="Times New Roman" w:hAnsi="Times New Roman" w:cs="Times New Roman" w:eastAsia="Times New Roman" w:hint="default"/>
        </w:rPr>
        <w:t>400</w:t>
      </w:r>
      <w:r>
        <w:rPr>
          <w:rFonts w:ascii="Times New Roman" w:hAnsi="Times New Roman" w:cs="Times New Roman" w:eastAsia="Times New Roman" w:hint="default"/>
          <w:spacing w:val="-1"/>
        </w:rPr>
        <w:t> </w:t>
      </w:r>
      <w:r>
        <w:rPr/>
        <w:t>万元设立上海薪想互联网金融信息服务有限公司，截至</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日上海薪想互联</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left="153" w:right="0"/>
        <w:jc w:val="left"/>
      </w:pPr>
      <w:r>
        <w:rPr/>
        <w:t>网金融信息服务有限公司实收资本人民币</w:t>
      </w:r>
      <w:r>
        <w:rPr>
          <w:spacing w:val="-46"/>
        </w:rPr>
        <w:t> </w:t>
      </w:r>
      <w:r>
        <w:rPr>
          <w:rFonts w:ascii="Times New Roman" w:hAnsi="Times New Roman" w:cs="Times New Roman" w:eastAsia="Times New Roman" w:hint="default"/>
        </w:rPr>
        <w:t>2,000.00 </w:t>
      </w:r>
      <w:r>
        <w:rPr/>
        <w:t>万元。</w:t>
      </w:r>
    </w:p>
    <w:p>
      <w:pPr>
        <w:spacing w:line="240" w:lineRule="auto" w:before="9"/>
        <w:rPr>
          <w:rFonts w:ascii="宋体" w:hAnsi="宋体" w:cs="宋体" w:eastAsia="宋体" w:hint="default"/>
          <w:sz w:val="25"/>
          <w:szCs w:val="25"/>
        </w:rPr>
      </w:pPr>
    </w:p>
    <w:p>
      <w:pPr>
        <w:spacing w:line="487" w:lineRule="auto" w:before="0"/>
        <w:ind w:left="153" w:right="7693" w:firstLine="0"/>
        <w:jc w:val="left"/>
        <w:rPr>
          <w:rFonts w:ascii="宋体" w:hAnsi="宋体" w:cs="宋体" w:eastAsia="宋体" w:hint="default"/>
          <w:sz w:val="21"/>
          <w:szCs w:val="21"/>
        </w:rPr>
      </w:pPr>
      <w:bookmarkStart w:name="6、其他" w:id="414"/>
      <w:bookmarkEnd w:id="414"/>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15"/>
      <w:bookmarkEnd w:id="415"/>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16"/>
      <w:bookmarkEnd w:id="416"/>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6"/>
        <w:spacing w:line="240" w:lineRule="auto" w:before="83"/>
        <w:ind w:right="0"/>
        <w:jc w:val="left"/>
        <w:rPr>
          <w:b w:val="0"/>
          <w:bCs w:val="0"/>
        </w:rPr>
      </w:pPr>
      <w:bookmarkStart w:name="（1）企业集团的构成" w:id="417"/>
      <w:bookmarkEnd w:id="417"/>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上海海隆软件有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上海市徐汇区宜 山路</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85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幢</w:t>
            </w: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日本海隆株式会 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东京都港区新桥</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丁目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3F</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海隆网讯科技</w:t>
            </w:r>
          </w:p>
          <w:p>
            <w:pPr>
              <w:pStyle w:val="TableParagraph"/>
              <w:spacing w:line="319" w:lineRule="auto" w:before="75"/>
              <w:ind w:left="22" w:right="77"/>
              <w:jc w:val="left"/>
              <w:rPr>
                <w:rFonts w:ascii="宋体" w:hAnsi="宋体" w:cs="宋体" w:eastAsia="宋体" w:hint="default"/>
                <w:sz w:val="18"/>
                <w:szCs w:val="18"/>
              </w:rPr>
            </w:pPr>
            <w:r>
              <w:rPr>
                <w:rFonts w:ascii="宋体" w:hAnsi="宋体" w:cs="宋体" w:eastAsia="宋体" w:hint="default"/>
                <w:sz w:val="18"/>
                <w:szCs w:val="18"/>
              </w:rPr>
              <w:t>（北京）有限公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北京市西城区新 街口外大街</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409-412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2" w:right="77"/>
              <w:jc w:val="left"/>
              <w:rPr>
                <w:rFonts w:ascii="宋体" w:hAnsi="宋体" w:cs="宋体" w:eastAsia="宋体" w:hint="default"/>
                <w:sz w:val="18"/>
                <w:szCs w:val="18"/>
              </w:rPr>
            </w:pPr>
            <w:r>
              <w:rPr>
                <w:rFonts w:ascii="宋体" w:hAnsi="宋体" w:cs="宋体" w:eastAsia="宋体" w:hint="default"/>
                <w:sz w:val="18"/>
                <w:szCs w:val="18"/>
              </w:rPr>
              <w:t>江苏海隆软件技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2" w:right="72"/>
              <w:jc w:val="both"/>
              <w:rPr>
                <w:rFonts w:ascii="宋体" w:hAnsi="宋体" w:cs="宋体" w:eastAsia="宋体" w:hint="default"/>
                <w:sz w:val="18"/>
                <w:szCs w:val="18"/>
              </w:rPr>
            </w:pPr>
            <w:r>
              <w:rPr>
                <w:rFonts w:ascii="宋体" w:hAnsi="宋体" w:cs="宋体" w:eastAsia="宋体" w:hint="default"/>
                <w:sz w:val="18"/>
                <w:szCs w:val="18"/>
              </w:rPr>
              <w:t>南京市鼓楼区汉 中门大街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南京国际服务外 包大厦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上海海隆宜通信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上海市宜山路</w:t>
            </w:r>
          </w:p>
          <w:p>
            <w:pPr>
              <w:pStyle w:val="TableParagraph"/>
              <w:spacing w:line="240" w:lineRule="auto" w:before="7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上海华钟计算机 软件开发有限公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上海市宜山路</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上海二三四五网 络科技有限公司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上海市浦东新区 杨高北路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3A35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互联网信息服务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上海二三四五移 动科技公司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上海市浦东新区 江东路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互联网信息服务 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上海二三四五科 技投资有限公司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上海市浦东新区 江东路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投资管理咨询行 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33"/>
              <w:jc w:val="left"/>
              <w:rPr>
                <w:rFonts w:ascii="宋体" w:hAnsi="宋体" w:cs="宋体" w:eastAsia="宋体" w:hint="default"/>
                <w:sz w:val="18"/>
                <w:szCs w:val="18"/>
              </w:rPr>
            </w:pPr>
            <w:r>
              <w:rPr>
                <w:rFonts w:ascii="宋体" w:hAnsi="宋体" w:cs="宋体" w:eastAsia="宋体" w:hint="default"/>
                <w:spacing w:val="-9"/>
                <w:sz w:val="18"/>
                <w:szCs w:val="18"/>
              </w:rPr>
              <w:t>二三四五（香港）</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w:t>
            </w:r>
          </w:p>
          <w:p>
            <w:pPr>
              <w:pStyle w:val="TableParagraph"/>
              <w:spacing w:line="414" w:lineRule="exact"/>
              <w:ind w:right="-14"/>
              <w:jc w:val="left"/>
              <w:rPr>
                <w:rFonts w:ascii="宋体" w:hAnsi="宋体" w:cs="宋体" w:eastAsia="宋体" w:hint="default"/>
                <w:sz w:val="20"/>
                <w:szCs w:val="20"/>
              </w:rPr>
            </w:pPr>
            <w:r>
              <w:rPr>
                <w:rFonts w:ascii="宋体" w:hAnsi="宋体" w:cs="宋体" w:eastAsia="宋体" w:hint="default"/>
                <w:position w:val="-7"/>
                <w:sz w:val="20"/>
                <w:szCs w:val="20"/>
              </w:rPr>
              <w:pict>
                <v:group style="width:66.7pt;height:20.7pt;mso-position-horizontal-relative:char;mso-position-vertical-relative:line" coordorigin="0,0" coordsize="1334,414">
                  <v:group style="position:absolute;left:11;top:11;width:2;height:392" coordorigin="11,11" coordsize="2,392">
                    <v:shape style="position:absolute;left:11;top:11;width:2;height:392" coordorigin="11,11" coordsize="0,392" path="m11,11l11,403e" filled="false" stroked="true" strokeweight="1.140pt" strokecolor="#ffffff">
                      <v:path arrowok="t"/>
                    </v:shape>
                  </v:group>
                  <v:group style="position:absolute;left:23;top:11;width:1311;height:392" coordorigin="23,11" coordsize="1311,392">
                    <v:shape style="position:absolute;left:23;top:11;width:1311;height:392" coordorigin="23,11" coordsize="1311,392" path="m23,403l1333,403,1333,11,23,11,23,403xe" filled="true" fillcolor="#ffffff" stroked="false">
                      <v:path arrowok="t"/>
                      <v:fill type="solid"/>
                    </v:shape>
                  </v:group>
                </v:group>
              </w:pict>
            </w:r>
            <w:r>
              <w:rPr>
                <w:rFonts w:ascii="宋体" w:hAnsi="宋体" w:cs="宋体" w:eastAsia="宋体" w:hint="default"/>
                <w:position w:val="-7"/>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香港中环美国银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投资管理咨询行</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行中心大厦</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楼</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2508A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2" w:right="77"/>
              <w:jc w:val="left"/>
              <w:rPr>
                <w:rFonts w:ascii="宋体" w:hAnsi="宋体" w:cs="宋体" w:eastAsia="宋体" w:hint="default"/>
                <w:sz w:val="18"/>
                <w:szCs w:val="18"/>
              </w:rPr>
            </w:pPr>
            <w:r>
              <w:rPr>
                <w:rFonts w:ascii="宋体" w:hAnsi="宋体" w:cs="宋体" w:eastAsia="宋体" w:hint="default"/>
                <w:sz w:val="18"/>
                <w:szCs w:val="18"/>
              </w:rPr>
              <w:t>吉隆瑞美信息咨 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吉隆镇吉隆口岸 管理委员会办公 楼二楼企业服务 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2" w:right="72"/>
              <w:jc w:val="left"/>
              <w:rPr>
                <w:rFonts w:ascii="宋体" w:hAnsi="宋体" w:cs="宋体" w:eastAsia="宋体" w:hint="default"/>
                <w:sz w:val="18"/>
                <w:szCs w:val="18"/>
              </w:rPr>
            </w:pPr>
            <w:r>
              <w:rPr>
                <w:rFonts w:ascii="宋体" w:hAnsi="宋体" w:cs="宋体" w:eastAsia="宋体" w:hint="default"/>
                <w:sz w:val="18"/>
                <w:szCs w:val="18"/>
              </w:rPr>
              <w:t>投资管理咨询行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77"/>
              <w:jc w:val="left"/>
              <w:rPr>
                <w:rFonts w:ascii="宋体" w:hAnsi="宋体" w:cs="宋体" w:eastAsia="宋体" w:hint="default"/>
                <w:sz w:val="18"/>
                <w:szCs w:val="18"/>
              </w:rPr>
            </w:pPr>
            <w:r>
              <w:rPr>
                <w:rFonts w:ascii="宋体" w:hAnsi="宋体" w:cs="宋体" w:eastAsia="宋体" w:hint="default"/>
                <w:sz w:val="18"/>
                <w:szCs w:val="18"/>
              </w:rPr>
              <w:t>吉隆瑞信投资有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吉隆县吉隆镇口 岸管理委员会办 公楼企业服务中 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72"/>
              <w:jc w:val="left"/>
              <w:rPr>
                <w:rFonts w:ascii="宋体" w:hAnsi="宋体" w:cs="宋体" w:eastAsia="宋体" w:hint="default"/>
                <w:sz w:val="18"/>
                <w:szCs w:val="18"/>
              </w:rPr>
            </w:pPr>
            <w:r>
              <w:rPr>
                <w:rFonts w:ascii="宋体" w:hAnsi="宋体" w:cs="宋体" w:eastAsia="宋体" w:hint="default"/>
                <w:sz w:val="18"/>
                <w:szCs w:val="18"/>
              </w:rPr>
              <w:t>投资管理咨询行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pacing w:val="-5"/>
                <w:sz w:val="18"/>
                <w:szCs w:val="18"/>
              </w:rPr>
              <w:t>海隆软件（昆山</w:t>
            </w:r>
            <w:r>
              <w:rPr>
                <w:rFonts w:ascii="宋体" w:hAnsi="宋体" w:cs="宋体" w:eastAsia="宋体" w:hint="default"/>
                <w:sz w:val="18"/>
                <w:szCs w:val="18"/>
              </w:rPr>
              <w:t>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昆山</w:t>
            </w:r>
          </w:p>
          <w:p>
            <w:pPr>
              <w:pStyle w:val="TableParagraph"/>
              <w:spacing w:line="559"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67.9pt;height:28pt;mso-position-horizontal-relative:char;mso-position-vertical-relative:line" coordorigin="0,0" coordsize="1358,560">
                  <v:group style="position:absolute;left:0;top:0;width:1358;height:156" coordorigin="0,0" coordsize="1358,156">
                    <v:shape style="position:absolute;left:0;top:0;width:1358;height:156" coordorigin="0,0" coordsize="1358,156" path="m0,156l1357,156,1357,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1311;height:393" coordorigin="23,156" coordsize="1311,393">
                    <v:shape style="position:absolute;left:23;top:156;width:1311;height:393" coordorigin="23,156" coordsize="1311,393" path="m23,548l1333,548,1333,156,23,156,23,548xe" filled="true" fillcolor="#ffffff" stroked="false">
                      <v:path arrowok="t"/>
                      <v:fill type="solid"/>
                    </v:shape>
                  </v:group>
                </v:group>
              </w:pict>
            </w:r>
            <w:r>
              <w:rPr>
                <w:rFonts w:ascii="宋体" w:hAnsi="宋体" w:cs="宋体" w:eastAsia="宋体"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花桥镇亚太广场</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上海二三四五海 隆金融信息服务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上海市浦东新区 浦东南路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2250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w:t>
            </w: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幢</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层</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A638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金融信息服务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上海薪想互联网 金融信息服务有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中国（上海）自 有贸易试验区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C349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金融信息服务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上海善拢泗海投 资管理中心（有 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中国（上海）自 有贸易试验区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C316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投资管理咨询行 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60" w:lineRule="auto" w:before="51"/>
        <w:ind w:left="153"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6"/>
        <w:ind w:right="7692"/>
        <w:jc w:val="left"/>
      </w:pPr>
      <w:r>
        <w:rPr/>
        <w:t>确定公司是代理人还是委托人的依据： 其他说明：</w:t>
      </w:r>
    </w:p>
    <w:p>
      <w:pPr>
        <w:spacing w:line="240" w:lineRule="auto" w:before="11"/>
        <w:rPr>
          <w:rFonts w:ascii="宋体" w:hAnsi="宋体" w:cs="宋体" w:eastAsia="宋体" w:hint="default"/>
          <w:sz w:val="19"/>
          <w:szCs w:val="19"/>
        </w:rPr>
      </w:pPr>
    </w:p>
    <w:p>
      <w:pPr>
        <w:pStyle w:val="Heading6"/>
        <w:spacing w:line="240" w:lineRule="auto"/>
        <w:ind w:left="154" w:right="0"/>
        <w:jc w:val="left"/>
        <w:rPr>
          <w:b w:val="0"/>
          <w:bCs w:val="0"/>
        </w:rPr>
      </w:pPr>
      <w:bookmarkStart w:name="（2）重要的非全资子公司" w:id="418"/>
      <w:bookmarkEnd w:id="418"/>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上海海隆宜通信息技术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-118,489.10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833,272.97</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上海华钟计算机软件开 发有限公司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619,204.64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2,273,705.88</w:t>
            </w:r>
          </w:p>
        </w:tc>
      </w:tr>
    </w:tbl>
    <w:p>
      <w:pPr>
        <w:pStyle w:val="BodyText"/>
        <w:spacing w:line="360" w:lineRule="auto" w:before="51"/>
        <w:ind w:right="6432"/>
        <w:jc w:val="left"/>
      </w:pPr>
      <w:r>
        <w:rPr/>
        <w:t>子公司少数股东的持股比例不同于表决权比例的说明： 其他说明：</w:t>
      </w:r>
    </w:p>
    <w:p>
      <w:pPr>
        <w:spacing w:after="0" w:line="36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left="653" w:right="0"/>
        <w:jc w:val="left"/>
        <w:rPr>
          <w:b w:val="0"/>
          <w:bCs w:val="0"/>
        </w:rPr>
      </w:pPr>
      <w:bookmarkStart w:name="（3）重要非全资子公司的主要财务信息" w:id="419"/>
      <w:bookmarkEnd w:id="419"/>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532"/>
        <w:gridCol w:w="1108"/>
        <w:gridCol w:w="816"/>
        <w:gridCol w:w="991"/>
        <w:gridCol w:w="851"/>
        <w:gridCol w:w="425"/>
        <w:gridCol w:w="851"/>
        <w:gridCol w:w="992"/>
        <w:gridCol w:w="851"/>
        <w:gridCol w:w="993"/>
        <w:gridCol w:w="851"/>
        <w:gridCol w:w="736"/>
        <w:gridCol w:w="965"/>
      </w:tblGrid>
      <w:tr>
        <w:trPr>
          <w:trHeight w:val="402" w:hRule="exact"/>
        </w:trPr>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384" w:lineRule="auto"/>
              <w:ind w:left="110" w:right="35" w:hanging="75"/>
              <w:jc w:val="left"/>
              <w:rPr>
                <w:rFonts w:ascii="宋体" w:hAnsi="宋体" w:cs="宋体" w:eastAsia="宋体" w:hint="default"/>
                <w:sz w:val="15"/>
                <w:szCs w:val="15"/>
              </w:rPr>
            </w:pPr>
            <w:r>
              <w:rPr>
                <w:rFonts w:ascii="宋体" w:hAnsi="宋体" w:cs="宋体" w:eastAsia="宋体" w:hint="default"/>
                <w:sz w:val="15"/>
                <w:szCs w:val="15"/>
              </w:rPr>
              <w:t>子公司 名称</w:t>
            </w:r>
          </w:p>
        </w:tc>
        <w:tc>
          <w:tcPr>
            <w:tcW w:w="504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538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1025" w:hRule="exact"/>
        </w:trPr>
        <w:tc>
          <w:tcPr>
            <w:tcW w:w="532" w:type="dxa"/>
            <w:vMerge/>
            <w:tcBorders>
              <w:left w:val="single" w:sz="4" w:space="0" w:color="000000"/>
              <w:bottom w:val="single" w:sz="4" w:space="0" w:color="000000"/>
              <w:right w:val="single" w:sz="4" w:space="0" w:color="000000"/>
            </w:tcBorders>
            <w:shd w:val="clear" w:color="auto" w:fill="D2D2D2"/>
          </w:tcPr>
          <w:p>
            <w:pP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8" w:right="0"/>
              <w:jc w:val="left"/>
              <w:rPr>
                <w:rFonts w:ascii="宋体" w:hAnsi="宋体" w:cs="宋体" w:eastAsia="宋体" w:hint="default"/>
                <w:sz w:val="15"/>
                <w:szCs w:val="15"/>
              </w:rPr>
            </w:pPr>
            <w:r>
              <w:rPr>
                <w:rFonts w:ascii="宋体" w:hAnsi="宋体" w:cs="宋体" w:eastAsia="宋体" w:hint="default"/>
                <w:sz w:val="15"/>
                <w:szCs w:val="15"/>
              </w:rPr>
              <w:t>流动资产</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5"/>
                <w:szCs w:val="15"/>
              </w:rPr>
            </w:pPr>
            <w:r>
              <w:rPr>
                <w:rFonts w:ascii="宋体" w:hAnsi="宋体" w:cs="宋体" w:eastAsia="宋体" w:hint="default"/>
                <w:sz w:val="15"/>
                <w:szCs w:val="15"/>
              </w:rPr>
              <w:t>非流动资产</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90" w:right="0"/>
              <w:jc w:val="left"/>
              <w:rPr>
                <w:rFonts w:ascii="宋体" w:hAnsi="宋体" w:cs="宋体" w:eastAsia="宋体" w:hint="default"/>
                <w:sz w:val="15"/>
                <w:szCs w:val="15"/>
              </w:rPr>
            </w:pPr>
            <w:r>
              <w:rPr>
                <w:rFonts w:ascii="宋体" w:hAnsi="宋体" w:cs="宋体" w:eastAsia="宋体" w:hint="default"/>
                <w:sz w:val="15"/>
                <w:szCs w:val="15"/>
              </w:rPr>
              <w:t>资产合计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流动负债</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5"/>
              <w:ind w:left="56" w:right="56"/>
              <w:jc w:val="both"/>
              <w:rPr>
                <w:rFonts w:ascii="宋体" w:hAnsi="宋体" w:cs="宋体" w:eastAsia="宋体" w:hint="default"/>
                <w:sz w:val="15"/>
                <w:szCs w:val="15"/>
              </w:rPr>
            </w:pPr>
            <w:r>
              <w:rPr>
                <w:rFonts w:ascii="宋体" w:hAnsi="宋体" w:cs="宋体" w:eastAsia="宋体" w:hint="default"/>
                <w:sz w:val="15"/>
                <w:szCs w:val="15"/>
              </w:rPr>
              <w:t>非流 动负 债</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负债合计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90" w:right="0"/>
              <w:jc w:val="left"/>
              <w:rPr>
                <w:rFonts w:ascii="宋体" w:hAnsi="宋体" w:cs="宋体" w:eastAsia="宋体" w:hint="default"/>
                <w:sz w:val="15"/>
                <w:szCs w:val="15"/>
              </w:rPr>
            </w:pPr>
            <w:r>
              <w:rPr>
                <w:rFonts w:ascii="宋体" w:hAnsi="宋体" w:cs="宋体" w:eastAsia="宋体" w:hint="default"/>
                <w:sz w:val="15"/>
                <w:szCs w:val="15"/>
              </w:rPr>
              <w:t>流动资产</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43"/>
              <w:jc w:val="right"/>
              <w:rPr>
                <w:rFonts w:ascii="宋体" w:hAnsi="宋体" w:cs="宋体" w:eastAsia="宋体" w:hint="default"/>
                <w:sz w:val="15"/>
                <w:szCs w:val="15"/>
              </w:rPr>
            </w:pPr>
            <w:r>
              <w:rPr>
                <w:rFonts w:ascii="宋体" w:hAnsi="宋体" w:cs="宋体" w:eastAsia="宋体" w:hint="default"/>
                <w:sz w:val="15"/>
                <w:szCs w:val="15"/>
              </w:rPr>
              <w:t>非流动资产</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91" w:right="0"/>
              <w:jc w:val="left"/>
              <w:rPr>
                <w:rFonts w:ascii="宋体" w:hAnsi="宋体" w:cs="宋体" w:eastAsia="宋体" w:hint="default"/>
                <w:sz w:val="15"/>
                <w:szCs w:val="15"/>
              </w:rPr>
            </w:pPr>
            <w:r>
              <w:rPr>
                <w:rFonts w:ascii="宋体" w:hAnsi="宋体" w:cs="宋体" w:eastAsia="宋体" w:hint="default"/>
                <w:sz w:val="15"/>
                <w:szCs w:val="15"/>
              </w:rPr>
              <w:t>资产合计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流动负债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381" w:lineRule="auto"/>
              <w:ind w:left="287" w:right="61" w:hanging="226"/>
              <w:jc w:val="left"/>
              <w:rPr>
                <w:rFonts w:ascii="宋体" w:hAnsi="宋体" w:cs="宋体" w:eastAsia="宋体" w:hint="default"/>
                <w:sz w:val="15"/>
                <w:szCs w:val="15"/>
              </w:rPr>
            </w:pPr>
            <w:r>
              <w:rPr>
                <w:rFonts w:ascii="宋体" w:hAnsi="宋体" w:cs="宋体" w:eastAsia="宋体" w:hint="default"/>
                <w:sz w:val="15"/>
                <w:szCs w:val="15"/>
              </w:rPr>
              <w:t>非流动负 债</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76" w:right="0"/>
              <w:jc w:val="left"/>
              <w:rPr>
                <w:rFonts w:ascii="宋体" w:hAnsi="宋体" w:cs="宋体" w:eastAsia="宋体" w:hint="default"/>
                <w:sz w:val="15"/>
                <w:szCs w:val="15"/>
              </w:rPr>
            </w:pPr>
            <w:r>
              <w:rPr>
                <w:rFonts w:ascii="宋体" w:hAnsi="宋体" w:cs="宋体" w:eastAsia="宋体" w:hint="default"/>
                <w:sz w:val="15"/>
                <w:szCs w:val="15"/>
              </w:rPr>
              <w:t>负债合计</w:t>
            </w:r>
          </w:p>
        </w:tc>
      </w:tr>
      <w:tr>
        <w:trPr>
          <w:trHeight w:val="1650"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47"/>
              <w:jc w:val="both"/>
              <w:rPr>
                <w:rFonts w:ascii="宋体" w:hAnsi="宋体" w:cs="宋体" w:eastAsia="宋体" w:hint="default"/>
                <w:sz w:val="15"/>
                <w:szCs w:val="15"/>
              </w:rPr>
            </w:pPr>
            <w:r>
              <w:rPr>
                <w:rFonts w:ascii="宋体" w:hAnsi="宋体" w:cs="宋体" w:eastAsia="宋体" w:hint="default"/>
                <w:sz w:val="15"/>
                <w:szCs w:val="15"/>
              </w:rPr>
              <w:t>上海海 隆宜通 信息技 术有限 公司</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91" w:right="0"/>
              <w:jc w:val="left"/>
              <w:rPr>
                <w:rFonts w:ascii="Times New Roman" w:hAnsi="Times New Roman" w:cs="Times New Roman" w:eastAsia="Times New Roman" w:hint="default"/>
                <w:sz w:val="15"/>
                <w:szCs w:val="15"/>
              </w:rPr>
            </w:pPr>
            <w:r>
              <w:rPr>
                <w:rFonts w:ascii="Times New Roman"/>
                <w:sz w:val="15"/>
              </w:rPr>
              <w:t>1,908,531.11</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41,232.98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71" w:right="0"/>
              <w:jc w:val="left"/>
              <w:rPr>
                <w:rFonts w:ascii="Times New Roman" w:hAnsi="Times New Roman" w:cs="Times New Roman" w:eastAsia="Times New Roman" w:hint="default"/>
                <w:sz w:val="15"/>
                <w:szCs w:val="15"/>
              </w:rPr>
            </w:pPr>
            <w:r>
              <w:rPr>
                <w:rFonts w:ascii="Times New Roman"/>
                <w:sz w:val="15"/>
              </w:rPr>
              <w:t>1,949,764.09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98,046.37</w:t>
            </w: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98,046.37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2,137,666.36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115,598.19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73" w:right="0"/>
              <w:jc w:val="left"/>
              <w:rPr>
                <w:rFonts w:ascii="Times New Roman" w:hAnsi="Times New Roman" w:cs="Times New Roman" w:eastAsia="Times New Roman" w:hint="default"/>
                <w:sz w:val="15"/>
                <w:szCs w:val="15"/>
              </w:rPr>
            </w:pPr>
            <w:r>
              <w:rPr>
                <w:rFonts w:ascii="Times New Roman"/>
                <w:sz w:val="15"/>
              </w:rPr>
              <w:t>2,253,264.55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9" w:right="0"/>
              <w:jc w:val="center"/>
              <w:rPr>
                <w:rFonts w:ascii="Times New Roman" w:hAnsi="Times New Roman" w:cs="Times New Roman" w:eastAsia="Times New Roman" w:hint="default"/>
                <w:sz w:val="15"/>
                <w:szCs w:val="15"/>
              </w:rPr>
            </w:pPr>
            <w:r>
              <w:rPr>
                <w:rFonts w:ascii="Times New Roman"/>
                <w:sz w:val="15"/>
              </w:rPr>
              <w:t>138,237.71</w:t>
            </w:r>
          </w:p>
        </w:tc>
        <w:tc>
          <w:tcPr>
            <w:tcW w:w="73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138,237.71</w:t>
            </w:r>
          </w:p>
        </w:tc>
      </w:tr>
      <w:tr>
        <w:trPr>
          <w:trHeight w:val="1651"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47"/>
              <w:jc w:val="both"/>
              <w:rPr>
                <w:rFonts w:ascii="宋体" w:hAnsi="宋体" w:cs="宋体" w:eastAsia="宋体" w:hint="default"/>
                <w:sz w:val="15"/>
                <w:szCs w:val="15"/>
              </w:rPr>
            </w:pPr>
            <w:r>
              <w:rPr>
                <w:rFonts w:ascii="宋体" w:hAnsi="宋体" w:cs="宋体" w:eastAsia="宋体" w:hint="default"/>
                <w:sz w:val="15"/>
                <w:szCs w:val="15"/>
              </w:rPr>
              <w:t>上海华 钟计算 机软件 开发有 限公司</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1" w:right="0"/>
              <w:jc w:val="left"/>
              <w:rPr>
                <w:rFonts w:ascii="Times New Roman" w:hAnsi="Times New Roman" w:cs="Times New Roman" w:eastAsia="Times New Roman" w:hint="default"/>
                <w:sz w:val="15"/>
                <w:szCs w:val="15"/>
              </w:rPr>
            </w:pPr>
            <w:r>
              <w:rPr>
                <w:rFonts w:ascii="Times New Roman"/>
                <w:sz w:val="15"/>
              </w:rPr>
              <w:t>25,972,626.75</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554,491.04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2" w:right="0"/>
              <w:jc w:val="left"/>
              <w:rPr>
                <w:rFonts w:ascii="Times New Roman" w:hAnsi="Times New Roman" w:cs="Times New Roman" w:eastAsia="Times New Roman" w:hint="default"/>
                <w:sz w:val="15"/>
                <w:szCs w:val="15"/>
              </w:rPr>
            </w:pPr>
            <w:r>
              <w:rPr>
                <w:rFonts w:ascii="Times New Roman"/>
                <w:sz w:val="15"/>
              </w:rPr>
              <w:t>26,527,117.79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3,790,058.96</w:t>
            </w: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3,790,058.96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25,901,215.39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1,195,964.40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7" w:right="0"/>
              <w:jc w:val="left"/>
              <w:rPr>
                <w:rFonts w:ascii="Times New Roman" w:hAnsi="Times New Roman" w:cs="Times New Roman" w:eastAsia="Times New Roman" w:hint="default"/>
                <w:sz w:val="15"/>
                <w:szCs w:val="15"/>
              </w:rPr>
            </w:pPr>
            <w:r>
              <w:rPr>
                <w:rFonts w:ascii="Times New Roman"/>
                <w:sz w:val="15"/>
              </w:rPr>
              <w:t>27,097,179.79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 w:right="0"/>
              <w:jc w:val="center"/>
              <w:rPr>
                <w:rFonts w:ascii="Times New Roman" w:hAnsi="Times New Roman" w:cs="Times New Roman" w:eastAsia="Times New Roman" w:hint="default"/>
                <w:sz w:val="15"/>
                <w:szCs w:val="15"/>
              </w:rPr>
            </w:pPr>
            <w:r>
              <w:rPr>
                <w:rFonts w:ascii="Times New Roman"/>
                <w:sz w:val="15"/>
              </w:rPr>
              <w:t>5,128,930.52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8" w:right="0"/>
              <w:jc w:val="left"/>
              <w:rPr>
                <w:rFonts w:ascii="Times New Roman" w:hAnsi="Times New Roman" w:cs="Times New Roman" w:eastAsia="Times New Roman" w:hint="default"/>
                <w:sz w:val="15"/>
                <w:szCs w:val="15"/>
              </w:rPr>
            </w:pPr>
            <w:r>
              <w:rPr>
                <w:rFonts w:ascii="Times New Roman"/>
                <w:sz w:val="15"/>
              </w:rPr>
              <w:t>208,000.00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5,336,930.52</w:t>
            </w:r>
          </w:p>
        </w:tc>
      </w:tr>
    </w:tbl>
    <w:p>
      <w:pPr>
        <w:pStyle w:val="BodyText"/>
        <w:spacing w:line="240" w:lineRule="auto" w:before="51"/>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649" w:type="dxa"/>
        <w:tblLayout w:type="fixed"/>
        <w:tblCellMar>
          <w:top w:w="0" w:type="dxa"/>
          <w:left w:w="0" w:type="dxa"/>
          <w:bottom w:w="0" w:type="dxa"/>
          <w:right w:w="0" w:type="dxa"/>
        </w:tblCellMar>
        <w:tblLook w:val="01E0"/>
      </w:tblPr>
      <w:tblGrid>
        <w:gridCol w:w="1061"/>
        <w:gridCol w:w="1207"/>
        <w:gridCol w:w="1062"/>
        <w:gridCol w:w="1066"/>
        <w:gridCol w:w="1064"/>
        <w:gridCol w:w="1204"/>
        <w:gridCol w:w="1062"/>
        <w:gridCol w:w="1063"/>
        <w:gridCol w:w="1067"/>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4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39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37" w:right="77"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上海海隆宜 通信息技术 有限公司</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2,213,291.34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-263,309.12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-263,309.12</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124,741.24</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5,302,349.31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-35,313.98</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-35,313.98</w:t>
            </w:r>
            <w:r>
              <w:rPr>
                <w:rFonts w:ascii="Times New Roman"/>
                <w:sz w:val="18"/>
              </w:rPr>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-180,998.73</w:t>
            </w:r>
            <w:r>
              <w:rPr>
                <w:rFonts w:ascii="Times New Roman"/>
                <w:sz w:val="18"/>
              </w:rPr>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上海华钟计 算机软件开 发有限公司</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87,798,378.46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976,809.56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976,809.56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1,200,798.13</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88,797,397.12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-9,846,134.85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-9,846,134.85</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3,523,623.63</w:t>
            </w:r>
          </w:p>
        </w:tc>
      </w:tr>
    </w:tbl>
    <w:p>
      <w:pPr>
        <w:pStyle w:val="BodyText"/>
        <w:spacing w:line="240" w:lineRule="auto" w:before="51"/>
        <w:ind w:left="654"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left="653" w:right="0"/>
        <w:jc w:val="left"/>
        <w:rPr>
          <w:b w:val="0"/>
          <w:bCs w:val="0"/>
        </w:rPr>
      </w:pPr>
      <w:bookmarkStart w:name="（4）使用企业集团资产和清偿企业集团债务的重大限制" w:id="420"/>
      <w:bookmarkEnd w:id="420"/>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653" w:right="0"/>
        <w:jc w:val="left"/>
        <w:rPr>
          <w:b w:val="0"/>
          <w:bCs w:val="0"/>
        </w:rPr>
      </w:pPr>
      <w:bookmarkStart w:name="（5）向纳入合并财务报表范围的结构化主体提供的财务支持或其他支持" w:id="421"/>
      <w:bookmarkEnd w:id="421"/>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653"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left="653" w:right="0"/>
        <w:jc w:val="left"/>
        <w:rPr>
          <w:b w:val="0"/>
          <w:bCs w:val="0"/>
        </w:rPr>
      </w:pPr>
      <w:bookmarkStart w:name="2、在子公司的所有者权益份额发生变化且仍控制子公司的交易" w:id="422"/>
      <w:bookmarkEnd w:id="422"/>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654" w:right="0"/>
        <w:jc w:val="left"/>
        <w:rPr>
          <w:b w:val="0"/>
          <w:bCs w:val="0"/>
        </w:rPr>
      </w:pPr>
      <w:bookmarkStart w:name="（1）在子公司所有者权益份额发生变化的情况说明" w:id="423"/>
      <w:bookmarkEnd w:id="423"/>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654" w:right="0"/>
        <w:jc w:val="left"/>
        <w:rPr>
          <w:b w:val="0"/>
          <w:bCs w:val="0"/>
        </w:rPr>
      </w:pPr>
      <w:bookmarkStart w:name="（2）交易对于少数股东权益及归属于母公司所有者权益的影响" w:id="424"/>
      <w:bookmarkEnd w:id="424"/>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480" w:right="0"/>
        </w:sectPr>
      </w:pPr>
    </w:p>
    <w:p>
      <w:pPr>
        <w:spacing w:line="240" w:lineRule="auto" w:before="2"/>
        <w:rPr>
          <w:rFonts w:ascii="宋体" w:hAnsi="宋体" w:cs="宋体" w:eastAsia="宋体" w:hint="default"/>
          <w:sz w:val="28"/>
          <w:szCs w:val="28"/>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240" w:lineRule="auto" w:before="46"/>
        <w:ind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3、在合营安排或联营企业中的权益" w:id="425"/>
      <w:bookmarkEnd w:id="425"/>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重要的合营企业或联营企业" w:id="426"/>
      <w:bookmarkEnd w:id="426"/>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right="0"/>
        <w:jc w:val="left"/>
      </w:pPr>
      <w:r>
        <w:rPr/>
        <w:t>在合营企业或联营企业的持股比例不同于表决权比例的说明：</w:t>
      </w:r>
    </w:p>
    <w:p>
      <w:pPr>
        <w:pStyle w:val="BodyText"/>
        <w:spacing w:line="240" w:lineRule="auto" w:before="117"/>
        <w:ind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6"/>
        <w:spacing w:line="240" w:lineRule="auto"/>
        <w:ind w:left="154" w:right="0"/>
        <w:jc w:val="left"/>
        <w:rPr>
          <w:b w:val="0"/>
          <w:bCs w:val="0"/>
        </w:rPr>
      </w:pPr>
      <w:bookmarkStart w:name="（2）重要合营企业的主要财务信息" w:id="427"/>
      <w:bookmarkEnd w:id="427"/>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9"/>
        <w:gridCol w:w="3191"/>
        <w:gridCol w:w="3179"/>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3）重要联营企业的主要财务信息" w:id="428"/>
      <w:bookmarkEnd w:id="428"/>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79"/>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4）不重要的合营企业和联营企业的汇总财务信息" w:id="429"/>
      <w:bookmarkEnd w:id="429"/>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26,896,618.69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15,080,036.90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-28,755.21</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-289,826.10</w:t>
            </w:r>
            <w:r>
              <w:rPr>
                <w:rFonts w:ascii="Times New Roman"/>
                <w:sz w:val="18"/>
              </w:rPr>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415,200.00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-28,755.21</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-289,826.10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left="153"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5）合营企业或联营企业向本公司转移资金的能力存在重大限制的说明" w:id="430"/>
      <w:bookmarkEnd w:id="430"/>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6）合营企业或联营企业发生的超额亏损" w:id="431"/>
      <w:bookmarkEnd w:id="431"/>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7）与合营企业投资相关的未确认承诺" w:id="432"/>
      <w:bookmarkEnd w:id="432"/>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8）与合营企业或联营企业投资相关的或有负债" w:id="433"/>
      <w:bookmarkEnd w:id="433"/>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4、重要的共同经营" w:id="434"/>
      <w:bookmarkEnd w:id="434"/>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52"/>
        <w:ind w:left="153" w:right="5533"/>
        <w:jc w:val="left"/>
      </w:pPr>
      <w:r>
        <w:rPr/>
        <w:t>在共同经营中的持股比例或享有的份额不同于表决权比例的说明： 共同经营为单独主体的，分类为共同经营的依据：</w:t>
      </w:r>
    </w:p>
    <w:p>
      <w:pPr>
        <w:pStyle w:val="BodyText"/>
        <w:spacing w:line="240" w:lineRule="auto" w:before="29"/>
        <w:ind w:left="153"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5、在未纳入合并财务报表范围的结构化主体中的权益" w:id="435"/>
      <w:bookmarkEnd w:id="435"/>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未纳入合并财务报表范围的结构化主体的相关说明：</w:t>
      </w:r>
    </w:p>
    <w:p>
      <w:pPr>
        <w:spacing w:line="240" w:lineRule="auto" w:before="10"/>
        <w:rPr>
          <w:rFonts w:ascii="宋体" w:hAnsi="宋体" w:cs="宋体" w:eastAsia="宋体" w:hint="default"/>
          <w:sz w:val="26"/>
          <w:szCs w:val="26"/>
        </w:rPr>
      </w:pPr>
    </w:p>
    <w:p>
      <w:pPr>
        <w:pStyle w:val="Heading6"/>
        <w:spacing w:line="240" w:lineRule="auto"/>
        <w:ind w:left="154" w:right="0"/>
        <w:jc w:val="left"/>
        <w:rPr>
          <w:b w:val="0"/>
          <w:bCs w:val="0"/>
        </w:rPr>
      </w:pPr>
      <w:bookmarkStart w:name="6、其他" w:id="436"/>
      <w:bookmarkEnd w:id="436"/>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4"/>
        <w:spacing w:line="240" w:lineRule="auto"/>
        <w:ind w:left="154" w:right="0"/>
        <w:jc w:val="left"/>
        <w:rPr>
          <w:b w:val="0"/>
          <w:bCs w:val="0"/>
        </w:rPr>
      </w:pPr>
      <w:bookmarkStart w:name="十、与金融工具相关的风险" w:id="437"/>
      <w:bookmarkEnd w:id="437"/>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9" w:lineRule="auto" w:before="0"/>
        <w:ind w:right="0" w:firstLine="360"/>
        <w:jc w:val="left"/>
      </w:pPr>
      <w:r>
        <w:rPr>
          <w:spacing w:val="-2"/>
        </w:rPr>
        <w:t>本公司从事风险管理的目标是在风险和收益之间取得适当的平衡，将风险对本公司经营业绩的负面影响降低到最低水平，</w:t>
      </w:r>
      <w:r>
        <w:rPr/>
        <w:t> 使股东及其他权益投资者的利益最大化。基于该风险管理目标，本公司风险管理的基本策略是确定和分析本公司所面临的各 种风险，建立适当的风险承受底线和进行风险管理，并及时可靠地对各种风险进行监督，将风险控制在限定的范围内。</w:t>
      </w:r>
    </w:p>
    <w:p>
      <w:pPr>
        <w:pStyle w:val="BodyText"/>
        <w:spacing w:line="360" w:lineRule="auto" w:before="56"/>
        <w:ind w:left="513" w:right="4093"/>
        <w:jc w:val="left"/>
      </w:pPr>
      <w:r>
        <w:rPr/>
        <w:t>（一）信用风险 信用风险，是指金融工具的一方不履行义务，造成另一方发生财务损失的风险。</w:t>
      </w:r>
    </w:p>
    <w:p>
      <w:pPr>
        <w:pStyle w:val="BodyText"/>
        <w:spacing w:line="357" w:lineRule="auto" w:before="26"/>
        <w:ind w:left="513" w:right="0"/>
        <w:jc w:val="left"/>
      </w:pPr>
      <w:r>
        <w:rPr/>
        <w:t>本公司的信用风险主要与应收款项和与中银消费金融有限公司合作开发信用金产生风险资产有关。 </w:t>
      </w:r>
      <w:r>
        <w:rPr>
          <w:spacing w:val="-2"/>
        </w:rPr>
        <w:t>对应收款项，本公司仅与经认可的、信誉良好的第三方进行交易。按照本公司的政策，需对所有要求采用信用方式进行</w:t>
      </w:r>
    </w:p>
    <w:p>
      <w:pPr>
        <w:pStyle w:val="BodyText"/>
        <w:spacing w:line="357" w:lineRule="auto" w:before="0"/>
        <w:ind w:left="513" w:right="0" w:hanging="360"/>
        <w:jc w:val="left"/>
      </w:pPr>
      <w:r>
        <w:rPr/>
        <w:t>交易的客户进行信用审核。另外，本公司对应收账款余额进行持续监控，以确保本公司不致面临重大坏账风险。 </w:t>
      </w:r>
      <w:r>
        <w:rPr>
          <w:spacing w:val="-2"/>
        </w:rPr>
        <w:t>对信用金业务产生的风险资产，中银消费金融有限公司制定了贷款产品的额度、费利、期限、准入标准、风险政策、贷</w:t>
      </w:r>
    </w:p>
    <w:p>
      <w:pPr>
        <w:pStyle w:val="BodyText"/>
        <w:spacing w:line="224" w:lineRule="exact" w:before="0"/>
        <w:ind w:left="153" w:right="0"/>
        <w:jc w:val="left"/>
      </w:pPr>
      <w:r>
        <w:rPr/>
        <w:t>后管理等标准，有效控制信用金业务风险。公司根据信用金业务历史回款情况，对期末信用金业务产生风险资产中公司承担</w:t>
      </w:r>
    </w:p>
    <w:p>
      <w:pPr>
        <w:pStyle w:val="BodyText"/>
        <w:spacing w:line="240" w:lineRule="auto" w:before="77"/>
        <w:ind w:left="153" w:right="0"/>
        <w:jc w:val="left"/>
      </w:pPr>
      <w:r>
        <w:rPr/>
        <w:t>部分，已单项计提减值准备。</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ind w:left="513" w:right="0"/>
        <w:jc w:val="left"/>
      </w:pPr>
      <w:r>
        <w:rPr/>
        <w:t>（二）市场风险 </w:t>
      </w:r>
      <w:r>
        <w:rPr>
          <w:spacing w:val="-2"/>
        </w:rPr>
        <w:t>市场风险，是指金融工具的公允价值或未来现金流量因市场价格变动而发生波动的风险，包括利率风险、汇率风险和其</w:t>
      </w:r>
    </w:p>
    <w:p>
      <w:pPr>
        <w:pStyle w:val="BodyText"/>
        <w:spacing w:line="225" w:lineRule="exact" w:before="0"/>
        <w:ind w:left="153" w:right="0"/>
        <w:jc w:val="left"/>
      </w:pPr>
      <w:r>
        <w:rPr/>
        <w:t>他价格风险。</w:t>
      </w:r>
    </w:p>
    <w:p>
      <w:pPr>
        <w:pStyle w:val="BodyText"/>
        <w:spacing w:line="338" w:lineRule="auto" w:before="117"/>
        <w:ind w:left="513" w:right="1118"/>
        <w:jc w:val="left"/>
      </w:pPr>
      <w:r>
        <w:rPr/>
        <w:t>（</w:t>
      </w:r>
      <w:r>
        <w:rPr>
          <w:rFonts w:ascii="Times New Roman" w:hAnsi="Times New Roman" w:cs="Times New Roman" w:eastAsia="Times New Roman" w:hint="default"/>
        </w:rPr>
        <w:t>1</w:t>
      </w:r>
      <w:r>
        <w:rPr/>
        <w:t>）利率风险 </w:t>
      </w:r>
      <w:r>
        <w:rPr>
          <w:spacing w:val="-2"/>
        </w:rPr>
        <w:t>利率风险，是指金融工具的公允价值或未来现金流量因市场利率变动而发生波动的风险。本公司面临的市场风险主要与</w:t>
      </w:r>
    </w:p>
    <w:p>
      <w:pPr>
        <w:pStyle w:val="BodyText"/>
        <w:spacing w:line="240" w:lineRule="auto" w:before="4"/>
        <w:ind w:left="153" w:right="0"/>
        <w:jc w:val="left"/>
      </w:pPr>
      <w:r>
        <w:rPr/>
        <w:t>本公司以浮动利率计息的借款有关。</w:t>
      </w:r>
    </w:p>
    <w:p>
      <w:pPr>
        <w:pStyle w:val="BodyText"/>
        <w:spacing w:line="302" w:lineRule="auto" w:before="115"/>
        <w:ind w:left="153" w:right="1175" w:firstLine="360"/>
        <w:jc w:val="left"/>
      </w:pPr>
      <w:r>
        <w:rPr/>
        <w:t>截至</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日，公司短期借款折合人民币共计</w:t>
      </w:r>
      <w:r>
        <w:rPr>
          <w:spacing w:val="-46"/>
        </w:rPr>
        <w:t> </w:t>
      </w:r>
      <w:r>
        <w:rPr>
          <w:rFonts w:ascii="Times New Roman" w:hAnsi="Times New Roman" w:cs="Times New Roman" w:eastAsia="Times New Roman" w:hint="default"/>
        </w:rPr>
        <w:t>3,243,275.00 </w:t>
      </w:r>
      <w:r>
        <w:rPr/>
        <w:t>元，在其他变量不变的假设下，利率发生合理、 可能的</w:t>
      </w:r>
      <w:r>
        <w:rPr>
          <w:spacing w:val="-46"/>
        </w:rPr>
        <w:t> </w:t>
      </w:r>
      <w:r>
        <w:rPr>
          <w:rFonts w:ascii="Times New Roman" w:hAnsi="Times New Roman" w:cs="Times New Roman" w:eastAsia="Times New Roman" w:hint="default"/>
        </w:rPr>
        <w:t>20%</w:t>
      </w:r>
      <w:r>
        <w:rPr/>
        <w:t>变动时，将不会对公司的营业利润和股东权益产生重大的影响。</w:t>
      </w:r>
    </w:p>
    <w:p>
      <w:pPr>
        <w:pStyle w:val="BodyText"/>
        <w:spacing w:line="338" w:lineRule="auto" w:before="52"/>
        <w:ind w:left="513" w:right="1118"/>
        <w:jc w:val="left"/>
      </w:pPr>
      <w:r>
        <w:rPr/>
        <w:t>（</w:t>
      </w:r>
      <w:r>
        <w:rPr>
          <w:rFonts w:ascii="Times New Roman" w:hAnsi="Times New Roman" w:cs="Times New Roman" w:eastAsia="Times New Roman" w:hint="default"/>
        </w:rPr>
        <w:t>2</w:t>
      </w:r>
      <w:r>
        <w:rPr/>
        <w:t>）汇率风险 </w:t>
      </w:r>
      <w:r>
        <w:rPr>
          <w:spacing w:val="-2"/>
        </w:rPr>
        <w:t>外汇风险，是指金融工具的公允价值或未来现金流量因外汇汇率变动而发生波动的风险。本公司面临的汇率变动的风险</w:t>
      </w:r>
    </w:p>
    <w:p>
      <w:pPr>
        <w:pStyle w:val="BodyText"/>
        <w:spacing w:line="319" w:lineRule="auto" w:before="2"/>
        <w:ind w:left="153" w:right="0"/>
        <w:jc w:val="left"/>
      </w:pPr>
      <w:r>
        <w:rPr>
          <w:spacing w:val="-2"/>
        </w:rPr>
        <w:t>主要与公司外币货币性资产、负债及境外经营实体有关。本公司尽可能将外币收入与外币支出相匹配以降低外汇风险。本公</w:t>
      </w:r>
      <w:r>
        <w:rPr>
          <w:spacing w:val="-66"/>
        </w:rPr>
        <w:t> </w:t>
      </w:r>
      <w:r>
        <w:rPr>
          <w:spacing w:val="-66"/>
        </w:rPr>
      </w:r>
      <w:r>
        <w:rPr/>
        <w:t>司本期与中信银行签订了总额为日元</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亿元的远期结售汇合同，锁定汇率，降低外汇变动风险。</w:t>
      </w:r>
    </w:p>
    <w:p>
      <w:pPr>
        <w:pStyle w:val="BodyText"/>
        <w:spacing w:line="240" w:lineRule="auto" w:before="36"/>
        <w:ind w:left="513" w:right="0"/>
        <w:jc w:val="left"/>
      </w:pPr>
      <w:r>
        <w:rPr/>
        <w:t>公司期末外币金融资产和外币金融负债列示见本附注五之“</w:t>
      </w:r>
      <w:r>
        <w:rPr>
          <w:rFonts w:ascii="Times New Roman" w:hAnsi="Times New Roman" w:cs="Times New Roman" w:eastAsia="Times New Roman" w:hint="default"/>
        </w:rPr>
        <w:t>77</w:t>
      </w:r>
      <w:r>
        <w:rPr/>
        <w:t>、外币货币性项目”之说明</w:t>
      </w:r>
    </w:p>
    <w:p>
      <w:pPr>
        <w:pStyle w:val="BodyText"/>
        <w:spacing w:line="357" w:lineRule="auto" w:before="103"/>
        <w:ind w:left="514" w:right="0"/>
        <w:jc w:val="left"/>
      </w:pPr>
      <w:r>
        <w:rPr/>
        <w:t>（三）流动性风险 </w:t>
      </w:r>
      <w:r>
        <w:rPr>
          <w:spacing w:val="-2"/>
        </w:rPr>
        <w:t>流动风险，是指企业在履行以交付现金或其他金融资产的方式结算的义务时发生资金短缺的风险。本公司的政策是确保</w:t>
      </w:r>
    </w:p>
    <w:p>
      <w:pPr>
        <w:pStyle w:val="BodyText"/>
        <w:spacing w:line="224" w:lineRule="exact" w:before="0"/>
        <w:ind w:right="0"/>
        <w:jc w:val="left"/>
      </w:pPr>
      <w:r>
        <w:rPr/>
        <w:t>拥有充足的现金以偿还到期债务。流动性风险由本公司的财务部门集中控制。财务部门通过监控现金余额、可随时变现的有</w:t>
      </w:r>
    </w:p>
    <w:p>
      <w:pPr>
        <w:pStyle w:val="BodyText"/>
        <w:spacing w:line="240" w:lineRule="auto" w:before="77"/>
        <w:ind w:right="0"/>
        <w:jc w:val="left"/>
      </w:pPr>
      <w:r>
        <w:rPr/>
        <w:t>价证券以及对未来</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个月现金流量的滚动预测，确保公司在所有合理预测的情况下拥有充足的资金偿还债务。</w:t>
      </w:r>
    </w:p>
    <w:p>
      <w:pPr>
        <w:pStyle w:val="BodyText"/>
        <w:spacing w:line="302" w:lineRule="auto" w:before="101"/>
        <w:ind w:left="153" w:right="1191" w:firstLine="360"/>
        <w:jc w:val="left"/>
      </w:pPr>
      <w:r>
        <w:rPr/>
        <w:t>截止</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日，本公司资产负债率</w:t>
      </w:r>
      <w:r>
        <w:rPr>
          <w:spacing w:val="-46"/>
        </w:rPr>
        <w:t> </w:t>
      </w:r>
      <w:r>
        <w:rPr>
          <w:rFonts w:ascii="Times New Roman" w:hAnsi="Times New Roman" w:cs="Times New Roman" w:eastAsia="Times New Roman" w:hint="default"/>
        </w:rPr>
        <w:t>7.79%</w:t>
      </w:r>
      <w:r>
        <w:rPr/>
        <w:t>，流动比率为</w:t>
      </w:r>
      <w:r>
        <w:rPr>
          <w:spacing w:val="-46"/>
        </w:rPr>
        <w:t> </w:t>
      </w:r>
      <w:r>
        <w:rPr>
          <w:rFonts w:ascii="Times New Roman" w:hAnsi="Times New Roman" w:cs="Times New Roman" w:eastAsia="Times New Roman" w:hint="default"/>
        </w:rPr>
        <w:t>573.61%</w:t>
      </w:r>
      <w:r>
        <w:rPr/>
        <w:t>，有充足的资金偿还债务，不存在重大流动 性风险。</w:t>
      </w:r>
    </w:p>
    <w:p>
      <w:pPr>
        <w:spacing w:line="240" w:lineRule="auto" w:before="6"/>
        <w:rPr>
          <w:rFonts w:ascii="宋体" w:hAnsi="宋体" w:cs="宋体" w:eastAsia="宋体" w:hint="default"/>
          <w:sz w:val="21"/>
          <w:szCs w:val="21"/>
        </w:rPr>
      </w:pPr>
    </w:p>
    <w:p>
      <w:pPr>
        <w:pStyle w:val="Heading4"/>
        <w:spacing w:line="240" w:lineRule="auto"/>
        <w:ind w:right="0"/>
        <w:jc w:val="left"/>
        <w:rPr>
          <w:b w:val="0"/>
          <w:bCs w:val="0"/>
        </w:rPr>
      </w:pPr>
      <w:bookmarkStart w:name="十一、公允价值的披露" w:id="438"/>
      <w:bookmarkEnd w:id="438"/>
      <w:r>
        <w:rPr>
          <w:b w:val="0"/>
          <w:bCs w:val="0"/>
        </w:rPr>
      </w: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以公允价值计量的资产和负债的期末公允价值" w:id="439"/>
      <w:bookmarkEnd w:id="439"/>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99"/>
        <w:gridCol w:w="1986"/>
        <w:gridCol w:w="1913"/>
        <w:gridCol w:w="1913"/>
        <w:gridCol w:w="1560"/>
      </w:tblGrid>
      <w:tr>
        <w:trPr>
          <w:trHeight w:val="206" w:hRule="exact"/>
        </w:trPr>
        <w:tc>
          <w:tcPr>
            <w:tcW w:w="23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37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91" w:hRule="exact"/>
        </w:trPr>
        <w:tc>
          <w:tcPr>
            <w:tcW w:w="23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7372"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99" w:type="dxa"/>
            <w:vMerge/>
            <w:tcBorders>
              <w:left w:val="single" w:sz="4" w:space="0" w:color="000000"/>
              <w:bottom w:val="nil" w:sz="6" w:space="0" w:color="auto"/>
              <w:right w:val="single" w:sz="4" w:space="0" w:color="000000"/>
            </w:tcBorders>
            <w:shd w:val="clear" w:color="auto" w:fill="D2D2D2"/>
          </w:tcPr>
          <w:p>
            <w:pPr/>
          </w:p>
        </w:tc>
        <w:tc>
          <w:tcPr>
            <w:tcW w:w="19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86" w:right="0"/>
              <w:jc w:val="left"/>
              <w:rPr>
                <w:rFonts w:ascii="宋体" w:hAnsi="宋体" w:cs="宋体" w:eastAsia="宋体" w:hint="default"/>
                <w:sz w:val="18"/>
                <w:szCs w:val="18"/>
              </w:rPr>
            </w:pPr>
            <w:r>
              <w:rPr>
                <w:rFonts w:ascii="宋体" w:hAnsi="宋体" w:cs="宋体" w:eastAsia="宋体" w:hint="default"/>
                <w:sz w:val="18"/>
                <w:szCs w:val="18"/>
              </w:rPr>
              <w:t>第一层次公允价值计量</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1"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6" w:hRule="exact"/>
        </w:trPr>
        <w:tc>
          <w:tcPr>
            <w:tcW w:w="23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8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26"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（五）交易性金融负债</w:t>
            </w:r>
          </w:p>
        </w:tc>
        <w:tc>
          <w:tcPr>
            <w:tcW w:w="19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2,108,450.00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2,108,450.00</w:t>
            </w:r>
          </w:p>
        </w:tc>
      </w:tr>
      <w:tr>
        <w:trPr>
          <w:trHeight w:val="402"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其他：远期结售汇合同</w:t>
            </w:r>
          </w:p>
        </w:tc>
        <w:tc>
          <w:tcPr>
            <w:tcW w:w="19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2,108,450.00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2,108,450.00</w:t>
            </w:r>
          </w:p>
        </w:tc>
      </w:tr>
      <w:tr>
        <w:trPr>
          <w:trHeight w:val="402"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二、非持续的公允价值计量</w:t>
            </w:r>
          </w:p>
        </w:tc>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26"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持续和非持续第一层次公允价值计量项目市价的确定依据" w:id="440"/>
      <w:bookmarkEnd w:id="440"/>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6"/>
          <w:szCs w:val="26"/>
        </w:rPr>
      </w:pPr>
    </w:p>
    <w:p>
      <w:pPr>
        <w:pStyle w:val="BodyText"/>
        <w:spacing w:line="302" w:lineRule="auto" w:before="0"/>
        <w:ind w:left="153" w:right="1036" w:firstLine="360"/>
        <w:jc w:val="left"/>
      </w:pPr>
      <w:r>
        <w:rPr>
          <w:spacing w:val="-1"/>
        </w:rPr>
        <w:t>交易性金融负债期末公允价值是基于交易对手中信银行提供的《上海海隆软件有限公司远期结售汇</w:t>
      </w:r>
      <w:r>
        <w:rPr>
          <w:rFonts w:ascii="Times New Roman" w:hAnsi="Times New Roman" w:cs="Times New Roman" w:eastAsia="Times New Roman" w:hint="default"/>
          <w:spacing w:val="-1"/>
        </w:rPr>
        <w:t>/</w:t>
      </w:r>
      <w:r>
        <w:rPr>
          <w:spacing w:val="-1"/>
        </w:rPr>
        <w:t>掉期市值评估报告》</w:t>
      </w:r>
      <w:r>
        <w:rPr/>
        <w:t> 确定。</w:t>
      </w:r>
    </w:p>
    <w:p>
      <w:pPr>
        <w:spacing w:after="0" w:line="302"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3、持续和非持续第二层次公允价值计量项目，采用的估值技术和重要参数的定性及定量信" w:id="441"/>
      <w:bookmarkEnd w:id="441"/>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4、持续和非持续第三层次公允价值计量项目，采用的估值技术和重要参数的定性及定量信" w:id="442"/>
      <w:bookmarkEnd w:id="442"/>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5、持续的第三层次公允价值计量项目，期初与期末账面价值间的调节信息及不可观察参数" w:id="443"/>
      <w:bookmarkEnd w:id="443"/>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6、持续的公允价值计量项目，本期内发生各层级之间转换的，转换的原因及确定转换时点" w:id="444"/>
      <w:bookmarkEnd w:id="444"/>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7、本期内发生的估值技术变更及变更原因" w:id="445"/>
      <w:bookmarkEnd w:id="445"/>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8、不以公允价值计量的金融资产和金融负债的公允价值情况" w:id="446"/>
      <w:bookmarkEnd w:id="446"/>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7693" w:firstLine="0"/>
        <w:jc w:val="left"/>
        <w:rPr>
          <w:rFonts w:ascii="宋体" w:hAnsi="宋体" w:cs="宋体" w:eastAsia="宋体" w:hint="default"/>
          <w:sz w:val="21"/>
          <w:szCs w:val="21"/>
        </w:rPr>
      </w:pPr>
      <w:bookmarkStart w:name="9、其他" w:id="447"/>
      <w:bookmarkEnd w:id="447"/>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48"/>
      <w:bookmarkEnd w:id="448"/>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49"/>
      <w:bookmarkEnd w:id="449"/>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240" w:lineRule="auto" w:before="51"/>
        <w:ind w:right="0"/>
        <w:jc w:val="left"/>
      </w:pPr>
      <w:r>
        <w:rPr/>
        <w:t>本企业的母公司情况的说明</w:t>
      </w:r>
    </w:p>
    <w:p>
      <w:pPr>
        <w:pStyle w:val="BodyText"/>
        <w:spacing w:line="302" w:lineRule="auto" w:before="116"/>
        <w:ind w:right="1140" w:firstLine="360"/>
        <w:jc w:val="both"/>
      </w:pPr>
      <w:r>
        <w:rPr/>
        <w:t>本公司无控股公司，实际控制人为自然人包叔平先生，现任本公司董事长，截止</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日，包叔平先生本人 及其接受其他股东的授权委托实际拥有本公司</w:t>
      </w:r>
      <w:r>
        <w:rPr>
          <w:spacing w:val="-46"/>
        </w:rPr>
        <w:t> </w:t>
      </w:r>
      <w:r>
        <w:rPr>
          <w:rFonts w:ascii="Times New Roman" w:hAnsi="Times New Roman" w:cs="Times New Roman" w:eastAsia="Times New Roman" w:hint="default"/>
        </w:rPr>
        <w:t>27.01%</w:t>
      </w:r>
      <w:r>
        <w:rPr/>
        <w:t>的表决权。</w:t>
      </w:r>
    </w:p>
    <w:p>
      <w:pPr>
        <w:pStyle w:val="BodyText"/>
        <w:spacing w:line="300" w:lineRule="auto" w:before="49"/>
        <w:ind w:left="153" w:right="1130" w:firstLine="36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日，公司收到实际控制人包叔平先生的通知，包叔平先生解除了与其一致行动人（包括</w:t>
      </w:r>
      <w:r>
        <w:rPr>
          <w:spacing w:val="-51"/>
        </w:rPr>
        <w:t> </w:t>
      </w:r>
      <w:r>
        <w:rPr>
          <w:rFonts w:ascii="Times New Roman" w:hAnsi="Times New Roman" w:cs="Times New Roman" w:eastAsia="Times New Roman" w:hint="default"/>
        </w:rPr>
        <w:t>34</w:t>
      </w:r>
      <w:r>
        <w:rPr>
          <w:rFonts w:ascii="Times New Roman" w:hAnsi="Times New Roman" w:cs="Times New Roman" w:eastAsia="Times New Roman" w:hint="default"/>
          <w:spacing w:val="-7"/>
        </w:rPr>
        <w:t> </w:t>
      </w:r>
      <w:r>
        <w:rPr/>
        <w:t>名自然人股东 及</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名法人股东）的一致行动协议。解除一致行动协议后，包叔平先生直接和间接控制公司总股份的</w:t>
      </w:r>
      <w:r>
        <w:rPr>
          <w:spacing w:val="-45"/>
        </w:rPr>
        <w:t> </w:t>
      </w:r>
      <w:r>
        <w:rPr>
          <w:rFonts w:ascii="Times New Roman" w:hAnsi="Times New Roman" w:cs="Times New Roman" w:eastAsia="Times New Roman" w:hint="default"/>
        </w:rPr>
        <w:t>20.42%</w:t>
      </w:r>
      <w:r>
        <w:rPr/>
        <w:t>的表决权，仍 为公司实际控制人。</w:t>
      </w:r>
    </w:p>
    <w:p>
      <w:pPr>
        <w:pStyle w:val="BodyText"/>
        <w:spacing w:line="340" w:lineRule="auto" w:before="71"/>
        <w:ind w:left="153" w:right="2413" w:firstLine="360"/>
        <w:jc w:val="left"/>
      </w:pPr>
      <w:r>
        <w:rPr/>
        <w:t>截止报告出具日，包叔平先生直接和间接控制公司总股份的</w:t>
      </w:r>
      <w:r>
        <w:rPr>
          <w:spacing w:val="-45"/>
        </w:rPr>
        <w:t> </w:t>
      </w:r>
      <w:r>
        <w:rPr>
          <w:rFonts w:ascii="Times New Roman" w:hAnsi="Times New Roman" w:cs="Times New Roman" w:eastAsia="Times New Roman" w:hint="default"/>
        </w:rPr>
        <w:t>20.42%</w:t>
      </w:r>
      <w:r>
        <w:rPr/>
        <w:t>的表决权，仍为公司实际控制人。 本企业最终控制方是自然人包叔平先生。</w:t>
      </w:r>
    </w:p>
    <w:p>
      <w:pPr>
        <w:pStyle w:val="BodyText"/>
        <w:spacing w:line="240" w:lineRule="auto" w:before="40"/>
        <w:ind w:left="153" w:right="0"/>
        <w:jc w:val="left"/>
      </w:pPr>
      <w:r>
        <w:rPr/>
        <w:t>其他说明：</w:t>
      </w:r>
    </w:p>
    <w:p>
      <w:pPr>
        <w:spacing w:line="240" w:lineRule="auto" w:before="10"/>
        <w:rPr>
          <w:rFonts w:ascii="宋体" w:hAnsi="宋体" w:cs="宋体" w:eastAsia="宋体" w:hint="default"/>
          <w:sz w:val="26"/>
          <w:szCs w:val="26"/>
        </w:rPr>
      </w:pPr>
    </w:p>
    <w:p>
      <w:pPr>
        <w:spacing w:line="547" w:lineRule="auto" w:before="0"/>
        <w:ind w:left="153" w:right="4993" w:firstLine="0"/>
        <w:jc w:val="left"/>
        <w:rPr>
          <w:rFonts w:ascii="宋体" w:hAnsi="宋体" w:cs="宋体" w:eastAsia="宋体" w:hint="default"/>
          <w:sz w:val="21"/>
          <w:szCs w:val="21"/>
        </w:rPr>
      </w:pPr>
      <w:bookmarkStart w:name="2、本企业的子公司情况" w:id="450"/>
      <w:bookmarkEnd w:id="45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pacing w:val="-4"/>
          <w:sz w:val="18"/>
          <w:szCs w:val="18"/>
        </w:rPr>
        <w:t>本企业子公司的情况详见附注九之”</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、在子公司中的权益”。</w:t>
      </w:r>
      <w:r>
        <w:rPr>
          <w:rFonts w:ascii="宋体" w:hAnsi="宋体" w:cs="宋体" w:eastAsia="宋体" w:hint="default"/>
          <w:spacing w:val="-68"/>
          <w:sz w:val="18"/>
          <w:szCs w:val="18"/>
        </w:rPr>
        <w:t> </w:t>
      </w:r>
      <w:r>
        <w:rPr>
          <w:rFonts w:ascii="宋体" w:hAnsi="宋体" w:cs="宋体" w:eastAsia="宋体" w:hint="default"/>
          <w:spacing w:val="-68"/>
          <w:sz w:val="18"/>
          <w:szCs w:val="18"/>
        </w:rPr>
      </w:r>
      <w:bookmarkStart w:name="3、本企业合营和联营企业情况" w:id="451"/>
      <w:bookmarkEnd w:id="451"/>
      <w:r>
        <w:rPr>
          <w:rFonts w:ascii="宋体" w:hAnsi="宋体" w:cs="宋体" w:eastAsia="宋体" w:hint="default"/>
          <w:spacing w:val="-68"/>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40" w:lineRule="auto" w:before="51"/>
        <w:ind w:left="153" w:right="1767"/>
        <w:jc w:val="left"/>
      </w:pPr>
      <w:r>
        <w:rPr>
          <w:spacing w:val="-2"/>
        </w:rPr>
        <w:t>本企业重要的合营或联营企业详见附注九之“</w:t>
      </w:r>
      <w:r>
        <w:rPr>
          <w:rFonts w:ascii="Times New Roman" w:hAnsi="Times New Roman" w:cs="Times New Roman" w:eastAsia="Times New Roman" w:hint="default"/>
          <w:spacing w:val="-2"/>
        </w:rPr>
        <w:t>3</w:t>
      </w:r>
      <w:r>
        <w:rPr>
          <w:spacing w:val="-2"/>
        </w:rPr>
        <w:t>、在合营安排或联营企业中的权益”及五之“</w:t>
      </w:r>
      <w:r>
        <w:rPr>
          <w:rFonts w:ascii="Times New Roman" w:hAnsi="Times New Roman" w:cs="Times New Roman" w:eastAsia="Times New Roman" w:hint="default"/>
          <w:spacing w:val="-2"/>
        </w:rPr>
        <w:t>14</w:t>
      </w:r>
      <w:r>
        <w:rPr>
          <w:spacing w:val="-2"/>
        </w:rPr>
        <w:t>、长期股权投资”。</w:t>
      </w:r>
      <w:r>
        <w:rPr>
          <w:spacing w:val="-76"/>
        </w:rPr>
        <w:t> </w:t>
      </w:r>
      <w:r>
        <w:rPr>
          <w:spacing w:val="-76"/>
        </w:rPr>
      </w:r>
      <w:r>
        <w:rPr/>
        <w:t>本期与本公司发生关联方交易，或前期与本公司发生关联方交易形成余额的其他合营或联营企业情况如下：</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
        </w:tc>
        <w:tc>
          <w:tcPr>
            <w:tcW w:w="47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4、其他关联方情况" w:id="452"/>
      <w:bookmarkEnd w:id="452"/>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上海我要网络发展有限公司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以上股份的股东控制的企业</w:t>
            </w:r>
          </w:p>
        </w:tc>
      </w:tr>
    </w:tbl>
    <w:p>
      <w:pPr>
        <w:pStyle w:val="BodyText"/>
        <w:spacing w:line="240" w:lineRule="auto" w:before="51"/>
        <w:ind w:right="0"/>
        <w:jc w:val="left"/>
      </w:pPr>
      <w:r>
        <w:rPr/>
        <w:t>其他说明：</w:t>
      </w:r>
    </w:p>
    <w:p>
      <w:pPr>
        <w:pStyle w:val="BodyText"/>
        <w:spacing w:line="240" w:lineRule="auto" w:before="116"/>
        <w:ind w:left="514"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月，公司完成重大资产重组，庞升东先生成为持股公司</w:t>
      </w:r>
      <w:r>
        <w:rPr>
          <w:spacing w:val="-53"/>
        </w:rPr>
        <w:t> </w:t>
      </w:r>
      <w:r>
        <w:rPr>
          <w:rFonts w:ascii="Times New Roman" w:hAnsi="Times New Roman" w:cs="Times New Roman" w:eastAsia="Times New Roman" w:hint="default"/>
        </w:rPr>
        <w:t>5%</w:t>
      </w:r>
      <w:r>
        <w:rPr/>
        <w:t>以上股份的股东，同时庞升东先生自</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p>
    <w:p>
      <w:pPr>
        <w:pStyle w:val="BodyText"/>
        <w:spacing w:line="240" w:lineRule="auto" w:before="63"/>
        <w:ind w:left="153"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日起担任公司董事。上海我要网络发展有限公司系庞升东先生控制之企业，自</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月开始作为本公司关联方。</w:t>
      </w:r>
      <w:r>
        <w:rPr>
          <w:rFonts w:ascii="Times New Roman" w:hAnsi="Times New Roman" w:cs="Times New Roman" w:eastAsia="Times New Roman" w:hint="default"/>
        </w:rPr>
        <w:t>2015</w:t>
      </w:r>
    </w:p>
    <w:p>
      <w:pPr>
        <w:pStyle w:val="BodyText"/>
        <w:spacing w:line="302" w:lineRule="auto" w:before="63"/>
        <w:ind w:right="1131"/>
        <w:jc w:val="left"/>
      </w:pP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日起，庞升东先生不再是上海我要网络发展有限公司实际控制人。自</w:t>
      </w:r>
      <w:r>
        <w:rPr>
          <w:spacing w:val="-46"/>
        </w:rPr>
        <w:t> </w:t>
      </w:r>
      <w:r>
        <w:rPr>
          <w:rFonts w:ascii="Times New Roman" w:hAnsi="Times New Roman" w:cs="Times New Roman" w:eastAsia="Times New Roman" w:hint="default"/>
        </w:rPr>
        <w:t>2016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日起，上海我要网络发展有 限公司不再是本公司的关联方。</w:t>
      </w:r>
    </w:p>
    <w:p>
      <w:pPr>
        <w:spacing w:line="240" w:lineRule="auto" w:before="2"/>
        <w:rPr>
          <w:rFonts w:ascii="宋体" w:hAnsi="宋体" w:cs="宋体" w:eastAsia="宋体" w:hint="default"/>
          <w:sz w:val="23"/>
          <w:szCs w:val="23"/>
        </w:rPr>
      </w:pPr>
    </w:p>
    <w:p>
      <w:pPr>
        <w:pStyle w:val="Heading6"/>
        <w:spacing w:line="240" w:lineRule="auto"/>
        <w:ind w:left="154" w:right="0"/>
        <w:jc w:val="left"/>
        <w:rPr>
          <w:b w:val="0"/>
          <w:bCs w:val="0"/>
        </w:rPr>
      </w:pPr>
      <w:bookmarkStart w:name="5、关联交易情况" w:id="453"/>
      <w:bookmarkEnd w:id="453"/>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购销商品、提供和接受劳务的关联交易" w:id="454"/>
      <w:bookmarkEnd w:id="454"/>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22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695"/>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22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上海我要网络发展有限公司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提供软件服务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1" w:right="0"/>
              <w:jc w:val="left"/>
              <w:rPr>
                <w:rFonts w:ascii="Times New Roman" w:hAnsi="Times New Roman" w:cs="Times New Roman" w:eastAsia="Times New Roman" w:hint="default"/>
                <w:sz w:val="18"/>
                <w:szCs w:val="18"/>
              </w:rPr>
            </w:pPr>
            <w:r>
              <w:rPr>
                <w:rFonts w:ascii="Times New Roman"/>
                <w:sz w:val="18"/>
              </w:rPr>
              <w:t>7,212,766.28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75" w:right="0"/>
              <w:jc w:val="left"/>
              <w:rPr>
                <w:rFonts w:ascii="Times New Roman" w:hAnsi="Times New Roman" w:cs="Times New Roman" w:eastAsia="Times New Roman" w:hint="default"/>
                <w:sz w:val="18"/>
                <w:szCs w:val="18"/>
              </w:rPr>
            </w:pPr>
            <w:r>
              <w:rPr>
                <w:rFonts w:ascii="Times New Roman"/>
                <w:sz w:val="18"/>
              </w:rPr>
              <w:t>2,871,879.80</w:t>
            </w:r>
          </w:p>
        </w:tc>
      </w:tr>
    </w:tbl>
    <w:p>
      <w:pPr>
        <w:pStyle w:val="BodyText"/>
        <w:spacing w:line="240" w:lineRule="auto" w:before="51"/>
        <w:ind w:right="0"/>
        <w:jc w:val="left"/>
      </w:pPr>
      <w:r>
        <w:rPr/>
        <w:t>购销商品、提供和接受劳务的关联交易说明</w:t>
      </w:r>
    </w:p>
    <w:p>
      <w:pPr>
        <w:spacing w:line="240" w:lineRule="auto" w:before="10"/>
        <w:rPr>
          <w:rFonts w:ascii="宋体" w:hAnsi="宋体" w:cs="宋体" w:eastAsia="宋体" w:hint="default"/>
          <w:sz w:val="26"/>
          <w:szCs w:val="26"/>
        </w:rPr>
      </w:pPr>
    </w:p>
    <w:p>
      <w:pPr>
        <w:pStyle w:val="Heading6"/>
        <w:spacing w:line="240" w:lineRule="auto"/>
        <w:ind w:left="154" w:right="0"/>
        <w:jc w:val="left"/>
        <w:rPr>
          <w:b w:val="0"/>
          <w:bCs w:val="0"/>
        </w:rPr>
      </w:pPr>
      <w:bookmarkStart w:name="（2）关联受托管理/承包及委托管理/出包情况" w:id="455"/>
      <w:bookmarkEnd w:id="455"/>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22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pStyle w:val="BodyText"/>
        <w:spacing w:line="340" w:lineRule="auto" w:before="51"/>
        <w:ind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单位：元</w:t>
      </w:r>
    </w:p>
    <w:p>
      <w:pPr>
        <w:spacing w:after="0" w:line="240" w:lineRule="auto"/>
        <w:jc w:val="left"/>
        <w:sectPr>
          <w:type w:val="continuous"/>
          <w:pgSz w:w="11910" w:h="16840"/>
          <w:pgMar w:top="1060" w:bottom="1160" w:left="980" w:right="0"/>
          <w:cols w:num="2" w:equalWidth="0">
            <w:col w:w="2545" w:space="6284"/>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2"/>
        <w:ind w:right="0"/>
        <w:jc w:val="left"/>
      </w:pPr>
      <w:r>
        <w:rPr/>
        <w:t>关联管理</w:t>
      </w:r>
      <w:r>
        <w:rPr>
          <w:rFonts w:ascii="Times New Roman" w:hAnsi="Times New Roman" w:cs="Times New Roman" w:eastAsia="Times New Roman" w:hint="default"/>
        </w:rPr>
        <w:t>/</w:t>
      </w:r>
      <w:r>
        <w:rPr/>
        <w:t>出包情况说明</w:t>
      </w:r>
    </w:p>
    <w:p>
      <w:pPr>
        <w:spacing w:line="240" w:lineRule="auto" w:before="9"/>
        <w:rPr>
          <w:rFonts w:ascii="宋体" w:hAnsi="宋体" w:cs="宋体" w:eastAsia="宋体" w:hint="default"/>
          <w:sz w:val="25"/>
          <w:szCs w:val="25"/>
        </w:rPr>
      </w:pPr>
    </w:p>
    <w:p>
      <w:pPr>
        <w:pStyle w:val="Heading6"/>
        <w:spacing w:line="240" w:lineRule="auto"/>
        <w:ind w:left="154" w:right="0"/>
        <w:jc w:val="left"/>
        <w:rPr>
          <w:b w:val="0"/>
          <w:bCs w:val="0"/>
        </w:rPr>
      </w:pPr>
      <w:bookmarkStart w:name="（3）关联租赁情况" w:id="456"/>
      <w:bookmarkEnd w:id="456"/>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t>本公司作为出租方：</w:t>
      </w:r>
    </w:p>
    <w:p>
      <w:pPr>
        <w:pStyle w:val="BodyText"/>
        <w:spacing w:line="240" w:lineRule="auto" w:before="116"/>
        <w:ind w:left="0" w:right="1220"/>
        <w:jc w:val="right"/>
      </w:pPr>
      <w:r>
        <w:rPr/>
        <w:t>单位：元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right="0"/>
        <w:jc w:val="left"/>
      </w:pPr>
      <w:r>
        <w:rPr/>
        <w:t>本公司作为承租方：</w:t>
      </w:r>
    </w:p>
    <w:p>
      <w:pPr>
        <w:pStyle w:val="BodyText"/>
        <w:spacing w:line="240" w:lineRule="auto" w:before="117"/>
        <w:ind w:left="0" w:right="122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2"/>
        <w:ind w:right="0"/>
        <w:jc w:val="left"/>
      </w:pPr>
      <w:r>
        <w:rPr/>
        <w:t>关联租赁情况说明</w:t>
      </w:r>
    </w:p>
    <w:p>
      <w:pPr>
        <w:spacing w:line="240" w:lineRule="auto" w:before="10"/>
        <w:rPr>
          <w:rFonts w:ascii="宋体" w:hAnsi="宋体" w:cs="宋体" w:eastAsia="宋体" w:hint="default"/>
          <w:sz w:val="26"/>
          <w:szCs w:val="26"/>
        </w:rPr>
      </w:pPr>
    </w:p>
    <w:p>
      <w:pPr>
        <w:pStyle w:val="Heading6"/>
        <w:spacing w:line="240" w:lineRule="auto"/>
        <w:ind w:left="154" w:right="0"/>
        <w:jc w:val="left"/>
        <w:rPr>
          <w:b w:val="0"/>
          <w:bCs w:val="0"/>
        </w:rPr>
      </w:pPr>
      <w:bookmarkStart w:name="（4）关联担保情况" w:id="457"/>
      <w:bookmarkEnd w:id="457"/>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t>本公司作为担保方</w:t>
      </w:r>
    </w:p>
    <w:p>
      <w:pPr>
        <w:pStyle w:val="BodyText"/>
        <w:spacing w:line="240" w:lineRule="auto" w:before="116"/>
        <w:ind w:left="0" w:right="122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right="0"/>
        <w:jc w:val="left"/>
      </w:pPr>
      <w:r>
        <w:rPr/>
        <w:t>本公司作为被担保方</w:t>
      </w:r>
    </w:p>
    <w:p>
      <w:pPr>
        <w:pStyle w:val="BodyText"/>
        <w:spacing w:line="240" w:lineRule="auto" w:before="117"/>
        <w:ind w:left="0" w:right="122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包叔平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7" w:right="0"/>
              <w:jc w:val="left"/>
              <w:rPr>
                <w:rFonts w:ascii="Times New Roman" w:hAnsi="Times New Roman" w:cs="Times New Roman" w:eastAsia="Times New Roman" w:hint="default"/>
                <w:sz w:val="18"/>
                <w:szCs w:val="18"/>
              </w:rPr>
            </w:pPr>
            <w:r>
              <w:rPr>
                <w:rFonts w:ascii="Times New Roman"/>
                <w:sz w:val="18"/>
              </w:rPr>
              <w:t>3,243,275.00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关联担保情况说明</w:t>
      </w:r>
    </w:p>
    <w:p>
      <w:pPr>
        <w:pStyle w:val="BodyText"/>
        <w:spacing w:line="240" w:lineRule="auto" w:before="116"/>
        <w:ind w:left="0" w:right="1130"/>
        <w:jc w:val="right"/>
        <w:rPr>
          <w:rFonts w:ascii="Times New Roman" w:hAnsi="Times New Roman" w:cs="Times New Roman" w:eastAsia="Times New Roman" w:hint="default"/>
        </w:rPr>
      </w:pPr>
      <w:r>
        <w:rPr/>
        <w:t>公司实际控制人包叔平为子公司日本海隆株式会社短期借款提供连带责任保证，担保额度为日元</w:t>
      </w:r>
      <w:r>
        <w:rPr>
          <w:spacing w:val="-58"/>
        </w:rPr>
        <w:t> </w:t>
      </w:r>
      <w:r>
        <w:rPr>
          <w:rFonts w:ascii="Times New Roman" w:hAnsi="Times New Roman" w:cs="Times New Roman" w:eastAsia="Times New Roman" w:hint="default"/>
        </w:rPr>
        <w:t>8,000</w:t>
      </w:r>
      <w:r>
        <w:rPr>
          <w:rFonts w:ascii="Times New Roman" w:hAnsi="Times New Roman" w:cs="Times New Roman" w:eastAsia="Times New Roman" w:hint="default"/>
          <w:spacing w:val="-13"/>
        </w:rPr>
        <w:t> </w:t>
      </w:r>
      <w:r>
        <w:rPr>
          <w:spacing w:val="-9"/>
        </w:rPr>
        <w:t>万元。截至</w:t>
      </w:r>
      <w:r>
        <w:rPr>
          <w:spacing w:val="-58"/>
        </w:rPr>
        <w:t> </w:t>
      </w:r>
      <w:r>
        <w:rPr>
          <w:rFonts w:ascii="Times New Roman" w:hAnsi="Times New Roman" w:cs="Times New Roman" w:eastAsia="Times New Roman" w:hint="default"/>
        </w:rPr>
        <w:t>2015</w:t>
      </w:r>
    </w:p>
    <w:p>
      <w:pPr>
        <w:pStyle w:val="BodyText"/>
        <w:spacing w:line="240" w:lineRule="auto" w:before="64"/>
        <w:ind w:left="153" w:right="0"/>
        <w:jc w:val="left"/>
      </w:pP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日，该笔借款余额为日元</w:t>
      </w:r>
      <w:r>
        <w:rPr>
          <w:spacing w:val="-46"/>
        </w:rPr>
        <w:t> </w:t>
      </w:r>
      <w:r>
        <w:rPr>
          <w:rFonts w:ascii="Times New Roman" w:hAnsi="Times New Roman" w:cs="Times New Roman" w:eastAsia="Times New Roman" w:hint="default"/>
        </w:rPr>
        <w:t>6,020</w:t>
      </w:r>
      <w:r>
        <w:rPr>
          <w:rFonts w:ascii="Times New Roman" w:hAnsi="Times New Roman" w:cs="Times New Roman" w:eastAsia="Times New Roman" w:hint="default"/>
          <w:spacing w:val="-1"/>
        </w:rPr>
        <w:t> </w:t>
      </w:r>
      <w:r>
        <w:rPr/>
        <w:t>万元，折合人民币</w:t>
      </w:r>
      <w:r>
        <w:rPr>
          <w:spacing w:val="-46"/>
        </w:rPr>
        <w:t> </w:t>
      </w:r>
      <w:r>
        <w:rPr>
          <w:rFonts w:ascii="Times New Roman" w:hAnsi="Times New Roman" w:cs="Times New Roman" w:eastAsia="Times New Roman" w:hint="default"/>
        </w:rPr>
        <w:t>3,243,275.00</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Heading6"/>
        <w:spacing w:line="240" w:lineRule="auto"/>
        <w:ind w:right="0"/>
        <w:jc w:val="left"/>
        <w:rPr>
          <w:b w:val="0"/>
          <w:bCs w:val="0"/>
        </w:rPr>
      </w:pPr>
      <w:bookmarkStart w:name="（5）关联方资金拆借" w:id="458"/>
      <w:bookmarkEnd w:id="458"/>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22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6）关联方资产转让、债务重组情况" w:id="459"/>
      <w:bookmarkEnd w:id="459"/>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22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7）关键管理人员报酬" w:id="460"/>
      <w:bookmarkEnd w:id="460"/>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22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5,933,200.00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4,394,900.00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8）其他关联交易" w:id="461"/>
      <w:bookmarkEnd w:id="461"/>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6、关联方应收应付款项" w:id="462"/>
      <w:bookmarkEnd w:id="462"/>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应收项目" w:id="463"/>
      <w:bookmarkEnd w:id="463"/>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22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上海我要网络发展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2" w:right="0"/>
              <w:jc w:val="left"/>
              <w:rPr>
                <w:rFonts w:ascii="Times New Roman" w:hAnsi="Times New Roman" w:cs="Times New Roman" w:eastAsia="Times New Roman" w:hint="default"/>
                <w:sz w:val="18"/>
                <w:szCs w:val="18"/>
              </w:rPr>
            </w:pPr>
            <w:r>
              <w:rPr>
                <w:rFonts w:ascii="Times New Roman"/>
                <w:sz w:val="18"/>
              </w:rPr>
              <w:t>156,385.16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1,016,917.40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应付项目" w:id="464"/>
      <w:bookmarkEnd w:id="464"/>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22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3"/>
        <w:rPr>
          <w:rFonts w:ascii="宋体" w:hAnsi="宋体" w:cs="宋体" w:eastAsia="宋体" w:hint="default"/>
          <w:sz w:val="19"/>
          <w:szCs w:val="19"/>
        </w:rPr>
      </w:pPr>
    </w:p>
    <w:p>
      <w:pPr>
        <w:pStyle w:val="Heading6"/>
        <w:spacing w:line="240" w:lineRule="auto" w:before="35"/>
        <w:ind w:left="154" w:right="0"/>
        <w:jc w:val="left"/>
        <w:rPr>
          <w:b w:val="0"/>
          <w:bCs w:val="0"/>
        </w:rPr>
      </w:pPr>
      <w:bookmarkStart w:name="7、关联方承诺" w:id="465"/>
      <w:bookmarkEnd w:id="465"/>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3" w:right="8751" w:firstLine="0"/>
        <w:jc w:val="left"/>
        <w:rPr>
          <w:rFonts w:ascii="宋体" w:hAnsi="宋体" w:cs="宋体" w:eastAsia="宋体" w:hint="default"/>
          <w:sz w:val="21"/>
          <w:szCs w:val="21"/>
        </w:rPr>
      </w:pPr>
      <w:bookmarkStart w:name="8、其他" w:id="466"/>
      <w:bookmarkEnd w:id="466"/>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67"/>
      <w:bookmarkEnd w:id="467"/>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68"/>
      <w:bookmarkEnd w:id="46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2、以权益结算的股份支付情况" w:id="469"/>
      <w:bookmarkEnd w:id="469"/>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3、以现金结算的股份支付情况" w:id="470"/>
      <w:bookmarkEnd w:id="470"/>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4、股份支付的修改、终止情况" w:id="471"/>
      <w:bookmarkEnd w:id="471"/>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3" w:right="8344" w:firstLine="0"/>
        <w:jc w:val="left"/>
        <w:rPr>
          <w:rFonts w:ascii="宋体" w:hAnsi="宋体" w:cs="宋体" w:eastAsia="宋体" w:hint="default"/>
          <w:sz w:val="21"/>
          <w:szCs w:val="21"/>
        </w:rPr>
      </w:pPr>
      <w:bookmarkStart w:name="5、其他" w:id="472"/>
      <w:bookmarkEnd w:id="472"/>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73"/>
      <w:bookmarkEnd w:id="473"/>
      <w:r>
        <w:rPr>
          <w:rFonts w:ascii="宋体" w:hAnsi="宋体" w:cs="宋体" w:eastAsia="宋体" w:hint="default"/>
          <w:b/>
          <w:bCs/>
          <w:spacing w:val="1"/>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74"/>
      <w:bookmarkEnd w:id="47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8"/>
        <w:ind w:right="0"/>
        <w:jc w:val="left"/>
      </w:pPr>
      <w:r>
        <w:rPr/>
        <w:t>资产负债表日存在的重要承诺</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left="153" w:right="0"/>
        <w:jc w:val="left"/>
      </w:pPr>
      <w:r>
        <w:rPr/>
        <w:t>资产负债表日不存在重要承诺事项</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2、或有事项" w:id="475"/>
      <w:bookmarkEnd w:id="475"/>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资产负债表日存在的重要或有事项" w:id="476"/>
      <w:bookmarkEnd w:id="476"/>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3" w:right="0"/>
        <w:jc w:val="left"/>
      </w:pPr>
      <w:r>
        <w:rPr/>
        <w:t>资产负债表日不存在重要或有事项</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2）公司没有需要披露的重要或有事项，也应予以说明" w:id="477"/>
      <w:bookmarkEnd w:id="477"/>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3" w:right="0"/>
        <w:jc w:val="left"/>
      </w:pPr>
      <w:r>
        <w:rPr/>
        <w:t>公司不存在需要披露的重要或有事项。</w:t>
      </w:r>
    </w:p>
    <w:p>
      <w:pPr>
        <w:spacing w:line="240" w:lineRule="auto" w:before="11"/>
        <w:rPr>
          <w:rFonts w:ascii="宋体" w:hAnsi="宋体" w:cs="宋体" w:eastAsia="宋体" w:hint="default"/>
          <w:sz w:val="26"/>
          <w:szCs w:val="26"/>
        </w:rPr>
      </w:pPr>
    </w:p>
    <w:p>
      <w:pPr>
        <w:spacing w:line="487" w:lineRule="auto" w:before="0"/>
        <w:ind w:left="153" w:right="7333" w:firstLine="0"/>
        <w:jc w:val="left"/>
        <w:rPr>
          <w:rFonts w:ascii="宋体" w:hAnsi="宋体" w:cs="宋体" w:eastAsia="宋体" w:hint="default"/>
          <w:sz w:val="21"/>
          <w:szCs w:val="21"/>
        </w:rPr>
      </w:pPr>
      <w:bookmarkStart w:name="3、其他" w:id="478"/>
      <w:bookmarkEnd w:id="47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79"/>
      <w:bookmarkEnd w:id="479"/>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80"/>
      <w:bookmarkEnd w:id="480"/>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22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4452"/>
        <w:gridCol w:w="1419"/>
        <w:gridCol w:w="1134"/>
      </w:tblGrid>
      <w:tr>
        <w:trPr>
          <w:trHeight w:val="161"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44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4" w:right="72"/>
              <w:jc w:val="left"/>
              <w:rPr>
                <w:rFonts w:ascii="宋体" w:hAnsi="宋体" w:cs="宋体" w:eastAsia="宋体" w:hint="default"/>
                <w:sz w:val="18"/>
                <w:szCs w:val="18"/>
              </w:rPr>
            </w:pPr>
            <w:r>
              <w:rPr>
                <w:rFonts w:ascii="宋体" w:hAnsi="宋体" w:cs="宋体" w:eastAsia="宋体" w:hint="default"/>
                <w:sz w:val="18"/>
                <w:szCs w:val="18"/>
              </w:rPr>
              <w:t>对财务状况和经 营成果的影响数</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1" w:right="110"/>
              <w:jc w:val="left"/>
              <w:rPr>
                <w:rFonts w:ascii="宋体" w:hAnsi="宋体" w:cs="宋体" w:eastAsia="宋体" w:hint="default"/>
                <w:sz w:val="18"/>
                <w:szCs w:val="18"/>
              </w:rPr>
            </w:pPr>
            <w:r>
              <w:rPr>
                <w:rFonts w:ascii="宋体" w:hAnsi="宋体" w:cs="宋体" w:eastAsia="宋体" w:hint="default"/>
                <w:sz w:val="18"/>
                <w:szCs w:val="18"/>
              </w:rPr>
              <w:t>无法估计影 响数的原因</w:t>
            </w:r>
          </w:p>
        </w:tc>
      </w:tr>
      <w:tr>
        <w:trPr>
          <w:trHeight w:val="392" w:hRule="exact"/>
        </w:trPr>
        <w:tc>
          <w:tcPr>
            <w:tcW w:w="2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4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1419"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r>
      <w:tr>
        <w:trPr>
          <w:trHeight w:val="161"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44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r>
      <w:tr>
        <w:trPr>
          <w:trHeight w:val="473"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4452"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月非公开发行了人民币普通股（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83,500,000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股，发行价格每股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元，募集资金总额为人</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1,670,000,000.00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元，发行完成后公司注册资本及实</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收资本变更为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955,232,720.00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419"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r>
      <w:tr>
        <w:trPr>
          <w:trHeight w:val="392" w:hRule="exact"/>
        </w:trPr>
        <w:tc>
          <w:tcPr>
            <w:tcW w:w="2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4452" w:type="dxa"/>
            <w:vMerge/>
            <w:tcBorders>
              <w:left w:val="single" w:sz="9" w:space="0" w:color="D2D2D2"/>
              <w:right w:val="single" w:sz="4" w:space="0" w:color="000000"/>
            </w:tcBorders>
          </w:tcPr>
          <w:p>
            <w:pPr/>
          </w:p>
        </w:tc>
        <w:tc>
          <w:tcPr>
            <w:tcW w:w="141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473"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4452" w:type="dxa"/>
            <w:vMerge/>
            <w:tcBorders>
              <w:left w:val="single" w:sz="9" w:space="0" w:color="D2D2D2"/>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r>
      <w:tr>
        <w:trPr>
          <w:trHeight w:val="1253"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4452" w:type="dxa"/>
            <w:vMerge w:val="restart"/>
            <w:tcBorders>
              <w:top w:val="single" w:sz="4" w:space="0" w:color="000000"/>
              <w:left w:val="single" w:sz="9" w:space="0" w:color="D2D2D2"/>
              <w:right w:val="single" w:sz="4" w:space="0" w:color="000000"/>
            </w:tcBorders>
          </w:tcPr>
          <w:p>
            <w:pPr>
              <w:pStyle w:val="TableParagraph"/>
              <w:spacing w:line="307" w:lineRule="auto" w:before="51"/>
              <w:ind w:left="16"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日，公司的全资子公司上海二三四五网络</w:t>
            </w:r>
            <w:r>
              <w:rPr>
                <w:rFonts w:ascii="宋体" w:hAnsi="宋体" w:cs="宋体" w:eastAsia="宋体" w:hint="default"/>
                <w:sz w:val="18"/>
                <w:szCs w:val="18"/>
              </w:rPr>
              <w:t> 科技有限公司与其全资子公司二三四五（香港）有限公 司以各自的自有资金投资设立上海二三四五融资租赁有 限公司。上海二三四五融资租赁有限公司注册资本为人 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万元，其中上海二三四五网络科技有限公司 投资额为人民币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万元，持股比例为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；二三四 </w:t>
            </w:r>
            <w:r>
              <w:rPr>
                <w:rFonts w:ascii="宋体" w:hAnsi="宋体" w:cs="宋体" w:eastAsia="宋体" w:hint="default"/>
                <w:spacing w:val="-3"/>
                <w:sz w:val="18"/>
                <w:szCs w:val="18"/>
              </w:rPr>
              <w:t>五（香港）有限公司投资额为人民币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万元，持股比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截止报告出具日，上海二三四五融资租赁有限 公司已收到投资款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9"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r>
      <w:tr>
        <w:trPr>
          <w:trHeight w:val="392" w:hRule="exact"/>
        </w:trPr>
        <w:tc>
          <w:tcPr>
            <w:tcW w:w="2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重要的对外投资</w:t>
            </w:r>
          </w:p>
        </w:tc>
        <w:tc>
          <w:tcPr>
            <w:tcW w:w="4452" w:type="dxa"/>
            <w:vMerge/>
            <w:tcBorders>
              <w:left w:val="single" w:sz="9" w:space="0" w:color="D2D2D2"/>
              <w:right w:val="single" w:sz="4" w:space="0" w:color="000000"/>
            </w:tcBorders>
          </w:tcPr>
          <w:p>
            <w:pPr/>
          </w:p>
        </w:tc>
        <w:tc>
          <w:tcPr>
            <w:tcW w:w="141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1253"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4452" w:type="dxa"/>
            <w:vMerge/>
            <w:tcBorders>
              <w:left w:val="single" w:sz="9" w:space="0" w:color="D2D2D2"/>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利润分配情况" w:id="481"/>
      <w:bookmarkEnd w:id="481"/>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22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3、销售退回" w:id="482"/>
      <w:bookmarkEnd w:id="482"/>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4、其他资产负债表日后事项说明" w:id="483"/>
      <w:bookmarkEnd w:id="483"/>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577" w:right="0"/>
        <w:jc w:val="left"/>
        <w:rPr>
          <w:b w:val="0"/>
          <w:bCs w:val="0"/>
        </w:rPr>
      </w:pPr>
      <w:r>
        <w:rPr/>
        <w:t>（</w:t>
      </w:r>
      <w:r>
        <w:rPr>
          <w:rFonts w:ascii="宋体" w:hAnsi="宋体" w:cs="宋体" w:eastAsia="宋体" w:hint="default"/>
        </w:rPr>
        <w:t>1</w:t>
      </w:r>
      <w:r>
        <w:rPr/>
        <w:t>）重要的非调整事项</w:t>
      </w:r>
      <w:r>
        <w:rPr>
          <w:b w:val="0"/>
          <w:bCs w:val="0"/>
        </w:rPr>
      </w:r>
    </w:p>
    <w:p>
      <w:pPr>
        <w:pStyle w:val="Heading7"/>
        <w:spacing w:line="256" w:lineRule="auto" w:before="37"/>
        <w:ind w:right="1149" w:firstLine="422"/>
        <w:jc w:val="left"/>
      </w:pPr>
      <w:r>
        <w:rPr/>
        <w:t>①公司于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月非公开发行了人民币普通股（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83,500,000</w:t>
      </w:r>
      <w:r>
        <w:rPr/>
        <w:t>股，发行价格每股</w:t>
      </w:r>
      <w:r>
        <w:rPr>
          <w:rFonts w:ascii="Times New Roman" w:hAnsi="Times New Roman" w:cs="Times New Roman" w:eastAsia="Times New Roman" w:hint="default"/>
        </w:rPr>
        <w:t>20</w:t>
      </w:r>
      <w:r>
        <w:rPr/>
        <w:t>元，募集资金 总额为人民币</w:t>
      </w:r>
      <w:r>
        <w:rPr>
          <w:rFonts w:ascii="Times New Roman" w:hAnsi="Times New Roman" w:cs="Times New Roman" w:eastAsia="Times New Roman" w:hint="default"/>
        </w:rPr>
        <w:t>1,670,000,000.00</w:t>
      </w:r>
      <w:r>
        <w:rPr/>
        <w:t>元，发行完成后公司注册资本及实收资本变更为</w:t>
      </w:r>
      <w:r>
        <w:rPr>
          <w:rFonts w:ascii="Times New Roman" w:hAnsi="Times New Roman" w:cs="Times New Roman" w:eastAsia="Times New Roman" w:hint="default"/>
        </w:rPr>
        <w:t>955,232,720.00</w:t>
      </w:r>
      <w:r>
        <w:rPr/>
        <w:t>元。</w:t>
      </w:r>
    </w:p>
    <w:p>
      <w:pPr>
        <w:pStyle w:val="Heading7"/>
        <w:spacing w:line="261" w:lineRule="auto" w:before="5"/>
        <w:ind w:right="0" w:firstLine="422"/>
        <w:jc w:val="left"/>
      </w:pPr>
      <w:r>
        <w:rPr/>
        <w:t>②</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日，公司的全资子公司上海二三四五网络科技有限公司与其全资子公司二三四五（香 </w:t>
      </w:r>
      <w:r>
        <w:rPr>
          <w:spacing w:val="-1"/>
        </w:rPr>
        <w:t>港）有限公司以各自的自有资金投资设立上海二三四五融资租赁有限公司。上海二三四五融资租赁有限公</w:t>
      </w:r>
      <w:r>
        <w:rPr>
          <w:spacing w:val="-81"/>
        </w:rPr>
        <w:t> </w:t>
      </w:r>
      <w:r>
        <w:rPr>
          <w:spacing w:val="-81"/>
        </w:rPr>
      </w:r>
      <w:r>
        <w:rPr/>
        <w:t>司注册资本为人民币</w:t>
      </w:r>
      <w:r>
        <w:rPr>
          <w:rFonts w:ascii="Times New Roman" w:hAnsi="Times New Roman" w:cs="Times New Roman" w:eastAsia="Times New Roman" w:hint="default"/>
        </w:rPr>
        <w:t>20,000</w:t>
      </w:r>
      <w:r>
        <w:rPr/>
        <w:t>万元，其中上海二三四五网络科技有限公司投资额为人民币</w:t>
      </w:r>
      <w:r>
        <w:rPr>
          <w:rFonts w:ascii="Times New Roman" w:hAnsi="Times New Roman" w:cs="Times New Roman" w:eastAsia="Times New Roman" w:hint="default"/>
        </w:rPr>
        <w:t>15,000</w:t>
      </w:r>
      <w:r>
        <w:rPr/>
        <w:t>万元，持股 </w:t>
      </w:r>
      <w:r>
        <w:rPr>
          <w:spacing w:val="-1"/>
        </w:rPr>
        <w:t>比例为</w:t>
      </w:r>
      <w:r>
        <w:rPr>
          <w:rFonts w:ascii="Times New Roman" w:hAnsi="Times New Roman" w:cs="Times New Roman" w:eastAsia="Times New Roman" w:hint="default"/>
          <w:spacing w:val="-1"/>
        </w:rPr>
        <w:t>75%</w:t>
      </w:r>
      <w:r>
        <w:rPr>
          <w:spacing w:val="-1"/>
        </w:rPr>
        <w:t>；二三四五（香港）有限公司投资额为人民币</w:t>
      </w:r>
      <w:r>
        <w:rPr>
          <w:rFonts w:ascii="Times New Roman" w:hAnsi="Times New Roman" w:cs="Times New Roman" w:eastAsia="Times New Roman" w:hint="default"/>
          <w:spacing w:val="-1"/>
        </w:rPr>
        <w:t>5,000</w:t>
      </w:r>
      <w:r>
        <w:rPr>
          <w:spacing w:val="-1"/>
        </w:rPr>
        <w:t>万元，持股比例为</w:t>
      </w:r>
      <w:r>
        <w:rPr>
          <w:rFonts w:ascii="Times New Roman" w:hAnsi="Times New Roman" w:cs="Times New Roman" w:eastAsia="Times New Roman" w:hint="default"/>
          <w:spacing w:val="-1"/>
        </w:rPr>
        <w:t>25%</w:t>
      </w:r>
      <w:r>
        <w:rPr>
          <w:spacing w:val="-1"/>
        </w:rPr>
        <w:t>截止报告出具日，上</w:t>
      </w:r>
      <w:r>
        <w:rPr>
          <w:spacing w:val="-69"/>
        </w:rPr>
        <w:t> </w:t>
      </w:r>
      <w:r>
        <w:rPr>
          <w:spacing w:val="-69"/>
        </w:rPr>
      </w:r>
      <w:r>
        <w:rPr/>
        <w:t>海二三四五融资租赁有限公司已收到投资款</w:t>
      </w:r>
      <w:r>
        <w:rPr>
          <w:rFonts w:ascii="Times New Roman" w:hAnsi="Times New Roman" w:cs="Times New Roman" w:eastAsia="Times New Roman" w:hint="default"/>
        </w:rPr>
        <w:t>15,000</w:t>
      </w:r>
      <w:r>
        <w:rPr/>
        <w:t>万元。</w:t>
      </w:r>
    </w:p>
    <w:p>
      <w:pPr>
        <w:pStyle w:val="Heading7"/>
        <w:spacing w:line="273" w:lineRule="auto" w:before="0"/>
        <w:ind w:left="576" w:right="1510" w:firstLine="1"/>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）利润分配情况</w:t>
      </w:r>
      <w:r>
        <w:rPr>
          <w:rFonts w:ascii="宋体" w:hAnsi="宋体" w:cs="宋体" w:eastAsia="宋体" w:hint="default"/>
          <w:b/>
          <w:bCs/>
          <w:w w:val="99"/>
        </w:rPr>
        <w:t> </w:t>
      </w:r>
      <w:r>
        <w:rPr/>
        <w:t>经</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21</w:t>
      </w:r>
      <w:r>
        <w:rPr/>
        <w:t>日第五届董事会第二十五次会议审议，拟以截至</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21</w:t>
      </w:r>
      <w:r>
        <w:rPr/>
        <w:t>日公司最新股本总额</w:t>
      </w:r>
    </w:p>
    <w:p>
      <w:pPr>
        <w:pStyle w:val="Heading7"/>
        <w:spacing w:line="240" w:lineRule="auto"/>
        <w:ind w:right="0"/>
        <w:jc w:val="left"/>
      </w:pPr>
      <w:r>
        <w:rPr>
          <w:rFonts w:ascii="宋体" w:hAnsi="宋体" w:cs="宋体" w:eastAsia="宋体" w:hint="default"/>
        </w:rPr>
        <w:t>955,232,720</w:t>
      </w:r>
      <w:r>
        <w:rPr/>
        <w:t>股为基数，向全体股东派发现金股利，每</w:t>
      </w:r>
      <w:r>
        <w:rPr>
          <w:rFonts w:ascii="宋体" w:hAnsi="宋体" w:cs="宋体" w:eastAsia="宋体" w:hint="default"/>
        </w:rPr>
        <w:t>10</w:t>
      </w:r>
      <w:r>
        <w:rPr/>
        <w:t>股派</w:t>
      </w:r>
      <w:r>
        <w:rPr>
          <w:rFonts w:ascii="宋体" w:hAnsi="宋体" w:cs="宋体" w:eastAsia="宋体" w:hint="default"/>
        </w:rPr>
        <w:t>1</w:t>
      </w:r>
      <w:r>
        <w:rPr/>
        <w:t>元（含税），同时以资本公积转增股本，每</w:t>
      </w:r>
    </w:p>
    <w:p>
      <w:pPr>
        <w:pStyle w:val="Heading7"/>
        <w:spacing w:line="240" w:lineRule="auto" w:before="37"/>
        <w:ind w:right="0"/>
        <w:jc w:val="left"/>
      </w:pPr>
      <w:r>
        <w:rPr>
          <w:rFonts w:ascii="宋体" w:hAnsi="宋体" w:cs="宋体" w:eastAsia="宋体" w:hint="default"/>
        </w:rPr>
        <w:t>10</w:t>
      </w:r>
      <w:r>
        <w:rPr/>
        <w:t>股转增</w:t>
      </w:r>
      <w:r>
        <w:rPr>
          <w:rFonts w:ascii="宋体" w:hAnsi="宋体" w:cs="宋体" w:eastAsia="宋体" w:hint="default"/>
        </w:rPr>
        <w:t>10</w:t>
      </w:r>
      <w:r>
        <w:rPr/>
        <w:t>股。该决议须经公司股东大会批准。</w:t>
      </w:r>
    </w:p>
    <w:p>
      <w:pPr>
        <w:spacing w:line="240" w:lineRule="auto" w:before="1"/>
        <w:rPr>
          <w:rFonts w:ascii="宋体" w:hAnsi="宋体" w:cs="宋体" w:eastAsia="宋体" w:hint="default"/>
          <w:sz w:val="24"/>
          <w:szCs w:val="24"/>
        </w:rPr>
      </w:pPr>
    </w:p>
    <w:p>
      <w:pPr>
        <w:pStyle w:val="Heading4"/>
        <w:spacing w:line="240" w:lineRule="auto"/>
        <w:ind w:left="154" w:right="0"/>
        <w:jc w:val="left"/>
        <w:rPr>
          <w:b w:val="0"/>
          <w:bCs w:val="0"/>
        </w:rPr>
      </w:pPr>
      <w:bookmarkStart w:name="十六、其他重要事项" w:id="484"/>
      <w:bookmarkEnd w:id="484"/>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前期会计差错更正" w:id="485"/>
      <w:bookmarkEnd w:id="485"/>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追溯重述法" w:id="486"/>
      <w:bookmarkEnd w:id="486"/>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未来适用法" w:id="487"/>
      <w:bookmarkEnd w:id="487"/>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2"/>
        <w:rPr>
          <w:rFonts w:ascii="宋体" w:hAnsi="宋体" w:cs="宋体" w:eastAsia="宋体" w:hint="default"/>
          <w:b/>
          <w:bCs/>
          <w:sz w:val="19"/>
          <w:szCs w:val="19"/>
        </w:rPr>
      </w:pPr>
    </w:p>
    <w:p>
      <w:pPr>
        <w:pStyle w:val="Heading6"/>
        <w:spacing w:line="240" w:lineRule="auto" w:before="35"/>
        <w:ind w:left="154" w:right="0"/>
        <w:jc w:val="left"/>
        <w:rPr>
          <w:b w:val="0"/>
          <w:bCs w:val="0"/>
        </w:rPr>
      </w:pPr>
      <w:bookmarkStart w:name="2、债务重组" w:id="488"/>
      <w:bookmarkEnd w:id="488"/>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3、资产置换" w:id="489"/>
      <w:bookmarkEnd w:id="489"/>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非货币性资产交换" w:id="490"/>
      <w:bookmarkEnd w:id="490"/>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2）其他资产置换" w:id="491"/>
      <w:bookmarkEnd w:id="491"/>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4、年金计划" w:id="492"/>
      <w:bookmarkEnd w:id="492"/>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54" w:right="0"/>
        <w:jc w:val="left"/>
        <w:rPr>
          <w:b w:val="0"/>
          <w:bCs w:val="0"/>
        </w:rPr>
      </w:pPr>
      <w:bookmarkStart w:name="5、终止经营" w:id="493"/>
      <w:bookmarkEnd w:id="493"/>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6、分部信息" w:id="494"/>
      <w:bookmarkEnd w:id="494"/>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报告分部的确定依据与会计政策" w:id="495"/>
      <w:bookmarkEnd w:id="495"/>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2）报告分部的财务信息" w:id="496"/>
      <w:bookmarkEnd w:id="496"/>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04"/>
        <w:gridCol w:w="2381"/>
        <w:gridCol w:w="2392"/>
        <w:gridCol w:w="2392"/>
      </w:tblGrid>
      <w:tr>
        <w:trPr>
          <w:trHeight w:val="403"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3）公司无报告分部的，或者不能披露各报告分部的资产总额和负债总额的，应说明原因" w:id="497"/>
      <w:bookmarkEnd w:id="497"/>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4）其他说明" w:id="498"/>
      <w:bookmarkEnd w:id="498"/>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7、其他对投资者决策有影响的重要交易和事项" w:id="499"/>
      <w:bookmarkEnd w:id="499"/>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6653" w:firstLine="0"/>
        <w:jc w:val="left"/>
        <w:rPr>
          <w:rFonts w:ascii="宋体" w:hAnsi="宋体" w:cs="宋体" w:eastAsia="宋体" w:hint="default"/>
          <w:sz w:val="21"/>
          <w:szCs w:val="21"/>
        </w:rPr>
      </w:pPr>
      <w:bookmarkStart w:name="8、其他" w:id="500"/>
      <w:bookmarkEnd w:id="500"/>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501"/>
      <w:bookmarkEnd w:id="501"/>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502"/>
      <w:bookmarkEnd w:id="502"/>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6"/>
        <w:spacing w:line="240" w:lineRule="auto" w:before="83"/>
        <w:ind w:left="154" w:right="0"/>
        <w:jc w:val="left"/>
        <w:rPr>
          <w:b w:val="0"/>
          <w:bCs w:val="0"/>
        </w:rPr>
      </w:pPr>
      <w:bookmarkStart w:name="（1）应收账款分类披露" w:id="503"/>
      <w:bookmarkEnd w:id="503"/>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350"/>
        <w:gridCol w:w="425"/>
        <w:gridCol w:w="762"/>
        <w:gridCol w:w="764"/>
        <w:gridCol w:w="461"/>
        <w:gridCol w:w="1134"/>
        <w:gridCol w:w="762"/>
        <w:gridCol w:w="939"/>
        <w:gridCol w:w="932"/>
        <w:gridCol w:w="1194"/>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276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96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84"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7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4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7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7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94" w:type="dxa"/>
            <w:vMerge w:val="restart"/>
            <w:tcBorders>
              <w:top w:val="single" w:sz="4" w:space="0" w:color="000000"/>
              <w:left w:val="single" w:sz="4" w:space="0" w:color="000000"/>
              <w:right w:val="single" w:sz="4" w:space="0" w:color="000000"/>
            </w:tcBorders>
            <w:shd w:val="clear" w:color="auto" w:fill="D2D2D2"/>
          </w:tcPr>
          <w:p>
            <w:pPr/>
          </w:p>
        </w:tc>
      </w:tr>
      <w:tr>
        <w:trPr>
          <w:trHeight w:val="218"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77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46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44" w:right="44"/>
              <w:jc w:val="left"/>
              <w:rPr>
                <w:rFonts w:ascii="宋体" w:hAnsi="宋体" w:cs="宋体" w:eastAsia="宋体" w:hint="default"/>
                <w:sz w:val="18"/>
                <w:szCs w:val="18"/>
              </w:rPr>
            </w:pPr>
            <w:r>
              <w:rPr>
                <w:rFonts w:ascii="宋体" w:hAnsi="宋体" w:cs="宋体" w:eastAsia="宋体" w:hint="default"/>
                <w:sz w:val="18"/>
                <w:szCs w:val="18"/>
              </w:rPr>
              <w:t>账面 价值</w:t>
            </w:r>
          </w:p>
        </w:tc>
        <w:tc>
          <w:tcPr>
            <w:tcW w:w="1896" w:type="dxa"/>
            <w:gridSpan w:val="2"/>
            <w:vMerge/>
            <w:tcBorders>
              <w:left w:val="single" w:sz="4" w:space="0" w:color="000000"/>
              <w:bottom w:val="single" w:sz="4" w:space="0" w:color="000000"/>
              <w:right w:val="single" w:sz="4" w:space="0" w:color="000000"/>
            </w:tcBorders>
            <w:shd w:val="clear" w:color="auto" w:fill="D2D2D2"/>
          </w:tcPr>
          <w:p>
            <w:pPr/>
          </w:p>
        </w:tc>
        <w:tc>
          <w:tcPr>
            <w:tcW w:w="1871" w:type="dxa"/>
            <w:gridSpan w:val="2"/>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3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80" w:right="78"/>
              <w:jc w:val="left"/>
              <w:rPr>
                <w:rFonts w:ascii="宋体" w:hAnsi="宋体" w:cs="宋体" w:eastAsia="宋体" w:hint="default"/>
                <w:sz w:val="18"/>
                <w:szCs w:val="18"/>
              </w:rPr>
            </w:pPr>
            <w:r>
              <w:rPr>
                <w:rFonts w:ascii="宋体" w:hAnsi="宋体" w:cs="宋体" w:eastAsia="宋体" w:hint="default"/>
                <w:sz w:val="18"/>
                <w:szCs w:val="18"/>
              </w:rPr>
              <w:t>金 额</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6"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461" w:type="dxa"/>
            <w:vMerge/>
            <w:tcBorders>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9"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nil" w:sz="6" w:space="0" w:color="auto"/>
              <w:left w:val="single" w:sz="4" w:space="0" w:color="000000"/>
              <w:right w:val="single" w:sz="4" w:space="0" w:color="000000"/>
            </w:tcBorders>
            <w:shd w:val="clear" w:color="auto" w:fill="D2D2D2"/>
          </w:tcPr>
          <w:p>
            <w:pPr/>
          </w:p>
        </w:tc>
        <w:tc>
          <w:tcPr>
            <w:tcW w:w="350"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461"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194"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350"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461"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939"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350"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4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9"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350"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29,206,167.44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492,450.00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1.69%</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28,713,717.44</w:t>
            </w:r>
          </w:p>
        </w:tc>
      </w:tr>
      <w:tr>
        <w:trPr>
          <w:trHeight w:val="403"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50"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29,206,167.44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 w:right="0"/>
              <w:jc w:val="center"/>
              <w:rPr>
                <w:rFonts w:ascii="Times New Roman" w:hAnsi="Times New Roman" w:cs="Times New Roman" w:eastAsia="Times New Roman" w:hint="default"/>
                <w:sz w:val="18"/>
                <w:szCs w:val="18"/>
              </w:rPr>
            </w:pPr>
            <w:r>
              <w:rPr>
                <w:rFonts w:ascii="Times New Roman"/>
                <w:sz w:val="18"/>
              </w:rPr>
              <w:t>100.00%</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center"/>
              <w:rPr>
                <w:rFonts w:ascii="Times New Roman" w:hAnsi="Times New Roman" w:cs="Times New Roman" w:eastAsia="Times New Roman" w:hint="default"/>
                <w:sz w:val="18"/>
                <w:szCs w:val="18"/>
              </w:rPr>
            </w:pPr>
            <w:r>
              <w:rPr>
                <w:rFonts w:ascii="Times New Roman"/>
                <w:sz w:val="18"/>
              </w:rPr>
              <w:t>492,450.00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1.69%</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28,713,717.44</w:t>
            </w:r>
          </w:p>
        </w:tc>
      </w:tr>
    </w:tbl>
    <w:p>
      <w:pPr>
        <w:pStyle w:val="BodyText"/>
        <w:spacing w:line="240" w:lineRule="auto" w:before="51"/>
        <w:ind w:right="0"/>
        <w:jc w:val="left"/>
      </w:pPr>
      <w:r>
        <w:rPr/>
        <w:t>期末单项金额重大并单项计提坏账准备的应收账款：</w:t>
      </w:r>
    </w:p>
    <w:p>
      <w:pPr>
        <w:pStyle w:val="BodyText"/>
        <w:spacing w:line="340" w:lineRule="auto" w:before="116"/>
        <w:ind w:left="153"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338" w:lineRule="auto" w:before="40"/>
        <w:ind w:left="153"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组合中，采用余额百分比法计提坏账准备的应收账款：</w:t>
      </w:r>
    </w:p>
    <w:p>
      <w:pPr>
        <w:spacing w:after="0" w:line="338"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ind w:left="153"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2"/>
        <w:rPr>
          <w:rFonts w:ascii="宋体" w:hAnsi="宋体" w:cs="宋体" w:eastAsia="宋体" w:hint="default"/>
          <w:sz w:val="21"/>
          <w:szCs w:val="21"/>
        </w:rPr>
      </w:pPr>
    </w:p>
    <w:p>
      <w:pPr>
        <w:pStyle w:val="Heading6"/>
        <w:spacing w:line="240" w:lineRule="auto"/>
        <w:ind w:right="0"/>
        <w:jc w:val="left"/>
        <w:rPr>
          <w:b w:val="0"/>
          <w:bCs w:val="0"/>
        </w:rPr>
      </w:pPr>
      <w:bookmarkStart w:name="（2）本期计提、收回或转回的坏账准备情况" w:id="504"/>
      <w:bookmarkEnd w:id="50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60" w:lineRule="auto"/>
        <w:ind w:right="-20"/>
        <w:jc w:val="left"/>
      </w:pPr>
      <w:r>
        <w:rPr/>
        <w:t>本期计提坏账准备金额元；本期收回或转回坏账准备金额元。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5015" w:space="381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6"/>
        <w:spacing w:line="240" w:lineRule="auto" w:before="35"/>
        <w:ind w:left="154" w:right="0"/>
        <w:jc w:val="left"/>
        <w:rPr>
          <w:b w:val="0"/>
          <w:bCs w:val="0"/>
        </w:rPr>
      </w:pPr>
      <w:bookmarkStart w:name="（3）本期实际核销的应收账款情况" w:id="505"/>
      <w:bookmarkEnd w:id="505"/>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0"/>
        <w:jc w:val="left"/>
      </w:pPr>
      <w:r>
        <w:rPr/>
        <w:t>其中重要的应收账款核销情况：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2"/>
        <w:ind w:right="0"/>
        <w:jc w:val="left"/>
      </w:pPr>
      <w:r>
        <w:rPr/>
        <w:t>应收账款核销说明：</w:t>
      </w:r>
    </w:p>
    <w:p>
      <w:pPr>
        <w:spacing w:line="240" w:lineRule="auto" w:before="10"/>
        <w:rPr>
          <w:rFonts w:ascii="宋体" w:hAnsi="宋体" w:cs="宋体" w:eastAsia="宋体" w:hint="default"/>
          <w:sz w:val="26"/>
          <w:szCs w:val="26"/>
        </w:rPr>
      </w:pPr>
    </w:p>
    <w:p>
      <w:pPr>
        <w:pStyle w:val="Heading6"/>
        <w:spacing w:line="240" w:lineRule="auto"/>
        <w:ind w:left="154" w:right="0"/>
        <w:jc w:val="left"/>
        <w:rPr>
          <w:b w:val="0"/>
          <w:bCs w:val="0"/>
        </w:rPr>
      </w:pPr>
      <w:bookmarkStart w:name="（4）按欠款方归集的期末余额前五名的应收账款情况" w:id="506"/>
      <w:bookmarkEnd w:id="506"/>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5）因金融资产转移而终止确认的应收账款" w:id="507"/>
      <w:bookmarkEnd w:id="507"/>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6）转移应收账款且继续涉入形成的资产、负债金额" w:id="508"/>
      <w:bookmarkEnd w:id="508"/>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left="154" w:right="0"/>
        <w:jc w:val="left"/>
        <w:rPr>
          <w:b w:val="0"/>
          <w:bCs w:val="0"/>
        </w:rPr>
      </w:pPr>
      <w:bookmarkStart w:name="2、其他应收款" w:id="509"/>
      <w:bookmarkEnd w:id="509"/>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其他应收款分类披露" w:id="510"/>
      <w:bookmarkEnd w:id="510"/>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23"/>
        <w:gridCol w:w="1005"/>
        <w:gridCol w:w="762"/>
        <w:gridCol w:w="372"/>
        <w:gridCol w:w="567"/>
        <w:gridCol w:w="973"/>
        <w:gridCol w:w="1134"/>
        <w:gridCol w:w="762"/>
        <w:gridCol w:w="813"/>
        <w:gridCol w:w="932"/>
        <w:gridCol w:w="1037"/>
      </w:tblGrid>
      <w:tr>
        <w:trPr>
          <w:trHeight w:val="397" w:hRule="exact"/>
        </w:trPr>
        <w:tc>
          <w:tcPr>
            <w:tcW w:w="1123" w:type="dxa"/>
            <w:vMerge w:val="restart"/>
            <w:tcBorders>
              <w:top w:val="single" w:sz="4" w:space="0" w:color="000000"/>
              <w:left w:val="single" w:sz="4" w:space="0" w:color="000000"/>
              <w:right w:val="single" w:sz="4" w:space="0" w:color="000000"/>
            </w:tcBorders>
            <w:shd w:val="clear" w:color="auto" w:fill="D2D2D2"/>
          </w:tcPr>
          <w:p>
            <w:pPr/>
          </w:p>
        </w:tc>
        <w:tc>
          <w:tcPr>
            <w:tcW w:w="367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67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123" w:type="dxa"/>
            <w:vMerge/>
            <w:tcBorders>
              <w:left w:val="single" w:sz="4" w:space="0" w:color="000000"/>
              <w:bottom w:val="nil" w:sz="6" w:space="0" w:color="auto"/>
              <w:right w:val="single" w:sz="4" w:space="0" w:color="000000"/>
            </w:tcBorders>
            <w:shd w:val="clear" w:color="auto" w:fill="D2D2D2"/>
          </w:tcPr>
          <w:p>
            <w:pPr/>
          </w:p>
        </w:tc>
        <w:tc>
          <w:tcPr>
            <w:tcW w:w="176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3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73" w:type="dxa"/>
            <w:vMerge w:val="restart"/>
            <w:tcBorders>
              <w:top w:val="single" w:sz="4" w:space="0" w:color="000000"/>
              <w:left w:val="single" w:sz="4" w:space="0" w:color="000000"/>
              <w:right w:val="single" w:sz="4" w:space="0" w:color="000000"/>
            </w:tcBorders>
            <w:shd w:val="clear" w:color="auto" w:fill="D2D2D2"/>
          </w:tcPr>
          <w:p>
            <w:pPr/>
          </w:p>
        </w:tc>
        <w:tc>
          <w:tcPr>
            <w:tcW w:w="18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8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37"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1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767" w:type="dxa"/>
            <w:gridSpan w:val="2"/>
            <w:vMerge/>
            <w:tcBorders>
              <w:left w:val="single" w:sz="4" w:space="0" w:color="000000"/>
              <w:bottom w:val="single" w:sz="4" w:space="0" w:color="000000"/>
              <w:right w:val="single" w:sz="4" w:space="0" w:color="000000"/>
            </w:tcBorders>
            <w:shd w:val="clear" w:color="auto" w:fill="D2D2D2"/>
          </w:tcPr>
          <w:p>
            <w:pPr/>
          </w:p>
        </w:tc>
        <w:tc>
          <w:tcPr>
            <w:tcW w:w="939" w:type="dxa"/>
            <w:gridSpan w:val="2"/>
            <w:vMerge/>
            <w:tcBorders>
              <w:left w:val="single" w:sz="4" w:space="0" w:color="000000"/>
              <w:bottom w:val="single" w:sz="4" w:space="0" w:color="000000"/>
              <w:right w:val="single" w:sz="4" w:space="0" w:color="000000"/>
            </w:tcBorders>
            <w:shd w:val="clear" w:color="auto" w:fill="D2D2D2"/>
          </w:tcPr>
          <w:p>
            <w:pPr/>
          </w:p>
        </w:tc>
        <w:tc>
          <w:tcPr>
            <w:tcW w:w="973" w:type="dxa"/>
            <w:vMerge/>
            <w:tcBorders>
              <w:left w:val="single" w:sz="4" w:space="0" w:color="000000"/>
              <w:bottom w:val="nil" w:sz="6" w:space="0" w:color="auto"/>
              <w:right w:val="single" w:sz="4" w:space="0" w:color="000000"/>
            </w:tcBorders>
            <w:shd w:val="clear" w:color="auto" w:fill="D2D2D2"/>
          </w:tcPr>
          <w:p>
            <w:pPr/>
          </w:p>
        </w:tc>
        <w:tc>
          <w:tcPr>
            <w:tcW w:w="189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1037"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123" w:type="dxa"/>
            <w:vMerge/>
            <w:tcBorders>
              <w:left w:val="single" w:sz="4" w:space="0" w:color="000000"/>
              <w:bottom w:val="single" w:sz="4" w:space="0" w:color="FFFFFF"/>
              <w:right w:val="single" w:sz="4" w:space="0" w:color="000000"/>
            </w:tcBorders>
            <w:shd w:val="clear" w:color="auto" w:fill="D2D2D2"/>
          </w:tcPr>
          <w:p>
            <w:pPr/>
          </w:p>
        </w:tc>
        <w:tc>
          <w:tcPr>
            <w:tcW w:w="100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37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90" w:right="90"/>
              <w:jc w:val="left"/>
              <w:rPr>
                <w:rFonts w:ascii="宋体" w:hAnsi="宋体" w:cs="宋体" w:eastAsia="宋体" w:hint="default"/>
                <w:sz w:val="18"/>
                <w:szCs w:val="18"/>
              </w:rPr>
            </w:pPr>
            <w:r>
              <w:rPr>
                <w:rFonts w:ascii="宋体" w:hAnsi="宋体" w:cs="宋体" w:eastAsia="宋体" w:hint="default"/>
                <w:sz w:val="18"/>
                <w:szCs w:val="18"/>
              </w:rPr>
              <w:t>金 额</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97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2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5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123" w:type="dxa"/>
            <w:vMerge w:val="restart"/>
            <w:tcBorders>
              <w:top w:val="single" w:sz="4" w:space="0" w:color="FFFFFF"/>
              <w:left w:val="single" w:sz="4" w:space="0" w:color="000000"/>
              <w:right w:val="single" w:sz="4" w:space="0" w:color="000000"/>
            </w:tcBorders>
            <w:shd w:val="clear" w:color="auto" w:fill="D2D2D2"/>
          </w:tcPr>
          <w:p>
            <w:pPr/>
          </w:p>
        </w:tc>
        <w:tc>
          <w:tcPr>
            <w:tcW w:w="100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372" w:type="dxa"/>
            <w:vMerge/>
            <w:tcBorders>
              <w:left w:val="single" w:sz="4" w:space="0" w:color="000000"/>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973"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037"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123" w:type="dxa"/>
            <w:vMerge/>
            <w:tcBorders>
              <w:left w:val="single" w:sz="4" w:space="0" w:color="000000"/>
              <w:right w:val="single" w:sz="4" w:space="0" w:color="000000"/>
            </w:tcBorders>
            <w:shd w:val="clear" w:color="auto" w:fill="D2D2D2"/>
          </w:tcPr>
          <w:p>
            <w:pPr/>
          </w:p>
        </w:tc>
        <w:tc>
          <w:tcPr>
            <w:tcW w:w="100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372" w:type="dxa"/>
            <w:vMerge/>
            <w:tcBorders>
              <w:left w:val="single" w:sz="4" w:space="0" w:color="000000"/>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973" w:type="dxa"/>
            <w:vMerge w:val="restart"/>
            <w:tcBorders>
              <w:top w:val="nil" w:sz="6" w:space="0" w:color="auto"/>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103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123" w:type="dxa"/>
            <w:vMerge/>
            <w:tcBorders>
              <w:left w:val="single" w:sz="4" w:space="0" w:color="000000"/>
              <w:bottom w:val="single" w:sz="4" w:space="0" w:color="000000"/>
              <w:right w:val="single" w:sz="4" w:space="0" w:color="000000"/>
            </w:tcBorders>
            <w:shd w:val="clear" w:color="auto" w:fill="D2D2D2"/>
          </w:tcPr>
          <w:p>
            <w:pPr/>
          </w:p>
        </w:tc>
        <w:tc>
          <w:tcPr>
            <w:tcW w:w="100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72"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973"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7" w:type="dxa"/>
            <w:vMerge/>
            <w:tcBorders>
              <w:left w:val="single" w:sz="4" w:space="0" w:color="000000"/>
              <w:bottom w:val="single" w:sz="4" w:space="0" w:color="000000"/>
              <w:right w:val="single" w:sz="4" w:space="0" w:color="000000"/>
            </w:tcBorders>
            <w:shd w:val="clear" w:color="auto" w:fill="D2D2D2"/>
          </w:tcPr>
          <w:p>
            <w:pPr/>
          </w:p>
        </w:tc>
      </w:tr>
      <w:tr>
        <w:trPr>
          <w:trHeight w:val="1299"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按信用风险 特征组合计 提坏账准备 的其他应收</w:t>
            </w:r>
          </w:p>
        </w:tc>
        <w:tc>
          <w:tcPr>
            <w:tcW w:w="10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184,000.00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67.18%</w:t>
            </w:r>
          </w:p>
        </w:tc>
        <w:tc>
          <w:tcPr>
            <w:tcW w:w="37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184,000.00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771,295.33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44.17%</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771,295.33</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23"/>
        <w:gridCol w:w="1005"/>
        <w:gridCol w:w="762"/>
        <w:gridCol w:w="372"/>
        <w:gridCol w:w="567"/>
        <w:gridCol w:w="973"/>
        <w:gridCol w:w="1134"/>
        <w:gridCol w:w="762"/>
        <w:gridCol w:w="813"/>
        <w:gridCol w:w="932"/>
        <w:gridCol w:w="1037"/>
      </w:tblGrid>
      <w:tr>
        <w:trPr>
          <w:trHeight w:val="362"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00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单项金额不 重大但单独 计提坏账准 备的其他应 收款</w:t>
            </w:r>
          </w:p>
        </w:tc>
        <w:tc>
          <w:tcPr>
            <w:tcW w:w="10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89,900.00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32.82%</w:t>
            </w:r>
          </w:p>
        </w:tc>
        <w:tc>
          <w:tcPr>
            <w:tcW w:w="37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89,900.00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974,966.16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55.83%</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974,966.16</w:t>
            </w:r>
          </w:p>
        </w:tc>
      </w:tr>
      <w:tr>
        <w:trPr>
          <w:trHeight w:val="402"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273,900.00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37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273,900.00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1,746,261.49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1,746,261.49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left="153"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0"/>
        <w:gridCol w:w="2390"/>
      </w:tblGrid>
      <w:tr>
        <w:trPr>
          <w:trHeight w:val="206" w:hRule="exact"/>
        </w:trPr>
        <w:tc>
          <w:tcPr>
            <w:tcW w:w="248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88"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184,000.00</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184,000.00</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252"/>
        <w:jc w:val="left"/>
      </w:pPr>
      <w:r>
        <w:rPr/>
        <w:t>确定该组合依据的说明： 组合中，采用余额百分比法计提坏账准备的其他应收款：</w:t>
      </w:r>
    </w:p>
    <w:p>
      <w:pPr>
        <w:pStyle w:val="BodyText"/>
        <w:spacing w:line="340" w:lineRule="auto" w:before="26"/>
        <w:ind w:left="153"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0"/>
          <w:szCs w:val="10"/>
        </w:rPr>
      </w:pPr>
    </w:p>
    <w:tbl>
      <w:tblPr>
        <w:tblW w:w="0" w:type="auto"/>
        <w:jc w:val="left"/>
        <w:tblInd w:w="137" w:type="dxa"/>
        <w:tblLayout w:type="fixed"/>
        <w:tblCellMar>
          <w:top w:w="0" w:type="dxa"/>
          <w:left w:w="0" w:type="dxa"/>
          <w:bottom w:w="0" w:type="dxa"/>
          <w:right w:w="0" w:type="dxa"/>
        </w:tblCellMar>
        <w:tblLook w:val="01E0"/>
      </w:tblPr>
      <w:tblGrid>
        <w:gridCol w:w="3591"/>
        <w:gridCol w:w="2669"/>
        <w:gridCol w:w="1752"/>
        <w:gridCol w:w="1646"/>
      </w:tblGrid>
      <w:tr>
        <w:trPr>
          <w:trHeight w:val="427" w:hRule="exact"/>
        </w:trPr>
        <w:tc>
          <w:tcPr>
            <w:tcW w:w="3591"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606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7" w:hRule="exact"/>
        </w:trPr>
        <w:tc>
          <w:tcPr>
            <w:tcW w:w="3591" w:type="dxa"/>
            <w:vMerge/>
            <w:tcBorders>
              <w:left w:val="single" w:sz="6" w:space="0" w:color="000000"/>
              <w:bottom w:val="single" w:sz="6" w:space="0" w:color="000000"/>
              <w:right w:val="single" w:sz="6" w:space="0" w:color="000000"/>
            </w:tcBorders>
          </w:tcPr>
          <w:p>
            <w:pPr/>
          </w:p>
        </w:tc>
        <w:tc>
          <w:tcPr>
            <w:tcW w:w="2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7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01"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7" w:hRule="exact"/>
        </w:trPr>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保证金组合</w:t>
            </w:r>
          </w:p>
        </w:tc>
        <w:tc>
          <w:tcPr>
            <w:tcW w:w="2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89,900.00</w:t>
            </w:r>
          </w:p>
        </w:tc>
        <w:tc>
          <w:tcPr>
            <w:tcW w:w="1752" w:type="dxa"/>
            <w:tcBorders>
              <w:top w:val="single" w:sz="6" w:space="0" w:color="000000"/>
              <w:left w:val="single" w:sz="6" w:space="0" w:color="000000"/>
              <w:bottom w:val="single" w:sz="6" w:space="0" w:color="000000"/>
              <w:right w:val="single" w:sz="6" w:space="0" w:color="000000"/>
            </w:tcBorders>
          </w:tcPr>
          <w:p>
            <w:pPr/>
          </w:p>
        </w:tc>
        <w:tc>
          <w:tcPr>
            <w:tcW w:w="1646"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89,900.00</w:t>
            </w:r>
          </w:p>
        </w:tc>
        <w:tc>
          <w:tcPr>
            <w:tcW w:w="1752" w:type="dxa"/>
            <w:tcBorders>
              <w:top w:val="single" w:sz="6" w:space="0" w:color="000000"/>
              <w:left w:val="single" w:sz="6" w:space="0" w:color="000000"/>
              <w:bottom w:val="single" w:sz="6" w:space="0" w:color="000000"/>
              <w:right w:val="single" w:sz="6" w:space="0" w:color="000000"/>
            </w:tcBorders>
          </w:tcPr>
          <w:p>
            <w:pPr/>
          </w:p>
        </w:tc>
        <w:tc>
          <w:tcPr>
            <w:tcW w:w="164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6"/>
        <w:spacing w:line="240" w:lineRule="auto" w:before="35"/>
        <w:ind w:left="154" w:right="0"/>
        <w:jc w:val="left"/>
        <w:rPr>
          <w:b w:val="0"/>
          <w:bCs w:val="0"/>
        </w:rPr>
      </w:pPr>
      <w:bookmarkStart w:name="（2）本期计提、收回或转回的坏账准备情况" w:id="511"/>
      <w:bookmarkEnd w:id="51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340" w:lineRule="auto"/>
        <w:ind w:left="153" w:right="-16"/>
        <w:jc w:val="left"/>
      </w:pPr>
      <w:r>
        <w:rPr/>
        <w:t>本期计提坏账准备金额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5824" w:space="3005"/>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3）本期实际核销的其他应收款情况" w:id="512"/>
      <w:bookmarkEnd w:id="512"/>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right="0"/>
        <w:jc w:val="left"/>
      </w:pPr>
      <w:r>
        <w:rPr/>
        <w:t>其中重要的其他应收款核销情况：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60" w:lineRule="auto" w:before="51"/>
        <w:ind w:right="8412"/>
        <w:jc w:val="left"/>
      </w:pPr>
      <w:r>
        <w:rPr/>
        <w:t>其他应收款核销说明： 本期无实际核销的其他应收款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41"/>
        <w:ind w:left="154" w:right="0"/>
        <w:jc w:val="left"/>
        <w:rPr>
          <w:b w:val="0"/>
          <w:bCs w:val="0"/>
        </w:rPr>
      </w:pPr>
      <w:bookmarkStart w:name="（4）其他应收款按款项性质分类情况" w:id="513"/>
      <w:bookmarkEnd w:id="513"/>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184,000.00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771,295.33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89,900.00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974,966.16</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273,900.00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1,746,261.49</w:t>
            </w:r>
          </w:p>
        </w:tc>
      </w:tr>
    </w:tbl>
    <w:p>
      <w:pPr>
        <w:spacing w:line="240" w:lineRule="auto" w:before="3"/>
        <w:rPr>
          <w:rFonts w:ascii="宋体" w:hAnsi="宋体" w:cs="宋体" w:eastAsia="宋体" w:hint="default"/>
          <w:sz w:val="19"/>
          <w:szCs w:val="19"/>
        </w:rPr>
      </w:pPr>
    </w:p>
    <w:p>
      <w:pPr>
        <w:pStyle w:val="Heading6"/>
        <w:spacing w:line="240" w:lineRule="auto" w:before="35"/>
        <w:ind w:left="154" w:right="0"/>
        <w:jc w:val="left"/>
        <w:rPr>
          <w:b w:val="0"/>
          <w:bCs w:val="0"/>
        </w:rPr>
      </w:pPr>
      <w:bookmarkStart w:name="（5）按欠款方归集的期末余额前五名的其他应收款情况" w:id="514"/>
      <w:bookmarkEnd w:id="514"/>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36.51%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89,900.00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32.82%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30.67%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273,900.00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6）涉及政府补助的应收款项" w:id="515"/>
      <w:bookmarkEnd w:id="515"/>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7）因金融资产转移而终止确认的其他应收款" w:id="516"/>
      <w:bookmarkEnd w:id="516"/>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8）转移其他应收款且继续涉入形成的资产、负债金额" w:id="517"/>
      <w:bookmarkEnd w:id="517"/>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3"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3、长期股权投资" w:id="518"/>
      <w:bookmarkEnd w:id="518"/>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5"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3,875,950,731.44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3,875,950,731.44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3,531,237,916.60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1,655,442.06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3,529,582,474.54</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3,875,950,731.44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3,875,950,731.44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3,531,237,916.60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1,655,442.06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3,529,582,474.54</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1）对子公司投资" w:id="519"/>
      <w:bookmarkEnd w:id="519"/>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江苏海隆软件技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both"/>
              <w:rPr>
                <w:rFonts w:ascii="宋体" w:hAnsi="宋体" w:cs="宋体" w:eastAsia="宋体" w:hint="default"/>
                <w:sz w:val="18"/>
                <w:szCs w:val="18"/>
              </w:rPr>
            </w:pPr>
            <w:r>
              <w:rPr>
                <w:rFonts w:ascii="宋体" w:hAnsi="宋体" w:cs="宋体" w:eastAsia="宋体" w:hint="default"/>
                <w:sz w:val="18"/>
                <w:szCs w:val="18"/>
              </w:rPr>
              <w:t>上海华钟计算机 软件开发有限公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2,690,542.61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9,860,261.34</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12,550,803.95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上海海隆宜通信 息技术有限公司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4,125,000.00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4,125,000.00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日本海隆株式会 社</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3,756,819.40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3,756,819.40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上海二三四五网 络科技有限公司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3,415,265,560.75</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3,415,265,560.75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吉隆瑞美信息有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40,014,997.42</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40,014,997.42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吉隆瑞信投资有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55,384,996.42</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55,384,996.42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上海海隆软件有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248,609,372.90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248,609,372.90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53"/>
              <w:jc w:val="both"/>
              <w:rPr>
                <w:rFonts w:ascii="宋体" w:hAnsi="宋体" w:cs="宋体" w:eastAsia="宋体" w:hint="default"/>
                <w:sz w:val="18"/>
                <w:szCs w:val="18"/>
              </w:rPr>
            </w:pPr>
            <w:r>
              <w:rPr>
                <w:rFonts w:ascii="宋体" w:hAnsi="宋体" w:cs="宋体" w:eastAsia="宋体" w:hint="default"/>
                <w:sz w:val="18"/>
                <w:szCs w:val="18"/>
              </w:rPr>
              <w:t>上海二三四五海 隆金融信息服务 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3,531,237,916.60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358,469,634.24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13,756,819.40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3,875,950,731.44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2）对联营、合营企业投资" w:id="520"/>
      <w:bookmarkEnd w:id="520"/>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6"/>
        <w:spacing w:line="240" w:lineRule="auto" w:before="35"/>
        <w:ind w:left="154" w:right="0"/>
        <w:jc w:val="left"/>
        <w:rPr>
          <w:b w:val="0"/>
          <w:bCs w:val="0"/>
        </w:rPr>
      </w:pPr>
      <w:bookmarkStart w:name="（3）其他说明" w:id="521"/>
      <w:bookmarkEnd w:id="521"/>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对子公司投资说明：</w:t>
      </w:r>
    </w:p>
    <w:p>
      <w:pPr>
        <w:pStyle w:val="BodyText"/>
        <w:spacing w:line="240" w:lineRule="auto" w:before="115"/>
        <w:ind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spacing w:val="-90"/>
        </w:rPr>
        <w:t>）</w:t>
      </w:r>
      <w:r>
        <w:rPr/>
        <w:t>、根据公司决议，公司以货币资金</w:t>
      </w:r>
      <w:r>
        <w:rPr>
          <w:spacing w:val="-46"/>
        </w:rPr>
        <w:t> </w:t>
      </w:r>
      <w:r>
        <w:rPr>
          <w:rFonts w:ascii="Times New Roman" w:hAnsi="Times New Roman" w:cs="Times New Roman" w:eastAsia="Times New Roman" w:hint="default"/>
        </w:rPr>
        <w:t>70,000,000.00 </w:t>
      </w:r>
      <w:r>
        <w:rPr/>
        <w:t>元</w:t>
      </w:r>
      <w:r>
        <w:rPr>
          <w:spacing w:val="-2"/>
        </w:rPr>
        <w:t>，</w:t>
      </w:r>
      <w:r>
        <w:rPr/>
        <w:t>评估价值</w:t>
      </w:r>
      <w:r>
        <w:rPr>
          <w:spacing w:val="-46"/>
        </w:rPr>
        <w:t> </w:t>
      </w:r>
      <w:r>
        <w:rPr>
          <w:rFonts w:ascii="Times New Roman" w:hAnsi="Times New Roman" w:cs="Times New Roman" w:eastAsia="Times New Roman" w:hint="default"/>
        </w:rPr>
        <w:t>128,878,519.80 </w:t>
      </w:r>
      <w:r>
        <w:rPr/>
        <w:t>元</w:t>
      </w:r>
      <w:r>
        <w:rPr>
          <w:spacing w:val="-2"/>
        </w:rPr>
        <w:t>的</w:t>
      </w:r>
      <w:r>
        <w:rPr/>
        <w:t>固定资产，评估价值</w:t>
      </w:r>
      <w:r>
        <w:rPr>
          <w:spacing w:val="-46"/>
        </w:rPr>
        <w:t> </w:t>
      </w:r>
      <w:r>
        <w:rPr>
          <w:rFonts w:ascii="Times New Roman" w:hAnsi="Times New Roman" w:cs="Times New Roman" w:eastAsia="Times New Roman" w:hint="default"/>
        </w:rPr>
        <w:t>14,328,</w:t>
      </w:r>
      <w:r>
        <w:rPr>
          <w:rFonts w:ascii="Times New Roman" w:hAnsi="Times New Roman" w:cs="Times New Roman" w:eastAsia="Times New Roman" w:hint="default"/>
          <w:spacing w:val="-2"/>
        </w:rPr>
        <w:t>9</w:t>
      </w:r>
      <w:r>
        <w:rPr>
          <w:rFonts w:ascii="Times New Roman" w:hAnsi="Times New Roman" w:cs="Times New Roman" w:eastAsia="Times New Roman" w:hint="default"/>
        </w:rPr>
        <w:t>20.00</w:t>
      </w:r>
    </w:p>
    <w:p>
      <w:pPr>
        <w:pStyle w:val="BodyText"/>
        <w:spacing w:line="240" w:lineRule="auto" w:before="63"/>
        <w:ind w:left="153" w:right="0"/>
        <w:jc w:val="left"/>
        <w:rPr>
          <w:rFonts w:ascii="Times New Roman" w:hAnsi="Times New Roman" w:cs="Times New Roman" w:eastAsia="Times New Roman" w:hint="default"/>
        </w:rPr>
      </w:pPr>
      <w:r>
        <w:rPr>
          <w:spacing w:val="-5"/>
        </w:rPr>
        <w:t>元的无形资产，评估价值</w:t>
      </w:r>
      <w:r>
        <w:rPr>
          <w:spacing w:val="-42"/>
        </w:rPr>
        <w:t> </w:t>
      </w:r>
      <w:r>
        <w:rPr>
          <w:rFonts w:ascii="Times New Roman" w:hAnsi="Times New Roman" w:cs="Times New Roman" w:eastAsia="Times New Roman" w:hint="default"/>
        </w:rPr>
        <w:t>35,401,933.10</w:t>
      </w:r>
      <w:r>
        <w:rPr>
          <w:rFonts w:ascii="Times New Roman" w:hAnsi="Times New Roman" w:cs="Times New Roman" w:eastAsia="Times New Roman" w:hint="default"/>
          <w:spacing w:val="4"/>
        </w:rPr>
        <w:t> </w:t>
      </w:r>
      <w:r>
        <w:rPr>
          <w:spacing w:val="-3"/>
        </w:rPr>
        <w:t>元的长期股权投资（江苏海隆软件技术有限公司</w:t>
      </w:r>
      <w:r>
        <w:rPr>
          <w:spacing w:val="-42"/>
        </w:rPr>
        <w:t> </w:t>
      </w:r>
      <w:r>
        <w:rPr>
          <w:rFonts w:ascii="Times New Roman" w:hAnsi="Times New Roman" w:cs="Times New Roman" w:eastAsia="Times New Roman" w:hint="default"/>
          <w:spacing w:val="-4"/>
        </w:rPr>
        <w:t>100%</w:t>
      </w:r>
      <w:r>
        <w:rPr>
          <w:spacing w:val="-4"/>
        </w:rPr>
        <w:t>股权、日本海隆株式会社</w:t>
      </w:r>
      <w:r>
        <w:rPr>
          <w:spacing w:val="-42"/>
        </w:rPr>
        <w:t> </w:t>
      </w:r>
      <w:r>
        <w:rPr>
          <w:rFonts w:ascii="Times New Roman" w:hAnsi="Times New Roman" w:cs="Times New Roman" w:eastAsia="Times New Roman" w:hint="default"/>
        </w:rPr>
        <w:t>100%</w:t>
      </w:r>
    </w:p>
    <w:p>
      <w:pPr>
        <w:pStyle w:val="BodyText"/>
        <w:spacing w:line="240" w:lineRule="auto" w:before="64"/>
        <w:ind w:left="153" w:right="0"/>
        <w:jc w:val="left"/>
      </w:pPr>
      <w:r>
        <w:rPr/>
        <w:t>股权</w:t>
      </w:r>
      <w:r>
        <w:rPr>
          <w:spacing w:val="-90"/>
        </w:rPr>
        <w:t>）</w:t>
      </w:r>
      <w:r>
        <w:rPr/>
        <w:t>，对全资子公司上海海隆软件有限公司进行出资，截至</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日累</w:t>
      </w:r>
      <w:r>
        <w:rPr>
          <w:spacing w:val="1"/>
        </w:rPr>
        <w:t>计</w:t>
      </w:r>
      <w:r>
        <w:rPr/>
        <w:t>出资额</w:t>
      </w:r>
      <w:r>
        <w:rPr>
          <w:spacing w:val="-46"/>
        </w:rPr>
        <w:t> </w:t>
      </w:r>
      <w:r>
        <w:rPr>
          <w:rFonts w:ascii="Times New Roman" w:hAnsi="Times New Roman" w:cs="Times New Roman" w:eastAsia="Times New Roman" w:hint="default"/>
        </w:rPr>
        <w:t>248,609</w:t>
      </w:r>
      <w:r>
        <w:rPr>
          <w:rFonts w:ascii="Times New Roman" w:hAnsi="Times New Roman" w:cs="Times New Roman" w:eastAsia="Times New Roman" w:hint="default"/>
          <w:spacing w:val="-1"/>
        </w:rPr>
        <w:t>,</w:t>
      </w:r>
      <w:r>
        <w:rPr>
          <w:rFonts w:ascii="Times New Roman" w:hAnsi="Times New Roman" w:cs="Times New Roman" w:eastAsia="Times New Roman" w:hint="default"/>
        </w:rPr>
        <w:t>372.90</w:t>
      </w:r>
      <w:r>
        <w:rPr>
          <w:rFonts w:ascii="Times New Roman" w:hAnsi="Times New Roman" w:cs="Times New Roman" w:eastAsia="Times New Roman" w:hint="default"/>
          <w:spacing w:val="-1"/>
        </w:rPr>
        <w:t> </w:t>
      </w:r>
      <w:r>
        <w:rPr/>
        <w:t>元。</w:t>
      </w:r>
    </w:p>
    <w:p>
      <w:pPr>
        <w:pStyle w:val="BodyText"/>
        <w:spacing w:line="302" w:lineRule="auto" w:before="101"/>
        <w:ind w:left="153" w:right="1118"/>
        <w:jc w:val="left"/>
      </w:pPr>
      <w:r>
        <w:rPr>
          <w:spacing w:val="-6"/>
        </w:rPr>
        <w:t>（</w:t>
      </w:r>
      <w:r>
        <w:rPr>
          <w:rFonts w:ascii="Times New Roman" w:hAnsi="Times New Roman" w:cs="Times New Roman" w:eastAsia="Times New Roman" w:hint="default"/>
          <w:spacing w:val="-6"/>
        </w:rPr>
        <w:t>2</w:t>
      </w:r>
      <w:r>
        <w:rPr>
          <w:spacing w:val="-6"/>
        </w:rPr>
        <w:t>）、根据股权收购协议，公司以现金人民币</w:t>
      </w:r>
      <w:r>
        <w:rPr>
          <w:spacing w:val="-42"/>
        </w:rPr>
        <w:t> </w:t>
      </w:r>
      <w:r>
        <w:rPr>
          <w:rFonts w:ascii="Times New Roman" w:hAnsi="Times New Roman" w:cs="Times New Roman" w:eastAsia="Times New Roman" w:hint="default"/>
          <w:spacing w:val="-1"/>
        </w:rPr>
        <w:t>9,860,261.31</w:t>
      </w:r>
      <w:r>
        <w:rPr>
          <w:rFonts w:ascii="Times New Roman" w:hAnsi="Times New Roman" w:cs="Times New Roman" w:eastAsia="Times New Roman" w:hint="default"/>
          <w:spacing w:val="5"/>
        </w:rPr>
        <w:t> </w:t>
      </w:r>
      <w:r>
        <w:rPr/>
        <w:t>元收购株式会社电通国际信息服务持有的上海华钟计算机软件开 发有限公司</w:t>
      </w:r>
      <w:r>
        <w:rPr>
          <w:spacing w:val="-46"/>
        </w:rPr>
        <w:t> </w:t>
      </w:r>
      <w:r>
        <w:rPr>
          <w:rFonts w:ascii="Times New Roman" w:hAnsi="Times New Roman" w:cs="Times New Roman" w:eastAsia="Times New Roman" w:hint="default"/>
        </w:rPr>
        <w:t>39%</w:t>
      </w:r>
      <w:r>
        <w:rPr/>
        <w:t>的少数股东权益，收购完成后公司持有上海华钟计算机软件开发有限公司</w:t>
      </w:r>
      <w:r>
        <w:rPr>
          <w:spacing w:val="-45"/>
        </w:rPr>
        <w:t> </w:t>
      </w:r>
      <w:r>
        <w:rPr>
          <w:rFonts w:ascii="Times New Roman" w:hAnsi="Times New Roman" w:cs="Times New Roman" w:eastAsia="Times New Roman" w:hint="default"/>
        </w:rPr>
        <w:t>90%</w:t>
      </w:r>
      <w:r>
        <w:rPr/>
        <w:t>股权。</w:t>
      </w:r>
    </w:p>
    <w:p>
      <w:pPr>
        <w:pStyle w:val="BodyText"/>
        <w:spacing w:line="240" w:lineRule="auto" w:before="50"/>
        <w:ind w:left="153" w:right="0"/>
        <w:jc w:val="left"/>
      </w:pPr>
      <w:r>
        <w:rPr/>
        <w:t>（</w:t>
      </w:r>
      <w:r>
        <w:rPr>
          <w:rFonts w:ascii="Times New Roman" w:hAnsi="Times New Roman" w:cs="Times New Roman" w:eastAsia="Times New Roman" w:hint="default"/>
        </w:rPr>
        <w:t>3</w:t>
      </w:r>
      <w:r>
        <w:rPr>
          <w:spacing w:val="-90"/>
        </w:rPr>
        <w:t>）</w:t>
      </w:r>
      <w:r>
        <w:rPr/>
        <w:t>、根据公司决议，公司以人民币</w:t>
      </w:r>
      <w:r>
        <w:rPr>
          <w:spacing w:val="-46"/>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1"/>
        </w:rPr>
        <w:t> </w:t>
      </w:r>
      <w:r>
        <w:rPr/>
        <w:t>万元设立二三四五海隆金融信息服务有限公司（注册资本人民币</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,00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spacing w:val="1"/>
        </w:rPr>
        <w:t>万元</w:t>
      </w:r>
      <w:r>
        <w:rPr>
          <w:spacing w:val="-89"/>
        </w:rPr>
        <w:t>）</w:t>
      </w:r>
      <w:r>
        <w:rPr/>
        <w:t>，</w:t>
      </w:r>
    </w:p>
    <w:p>
      <w:pPr>
        <w:pStyle w:val="BodyText"/>
        <w:spacing w:line="240" w:lineRule="auto" w:before="64"/>
        <w:ind w:left="153" w:right="0"/>
        <w:jc w:val="left"/>
      </w:pPr>
      <w:r>
        <w:rPr/>
        <w:t>截至</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日累计出资额</w:t>
      </w:r>
      <w:r>
        <w:rPr>
          <w:spacing w:val="-46"/>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1"/>
        </w:rPr>
        <w:t> </w:t>
      </w:r>
      <w:r>
        <w:rPr/>
        <w:t>万元。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Heading6"/>
        <w:spacing w:line="240" w:lineRule="auto"/>
        <w:ind w:left="154" w:right="0"/>
        <w:jc w:val="left"/>
        <w:rPr>
          <w:b w:val="0"/>
          <w:bCs w:val="0"/>
        </w:rPr>
      </w:pPr>
      <w:bookmarkStart w:name="4、营业收入和营业成本" w:id="522"/>
      <w:bookmarkEnd w:id="522"/>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5"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139,198,596.67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92,992,683.91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291,829,370.75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174,506,385.50</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564,331.18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353,314.61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324,900.00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63,391.72</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139,762,927.85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93,345,998.52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292,154,270.75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174,569,777.22</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5、投资收益" w:id="523"/>
      <w:bookmarkEnd w:id="523"/>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28,920,000.00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23,300,555.76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1,639,500.00</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138,082.19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53,998,137.95</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6、其他" w:id="524"/>
      <w:bookmarkEnd w:id="524"/>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4"/>
        <w:spacing w:line="240" w:lineRule="auto"/>
        <w:ind w:left="154" w:right="0"/>
        <w:jc w:val="left"/>
        <w:rPr>
          <w:b w:val="0"/>
          <w:bCs w:val="0"/>
        </w:rPr>
      </w:pPr>
      <w:bookmarkStart w:name="十八、补充资料" w:id="525"/>
      <w:bookmarkEnd w:id="525"/>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当期非经常性损益明细表" w:id="526"/>
      <w:bookmarkEnd w:id="526"/>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2,943,143.23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31,173,406.44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341,539.68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1,544,450.00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880,129.65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841,574.00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4,302,337.77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111,548.82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33,310,356.41</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bookmarkStart w:name="2、净资产收益率及每股收益" w:id="527"/>
      <w:bookmarkEnd w:id="527"/>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01"/>
      </w:tblGrid>
      <w:tr>
        <w:trPr>
          <w:trHeight w:val="207"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1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15"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0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0.48</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0.48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0.44</w:t>
            </w:r>
          </w:p>
        </w:tc>
      </w:tr>
    </w:tbl>
    <w:p>
      <w:pPr>
        <w:spacing w:line="240" w:lineRule="auto" w:before="2"/>
        <w:rPr>
          <w:rFonts w:ascii="宋体" w:hAnsi="宋体" w:cs="宋体" w:eastAsia="宋体" w:hint="default"/>
          <w:b/>
          <w:bCs/>
          <w:sz w:val="19"/>
          <w:szCs w:val="19"/>
        </w:rPr>
      </w:pPr>
    </w:p>
    <w:p>
      <w:pPr>
        <w:pStyle w:val="Heading6"/>
        <w:spacing w:line="240" w:lineRule="auto" w:before="35"/>
        <w:ind w:left="154" w:right="0"/>
        <w:jc w:val="left"/>
        <w:rPr>
          <w:b w:val="0"/>
          <w:bCs w:val="0"/>
        </w:rPr>
      </w:pPr>
      <w:bookmarkStart w:name="3、境内外会计准则下会计数据差异" w:id="528"/>
      <w:bookmarkEnd w:id="528"/>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54" w:right="0"/>
        <w:jc w:val="left"/>
        <w:rPr>
          <w:b w:val="0"/>
          <w:bCs w:val="0"/>
        </w:rPr>
      </w:pPr>
      <w:bookmarkStart w:name="（1）同时按照国际会计准则与按中国会计准则披露的财务报告中净利润和净资产差异情况" w:id="529"/>
      <w:bookmarkEnd w:id="529"/>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bookmarkStart w:name="（2）同时按照境外会计准则与按中国会计准则披露的财务报告中净利润和净资产差异情况" w:id="530"/>
      <w:bookmarkEnd w:id="530"/>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59" w:lineRule="auto"/>
        <w:ind w:right="0"/>
        <w:jc w:val="left"/>
        <w:rPr>
          <w:b w:val="0"/>
          <w:bCs w:val="0"/>
        </w:rPr>
      </w:pPr>
      <w:bookmarkStart w:name="（3）境内外会计准则下会计数据差异原因说明，对已经境外审计机构审计的数据进行差异" w:id="531"/>
      <w:bookmarkEnd w:id="531"/>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4、其他" w:id="532"/>
      <w:bookmarkEnd w:id="532"/>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0"/>
        <w:jc w:val="left"/>
        <w:rPr>
          <w:b w:val="0"/>
          <w:bCs w:val="0"/>
        </w:rPr>
      </w:pPr>
      <w:bookmarkStart w:name="第十一节 备查文件目录" w:id="533"/>
      <w:bookmarkEnd w:id="533"/>
      <w:r>
        <w:rPr>
          <w:b w:val="0"/>
          <w:bCs w:val="0"/>
        </w:rPr>
      </w:r>
      <w:bookmarkStart w:name="_bookmark9" w:id="534"/>
      <w:bookmarkEnd w:id="534"/>
      <w:r>
        <w:rPr>
          <w:b w:val="0"/>
          <w:bCs w:val="0"/>
        </w:rPr>
      </w:r>
      <w:r>
        <w:rPr/>
        <w:t>第十一节</w:t>
      </w:r>
      <w:r>
        <w:rPr>
          <w:spacing w:val="-8"/>
        </w:rPr>
        <w:t> </w:t>
      </w:r>
      <w:r>
        <w:rPr/>
        <w:t>备查文件目录</w:t>
      </w:r>
      <w:r>
        <w:rPr>
          <w:b w:val="0"/>
          <w:bCs w:val="0"/>
        </w:rPr>
      </w:r>
    </w:p>
    <w:p>
      <w:pPr>
        <w:spacing w:line="240" w:lineRule="auto" w:before="10"/>
        <w:rPr>
          <w:rFonts w:ascii="宋体" w:hAnsi="宋体" w:cs="宋体" w:eastAsia="宋体" w:hint="default"/>
          <w:b/>
          <w:bCs/>
          <w:sz w:val="44"/>
          <w:szCs w:val="44"/>
        </w:rPr>
      </w:pPr>
    </w:p>
    <w:p>
      <w:pPr>
        <w:pStyle w:val="Heading5"/>
        <w:spacing w:line="357" w:lineRule="auto" w:before="0"/>
        <w:ind w:right="1118" w:firstLine="480"/>
        <w:jc w:val="left"/>
      </w:pPr>
      <w:r>
        <w:rPr/>
        <w:t>一、载有公司法定代表人、主管会计工作负责人、会计机构负责人签名并盖章的财务报 表。</w:t>
      </w:r>
    </w:p>
    <w:p>
      <w:pPr>
        <w:pStyle w:val="Heading5"/>
        <w:spacing w:line="357" w:lineRule="auto" w:before="36"/>
        <w:ind w:left="154" w:right="1118" w:firstLine="480"/>
        <w:jc w:val="left"/>
      </w:pPr>
      <w:r>
        <w:rPr/>
        <w:t>二、载有立信会计师事务所（特殊普通合伙）盖章、注册会计师签名并盖章的审计报告 原件。</w:t>
      </w:r>
    </w:p>
    <w:p>
      <w:pPr>
        <w:pStyle w:val="Heading5"/>
        <w:spacing w:line="357" w:lineRule="auto" w:before="36"/>
        <w:ind w:left="154" w:right="1118" w:firstLine="480"/>
        <w:jc w:val="left"/>
      </w:pPr>
      <w:r>
        <w:rPr/>
        <w:t>三、报告期内在中国证监会指定信息披露报纸上公开披露过的所有公司文件的正本及公 告原稿。</w:t>
      </w:r>
    </w:p>
    <w:p>
      <w:pPr>
        <w:pStyle w:val="Heading5"/>
        <w:spacing w:line="338" w:lineRule="auto" w:before="36"/>
        <w:ind w:left="634" w:right="4458"/>
        <w:jc w:val="left"/>
      </w:pPr>
      <w:r>
        <w:rPr/>
        <w:t>四、载有法定代表人签名的公司</w:t>
      </w:r>
      <w:r>
        <w:rPr>
          <w:rFonts w:ascii="Arial" w:hAnsi="Arial" w:cs="Arial" w:eastAsia="Arial" w:hint="default"/>
        </w:rPr>
        <w:t>2015</w:t>
      </w:r>
      <w:r>
        <w:rPr/>
        <w:t>年年度报告文本。 以上备查文件的备置地点：公司董事会办公室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7"/>
          <w:szCs w:val="27"/>
        </w:rPr>
      </w:pPr>
    </w:p>
    <w:p>
      <w:pPr>
        <w:pStyle w:val="Heading4"/>
        <w:spacing w:line="240" w:lineRule="auto"/>
        <w:ind w:left="0" w:right="1131"/>
        <w:jc w:val="right"/>
        <w:rPr>
          <w:b w:val="0"/>
          <w:bCs w:val="0"/>
        </w:rPr>
      </w:pPr>
      <w:r>
        <w:rPr>
          <w:w w:val="95"/>
        </w:rPr>
        <w:t>上海二三四五网络控股集团股份有限公司</w:t>
      </w:r>
      <w:r>
        <w:rPr>
          <w:b w:val="0"/>
          <w:bCs w:val="0"/>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3"/>
          <w:szCs w:val="23"/>
        </w:rPr>
      </w:pPr>
    </w:p>
    <w:p>
      <w:pPr>
        <w:pStyle w:val="Heading4"/>
        <w:tabs>
          <w:tab w:pos="3067" w:val="left" w:leader="none"/>
        </w:tabs>
        <w:spacing w:line="240" w:lineRule="auto"/>
        <w:ind w:left="0" w:right="1075"/>
        <w:jc w:val="right"/>
        <w:rPr>
          <w:rFonts w:ascii="Times New Roman" w:hAnsi="Times New Roman" w:cs="Times New Roman" w:eastAsia="Times New Roman" w:hint="default"/>
          <w:b w:val="0"/>
          <w:bCs w:val="0"/>
        </w:rPr>
      </w:pPr>
      <w:r>
        <w:rPr>
          <w:w w:val="95"/>
        </w:rPr>
        <w:t>董事长：</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r>
        <w:rPr>
          <w:rFonts w:ascii="Times New Roman" w:hAnsi="Times New Roman" w:cs="Times New Roman" w:eastAsia="Times New Roman" w:hint="default"/>
          <w:b w:val="0"/>
          <w:bCs w:val="0"/>
        </w:rPr>
      </w:r>
    </w:p>
    <w:p>
      <w:pPr>
        <w:pStyle w:val="Heading4"/>
        <w:spacing w:line="240" w:lineRule="auto" w:before="154"/>
        <w:ind w:left="0" w:right="1793"/>
        <w:jc w:val="right"/>
        <w:rPr>
          <w:b w:val="0"/>
          <w:bCs w:val="0"/>
        </w:rPr>
      </w:pPr>
      <w:r>
        <w:rPr>
          <w:w w:val="95"/>
        </w:rPr>
        <w:t>包叔平</w:t>
      </w:r>
      <w:r>
        <w:rPr>
          <w:b w:val="0"/>
          <w:bCs w:val="0"/>
        </w:rPr>
      </w:r>
    </w:p>
    <w:p>
      <w:pPr>
        <w:pStyle w:val="Heading4"/>
        <w:spacing w:line="240" w:lineRule="auto" w:before="154"/>
        <w:ind w:left="0" w:right="1132"/>
        <w:jc w:val="right"/>
        <w:rPr>
          <w:b w:val="0"/>
          <w:bCs w:val="0"/>
        </w:rPr>
      </w:pPr>
      <w:r>
        <w:rPr>
          <w:rFonts w:ascii="Arial" w:hAnsi="Arial" w:cs="Arial" w:eastAsia="Arial" w:hint="default"/>
          <w:spacing w:val="-1"/>
        </w:rPr>
        <w:t>2016</w:t>
      </w:r>
      <w:r>
        <w:rPr>
          <w:spacing w:val="-1"/>
        </w:rPr>
        <w:t>年</w:t>
      </w:r>
      <w:r>
        <w:rPr>
          <w:rFonts w:ascii="Arial" w:hAnsi="Arial" w:cs="Arial" w:eastAsia="Arial" w:hint="default"/>
          <w:spacing w:val="-1"/>
        </w:rPr>
        <w:t>4</w:t>
      </w:r>
      <w:r>
        <w:rPr>
          <w:spacing w:val="-1"/>
        </w:rPr>
        <w:t>月</w:t>
      </w:r>
      <w:r>
        <w:rPr>
          <w:rFonts w:ascii="Arial" w:hAnsi="Arial" w:cs="Arial" w:eastAsia="Arial" w:hint="default"/>
          <w:spacing w:val="-1"/>
        </w:rPr>
        <w:t>21</w:t>
      </w:r>
      <w:r>
        <w:rPr>
          <w:spacing w:val="-1"/>
        </w:rPr>
        <w:t>日</w:t>
      </w:r>
      <w:r>
        <w:rPr>
          <w:b w:val="0"/>
          <w:bCs w:val="0"/>
          <w:spacing w:val="-1"/>
        </w:rPr>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23032" type="#_x0000_t75" stroked="false">
          <v:imagedata r:id="rId1" o:title=""/>
        </v:shape>
      </w:pict>
    </w:r>
    <w:r>
      <w:rPr/>
      <w:pict>
        <v:shape style="position:absolute;margin-left:533.179993pt;margin-top:795.517944pt;width:6.5pt;height:11pt;mso-position-horizontal-relative:page;mso-position-vertical-relative:page;z-index:-923008"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22984" type="#_x0000_t75" stroked="false">
          <v:imagedata r:id="rId1" o:title=""/>
        </v:shape>
      </w:pict>
    </w:r>
    <w:r>
      <w:rPr/>
      <w:pict>
        <v:shape style="position:absolute;margin-left:527.679993pt;margin-top:781.957947pt;width:13pt;height:11pt;mso-position-horizontal-relative:page;mso-position-vertical-relative:page;z-index:-92296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22936" type="#_x0000_t75" stroked="false">
          <v:imagedata r:id="rId1" o:title=""/>
        </v:shape>
      </w:pict>
    </w:r>
    <w:r>
      <w:rPr/>
      <w:pict>
        <v:shape style="position:absolute;margin-left:524.179993pt;margin-top:781.957947pt;width:15.5pt;height:11pt;mso-position-horizontal-relative:page;mso-position-vertical-relative:page;z-index:-922912"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22888" type="#_x0000_t75" stroked="false">
          <v:imagedata r:id="rId1" o:title=""/>
        </v:shape>
      </w:pict>
    </w:r>
    <w:r>
      <w:rPr/>
      <w:pict>
        <v:shape style="position:absolute;margin-left:523.179993pt;margin-top:781.957947pt;width:17.5pt;height:11pt;mso-position-horizontal-relative:page;mso-position-vertical-relative:page;z-index:-92286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90.220001pt;margin-top:36.325607pt;width:249.5pt;height:11.5pt;mso-position-horizontal-relative:page;mso-position-vertical-relative:page;z-index:-923056" type="#_x0000_t202" filled="false" stroked="false">
          <v:textbox inset="0,0,0,0">
            <w:txbxContent>
              <w:p>
                <w:pPr>
                  <w:pStyle w:val="BodyText"/>
                  <w:spacing w:line="214" w:lineRule="exact" w:before="0"/>
                  <w:ind w:left="20" w:right="0"/>
                  <w:jc w:val="left"/>
                </w:pPr>
                <w:r>
                  <w:rPr/>
                  <w:t>上海二三四五网络控股集团股份有限公司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spacing w:before="44"/>
      <w:ind w:left="154"/>
    </w:pPr>
    <w:rPr>
      <w:rFonts w:ascii="宋体" w:hAnsi="宋体" w:eastAsia="宋体"/>
      <w:sz w:val="18"/>
      <w:szCs w:val="18"/>
    </w:rPr>
  </w:style>
  <w:style w:styleId="Heading1" w:type="paragraph">
    <w:name w:val="Heading 1"/>
    <w:basedOn w:val="Normal"/>
    <w:uiPriority w:val="1"/>
    <w:qFormat/>
    <w:pPr>
      <w:spacing w:before="1"/>
      <w:ind w:left="124"/>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8"/>
      <w:szCs w:val="28"/>
    </w:rPr>
  </w:style>
  <w:style w:styleId="Heading3" w:type="paragraph">
    <w:name w:val="Heading 3"/>
    <w:basedOn w:val="Normal"/>
    <w:uiPriority w:val="1"/>
    <w:qFormat/>
    <w:pPr>
      <w:ind w:left="154"/>
      <w:outlineLvl w:val="3"/>
    </w:pPr>
    <w:rPr>
      <w:rFonts w:ascii="宋体" w:hAnsi="宋体" w:eastAsia="宋体"/>
      <w:sz w:val="28"/>
      <w:szCs w:val="28"/>
    </w:rPr>
  </w:style>
  <w:style w:styleId="Heading4" w:type="paragraph">
    <w:name w:val="Heading 4"/>
    <w:basedOn w:val="Normal"/>
    <w:uiPriority w:val="1"/>
    <w:qFormat/>
    <w:pPr>
      <w:ind w:left="153"/>
      <w:outlineLvl w:val="4"/>
    </w:pPr>
    <w:rPr>
      <w:rFonts w:ascii="宋体" w:hAnsi="宋体" w:eastAsia="宋体"/>
      <w:b/>
      <w:bCs/>
      <w:sz w:val="24"/>
      <w:szCs w:val="24"/>
    </w:rPr>
  </w:style>
  <w:style w:styleId="Heading5" w:type="paragraph">
    <w:name w:val="Heading 5"/>
    <w:basedOn w:val="Normal"/>
    <w:uiPriority w:val="1"/>
    <w:qFormat/>
    <w:pPr>
      <w:spacing w:before="26"/>
      <w:ind w:left="153"/>
      <w:outlineLvl w:val="5"/>
    </w:pPr>
    <w:rPr>
      <w:rFonts w:ascii="宋体" w:hAnsi="宋体" w:eastAsia="宋体"/>
      <w:sz w:val="24"/>
      <w:szCs w:val="24"/>
    </w:rPr>
  </w:style>
  <w:style w:styleId="Heading6" w:type="paragraph">
    <w:name w:val="Heading 6"/>
    <w:basedOn w:val="Normal"/>
    <w:uiPriority w:val="1"/>
    <w:qFormat/>
    <w:pPr>
      <w:ind w:left="153"/>
      <w:outlineLvl w:val="6"/>
    </w:pPr>
    <w:rPr>
      <w:rFonts w:ascii="宋体" w:hAnsi="宋体" w:eastAsia="宋体"/>
      <w:b/>
      <w:bCs/>
      <w:sz w:val="21"/>
      <w:szCs w:val="21"/>
    </w:rPr>
  </w:style>
  <w:style w:styleId="Heading7" w:type="paragraph">
    <w:name w:val="Heading 7"/>
    <w:basedOn w:val="Normal"/>
    <w:uiPriority w:val="1"/>
    <w:qFormat/>
    <w:pPr>
      <w:spacing w:before="7"/>
      <w:ind w:left="153"/>
      <w:outlineLvl w:val="7"/>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2345hyron.com/" TargetMode="External"/><Relationship Id="rId10" Type="http://schemas.openxmlformats.org/officeDocument/2006/relationships/hyperlink" Target="mailto:stock@2345.com"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footer" Target="footer3.xml"/><Relationship Id="rId19"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上海二三四五网络控股集团股份有限公司</dc:creator>
  <dc:title>上海二三四五网络控股集团股份有限公司2015年年度报告全文</dc:title>
  <dcterms:created xsi:type="dcterms:W3CDTF">2020-05-04T12:45:55Z</dcterms:created>
  <dcterms:modified xsi:type="dcterms:W3CDTF">2020-05-04T12:45:55Z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2016-04-22T00:00:00Z</vt:filetime>
  </property>
  <property fmtid="{D5CDD505-2E9C-101B-9397-08002B2CF9AE}" pid="3" name="Creator">
    <vt:lpwstr>Microsoft® Office Word 2007</vt:lpwstr>
  </property>
  <property fmtid="{D5CDD505-2E9C-101B-9397-08002B2CF9AE}" pid="4" name="LastSaved">
    <vt:filetime>2020-05-04T00:00:00Z</vt:filetime>
  </property>
</Properties>
</file>